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196215</wp:posOffset>
            </wp:positionH>
            <wp:positionV relativeFrom="page">
              <wp:posOffset>145415</wp:posOffset>
            </wp:positionV>
            <wp:extent cx="715708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085" cy="27940"/>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243840</wp:posOffset>
            </wp:positionV>
            <wp:extent cx="7157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085" cy="698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2513330</wp:posOffset>
            </wp:positionH>
            <wp:positionV relativeFrom="paragraph">
              <wp:posOffset>123825</wp:posOffset>
            </wp:positionV>
            <wp:extent cx="214122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1220" cy="1397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2513330</wp:posOffset>
            </wp:positionH>
            <wp:positionV relativeFrom="paragraph">
              <wp:posOffset>144145</wp:posOffset>
            </wp:positionV>
            <wp:extent cx="2141220"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1220" cy="1397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2513330</wp:posOffset>
            </wp:positionH>
            <wp:positionV relativeFrom="paragraph">
              <wp:posOffset>123825</wp:posOffset>
            </wp:positionV>
            <wp:extent cx="214122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1220" cy="1397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ARYA SCIENCES ACQUISITION CORP III</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2513330</wp:posOffset>
            </wp:positionH>
            <wp:positionV relativeFrom="paragraph">
              <wp:posOffset>123825</wp:posOffset>
            </wp:positionV>
            <wp:extent cx="214122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1220" cy="1397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p>
      <w:pPr>
        <w:spacing w:after="0" w:line="400"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2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5"/>
          <w:szCs w:val="15"/>
          <w:b w:val="1"/>
          <w:bCs w:val="1"/>
          <w:color w:val="auto"/>
        </w:rPr>
        <w:t>of incorporation)</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5"/>
          <w:szCs w:val="15"/>
          <w:b w:val="1"/>
          <w:bCs w:val="1"/>
          <w:color w:val="auto"/>
        </w:rPr>
        <w:t>001-39434</w:t>
      </w:r>
    </w:p>
    <w:p>
      <w:pPr>
        <w:spacing w:after="0" w:line="2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7"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5"/>
          <w:szCs w:val="15"/>
          <w:b w:val="1"/>
          <w:bCs w:val="1"/>
          <w:color w:val="auto"/>
        </w:rPr>
        <w:t>98-1541723</w:t>
      </w:r>
    </w:p>
    <w:p>
      <w:pPr>
        <w:spacing w:after="0" w:line="2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5"/>
          <w:szCs w:val="15"/>
          <w:b w:val="1"/>
          <w:bCs w:val="1"/>
          <w:color w:val="auto"/>
        </w:rPr>
        <w:t>(I.R.S. Employer</w:t>
      </w:r>
    </w:p>
    <w:p>
      <w:pPr>
        <w:spacing w:after="0" w:line="5"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9" w:lineRule="exact"/>
        <w:rPr>
          <w:sz w:val="24"/>
          <w:szCs w:val="24"/>
          <w:color w:val="auto"/>
        </w:rPr>
      </w:pPr>
    </w:p>
    <w:p>
      <w:pPr>
        <w:sectPr>
          <w:pgSz w:w="11900" w:h="16838" w:orient="portrait"/>
          <w:cols w:equalWidth="0" w:num="3">
            <w:col w:w="4520" w:space="720"/>
            <w:col w:w="2880" w:space="720"/>
            <w:col w:w="2440"/>
          </w:cols>
          <w:pgMar w:left="300" w:top="462" w:right="319" w:bottom="1440" w:gutter="0" w:footer="0" w:header="0"/>
          <w:type w:val="continuous"/>
        </w:sectPr>
      </w:pPr>
    </w:p>
    <w:p>
      <w:pPr>
        <w:jc w:val="center"/>
        <w:ind w:right="1760"/>
        <w:spacing w:after="0"/>
        <w:rPr>
          <w:sz w:val="20"/>
          <w:szCs w:val="20"/>
          <w:color w:val="auto"/>
        </w:rPr>
      </w:pPr>
      <w:r>
        <w:rPr>
          <w:rFonts w:ascii="Times New Roman" w:cs="Times New Roman" w:eastAsia="Times New Roman" w:hAnsi="Times New Roman"/>
          <w:sz w:val="15"/>
          <w:szCs w:val="15"/>
          <w:b w:val="1"/>
          <w:bCs w:val="1"/>
          <w:color w:val="auto"/>
        </w:rPr>
        <w:t>51 Astor Place, 10th Floor</w:t>
      </w:r>
    </w:p>
    <w:p>
      <w:pPr>
        <w:spacing w:after="0" w:line="2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5"/>
          <w:szCs w:val="15"/>
          <w:b w:val="1"/>
          <w:bCs w:val="1"/>
          <w:color w:val="auto"/>
        </w:rPr>
        <w:t>New York, NY</w:t>
      </w:r>
    </w:p>
    <w:p>
      <w:pPr>
        <w:spacing w:after="0" w:line="5"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5"/>
          <w:szCs w:val="15"/>
          <w:b w:val="1"/>
          <w:bCs w:val="1"/>
          <w:color w:val="auto"/>
        </w:rPr>
        <w:t>10003</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2" w:lineRule="exact"/>
        <w:rPr>
          <w:sz w:val="24"/>
          <w:szCs w:val="24"/>
          <w:color w:val="auto"/>
        </w:rPr>
      </w:pPr>
    </w:p>
    <w:p>
      <w:pPr>
        <w:sectPr>
          <w:pgSz w:w="11900" w:h="16838" w:orient="portrait"/>
          <w:cols w:equalWidth="0" w:num="2">
            <w:col w:w="7380" w:space="720"/>
            <w:col w:w="3180"/>
          </w:cols>
          <w:pgMar w:left="300" w:top="462"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284-2300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372" w:lineRule="exact"/>
        <w:rPr>
          <w:sz w:val="24"/>
          <w:szCs w:val="24"/>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jc w:val="both"/>
        <w:ind w:right="5680" w:firstLine="9"/>
        <w:spacing w:after="0" w:line="180" w:lineRule="exact"/>
        <w:tabs>
          <w:tab w:leader="none" w:pos="266"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Written communications pursuant to Rule 425 under the Securities Act (17 CFR 230.425)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Soliciting material pursuant to Rule 14a-12 under the Exchange Act (17 CFR 240.14a-12)</w:t>
      </w:r>
    </w:p>
    <w:p>
      <w:pPr>
        <w:jc w:val="both"/>
        <w:ind w:right="4360"/>
        <w:spacing w:after="0" w:line="185"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Pre-commencement communications pursuant to Rule 14d-2(b) under the Exchange Act (17 CFR 240.14d-2(b))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Pre-commencement communications pursuant to Rule 13e-4(c) under the Exchange Act (17 CFR 240.13e-4(c))</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71570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4240" w:type="dxa"/>
            <w:vAlign w:val="bottom"/>
            <w:tcBorders>
              <w:top w:val="single" w:sz="8" w:color="auto"/>
              <w:bottom w:val="single" w:sz="8" w:color="auto"/>
            </w:tcBorders>
          </w:tcPr>
          <w:p>
            <w:pPr>
              <w:ind w:left="192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780" w:type="dxa"/>
            <w:vAlign w:val="bottom"/>
            <w:tcBorders>
              <w:top w:val="single" w:sz="8" w:color="auto"/>
              <w:bottom w:val="single" w:sz="8" w:color="auto"/>
            </w:tcBorders>
          </w:tcPr>
          <w:p>
            <w:pPr>
              <w:jc w:val="center"/>
              <w:ind w:left="346"/>
              <w:spacing w:after="0"/>
              <w:rPr>
                <w:sz w:val="20"/>
                <w:szCs w:val="20"/>
                <w:color w:val="auto"/>
              </w:rPr>
            </w:pPr>
            <w:r>
              <w:rPr>
                <w:rFonts w:ascii="Times New Roman" w:cs="Times New Roman" w:eastAsia="Times New Roman" w:hAnsi="Times New Roman"/>
                <w:sz w:val="15"/>
                <w:szCs w:val="15"/>
                <w:b w:val="1"/>
                <w:bCs w:val="1"/>
                <w:color w:val="auto"/>
                <w:w w:val="96"/>
              </w:rPr>
              <w:t>Trading Symbol(s)</w:t>
            </w:r>
          </w:p>
        </w:tc>
        <w:tc>
          <w:tcPr>
            <w:tcW w:w="4260" w:type="dxa"/>
            <w:vAlign w:val="bottom"/>
            <w:tcBorders>
              <w:top w:val="single" w:sz="8" w:color="auto"/>
              <w:bottom w:val="single" w:sz="8" w:color="auto"/>
            </w:tcBorders>
          </w:tcPr>
          <w:p>
            <w:pPr>
              <w:jc w:val="center"/>
              <w:ind w:right="206"/>
              <w:spacing w:after="0"/>
              <w:rPr>
                <w:sz w:val="20"/>
                <w:szCs w:val="20"/>
                <w:color w:val="auto"/>
              </w:rPr>
            </w:pPr>
            <w:r>
              <w:rPr>
                <w:rFonts w:ascii="Times New Roman" w:cs="Times New Roman" w:eastAsia="Times New Roman" w:hAnsi="Times New Roman"/>
                <w:sz w:val="15"/>
                <w:szCs w:val="15"/>
                <w:b w:val="1"/>
                <w:bCs w:val="1"/>
                <w:color w:val="auto"/>
                <w:w w:val="98"/>
              </w:rPr>
              <w:t>Name of each exchange on which registered</w:t>
            </w:r>
          </w:p>
        </w:tc>
      </w:tr>
      <w:tr>
        <w:trPr>
          <w:trHeight w:val="192"/>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Class A Ordinary Shares, par value $0.0001 per Share</w:t>
            </w:r>
          </w:p>
        </w:tc>
        <w:tc>
          <w:tcPr>
            <w:tcW w:w="2780" w:type="dxa"/>
            <w:vAlign w:val="bottom"/>
          </w:tcPr>
          <w:p>
            <w:pPr>
              <w:jc w:val="center"/>
              <w:ind w:left="346"/>
              <w:spacing w:after="0"/>
              <w:rPr>
                <w:sz w:val="20"/>
                <w:szCs w:val="20"/>
                <w:color w:val="auto"/>
              </w:rPr>
            </w:pPr>
            <w:r>
              <w:rPr>
                <w:rFonts w:ascii="Times New Roman" w:cs="Times New Roman" w:eastAsia="Times New Roman" w:hAnsi="Times New Roman"/>
                <w:sz w:val="15"/>
                <w:szCs w:val="15"/>
                <w:color w:val="auto"/>
                <w:w w:val="94"/>
              </w:rPr>
              <w:t>ARYA</w:t>
            </w:r>
          </w:p>
        </w:tc>
        <w:tc>
          <w:tcPr>
            <w:tcW w:w="4260" w:type="dxa"/>
            <w:vAlign w:val="bottom"/>
          </w:tcPr>
          <w:p>
            <w:pPr>
              <w:jc w:val="center"/>
              <w:ind w:right="226"/>
              <w:spacing w:after="0"/>
              <w:rPr>
                <w:sz w:val="20"/>
                <w:szCs w:val="20"/>
                <w:color w:val="auto"/>
              </w:rPr>
            </w:pPr>
            <w:r>
              <w:rPr>
                <w:rFonts w:ascii="Times New Roman" w:cs="Times New Roman" w:eastAsia="Times New Roman" w:hAnsi="Times New Roman"/>
                <w:sz w:val="15"/>
                <w:szCs w:val="15"/>
                <w:color w:val="auto"/>
                <w:w w:val="98"/>
              </w:rPr>
              <w:t>The Nasdaq Capital Market</w:t>
            </w:r>
          </w:p>
        </w:tc>
      </w:tr>
      <w:tr>
        <w:trPr>
          <w:trHeight w:val="163"/>
        </w:trPr>
        <w:tc>
          <w:tcPr>
            <w:tcW w:w="42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bl>
    <w:p>
      <w:pPr>
        <w:spacing w:after="0" w:line="177" w:lineRule="exact"/>
        <w:rPr>
          <w:sz w:val="24"/>
          <w:szCs w:val="24"/>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1" w:lineRule="exact"/>
        <w:rPr>
          <w:sz w:val="24"/>
          <w:szCs w:val="24"/>
          <w:color w:val="auto"/>
        </w:rPr>
      </w:pPr>
    </w:p>
    <w:p>
      <w:pPr>
        <w:ind w:right="16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71570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243205</wp:posOffset>
            </wp:positionV>
            <wp:extent cx="715708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085"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363220</wp:posOffset>
            </wp:positionV>
            <wp:extent cx="715708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type w:val="continuous"/>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9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color w:val="auto"/>
        </w:rPr>
        <w:t>On February 7, 2021, ARYA Sciences Acquisition Corp III, a Cayman Islands exempted company (“</w:t>
      </w:r>
      <w:r>
        <w:rPr>
          <w:rFonts w:ascii="Times New Roman" w:cs="Times New Roman" w:eastAsia="Times New Roman" w:hAnsi="Times New Roman"/>
          <w:sz w:val="18"/>
          <w:szCs w:val="18"/>
          <w:i w:val="1"/>
          <w:iCs w:val="1"/>
          <w:color w:val="auto"/>
        </w:rPr>
        <w:t>ARYA</w:t>
      </w:r>
      <w:r>
        <w:rPr>
          <w:rFonts w:ascii="Times New Roman" w:cs="Times New Roman" w:eastAsia="Times New Roman" w:hAnsi="Times New Roman"/>
          <w:sz w:val="18"/>
          <w:szCs w:val="18"/>
          <w:color w:val="auto"/>
        </w:rPr>
        <w:t>”), entered into a Business Combination Agreement (as it may be amended, supplemented or otherwise modified from time to time, the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by and among ARYA, Mako Merger Sub, Inc., a Delaware corporation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and Nautilus Biotechnology, Inc., a Delaware corporation (“</w:t>
      </w:r>
      <w:r>
        <w:rPr>
          <w:rFonts w:ascii="Times New Roman" w:cs="Times New Roman" w:eastAsia="Times New Roman" w:hAnsi="Times New Roman"/>
          <w:sz w:val="18"/>
          <w:szCs w:val="18"/>
          <w:i w:val="1"/>
          <w:iCs w:val="1"/>
          <w:color w:val="auto"/>
        </w:rPr>
        <w:t>Nautilus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The Business Combination Agreement and the transactions contemplated thereby were approved by the boards of directors of each of ARYA and Nautilus.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 Combination</w:t>
      </w:r>
    </w:p>
    <w:p>
      <w:pPr>
        <w:spacing w:after="0" w:line="194"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The Business Combination Agreement provides for, among other things, the following transactions: (i) Nautilus will changes its name to “Nautilus Subsidiary, Inc.” (or another name mutually agreed to by ARYA and Nautilus); (ii) ARYA will become a Delaware corporation (the “</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 and, in connection with the Domestication, (A) ARYA’s name will be changed to “Nautilus Biotechnology, Inc.” (“</w:t>
      </w:r>
      <w:r>
        <w:rPr>
          <w:rFonts w:ascii="Times New Roman" w:cs="Times New Roman" w:eastAsia="Times New Roman" w:hAnsi="Times New Roman"/>
          <w:sz w:val="18"/>
          <w:szCs w:val="18"/>
          <w:i w:val="1"/>
          <w:iCs w:val="1"/>
          <w:color w:val="auto"/>
        </w:rPr>
        <w:t>New Nautilus</w:t>
      </w:r>
      <w:r>
        <w:rPr>
          <w:rFonts w:ascii="Times New Roman" w:cs="Times New Roman" w:eastAsia="Times New Roman" w:hAnsi="Times New Roman"/>
          <w:sz w:val="18"/>
          <w:szCs w:val="18"/>
          <w:color w:val="auto"/>
        </w:rPr>
        <w:t>”) and (B) each outstanding Class A ordinary share of ARYA and each outstanding Class B ordinary share of ARYA will become one share of common stock of New Nautilus (the “</w:t>
      </w:r>
      <w:r>
        <w:rPr>
          <w:rFonts w:ascii="Times New Roman" w:cs="Times New Roman" w:eastAsia="Times New Roman" w:hAnsi="Times New Roman"/>
          <w:sz w:val="18"/>
          <w:szCs w:val="18"/>
          <w:i w:val="1"/>
          <w:iCs w:val="1"/>
          <w:color w:val="auto"/>
        </w:rPr>
        <w:t>New Nautilus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(iii) following the Domestication, Merger Sub will merge with and into Nautilus, with Nautilus as the surviving company in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after giving effect to such merger, continuing as a wholly-owned subsidiary of New Nautilus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The Domestication, the Merger and the other transactions contemplated by the Business Combination Agreement are hereinafter referred to as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The Business Combination is expected to close in the second quarter of 2021, following the receipt of the required approval by ARYA’s shareholders and the fulfillment of other customary closing conditions.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Consideration</w:t>
      </w:r>
    </w:p>
    <w:p>
      <w:pPr>
        <w:spacing w:after="0" w:line="194"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 Covenants</w:t>
      </w:r>
    </w:p>
    <w:p>
      <w:pPr>
        <w:spacing w:after="0" w:line="194"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The Business Combination Agreement contains representations, warranties and covenants of each of the parties thereto that are customary for transactions of this type. ARYA has also agreed to take all action as may be necessary or reasonably appropriate such that, as of the effective time of the Business Combination, the ARYA board of directors will consist of nine directors, which shall be divided into three classes and be comprised of seven individuals determined by Nautilus prior to the effectiveness of the Registration Statement, one individual determined by ARYA Sponsor prior to the effectiveness of the Registration Statement and one director that may designated by Nautilus and that is reasonably acceptable to ARYA Sciences Holdings III (“</w:t>
      </w:r>
      <w:r>
        <w:rPr>
          <w:rFonts w:ascii="Times New Roman" w:cs="Times New Roman" w:eastAsia="Times New Roman" w:hAnsi="Times New Roman"/>
          <w:sz w:val="18"/>
          <w:szCs w:val="18"/>
          <w:i w:val="1"/>
          <w:iCs w:val="1"/>
          <w:color w:val="auto"/>
        </w:rPr>
        <w:t>ARYA Sponsor</w:t>
      </w:r>
      <w:r>
        <w:rPr>
          <w:rFonts w:ascii="Times New Roman" w:cs="Times New Roman" w:eastAsia="Times New Roman" w:hAnsi="Times New Roman"/>
          <w:sz w:val="18"/>
          <w:szCs w:val="18"/>
          <w:color w:val="auto"/>
        </w:rPr>
        <w:t>”) prior to the effectiveness of the Registration Statement (provided that if no individual is designated as of such time, then such director seat shall be vacant following the effective time of the merger until an individual is elected or appointed to such directorship in accordance with the New Nautilus governing documents). In addition, ARYA has agreed to adopt an equity incentive plan and employee stock purchase plan, as described in the Business Combination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Each Party’s Obligations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obligation of ARYA and Nautilus to consummate the Business Combination is subject to certain closing conditions, including, but not limited to,</w:t>
      </w:r>
    </w:p>
    <w:p>
      <w:pPr>
        <w:spacing w:after="0" w:line="24" w:lineRule="exact"/>
        <w:rPr>
          <w:sz w:val="20"/>
          <w:szCs w:val="20"/>
          <w:color w:val="auto"/>
        </w:rPr>
      </w:pPr>
    </w:p>
    <w:p>
      <w:pPr>
        <w:jc w:val="both"/>
        <w:ind w:firstLine="9"/>
        <w:spacing w:after="0" w:line="233" w:lineRule="auto"/>
        <w:tabs>
          <w:tab w:leader="none" w:pos="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the applicable waiting period under the Hart-Scott-Rodino Antitrust Improvements Act of 1976, as amended, (ii) the absence of any order, law or other legal restraint or prohibition issued by any court of competent jurisdiction or other governmental entity of competent jurisdiction enjoining or prohibiting the consummation of the Domestication or the Merger, (iii) the effectiveness of the Registration Statement on Form S-4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in accordance with the provisions of the Securities Act registering the ARYA Common Stock to be issued in the Merger and the Domestication, (iv) the required approvals of ARYA’s shareholders, (v) the approval of Nautilus’s shareholders, (iv) ARYA having at least $5,000,001 of net tangible assets (as determined in accordance with Rule 3a51-1(g)(1) of the Securities Exchange Act of 1934, as amended) remaining after the closing of the Business Combination, and (vii) the approval by Nasdaq of ARYA’s initial listing application in connection with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715708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 w:name="page3"/>
    <w:bookmarkEnd w:id="2"/>
    <w:p>
      <w:pPr>
        <w:jc w:val="both"/>
        <w:ind w:firstLine="532"/>
        <w:spacing w:after="0"/>
        <w:rPr>
          <w:sz w:val="20"/>
          <w:szCs w:val="20"/>
          <w:color w:val="auto"/>
        </w:rPr>
      </w:pPr>
      <w:r>
        <w:rPr>
          <w:rFonts w:ascii="Times New Roman" w:cs="Times New Roman" w:eastAsia="Times New Roman" w:hAnsi="Times New Roman"/>
          <w:sz w:val="18"/>
          <w:szCs w:val="18"/>
          <w:color w:val="auto"/>
        </w:rPr>
        <w:t>In addition, the obligation of Nautilus to consummate the Business Combination is subject to the fulfillment of other closing conditions, including, but not limited to, (i) the aggregate cash proceeds from ARYA’s trust account, together with the proceeds from the PIPE Financing (as defined below), equaling no less than $250,000,000 (after deducting any amounts paid to ARYA shareholders that exercise their redemption rights in connection with the Business Combination and net of ARYA’s unpaid transaction expenses and ARYA’s unpaid liabilities), and (ii) the consummation of the Domestication</w:t>
      </w:r>
      <w:r>
        <w:rPr>
          <w:rFonts w:ascii="Times New Roman" w:cs="Times New Roman" w:eastAsia="Times New Roman" w:hAnsi="Times New Roman"/>
          <w:sz w:val="18"/>
          <w:szCs w:val="18"/>
          <w:i w:val="1"/>
          <w:iCs w:val="1"/>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94"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The Business Combination Agreement may be terminated under certain customary and limited circumstances prior to the closing of the Business Combination, including, but not limited to, (i) by mutual written consent of ARYA and Nautilus, (ii) by ARYA if the representations and warranties of Nautilus are not true and correct or if Nautilus fails to perform any covenant or agreement set forth in the Business Combination Agreement such that certain conditions to closing cannot be satisfied and the breach or breaches of such representations or warranties or the failure to perform such covenant or agreement, as applicable, are not cured or cannot be cured within certain specified time periods, (iii) termination by Nautilus if the representations and warranties of ARYA or Merger Sub (the “</w:t>
      </w:r>
      <w:r>
        <w:rPr>
          <w:rFonts w:ascii="Times New Roman" w:cs="Times New Roman" w:eastAsia="Times New Roman" w:hAnsi="Times New Roman"/>
          <w:sz w:val="18"/>
          <w:szCs w:val="18"/>
          <w:i w:val="1"/>
          <w:iCs w:val="1"/>
          <w:color w:val="auto"/>
        </w:rPr>
        <w:t>ARYA Parties</w:t>
      </w:r>
      <w:r>
        <w:rPr>
          <w:rFonts w:ascii="Times New Roman" w:cs="Times New Roman" w:eastAsia="Times New Roman" w:hAnsi="Times New Roman"/>
          <w:sz w:val="18"/>
          <w:szCs w:val="18"/>
          <w:color w:val="auto"/>
        </w:rPr>
        <w:t>”) are not true and correct or if any ARYA Party fails to perform any covenant or agreement set forth in the Business Combination Agreement such that certain conditions to closing cannot be satisfied and the breach or breaches of such representations or warranties or the failure to perform such covenant or agreement, as applicable, are not cured or cannot be cured within certain specified time periods, (iv) subject to certain limited exceptions, by either ARYA or Nautilus if the Business Combination is not consummated by 11:59 P.M. (pacific time) on August 6, 2021, (v) by either ARYA or Nautilus if certain required approvals are not obtained from ARYA shareholders after the conclusion of a meeting of ARYA’s shareholders held for such purpose at which such shareholders voted on such approvals, (vi) either ARYA or Nautilus, if any governmental entity of competent jurisdiction shall have issued an order permanently enjoining or prohibiting the Merger or the Domestication and such order shall have become final and nonappealable, and (vii) termination by ARYA if Nautilus has not delivered to ARYA a written consent of the Nautilus shareholders approving the Business Combination and the transactions contemplated thereby (including the Merger) within five business days of the Registration Statement being declared effective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If the Business Combination Agreement is validly terminated, none of the parties to the Business Combination Agreement will have any liability or any further obligation under the Business Combination Agreement, except in the case of Willful Breach or Fraud (each, as defined in the Business Combination Agreement) and for customary obligations that survive the termination thereof (such as confidentiality obligations).</w:t>
      </w:r>
    </w:p>
    <w:p>
      <w:pPr>
        <w:spacing w:after="0" w:line="162"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A copy of the Business Combination Agreement is filed with this Current Report on Form 8-K as Exhibit 2.1 and is incorporated herein by reference, and the foregoing description of the Business Combination Agreement is qualified in its entirety by reference thereto. The Business Combination Agreement contains representations, warranties and covenants that the respective parties made to each other as of the date of the Business Combination Agreement or other specific dates, as specified therein. The assertions embodied in those representations, warranties and covenants were made for purposes of the contract among the respective parties and are subject to important qualifications and limitations agreed to by the parties in connection with negotiating such agreement. The representations, warranties and covenants in the Business Combination Agreement are also modified in important part by the underlying disclosure schedules which are not filed publicly and which are subject to a contractual standard of materiality different from that generally applicable to shareholders and were used for the purpose of allocating risk among the parties rather than establishing matters as facts. ARYA does not believe that these schedules contain information that is material to an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88900</wp:posOffset>
            </wp:positionV>
            <wp:extent cx="715708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196"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ARYA, ARYA Sciences Holdings III, a Cayman Islands exempted limited company (the “</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and each other holder of Class B ordinary shares of ARYA (the “</w:t>
      </w:r>
      <w:r>
        <w:rPr>
          <w:rFonts w:ascii="Times New Roman" w:cs="Times New Roman" w:eastAsia="Times New Roman" w:hAnsi="Times New Roman"/>
          <w:sz w:val="18"/>
          <w:szCs w:val="18"/>
          <w:i w:val="1"/>
          <w:iCs w:val="1"/>
          <w:color w:val="auto"/>
        </w:rPr>
        <w:t>Other Class B Shareholders</w:t>
      </w:r>
      <w:r>
        <w:rPr>
          <w:rFonts w:ascii="Times New Roman" w:cs="Times New Roman" w:eastAsia="Times New Roman" w:hAnsi="Times New Roman"/>
          <w:sz w:val="18"/>
          <w:szCs w:val="18"/>
          <w:color w:val="auto"/>
        </w:rPr>
        <w:t>”) and Nautilus entered into the Sponsor Letter Agreement (the “</w:t>
      </w:r>
      <w:r>
        <w:rPr>
          <w:rFonts w:ascii="Times New Roman" w:cs="Times New Roman" w:eastAsia="Times New Roman" w:hAnsi="Times New Roman"/>
          <w:sz w:val="18"/>
          <w:szCs w:val="18"/>
          <w:i w:val="1"/>
          <w:iCs w:val="1"/>
          <w:color w:val="auto"/>
        </w:rPr>
        <w:t>Sponsor Letter Agreement</w:t>
      </w:r>
      <w:r>
        <w:rPr>
          <w:rFonts w:ascii="Times New Roman" w:cs="Times New Roman" w:eastAsia="Times New Roman" w:hAnsi="Times New Roman"/>
          <w:sz w:val="18"/>
          <w:szCs w:val="18"/>
          <w:color w:val="auto"/>
        </w:rPr>
        <w: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and (iii) be bound by certain transfer restrictions with respect to his, her or its shares in ARYA prior to the closing of the Business Combination, in each case, on the terms and subject to the conditions set forth in the Sponsor Letter Agreement.</w:t>
      </w:r>
    </w:p>
    <w:p>
      <w:pPr>
        <w:spacing w:after="0" w:line="173"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A copy of the Sponsor Letter Agreement is filed with this Current Report on Form 8-K as Exhibit 10.1 and is incorporated herein by reference, and the foregoing description of the Sponsor Letter Agreement is qualified in its entirety by reference thereto.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 (Private Placement)</w:t>
      </w:r>
    </w:p>
    <w:p>
      <w:pPr>
        <w:spacing w:after="0" w:line="192"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ARYA entered into subscription agreements (the “</w:t>
      </w:r>
      <w:r>
        <w:rPr>
          <w:rFonts w:ascii="Times New Roman" w:cs="Times New Roman" w:eastAsia="Times New Roman" w:hAnsi="Times New Roman"/>
          <w:sz w:val="18"/>
          <w:szCs w:val="18"/>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with certain investors, including, among others, Perceptive Life Sciences Master Fund Ltd., a fund managed by Perceptive Advisors, an affiliate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Sponsor, as well as certain equity holders of Nautilus and additional third party investors. Pursuant to the Subscription Agreements, each investor agreed to subscribe for and purchase, and ARYA agreed to issue and sell to such investors, on the Closing Date (as defined in the Business Combination Agreement) immediately prior to the Closing (as defined in the Business Combination Agreement), an aggregate of 20,000,000 shares of ARYA Common Stock for a purchase price of $10.00 per share, for aggregate gross proceeds of $200,000,000 (the “</w:t>
      </w:r>
      <w:r>
        <w:rPr>
          <w:rFonts w:ascii="Times New Roman" w:cs="Times New Roman" w:eastAsia="Times New Roman" w:hAnsi="Times New Roman"/>
          <w:sz w:val="18"/>
          <w:szCs w:val="18"/>
          <w:i w:val="1"/>
          <w:iCs w:val="1"/>
          <w:color w:val="auto"/>
        </w:rPr>
        <w:t>PIPE Financing</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closing of the PIPE Financing is contingent upon, among other things, the substantially concurrent consummation of the Business Combination.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Subscription Agreements provide that ARYA will grant the investors in the PIPE Financing certain customary registration rights.</w:t>
      </w:r>
    </w:p>
    <w:p>
      <w:pPr>
        <w:spacing w:after="0" w:line="17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A copy of the form of Subscription Agreement is filed with this Current Report on Form 8-K as Exhibit 10.3 and is incorporated herein by reference, and the foregoing description of the Subscription Agreements is qualified in its entirety by reference thereto.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Support Agreements</w:t>
      </w:r>
    </w:p>
    <w:p>
      <w:pPr>
        <w:spacing w:after="0" w:line="194"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Within 24 hours of the signing of the Business Combination Agreement, certain directors, officers and stockholders of Nautilus entered into a Transaction Support Agreement (collectively, the “</w:t>
      </w:r>
      <w:r>
        <w:rPr>
          <w:rFonts w:ascii="Times New Roman" w:cs="Times New Roman" w:eastAsia="Times New Roman" w:hAnsi="Times New Roman"/>
          <w:sz w:val="18"/>
          <w:szCs w:val="18"/>
          <w:i w:val="1"/>
          <w:iCs w:val="1"/>
          <w:color w:val="auto"/>
        </w:rPr>
        <w:t>Transaction Support Agreements</w:t>
      </w:r>
      <w:r>
        <w:rPr>
          <w:rFonts w:ascii="Times New Roman" w:cs="Times New Roman" w:eastAsia="Times New Roman" w:hAnsi="Times New Roman"/>
          <w:sz w:val="18"/>
          <w:szCs w:val="18"/>
          <w:color w:val="auto"/>
        </w:rPr>
        <w:t>”) with ARYA, pursuant to which such parties have agreed to, among other things,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shares in Nautilus prior to the closing of the Business Combination.</w:t>
      </w:r>
    </w:p>
    <w:p>
      <w:pPr>
        <w:spacing w:after="0" w:line="167"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A copy of the form of Transaction Support Agreement is filed with this Current Report on Form 8-K as Exhibit C to Exhibit 2.1 and is incorporated herein by reference, and the foregoing description of the Transaction Support Agreements is qualified in its entirety by reference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715708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and Lock-Up Agreement</w:t>
      </w:r>
    </w:p>
    <w:p>
      <w:pPr>
        <w:spacing w:after="0" w:line="196"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ARYA, the Perceptive Shareholders, the Other Class B Shareholders and certain Nautilus shareholders entered into an amended and restated registration rights and lock-up agreement (the “</w:t>
      </w:r>
      <w:r>
        <w:rPr>
          <w:rFonts w:ascii="Times New Roman" w:cs="Times New Roman" w:eastAsia="Times New Roman" w:hAnsi="Times New Roman"/>
          <w:sz w:val="18"/>
          <w:szCs w:val="18"/>
          <w:i w:val="1"/>
          <w:iCs w:val="1"/>
          <w:color w:val="auto"/>
        </w:rPr>
        <w:t>A&amp;R Registration Rights and 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pursuant to which, among other things, the Perceptive Shareholders (as defined in the Business Combination Agreement), the Other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(as defined in the Business Combination Agreement) and the certain Nautilus shareholders agreed not to effect any sale or distribution of ARYA equity securities during the lock-up period described therein and will be granted certain customary registration rights, in each case subject to, and conditioned upon and effective as of, the effective time of the Merger.</w:t>
      </w:r>
    </w:p>
    <w:p>
      <w:pPr>
        <w:spacing w:after="0" w:line="17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A copy of the A&amp;R Registration Rights and Lock-Up Agreement is filed with this Current Report on Form 8-K as Exhibit 10.2 and is incorporated herein by reference, and the foregoing description of the A&amp;R Registration Rights and Lock-Up Agreement is qualified in its entirety by reference thereto.</w:t>
      </w:r>
    </w:p>
    <w:p>
      <w:pPr>
        <w:spacing w:after="0" w:line="14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94" w:lineRule="exact"/>
        <w:rPr>
          <w:sz w:val="20"/>
          <w:szCs w:val="20"/>
          <w:color w:val="auto"/>
        </w:rPr>
      </w:pPr>
    </w:p>
    <w:p>
      <w:pPr>
        <w:ind w:right="40" w:firstLine="532"/>
        <w:spacing w:after="0" w:line="246" w:lineRule="auto"/>
        <w:rPr>
          <w:sz w:val="20"/>
          <w:szCs w:val="20"/>
          <w:color w:val="auto"/>
        </w:rPr>
      </w:pPr>
      <w:r>
        <w:rPr>
          <w:rFonts w:ascii="Times New Roman" w:cs="Times New Roman" w:eastAsia="Times New Roman" w:hAnsi="Times New Roman"/>
          <w:sz w:val="18"/>
          <w:szCs w:val="18"/>
          <w:color w:val="auto"/>
        </w:rPr>
        <w:t>The disclosure set forth above in Item 1.01 of this Current Report on Form 8-K is incorporated by reference herein. The shares of ARYA Common Stock to be offered and sold in connection with the PIPE Financing have not been registered under the Securities Act in reliance upon the exemption provided in Section 4(a)(2) thereof.</w:t>
      </w:r>
    </w:p>
    <w:p>
      <w:pPr>
        <w:spacing w:after="0" w:line="16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94"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On February 8, 2021, ARYA and Nautilus issued a press release announcing their entry into the Business Combination Agreement. The press release is attached hereto as Exhibit 99.1 and incorporated by reference herein.</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Furnished as Exhibits 99.2 and 99.3 hereto and incorporated into this Item 7.01 by reference is the investor presentation that ARYA and Nautilus have prepared for use in connection with the announcement of the Business Combination and a transcript of the investor presentation.</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Furnished as Exhibit 99.4 hereto and incorporated into this Item 7.01 by reference is the transcript of a conversation between Nick Nelsen, Senior Vice President and Chief Business Officer at Nautilus and Dr. Josh LaBaer, a key opinion leader and executive director of the Biodesign Institute at ASU.</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Furnished as Exhibit 99.5 hereto and incorporated into this Item 7.01 by reference is an email that Sujal Patel has sent to Nautilus employees about the proposed Business Combination with ARYA.</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Furnished as Exhibit 99.6 hereto and incorporated into this Item 7.01 by reference are presentation materials provided to Nautilus employees about the proposed Business Combination with ARYA.</w:t>
      </w:r>
    </w:p>
    <w:p>
      <w:pPr>
        <w:spacing w:after="0" w:line="151"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The foregoing (including Exhibits 99.1, 99.2, 99.3, 99.4, 99.5 and 99.6) is being furnished pursuant to Item 7.01 and will not be deemed to be filed for purposes of Section 18 of the Securities and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be subject to the liabilities of that section, nor will it be deemed to be incorporated by reference in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94" w:lineRule="exact"/>
        <w:rPr>
          <w:sz w:val="20"/>
          <w:szCs w:val="20"/>
          <w:color w:val="auto"/>
        </w:rPr>
      </w:pPr>
    </w:p>
    <w:p>
      <w:pPr>
        <w:jc w:val="both"/>
        <w:ind w:firstLine="532"/>
        <w:spacing w:after="0" w:line="251" w:lineRule="auto"/>
        <w:rPr>
          <w:sz w:val="20"/>
          <w:szCs w:val="20"/>
          <w:color w:val="auto"/>
        </w:rPr>
      </w:pPr>
      <w:r>
        <w:rPr>
          <w:rFonts w:ascii="Times New Roman" w:cs="Times New Roman" w:eastAsia="Times New Roman" w:hAnsi="Times New Roman"/>
          <w:sz w:val="17"/>
          <w:szCs w:val="17"/>
          <w:color w:val="auto"/>
        </w:rPr>
        <w:t>In connection with the Business Combination, ARYA intends to file with the U.S. Securities and Exchange Commission’s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xml:space="preserve">”) a Registration Statement, which will include a preliminary prospectus and preliminary proxy statement. ARYA will mail a definitive proxy statement/final prospectus and other relevant documents to its shareholders. This communication is not a substitute for the Registration Statement, the definitive proxy statement/final prospectus or any other document that ARYA will send to its shareholders in connection with the Business Combination. </w:t>
      </w:r>
      <w:r>
        <w:rPr>
          <w:rFonts w:ascii="Times New Roman" w:cs="Times New Roman" w:eastAsia="Times New Roman" w:hAnsi="Times New Roman"/>
          <w:sz w:val="17"/>
          <w:szCs w:val="17"/>
          <w:b w:val="1"/>
          <w:bCs w:val="1"/>
          <w:color w:val="auto"/>
        </w:rPr>
        <w:t>Investors and security holders of</w:t>
      </w:r>
    </w:p>
    <w:p>
      <w:pPr>
        <w:spacing w:after="0" w:line="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ARYA are advised to read, when available, the proxy statement/prospectus in connection with ARYA’s solicitation of proxies for its extraordinary general meeting of shareholders to be held to approve the Business Combination (and related matters) because the proxy statement/prospectus will contain important information about the Business Combination and the parties to the Business Combination. </w:t>
      </w:r>
      <w:r>
        <w:rPr>
          <w:rFonts w:ascii="Times New Roman" w:cs="Times New Roman" w:eastAsia="Times New Roman" w:hAnsi="Times New Roman"/>
          <w:sz w:val="18"/>
          <w:szCs w:val="18"/>
          <w:color w:val="auto"/>
        </w:rPr>
        <w:t>The definitive proxy statement/final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will be mailed to shareholders of ARYA as of a record date to be established for voting on the Business Combination. Shareholders will also be able to obtain copies of the proxy statement/prospectus, without charge, once available, at the SEC’s website at www.sec.gov or by directing a request to: 51 Astor Place, 10th Floor, New York, New York 10003.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92"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Times New Roman" w:cs="Times New Roman" w:eastAsia="Times New Roman" w:hAnsi="Times New Roman"/>
          <w:sz w:val="18"/>
          <w:szCs w:val="18"/>
          <w:color w:val="auto"/>
        </w:rPr>
        <w:t>Investors and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may obtain more detailed information regarding the names and interests in the Business Combination of ARYA’s directors and officers in ARYA’s filings with the SEC, including the Registration Statement to be filed with the SEC by ARYA, which will include the proxy statement of ARYA for the Business Combination, and such information and names of Nautilus’s directors and executive officers will also be in the Registration Statement to be filed with the SEC by ARYA, which will include the proxy statement of ARYA for the Business Combination.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94" w:lineRule="exact"/>
        <w:rPr>
          <w:sz w:val="20"/>
          <w:szCs w:val="20"/>
          <w:color w:val="auto"/>
        </w:rPr>
      </w:pPr>
    </w:p>
    <w:p>
      <w:pPr>
        <w:jc w:val="both"/>
        <w:ind w:firstLine="799"/>
        <w:spacing w:after="0" w:line="232" w:lineRule="auto"/>
        <w:rPr>
          <w:sz w:val="20"/>
          <w:szCs w:val="20"/>
          <w:color w:val="auto"/>
        </w:rPr>
      </w:pPr>
      <w:r>
        <w:rPr>
          <w:rFonts w:ascii="Times New Roman" w:cs="Times New Roman" w:eastAsia="Times New Roman" w:hAnsi="Times New Roman"/>
          <w:sz w:val="18"/>
          <w:szCs w:val="18"/>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and similar expressions that predict or indicate future events or trends or that are not statements of historical matters. 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shareholders of ARYA or Nautilus for the potential transaction is not obtained;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225425</wp:posOffset>
            </wp:positionV>
            <wp:extent cx="715708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196"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80" w:type="dxa"/>
            <w:vAlign w:val="bottom"/>
          </w:tcPr>
          <w:p>
            <w:pPr>
              <w:spacing w:after="0"/>
              <w:rPr>
                <w:sz w:val="24"/>
                <w:szCs w:val="24"/>
                <w:color w:val="auto"/>
              </w:rPr>
            </w:pPr>
          </w:p>
        </w:tc>
      </w:tr>
      <w:tr>
        <w:trPr>
          <w:trHeight w:val="351"/>
        </w:trPr>
        <w:tc>
          <w:tcPr>
            <w:tcW w:w="1000" w:type="dxa"/>
            <w:vAlign w:val="bottom"/>
          </w:tcPr>
          <w:p>
            <w:pPr>
              <w:jc w:val="center"/>
              <w:ind w:left="64"/>
              <w:spacing w:after="0"/>
              <w:rPr>
                <w:sz w:val="20"/>
                <w:szCs w:val="20"/>
                <w:color w:val="auto"/>
              </w:rPr>
            </w:pPr>
            <w:r>
              <w:rPr>
                <w:rFonts w:ascii="Times New Roman" w:cs="Times New Roman" w:eastAsia="Times New Roman" w:hAnsi="Times New Roman"/>
                <w:sz w:val="15"/>
                <w:szCs w:val="15"/>
                <w:b w:val="1"/>
                <w:bCs w:val="1"/>
                <w:color w:val="auto"/>
                <w:w w:val="96"/>
              </w:rPr>
              <w:t>Exhibit</w:t>
            </w:r>
          </w:p>
        </w:tc>
        <w:tc>
          <w:tcPr>
            <w:tcW w:w="10280" w:type="dxa"/>
            <w:vAlign w:val="bottom"/>
          </w:tcPr>
          <w:p>
            <w:pPr>
              <w:spacing w:after="0"/>
              <w:rPr>
                <w:sz w:val="24"/>
                <w:szCs w:val="24"/>
                <w:color w:val="auto"/>
              </w:rPr>
            </w:pPr>
          </w:p>
        </w:tc>
      </w:tr>
      <w:tr>
        <w:trPr>
          <w:trHeight w:val="196"/>
        </w:trPr>
        <w:tc>
          <w:tcPr>
            <w:tcW w:w="1000" w:type="dxa"/>
            <w:vAlign w:val="bottom"/>
            <w:tcBorders>
              <w:bottom w:val="single" w:sz="8" w:color="auto"/>
            </w:tcBorders>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w w:val="97"/>
              </w:rPr>
              <w:t>Number</w:t>
            </w:r>
          </w:p>
        </w:tc>
        <w:tc>
          <w:tcPr>
            <w:tcW w:w="10280" w:type="dxa"/>
            <w:vAlign w:val="bottom"/>
            <w:tcBorders>
              <w:bottom w:val="single" w:sz="8" w:color="auto"/>
            </w:tcBorders>
          </w:tcPr>
          <w:p>
            <w:pPr>
              <w:ind w:left="484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77"/>
        </w:trPr>
        <w:tc>
          <w:tcPr>
            <w:tcW w:w="1000" w:type="dxa"/>
            <w:vAlign w:val="bottom"/>
            <w:shd w:val="clear" w:color="auto" w:fill="CCEEFF"/>
          </w:tcPr>
          <w:p>
            <w:pPr>
              <w:jc w:val="center"/>
              <w:ind w:left="64"/>
              <w:spacing w:after="0"/>
              <w:rPr>
                <w:rFonts w:ascii="Times New Roman" w:cs="Times New Roman" w:eastAsia="Times New Roman" w:hAnsi="Times New Roman"/>
                <w:sz w:val="15"/>
                <w:szCs w:val="15"/>
                <w:u w:val="single" w:color="auto"/>
                <w:color w:val="0000EE"/>
                <w:w w:val="98"/>
              </w:rPr>
            </w:pPr>
            <w:hyperlink w:anchor="page9">
              <w:r>
                <w:rPr>
                  <w:rFonts w:ascii="Times New Roman" w:cs="Times New Roman" w:eastAsia="Times New Roman" w:hAnsi="Times New Roman"/>
                  <w:sz w:val="15"/>
                  <w:szCs w:val="15"/>
                  <w:u w:val="single" w:color="auto"/>
                  <w:color w:val="0000EE"/>
                  <w:w w:val="98"/>
                </w:rPr>
                <w:t>2.1†</w:t>
              </w:r>
            </w:hyperlink>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98"/>
              </w:rPr>
              <w:t>Business Combination Agreement, dated as of February 7, 2021, by and among ARYA Sciences Acquisition Corp III, Mako Merger Sub and Nautilus Biotechnology, Inc.</w:t>
            </w:r>
          </w:p>
        </w:tc>
      </w:tr>
      <w:tr>
        <w:trPr>
          <w:trHeight w:val="163"/>
        </w:trPr>
        <w:tc>
          <w:tcPr>
            <w:tcW w:w="1000" w:type="dxa"/>
            <w:vAlign w:val="bottom"/>
          </w:tcPr>
          <w:p>
            <w:pPr>
              <w:jc w:val="center"/>
              <w:ind w:left="64"/>
              <w:spacing w:after="0" w:line="163" w:lineRule="exact"/>
              <w:rPr>
                <w:rFonts w:ascii="Times New Roman" w:cs="Times New Roman" w:eastAsia="Times New Roman" w:hAnsi="Times New Roman"/>
                <w:sz w:val="15"/>
                <w:szCs w:val="15"/>
                <w:u w:val="single" w:color="auto"/>
                <w:color w:val="0000EE"/>
                <w:w w:val="98"/>
              </w:rPr>
            </w:pPr>
            <w:hyperlink w:anchor="page263">
              <w:r>
                <w:rPr>
                  <w:rFonts w:ascii="Times New Roman" w:cs="Times New Roman" w:eastAsia="Times New Roman" w:hAnsi="Times New Roman"/>
                  <w:sz w:val="15"/>
                  <w:szCs w:val="15"/>
                  <w:u w:val="single" w:color="auto"/>
                  <w:color w:val="0000EE"/>
                  <w:w w:val="98"/>
                </w:rPr>
                <w:t>10.1</w:t>
              </w:r>
            </w:hyperlink>
          </w:p>
        </w:tc>
        <w:tc>
          <w:tcPr>
            <w:tcW w:w="10280" w:type="dxa"/>
            <w:vAlign w:val="bottom"/>
          </w:tcPr>
          <w:p>
            <w:pPr>
              <w:ind w:left="140"/>
              <w:spacing w:after="0" w:line="163" w:lineRule="exact"/>
              <w:rPr>
                <w:sz w:val="20"/>
                <w:szCs w:val="20"/>
                <w:color w:val="auto"/>
              </w:rPr>
            </w:pPr>
            <w:r>
              <w:rPr>
                <w:rFonts w:ascii="Times New Roman" w:cs="Times New Roman" w:eastAsia="Times New Roman" w:hAnsi="Times New Roman"/>
                <w:sz w:val="15"/>
                <w:szCs w:val="15"/>
                <w:color w:val="auto"/>
                <w:w w:val="97"/>
              </w:rPr>
              <w:t>Sponsor Letter Agreement, dated as of February 7, 2021, by and among ARYA Sciences Holdings III, certain other holders set forth on Schedule I thereto, ARYA Sciences</w:t>
            </w:r>
          </w:p>
        </w:tc>
      </w:tr>
      <w:tr>
        <w:trPr>
          <w:trHeight w:val="192"/>
        </w:trPr>
        <w:tc>
          <w:tcPr>
            <w:tcW w:w="1000" w:type="dxa"/>
            <w:vAlign w:val="bottom"/>
          </w:tcPr>
          <w:p>
            <w:pPr>
              <w:spacing w:after="0"/>
              <w:rPr>
                <w:sz w:val="16"/>
                <w:szCs w:val="16"/>
                <w:color w:val="auto"/>
              </w:rPr>
            </w:pPr>
          </w:p>
        </w:tc>
        <w:tc>
          <w:tcPr>
            <w:tcW w:w="10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Acquisition Corp III and Nautilus Biotechnology, Inc.</w:t>
            </w:r>
          </w:p>
        </w:tc>
      </w:tr>
      <w:tr>
        <w:trPr>
          <w:trHeight w:val="163"/>
        </w:trPr>
        <w:tc>
          <w:tcPr>
            <w:tcW w:w="1000" w:type="dxa"/>
            <w:vAlign w:val="bottom"/>
            <w:shd w:val="clear" w:color="auto" w:fill="CCEEFF"/>
          </w:tcPr>
          <w:p>
            <w:pPr>
              <w:jc w:val="center"/>
              <w:ind w:left="64"/>
              <w:spacing w:after="0" w:line="163" w:lineRule="exact"/>
              <w:rPr>
                <w:rFonts w:ascii="Times New Roman" w:cs="Times New Roman" w:eastAsia="Times New Roman" w:hAnsi="Times New Roman"/>
                <w:sz w:val="15"/>
                <w:szCs w:val="15"/>
                <w:u w:val="single" w:color="auto"/>
                <w:color w:val="0000EE"/>
                <w:w w:val="98"/>
              </w:rPr>
            </w:pPr>
            <w:hyperlink w:anchor="page278">
              <w:r>
                <w:rPr>
                  <w:rFonts w:ascii="Times New Roman" w:cs="Times New Roman" w:eastAsia="Times New Roman" w:hAnsi="Times New Roman"/>
                  <w:sz w:val="15"/>
                  <w:szCs w:val="15"/>
                  <w:u w:val="single" w:color="auto"/>
                  <w:color w:val="0000EE"/>
                  <w:w w:val="98"/>
                </w:rPr>
                <w:t>10.2</w:t>
              </w:r>
            </w:hyperlink>
          </w:p>
        </w:tc>
        <w:tc>
          <w:tcPr>
            <w:tcW w:w="10280" w:type="dxa"/>
            <w:vAlign w:val="bottom"/>
            <w:shd w:val="clear" w:color="auto" w:fill="CCEEFF"/>
          </w:tcPr>
          <w:p>
            <w:pPr>
              <w:ind w:left="140"/>
              <w:spacing w:after="0" w:line="163" w:lineRule="exact"/>
              <w:rPr>
                <w:sz w:val="20"/>
                <w:szCs w:val="20"/>
                <w:color w:val="auto"/>
              </w:rPr>
            </w:pPr>
            <w:r>
              <w:rPr>
                <w:rFonts w:ascii="Times New Roman" w:cs="Times New Roman" w:eastAsia="Times New Roman" w:hAnsi="Times New Roman"/>
                <w:sz w:val="15"/>
                <w:szCs w:val="15"/>
                <w:color w:val="auto"/>
              </w:rPr>
              <w:t>Amended and Restated Registration Rights and Lock-Up Agreement, dated February 7, 2021, by and among ARYA Sciences Acquisition Corp III, ARYA Sciences</w:t>
            </w:r>
          </w:p>
        </w:tc>
      </w:tr>
      <w:tr>
        <w:trPr>
          <w:trHeight w:val="192"/>
        </w:trPr>
        <w:tc>
          <w:tcPr>
            <w:tcW w:w="1000" w:type="dxa"/>
            <w:vAlign w:val="bottom"/>
            <w:shd w:val="clear" w:color="auto" w:fill="CCEEFF"/>
          </w:tcPr>
          <w:p>
            <w:pPr>
              <w:spacing w:after="0"/>
              <w:rPr>
                <w:sz w:val="16"/>
                <w:szCs w:val="16"/>
                <w:color w:val="auto"/>
              </w:rPr>
            </w:pPr>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Holdings III and certain other holders set forth on Schedule A thereto.</w:t>
            </w:r>
          </w:p>
        </w:tc>
      </w:tr>
      <w:tr>
        <w:trPr>
          <w:trHeight w:val="177"/>
        </w:trPr>
        <w:tc>
          <w:tcPr>
            <w:tcW w:w="1000" w:type="dxa"/>
            <w:vAlign w:val="bottom"/>
          </w:tcPr>
          <w:p>
            <w:pPr>
              <w:jc w:val="center"/>
              <w:ind w:left="64"/>
              <w:spacing w:after="0"/>
              <w:rPr>
                <w:rFonts w:ascii="Times New Roman" w:cs="Times New Roman" w:eastAsia="Times New Roman" w:hAnsi="Times New Roman"/>
                <w:sz w:val="15"/>
                <w:szCs w:val="15"/>
                <w:u w:val="single" w:color="auto"/>
                <w:color w:val="0000EE"/>
                <w:w w:val="98"/>
              </w:rPr>
            </w:pPr>
            <w:hyperlink w:anchor="page320">
              <w:r>
                <w:rPr>
                  <w:rFonts w:ascii="Times New Roman" w:cs="Times New Roman" w:eastAsia="Times New Roman" w:hAnsi="Times New Roman"/>
                  <w:sz w:val="15"/>
                  <w:szCs w:val="15"/>
                  <w:u w:val="single" w:color="auto"/>
                  <w:color w:val="0000EE"/>
                  <w:w w:val="98"/>
                </w:rPr>
                <w:t>10.3</w:t>
              </w:r>
            </w:hyperlink>
          </w:p>
        </w:tc>
        <w:tc>
          <w:tcPr>
            <w:tcW w:w="10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Form of Subscription Agreement.</w:t>
            </w:r>
          </w:p>
        </w:tc>
      </w:tr>
      <w:tr>
        <w:trPr>
          <w:trHeight w:val="177"/>
        </w:trPr>
        <w:tc>
          <w:tcPr>
            <w:tcW w:w="1000" w:type="dxa"/>
            <w:vAlign w:val="bottom"/>
            <w:shd w:val="clear" w:color="auto" w:fill="CCEEFF"/>
          </w:tcPr>
          <w:p>
            <w:pPr>
              <w:jc w:val="center"/>
              <w:ind w:left="64"/>
              <w:spacing w:after="0"/>
              <w:rPr>
                <w:rFonts w:ascii="Times New Roman" w:cs="Times New Roman" w:eastAsia="Times New Roman" w:hAnsi="Times New Roman"/>
                <w:sz w:val="15"/>
                <w:szCs w:val="15"/>
                <w:u w:val="single" w:color="auto"/>
                <w:color w:val="0000EE"/>
                <w:w w:val="98"/>
              </w:rPr>
            </w:pPr>
            <w:hyperlink w:anchor="page9">
              <w:r>
                <w:rPr>
                  <w:rFonts w:ascii="Times New Roman" w:cs="Times New Roman" w:eastAsia="Times New Roman" w:hAnsi="Times New Roman"/>
                  <w:sz w:val="15"/>
                  <w:szCs w:val="15"/>
                  <w:u w:val="single" w:color="auto"/>
                  <w:color w:val="0000EE"/>
                  <w:w w:val="98"/>
                </w:rPr>
                <w:t>10.4</w:t>
              </w:r>
            </w:hyperlink>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Form of Transaction Support Agreement (included as Exhibit C to Exhibit 2.1 hereto).</w:t>
            </w:r>
          </w:p>
        </w:tc>
      </w:tr>
      <w:tr>
        <w:trPr>
          <w:trHeight w:val="177"/>
        </w:trPr>
        <w:tc>
          <w:tcPr>
            <w:tcW w:w="1000" w:type="dxa"/>
            <w:vAlign w:val="bottom"/>
          </w:tcPr>
          <w:p>
            <w:pPr>
              <w:jc w:val="center"/>
              <w:ind w:left="64"/>
              <w:spacing w:after="0"/>
              <w:rPr>
                <w:rFonts w:ascii="Times New Roman" w:cs="Times New Roman" w:eastAsia="Times New Roman" w:hAnsi="Times New Roman"/>
                <w:sz w:val="15"/>
                <w:szCs w:val="15"/>
                <w:u w:val="single" w:color="auto"/>
                <w:color w:val="0000EE"/>
                <w:w w:val="98"/>
              </w:rPr>
            </w:pPr>
            <w:hyperlink w:anchor="page337">
              <w:r>
                <w:rPr>
                  <w:rFonts w:ascii="Times New Roman" w:cs="Times New Roman" w:eastAsia="Times New Roman" w:hAnsi="Times New Roman"/>
                  <w:sz w:val="15"/>
                  <w:szCs w:val="15"/>
                  <w:u w:val="single" w:color="auto"/>
                  <w:color w:val="0000EE"/>
                  <w:w w:val="98"/>
                </w:rPr>
                <w:t>99.1</w:t>
              </w:r>
            </w:hyperlink>
          </w:p>
        </w:tc>
        <w:tc>
          <w:tcPr>
            <w:tcW w:w="10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Press Release, dated February 8, 2021.</w:t>
            </w:r>
          </w:p>
        </w:tc>
      </w:tr>
      <w:tr>
        <w:trPr>
          <w:trHeight w:val="177"/>
        </w:trPr>
        <w:tc>
          <w:tcPr>
            <w:tcW w:w="1000" w:type="dxa"/>
            <w:vAlign w:val="bottom"/>
            <w:shd w:val="clear" w:color="auto" w:fill="CCEEFF"/>
          </w:tcPr>
          <w:p>
            <w:pPr>
              <w:jc w:val="center"/>
              <w:ind w:left="64"/>
              <w:spacing w:after="0"/>
              <w:rPr>
                <w:rFonts w:ascii="Times New Roman" w:cs="Times New Roman" w:eastAsia="Times New Roman" w:hAnsi="Times New Roman"/>
                <w:sz w:val="15"/>
                <w:szCs w:val="15"/>
                <w:u w:val="single" w:color="auto"/>
                <w:color w:val="0000EE"/>
                <w:w w:val="98"/>
              </w:rPr>
            </w:pPr>
            <w:hyperlink w:anchor="page343">
              <w:r>
                <w:rPr>
                  <w:rFonts w:ascii="Times New Roman" w:cs="Times New Roman" w:eastAsia="Times New Roman" w:hAnsi="Times New Roman"/>
                  <w:sz w:val="15"/>
                  <w:szCs w:val="15"/>
                  <w:u w:val="single" w:color="auto"/>
                  <w:color w:val="0000EE"/>
                  <w:w w:val="98"/>
                </w:rPr>
                <w:t>99.2</w:t>
              </w:r>
            </w:hyperlink>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Presentation, dated February 2021.</w:t>
            </w:r>
          </w:p>
        </w:tc>
      </w:tr>
      <w:tr>
        <w:trPr>
          <w:trHeight w:val="177"/>
        </w:trPr>
        <w:tc>
          <w:tcPr>
            <w:tcW w:w="1000" w:type="dxa"/>
            <w:vAlign w:val="bottom"/>
          </w:tcPr>
          <w:p>
            <w:pPr>
              <w:jc w:val="center"/>
              <w:ind w:left="64"/>
              <w:spacing w:after="0"/>
              <w:rPr>
                <w:rFonts w:ascii="Times New Roman" w:cs="Times New Roman" w:eastAsia="Times New Roman" w:hAnsi="Times New Roman"/>
                <w:sz w:val="15"/>
                <w:szCs w:val="15"/>
                <w:u w:val="single" w:color="auto"/>
                <w:color w:val="0000EE"/>
                <w:w w:val="98"/>
              </w:rPr>
            </w:pPr>
            <w:hyperlink w:anchor="page388">
              <w:r>
                <w:rPr>
                  <w:rFonts w:ascii="Times New Roman" w:cs="Times New Roman" w:eastAsia="Times New Roman" w:hAnsi="Times New Roman"/>
                  <w:sz w:val="15"/>
                  <w:szCs w:val="15"/>
                  <w:u w:val="single" w:color="auto"/>
                  <w:color w:val="0000EE"/>
                  <w:w w:val="98"/>
                </w:rPr>
                <w:t>99.3</w:t>
              </w:r>
            </w:hyperlink>
          </w:p>
        </w:tc>
        <w:tc>
          <w:tcPr>
            <w:tcW w:w="10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Transcript of Conference Call, dated February 8, 2021.</w:t>
            </w:r>
          </w:p>
        </w:tc>
      </w:tr>
      <w:tr>
        <w:trPr>
          <w:trHeight w:val="177"/>
        </w:trPr>
        <w:tc>
          <w:tcPr>
            <w:tcW w:w="1000" w:type="dxa"/>
            <w:vAlign w:val="bottom"/>
            <w:shd w:val="clear" w:color="auto" w:fill="CCEEFF"/>
          </w:tcPr>
          <w:p>
            <w:pPr>
              <w:jc w:val="center"/>
              <w:ind w:left="64"/>
              <w:spacing w:after="0"/>
              <w:rPr>
                <w:rFonts w:ascii="Times New Roman" w:cs="Times New Roman" w:eastAsia="Times New Roman" w:hAnsi="Times New Roman"/>
                <w:sz w:val="15"/>
                <w:szCs w:val="15"/>
                <w:u w:val="single" w:color="auto"/>
                <w:color w:val="0000EE"/>
                <w:w w:val="98"/>
              </w:rPr>
            </w:pPr>
            <w:hyperlink w:anchor="page403">
              <w:r>
                <w:rPr>
                  <w:rFonts w:ascii="Times New Roman" w:cs="Times New Roman" w:eastAsia="Times New Roman" w:hAnsi="Times New Roman"/>
                  <w:sz w:val="15"/>
                  <w:szCs w:val="15"/>
                  <w:u w:val="single" w:color="auto"/>
                  <w:color w:val="0000EE"/>
                  <w:w w:val="98"/>
                </w:rPr>
                <w:t>99.4</w:t>
              </w:r>
            </w:hyperlink>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Transcript of Interview with Dr. Josh LaBaer.</w:t>
            </w:r>
          </w:p>
        </w:tc>
      </w:tr>
      <w:tr>
        <w:trPr>
          <w:trHeight w:val="177"/>
        </w:trPr>
        <w:tc>
          <w:tcPr>
            <w:tcW w:w="1000" w:type="dxa"/>
            <w:vAlign w:val="bottom"/>
          </w:tcPr>
          <w:p>
            <w:pPr>
              <w:jc w:val="center"/>
              <w:ind w:left="64"/>
              <w:spacing w:after="0"/>
              <w:rPr>
                <w:rFonts w:ascii="Times New Roman" w:cs="Times New Roman" w:eastAsia="Times New Roman" w:hAnsi="Times New Roman"/>
                <w:sz w:val="15"/>
                <w:szCs w:val="15"/>
                <w:u w:val="single" w:color="auto"/>
                <w:color w:val="0000EE"/>
                <w:w w:val="98"/>
              </w:rPr>
            </w:pPr>
            <w:hyperlink w:anchor="page411">
              <w:r>
                <w:rPr>
                  <w:rFonts w:ascii="Times New Roman" w:cs="Times New Roman" w:eastAsia="Times New Roman" w:hAnsi="Times New Roman"/>
                  <w:sz w:val="15"/>
                  <w:szCs w:val="15"/>
                  <w:u w:val="single" w:color="auto"/>
                  <w:color w:val="0000EE"/>
                  <w:w w:val="98"/>
                </w:rPr>
                <w:t>99.5</w:t>
              </w:r>
            </w:hyperlink>
          </w:p>
        </w:tc>
        <w:tc>
          <w:tcPr>
            <w:tcW w:w="10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Nautilus Employee Email, dated February 8, 2021.</w:t>
            </w:r>
          </w:p>
        </w:tc>
      </w:tr>
      <w:tr>
        <w:trPr>
          <w:trHeight w:val="177"/>
        </w:trPr>
        <w:tc>
          <w:tcPr>
            <w:tcW w:w="1000" w:type="dxa"/>
            <w:vAlign w:val="bottom"/>
            <w:shd w:val="clear" w:color="auto" w:fill="CCEEFF"/>
          </w:tcPr>
          <w:p>
            <w:pPr>
              <w:jc w:val="center"/>
              <w:ind w:left="64"/>
              <w:spacing w:after="0"/>
              <w:rPr>
                <w:rFonts w:ascii="Times New Roman" w:cs="Times New Roman" w:eastAsia="Times New Roman" w:hAnsi="Times New Roman"/>
                <w:sz w:val="15"/>
                <w:szCs w:val="15"/>
                <w:u w:val="single" w:color="auto"/>
                <w:color w:val="0000EE"/>
                <w:w w:val="98"/>
              </w:rPr>
            </w:pPr>
            <w:hyperlink w:anchor="page414">
              <w:r>
                <w:rPr>
                  <w:rFonts w:ascii="Times New Roman" w:cs="Times New Roman" w:eastAsia="Times New Roman" w:hAnsi="Times New Roman"/>
                  <w:sz w:val="15"/>
                  <w:szCs w:val="15"/>
                  <w:u w:val="single" w:color="auto"/>
                  <w:color w:val="0000EE"/>
                  <w:w w:val="98"/>
                </w:rPr>
                <w:t>99.6</w:t>
              </w:r>
            </w:hyperlink>
          </w:p>
        </w:tc>
        <w:tc>
          <w:tcPr>
            <w:tcW w:w="10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Nautilus Employee Presentation Materials, dated February 8,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232410</wp:posOffset>
            </wp:positionV>
            <wp:extent cx="70421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215" cy="698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80" w:right="140" w:hanging="271"/>
        <w:spacing w:after="0" w:line="273" w:lineRule="auto"/>
        <w:tabs>
          <w:tab w:leader="none" w:pos="2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of the exhibits and schedules to this exhibit have been omitted in accordance with Regulation S-K Item 601(b)(2). The Registrant agrees to furnish supplementally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7157085"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6" w:lineRule="exact"/>
        <w:rPr>
          <w:sz w:val="20"/>
          <w:szCs w:val="20"/>
          <w:color w:val="auto"/>
        </w:rPr>
      </w:pPr>
    </w:p>
    <w:p>
      <w:pPr>
        <w:ind w:right="600" w:firstLine="532"/>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Date: February 8, 2021</w:t>
            </w:r>
          </w:p>
        </w:tc>
        <w:tc>
          <w:tcPr>
            <w:tcW w:w="7760" w:type="dxa"/>
            <w:vAlign w:val="bottom"/>
            <w:gridSpan w:val="2"/>
          </w:tcPr>
          <w:p>
            <w:pPr>
              <w:ind w:left="2140"/>
              <w:spacing w:after="0"/>
              <w:rPr>
                <w:sz w:val="20"/>
                <w:szCs w:val="20"/>
                <w:color w:val="auto"/>
              </w:rPr>
            </w:pPr>
            <w:r>
              <w:rPr>
                <w:rFonts w:ascii="Times New Roman" w:cs="Times New Roman" w:eastAsia="Times New Roman" w:hAnsi="Times New Roman"/>
                <w:sz w:val="15"/>
                <w:szCs w:val="15"/>
                <w:color w:val="auto"/>
              </w:rPr>
              <w:t>ARYA SCIENCES ACQUISITION CORP III</w:t>
            </w:r>
          </w:p>
        </w:tc>
      </w:tr>
      <w:tr>
        <w:trPr>
          <w:trHeight w:val="358"/>
        </w:trPr>
        <w:tc>
          <w:tcPr>
            <w:tcW w:w="3520" w:type="dxa"/>
            <w:vAlign w:val="bottom"/>
          </w:tcPr>
          <w:p>
            <w:pPr>
              <w:spacing w:after="0"/>
              <w:rPr>
                <w:sz w:val="24"/>
                <w:szCs w:val="24"/>
                <w:color w:val="auto"/>
              </w:rPr>
            </w:pPr>
          </w:p>
        </w:tc>
        <w:tc>
          <w:tcPr>
            <w:tcW w:w="268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Adam Stone</w:t>
            </w:r>
          </w:p>
        </w:tc>
      </w:tr>
      <w:tr>
        <w:trPr>
          <w:trHeight w:val="163"/>
        </w:trPr>
        <w:tc>
          <w:tcPr>
            <w:tcW w:w="3520" w:type="dxa"/>
            <w:vAlign w:val="bottom"/>
          </w:tcPr>
          <w:p>
            <w:pPr>
              <w:spacing w:after="0"/>
              <w:rPr>
                <w:sz w:val="14"/>
                <w:szCs w:val="14"/>
                <w:color w:val="auto"/>
              </w:rPr>
            </w:pPr>
          </w:p>
        </w:tc>
        <w:tc>
          <w:tcPr>
            <w:tcW w:w="2680" w:type="dxa"/>
            <w:vAlign w:val="bottom"/>
          </w:tcPr>
          <w:p>
            <w:pPr>
              <w:ind w:left="2140"/>
              <w:spacing w:after="0" w:line="163"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Adam Stone</w:t>
            </w:r>
          </w:p>
        </w:tc>
      </w:tr>
      <w:tr>
        <w:trPr>
          <w:trHeight w:val="192"/>
        </w:trPr>
        <w:tc>
          <w:tcPr>
            <w:tcW w:w="3520" w:type="dxa"/>
            <w:vAlign w:val="bottom"/>
          </w:tcPr>
          <w:p>
            <w:pPr>
              <w:spacing w:after="0"/>
              <w:rPr>
                <w:sz w:val="16"/>
                <w:szCs w:val="16"/>
                <w:color w:val="auto"/>
              </w:rPr>
            </w:pPr>
          </w:p>
        </w:tc>
        <w:tc>
          <w:tcPr>
            <w:tcW w:w="268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491"/>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4"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2.1</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1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ARYA SCIENCES ACQUISITION CORP III,</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MAKO MERGER SUB, INC.</w:t>
      </w:r>
    </w:p>
    <w:p>
      <w:pPr>
        <w:spacing w:after="0" w:line="1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9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DATED AS OF FEBRUARY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102870</wp:posOffset>
            </wp:positionV>
            <wp:extent cx="715708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248"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5340" w:type="dxa"/>
            <w:vAlign w:val="bottom"/>
            <w:gridSpan w:val="2"/>
          </w:tcPr>
          <w:p>
            <w:pPr>
              <w:ind w:left="34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4680" w:type="dxa"/>
            <w:vAlign w:val="bottom"/>
          </w:tcPr>
          <w:p>
            <w:pPr>
              <w:spacing w:after="0"/>
              <w:rPr>
                <w:sz w:val="17"/>
                <w:szCs w:val="17"/>
                <w:color w:val="auto"/>
              </w:rPr>
            </w:pPr>
          </w:p>
        </w:tc>
      </w:tr>
      <w:tr>
        <w:trPr>
          <w:trHeight w:val="390"/>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w:t>
            </w:r>
            <w:r>
              <w:rPr>
                <w:rFonts w:ascii="Times New Roman" w:cs="Times New Roman" w:eastAsia="Times New Roman" w:hAnsi="Times New Roman"/>
                <w:sz w:val="9"/>
                <w:szCs w:val="9"/>
                <w:color w:val="auto"/>
              </w:rPr>
              <w:t>AGE</w:t>
            </w:r>
          </w:p>
        </w:tc>
      </w:tr>
      <w:tr>
        <w:trPr>
          <w:trHeight w:val="178"/>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ARTICLE 1 CERTAIN DEFINITIONS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1.1</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Definitions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77"/>
        </w:trPr>
        <w:tc>
          <w:tcPr>
            <w:tcW w:w="4700" w:type="dxa"/>
            <w:vAlign w:val="bottom"/>
            <w:gridSpan w:val="2"/>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r>
      <w:tr>
        <w:trPr>
          <w:trHeight w:val="177"/>
        </w:trPr>
        <w:tc>
          <w:tcPr>
            <w:tcW w:w="66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ARTICLE 2 MERGER</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2.1</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Closing Transactions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2.2</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Closing of the Transactions Contemplated by this Agreement</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2.3</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Allocation Schedule; Aggregate Transaction Proceeds Schedule</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2.4</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Treatment of Company Options and Company Warrants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2.5</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Company Shareholder Deliverables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2.6</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Withholding</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2.7</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Company Dissenting Shares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77"/>
        </w:trPr>
        <w:tc>
          <w:tcPr>
            <w:tcW w:w="4700" w:type="dxa"/>
            <w:vAlign w:val="bottom"/>
            <w:gridSpan w:val="2"/>
          </w:tcPr>
          <w:p>
            <w:pPr>
              <w:spacing w:after="0"/>
              <w:rPr>
                <w:sz w:val="15"/>
                <w:szCs w:val="15"/>
                <w:color w:val="auto"/>
              </w:rPr>
            </w:pPr>
          </w:p>
        </w:tc>
        <w:tc>
          <w:tcPr>
            <w:tcW w:w="1900" w:type="dxa"/>
            <w:vAlign w:val="bottom"/>
          </w:tcPr>
          <w:p>
            <w:pPr>
              <w:spacing w:after="0"/>
              <w:rPr>
                <w:sz w:val="15"/>
                <w:szCs w:val="15"/>
                <w:color w:val="auto"/>
              </w:rPr>
            </w:pPr>
          </w:p>
        </w:tc>
        <w:tc>
          <w:tcPr>
            <w:tcW w:w="4680" w:type="dxa"/>
            <w:vAlign w:val="bottom"/>
          </w:tcPr>
          <w:p>
            <w:pPr>
              <w:spacing w:after="0"/>
              <w:rPr>
                <w:sz w:val="15"/>
                <w:szCs w:val="15"/>
                <w:color w:val="auto"/>
              </w:rPr>
            </w:pPr>
          </w:p>
        </w:tc>
      </w:tr>
      <w:tr>
        <w:trPr>
          <w:trHeight w:val="177"/>
        </w:trPr>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7"/>
              </w:rPr>
              <w:t>ARTICLE 3 REPRESENTATIONS AND WARRANTIES RELATING TO THE GROUP COMPANIES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3.1</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Organization and Qualification</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3.2</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Capitalization of the Group Companies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3.3</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Authority</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3.4</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Financial Statements; Undisclosed Liabilities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3.5</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Consents and Requisite Governmental Approvals; No Violations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3.6</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Permits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3.7</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Material Contracts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3.8</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Absence of Changes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3.9</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Litigation</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3.10Compliance with Applicable Law</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3.11Employee Plans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3.12Environmental Matters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3.13Intellectual Property</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3.14Labor Matters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3.15Insurance</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3.16Tax Matters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3.17Brokers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3.18Real and Personal Property</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3.19Transactions with Affiliates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3.20Data Privacy and Security</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3.21Compliance with International Trade &amp; Anti-Corruption Laws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3.22Information Supplied</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3.23Regulatory Compliance</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77"/>
        </w:trPr>
        <w:tc>
          <w:tcPr>
            <w:tcW w:w="66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3.24Investigation; No Other Representations</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77"/>
        </w:trPr>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Section 3.25EXCLUSIVITY OF REPRESENTATIONS AND WARRANTIES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177"/>
        </w:trPr>
        <w:tc>
          <w:tcPr>
            <w:tcW w:w="4700" w:type="dxa"/>
            <w:vAlign w:val="bottom"/>
            <w:gridSpan w:val="2"/>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r>
      <w:tr>
        <w:trPr>
          <w:trHeight w:val="177"/>
        </w:trPr>
        <w:tc>
          <w:tcPr>
            <w:tcW w:w="66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ARTICLE 4 REPRESENTATIONS AND WARRANTIES RELATING TO THE ARYA PARTIES</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52</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w:t>
            </w:r>
          </w:p>
        </w:tc>
        <w:tc>
          <w:tcPr>
            <w:tcW w:w="5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Organization and Qualification</w:t>
            </w:r>
          </w:p>
        </w:tc>
        <w:tc>
          <w:tcPr>
            <w:tcW w:w="4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r>
      <w:tr>
        <w:trPr>
          <w:trHeight w:val="192"/>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4.2</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Authority</w:t>
            </w:r>
          </w:p>
        </w:tc>
        <w:tc>
          <w:tcPr>
            <w:tcW w:w="4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99"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4.3</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Consents and Requisite Governmental Approvals; No Violations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4.4</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Brokers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4.5</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Information Supplied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4.6</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Capitalization of the ARYA Parties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4.7</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SEC Filings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4.8</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Absence of Changes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4.9</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Contracts; No Defaults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4.10Investment Company Act</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4.11Trust Account; Financial Ability</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4.12Transactions with Affiliates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4.13Litigation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4.14Compliance with Applicable Law</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4.15ARYA Party Activities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4.16Internal Controls; Listing; Financial Statements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4.17No Undisclosed Liabilities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4.18Employees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4.19Tax Matters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4.20CFIUS Foreign Person Status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4.21Compliance with International Trade &amp; Anti-Corruption Laws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4.22Change of Control Payments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4.23PIPE Financing</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4.24Investigation; No Other Representations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4.25EXCLUSIVITY OF REPRESENTATIONS AND WARRANTIES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r>
      <w:tr>
        <w:trPr>
          <w:trHeight w:val="177"/>
        </w:trPr>
        <w:tc>
          <w:tcPr>
            <w:tcW w:w="8240" w:type="dxa"/>
            <w:vAlign w:val="bottom"/>
            <w:gridSpan w:val="2"/>
          </w:tcPr>
          <w:p>
            <w:pPr>
              <w:spacing w:after="0"/>
              <w:rPr>
                <w:sz w:val="15"/>
                <w:szCs w:val="15"/>
                <w:color w:val="auto"/>
              </w:rPr>
            </w:pPr>
          </w:p>
        </w:tc>
        <w:tc>
          <w:tcPr>
            <w:tcW w:w="3040" w:type="dxa"/>
            <w:vAlign w:val="bottom"/>
          </w:tcPr>
          <w:p>
            <w:pPr>
              <w:spacing w:after="0"/>
              <w:rPr>
                <w:sz w:val="15"/>
                <w:szCs w:val="15"/>
                <w:color w:val="auto"/>
              </w:rPr>
            </w:pP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b w:val="1"/>
                <w:bCs w:val="1"/>
                <w:color w:val="auto"/>
              </w:rPr>
              <w:t>ARTICLE 5 COVENANTS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5.1</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Conduct of Business of the Company</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5.2</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Efforts to Consummate; Transaction Litigation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5.3</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Confidentiality and Access to Information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5.4</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Public Announcements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5.5</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Tax Matters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5.6</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Company Exclusive Dealing</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5.7</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ARYA Exclusive Dealing</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5.8</w:t>
            </w:r>
          </w:p>
        </w:tc>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Preparation of Registration Statement / Proxy Statement</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5.9</w:t>
            </w:r>
          </w:p>
        </w:tc>
        <w:tc>
          <w:tcPr>
            <w:tcW w:w="69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ARYA Shareholder Approval</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5.10Merger Sub Shareholder Approval</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5.11Conduct of Business of ARYA</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5.12Nasdaq Listing; ARYA Public Filings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5.13Trust Account</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5.14Company Shareholder Approval</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5.15Financing</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5.16ARYA Indemnification; Directors’ and Officers’ Insurance</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5.17Company Indemnification; Directors’ and Officers’ Insurance</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5.18Post-Closing Directors and Officers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r>
      <w:tr>
        <w:trPr>
          <w:trHeight w:val="177"/>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5.19PCAOB Financials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77"/>
        </w:trPr>
        <w:tc>
          <w:tcPr>
            <w:tcW w:w="8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5.20ARYA Incentive Equity Plan; ARYA Employee Stock Purchase Plan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92"/>
        </w:trPr>
        <w:tc>
          <w:tcPr>
            <w:tcW w:w="824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5.21FIRPTA Certificates</w:t>
            </w:r>
          </w:p>
        </w:tc>
        <w:tc>
          <w:tcPr>
            <w:tcW w:w="3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5.22Employee Benefits Matters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177"/>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5.23Bylaws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77"/>
        </w:trPr>
        <w:tc>
          <w:tcPr>
            <w:tcW w:w="9560" w:type="dxa"/>
            <w:vAlign w:val="bottom"/>
            <w:gridSpan w:val="2"/>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77"/>
        </w:trPr>
        <w:tc>
          <w:tcPr>
            <w:tcW w:w="9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ARTICLE 6 CONDITIONS TO CONSUMMATION OF THE TRANSACTIONS CONTEMPLATED BY THIS 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91</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6.1</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Conditions to the Obligations of the Parties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6.2</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Other Conditions to the Obligations of the ARYA Parties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6.3</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Other Conditions to the Obligations of the Company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6.4</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Frustration of Closing Conditions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177"/>
        </w:trPr>
        <w:tc>
          <w:tcPr>
            <w:tcW w:w="9560" w:type="dxa"/>
            <w:vAlign w:val="bottom"/>
            <w:gridSpan w:val="2"/>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77"/>
        </w:trPr>
        <w:tc>
          <w:tcPr>
            <w:tcW w:w="9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ARTICLE 7 TERMINATION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94</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7.1</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Termination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7.2</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Effect of Termination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177"/>
        </w:trPr>
        <w:tc>
          <w:tcPr>
            <w:tcW w:w="9560" w:type="dxa"/>
            <w:vAlign w:val="bottom"/>
            <w:gridSpan w:val="2"/>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77"/>
        </w:trPr>
        <w:tc>
          <w:tcPr>
            <w:tcW w:w="9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ARTICLE 8 MISCELLANEOUS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Non-Survival</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8.2</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Entire Agreement; Assignment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8.3 Amendment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8.4</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Notices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8.5</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Governing Law</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8.6</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Fees and Expenses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8.7</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Construction; Interpretation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77"/>
        </w:trPr>
        <w:tc>
          <w:tcPr>
            <w:tcW w:w="126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Section 8.8</w:t>
            </w:r>
          </w:p>
        </w:tc>
        <w:tc>
          <w:tcPr>
            <w:tcW w:w="8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Exhibits and Schedules</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8.9</w:t>
            </w:r>
          </w:p>
        </w:tc>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Parties in Interest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8.10Severability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8.11Counterparts; Electronic Signatures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8.12Knowledge of Company; Knowledge of ARYA</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8.13No Recourse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8.14Extension; Waiver</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8.15Waiver of Jury Trial</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177"/>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8.16Submission to Jurisdiction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177"/>
        </w:trPr>
        <w:tc>
          <w:tcPr>
            <w:tcW w:w="95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8.17Remedies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192"/>
        </w:trPr>
        <w:tc>
          <w:tcPr>
            <w:tcW w:w="95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Section 8.18Trust Account Waiver</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ANNEXES AND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Annex A-1</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Company PIPE Investors</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Annex A-2</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Third Party PIPE Investors</w:t>
            </w:r>
          </w:p>
        </w:tc>
      </w:tr>
      <w:tr>
        <w:trPr>
          <w:trHeight w:val="192"/>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Annex B</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Supporting Company Shareholders</w:t>
            </w:r>
          </w:p>
        </w:tc>
      </w:tr>
      <w:tr>
        <w:trPr>
          <w:trHeight w:val="363"/>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A-1</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Perceptive PIPE Subscription Agreement</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A-2</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Company and Third Party PIPE Subscription Agreement</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B</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Investor Rights Agreement</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C</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Transaction Support Agreement</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D</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Letter of Transmittal</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E</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ARYA Certificate of Incorporation</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F</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ARYA Bylaws</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G</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Company Shareholder Written Consent</w:t>
            </w:r>
          </w:p>
        </w:tc>
      </w:tr>
      <w:tr>
        <w:trPr>
          <w:trHeight w:val="177"/>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H</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Incentive Equity Plan</w:t>
            </w:r>
          </w:p>
        </w:tc>
      </w:tr>
      <w:tr>
        <w:trPr>
          <w:trHeight w:val="192"/>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Exhibit I</w:t>
            </w:r>
          </w:p>
        </w:tc>
        <w:tc>
          <w:tcPr>
            <w:tcW w:w="10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Form of Employee Stock Purchase Plan</w:t>
            </w:r>
          </w:p>
        </w:tc>
      </w:tr>
      <w:tr>
        <w:trPr>
          <w:trHeight w:val="147"/>
        </w:trPr>
        <w:tc>
          <w:tcPr>
            <w:tcW w:w="900" w:type="dxa"/>
            <w:vAlign w:val="bottom"/>
            <w:tcBorders>
              <w:bottom w:val="single" w:sz="8" w:color="auto"/>
            </w:tcBorders>
          </w:tcPr>
          <w:p>
            <w:pPr>
              <w:spacing w:after="0"/>
              <w:rPr>
                <w:sz w:val="12"/>
                <w:szCs w:val="12"/>
                <w:color w:val="auto"/>
              </w:rPr>
            </w:pPr>
          </w:p>
        </w:tc>
        <w:tc>
          <w:tcPr>
            <w:tcW w:w="10380" w:type="dxa"/>
            <w:vAlign w:val="bottom"/>
            <w:tcBorders>
              <w:bottom w:val="single" w:sz="8" w:color="auto"/>
            </w:tcBorders>
          </w:tcPr>
          <w:p>
            <w:pPr>
              <w:spacing w:after="0"/>
              <w:rPr>
                <w:sz w:val="12"/>
                <w:szCs w:val="12"/>
                <w:color w:val="auto"/>
              </w:rPr>
            </w:pPr>
          </w:p>
        </w:tc>
      </w:tr>
    </w:tbl>
    <w:p>
      <w:pPr>
        <w:sectPr>
          <w:pgSz w:w="11900" w:h="16838" w:orient="portrait"/>
          <w:cols w:equalWidth="0" w:num="1">
            <w:col w:w="11280"/>
          </w:cols>
          <w:pgMar w:left="300" w:top="114"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96"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This BUSINESS COMBINATION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February 7, 2021, is made by and among ARYA Sciences Acquisition Corp III, an exempted company incorporated in the Cayman Islands with limited liability, Mako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Nautilus Biotechnology,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ARYA, Merger Sub and the Company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but not otherwise defined herein have the 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(a) ARYA is a blank check company incorporated in the Cayman Islands with limited liability as an exempted company on March 27, 2020 and incorporated for the purpose of effecting a merger, share exchange, asset acquisition, share purchase, reorganization or similar business combination with one or more businesses, and (b) Merger Sub is, as of the date of this Agreement, a wholly-owned Subsidiary of ARYA that was formed for purposes of consummating the transactions contemplated by this Agreement and the applicable Ancillary Documents;</w:t>
      </w:r>
    </w:p>
    <w:p>
      <w:pPr>
        <w:spacing w:after="0" w:line="167"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WHEREAS, pursuant to the Governing Documents of ARYA, ARYA is required to provide an opportunity for its shareholders to have their outstanding ARYA Class A Shares redeemed on the terms and subject to the conditions set forth therein in connection with obtaining the ARYA Shareholder Approval;</w:t>
      </w:r>
    </w:p>
    <w:p>
      <w:pPr>
        <w:spacing w:after="0" w:line="16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WHEREAS, as of the date of this Agreement, ARYA Sciences Holdings III, an exempted company incorporated in the Cayman Islands with limited liability (the “</w:t>
      </w:r>
      <w:r>
        <w:rPr>
          <w:rFonts w:ascii="Times New Roman" w:cs="Times New Roman" w:eastAsia="Times New Roman" w:hAnsi="Times New Roman"/>
          <w:sz w:val="18"/>
          <w:szCs w:val="18"/>
          <w:u w:val="single" w:color="auto"/>
          <w:color w:val="auto"/>
        </w:rPr>
        <w:t>ARYA Sponsor</w:t>
      </w:r>
      <w:r>
        <w:rPr>
          <w:rFonts w:ascii="Times New Roman" w:cs="Times New Roman" w:eastAsia="Times New Roman" w:hAnsi="Times New Roman"/>
          <w:sz w:val="18"/>
          <w:szCs w:val="18"/>
          <w:color w:val="auto"/>
        </w:rPr>
        <w:t>”), and the Other Class B Shareholders collectively own 3,737,500 ARYA Class B Shares;</w:t>
      </w:r>
    </w:p>
    <w:p>
      <w:pPr>
        <w:spacing w:after="0" w:line="151"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ARYA Sponsor, the Other Class B Shareholders, ARYA and the Company are entering into the sponsor letter agreement (the “</w:t>
      </w:r>
      <w:r>
        <w:rPr>
          <w:rFonts w:ascii="Times New Roman" w:cs="Times New Roman" w:eastAsia="Times New Roman" w:hAnsi="Times New Roman"/>
          <w:sz w:val="18"/>
          <w:szCs w:val="18"/>
          <w:u w:val="single" w:color="auto"/>
          <w:color w:val="auto"/>
        </w:rPr>
        <w:t>Sponsor Letter Agreement</w:t>
      </w:r>
      <w:r>
        <w:rPr>
          <w:rFonts w:ascii="Times New Roman" w:cs="Times New Roman" w:eastAsia="Times New Roman" w:hAnsi="Times New Roman"/>
          <w:sz w:val="18"/>
          <w:szCs w:val="18"/>
          <w:color w:val="auto"/>
        </w:rPr>
        <w:t>”), pursuant to which the ARYA Sponsor and each Other Class B Shareholder has agreed to (a) vote in favor of this Agreement and the transactions contemplated hereby (including the Merger) and (b) waive any adjustment to the conversion ratio set forth in the Governing Documents of ARYA or any other anti-dilution or similar protection with respect to the ARYA Class B Shares (whether resulting from the transactions contemplated by the PIPE Subscription Agreements or otherwise), in each case, on the terms and subject to the conditions set forth in the Sponsor Letter Agreement;</w:t>
      </w:r>
    </w:p>
    <w:p>
      <w:pPr>
        <w:spacing w:after="0" w:line="171"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on the Closing Date, prior to the time at which the Effective Time occurs, ARYA shall transfer by way of continuation from the Cayman Islands to the State of Delaware and domesticate as a Delaware corporation in accordance with Section 388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Part XII of the Cayman Islands Companies Act (2020 Revision), on the terms and subject to the conditions set forth in this Agreement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on the Closing Date, following the consummation of the Domestication, Merger Sub will merge with and into the Company, with the Company as the surviving company in the merger and, after giving effect to such merger, the Company will be a wholly-owned Subsidiary of ARYA, and each Company Share will be automatically converted as of the Effective Time into the right to receive a portion of the Adjusted Transaction Share Consideration, in each case, on the terms and subject to the conditions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5708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4" w:name="page15"/>
    <w:bookmarkEnd w:id="14"/>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WHEREAS, concurrently with the execution of this Agreement, each of Perceptive Life Sciences Master Fund Ltd., an exempted company incorporated in the Cayman Islands with limited liability (the “</w:t>
      </w:r>
      <w:r>
        <w:rPr>
          <w:rFonts w:ascii="Times New Roman" w:cs="Times New Roman" w:eastAsia="Times New Roman" w:hAnsi="Times New Roman"/>
          <w:sz w:val="18"/>
          <w:szCs w:val="18"/>
          <w:u w:val="single" w:color="auto"/>
          <w:color w:val="auto"/>
        </w:rPr>
        <w:t>Perceptive PIPE Investor</w:t>
      </w:r>
      <w:r>
        <w:rPr>
          <w:rFonts w:ascii="Times New Roman" w:cs="Times New Roman" w:eastAsia="Times New Roman" w:hAnsi="Times New Roman"/>
          <w:sz w:val="18"/>
          <w:szCs w:val="18"/>
          <w:color w:val="auto"/>
        </w:rPr>
        <w:t xml:space="preserve">”), the investors set forth on </w:t>
      </w:r>
      <w:r>
        <w:rPr>
          <w:rFonts w:ascii="Times New Roman" w:cs="Times New Roman" w:eastAsia="Times New Roman" w:hAnsi="Times New Roman"/>
          <w:sz w:val="18"/>
          <w:szCs w:val="18"/>
          <w:u w:val="single" w:color="auto"/>
          <w:color w:val="auto"/>
        </w:rPr>
        <w:t>Annex A-1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Company 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xml:space="preserve">”) and the investors set forth on </w:t>
      </w:r>
      <w:r>
        <w:rPr>
          <w:rFonts w:ascii="Times New Roman" w:cs="Times New Roman" w:eastAsia="Times New Roman" w:hAnsi="Times New Roman"/>
          <w:sz w:val="18"/>
          <w:szCs w:val="18"/>
          <w:u w:val="single" w:color="auto"/>
          <w:color w:val="auto"/>
        </w:rPr>
        <w:t>Annex A-2</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Third Party PIPE Investors</w:t>
      </w:r>
      <w:r>
        <w:rPr>
          <w:rFonts w:ascii="Times New Roman" w:cs="Times New Roman" w:eastAsia="Times New Roman" w:hAnsi="Times New Roman"/>
          <w:sz w:val="18"/>
          <w:szCs w:val="18"/>
          <w:color w:val="auto"/>
        </w:rPr>
        <w:t>”, and collectively with the Perceptive PIPE Investor and the Company PIPE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xml:space="preserve">”) are entering into a subscription agreement, substantially in the form attached hereto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in the case of the Perceptive PIPE Investor,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in the case of the Company PIPE Investors and the Third Party PIPE Investors (each, as amended, restated or otherwise modified from time to time in accordance with its terms, the “</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pursuant to which, among other things, each PIPE Investor has agreed to subscribe for and purchase on the Closing Date, and ARYA has agreed to issue and sell to each such PIPE Investor on the Closing Date, the number of ARYA Shares set forth in the applicable PIPE Subscription Agreement in exchange for the purchase price set forth therein (the aggregate purchase price under all PIPE Subscription Agreements, collectively, the “</w:t>
      </w:r>
      <w:r>
        <w:rPr>
          <w:rFonts w:ascii="Times New Roman" w:cs="Times New Roman" w:eastAsia="Times New Roman" w:hAnsi="Times New Roman"/>
          <w:sz w:val="18"/>
          <w:szCs w:val="18"/>
          <w:u w:val="single" w:color="auto"/>
          <w:color w:val="auto"/>
        </w:rPr>
        <w:t>PIPE Financing Amount</w:t>
      </w:r>
      <w:r>
        <w:rPr>
          <w:rFonts w:ascii="Times New Roman" w:cs="Times New Roman" w:eastAsia="Times New Roman" w:hAnsi="Times New Roman"/>
          <w:sz w:val="18"/>
          <w:szCs w:val="18"/>
          <w:color w:val="auto"/>
        </w:rPr>
        <w:t>”, and the equity financing under all PIPE Subscription Agreements, collectively,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in each case, on the terms and subject to the conditions set forth therein;</w:t>
      </w:r>
    </w:p>
    <w:p>
      <w:pPr>
        <w:spacing w:after="0" w:line="169"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each of ARYA, the Perceptive Shareholders, certain Company Shareholders, and each of the Other Class B Shareholders are entering into an investor rights agreement,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Investor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among other things, each of the Perceptive Shareholders, the Company Shareholders party thereto and any such Other Class B Shareholders (a) will agree not to effect any sale or distribution of any Equity Securities of ARYA held by any of them during the lock-up period described therein and (b) will be granted certain registration rights with respect to their respective ARYA Shares, in each case, on the terms and subject to the conditions set forth therein;</w:t>
      </w:r>
    </w:p>
    <w:p>
      <w:pPr>
        <w:spacing w:after="0" w:line="171"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the board of directors of ARYA (the “</w:t>
      </w:r>
      <w:r>
        <w:rPr>
          <w:rFonts w:ascii="Times New Roman" w:cs="Times New Roman" w:eastAsia="Times New Roman" w:hAnsi="Times New Roman"/>
          <w:sz w:val="18"/>
          <w:szCs w:val="18"/>
          <w:u w:val="single" w:color="auto"/>
          <w:color w:val="auto"/>
        </w:rPr>
        <w:t>ARYA Board</w:t>
      </w:r>
      <w:r>
        <w:rPr>
          <w:rFonts w:ascii="Times New Roman" w:cs="Times New Roman" w:eastAsia="Times New Roman" w:hAnsi="Times New Roman"/>
          <w:sz w:val="18"/>
          <w:szCs w:val="18"/>
          <w:color w:val="auto"/>
        </w:rPr>
        <w:t>”) has (a) approved this Agreement, the Ancillary Documents to which ARYA is or will be a party and the transactions contemplated hereby and thereby (including the Domestication and the Merger) and (b) recommended, among other things, approval of this Agreement and the transactions contemplated by this Agreement (including the Domestication and the Merger) by the holders of ARYA Shares entitled to vote thereon;</w:t>
      </w:r>
    </w:p>
    <w:p>
      <w:pPr>
        <w:spacing w:after="0" w:line="167"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WHEREAS, the board of directors of Merger Sub has approved this Agreement, the Ancillary Documents to which Merger Sub is or will be a party and the transactions contemplated hereby and thereby (including the Merger);</w:t>
      </w:r>
    </w:p>
    <w:p>
      <w:pPr>
        <w:spacing w:after="0" w:line="151"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WHEREAS, ARYA, as the sole stockholder of Merger Sub, will as promptly as reasonably practicable (and in any event within one Business Day) following the date of this Agreement, approve this Agreement, the Ancillary Documents to which Merger Sub is or will be a party and the transactions contemplated hereby and thereby (including the Merger);</w:t>
      </w:r>
    </w:p>
    <w:p>
      <w:pPr>
        <w:spacing w:after="0" w:line="16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(a) approved this Agreement, the Ancillary Documents to which the Company is or will be a party and the transactions contemplated hereby and thereby (including the Merger) and (b) recommended the adoption and approval of this Agreement and the transactions contemplated hereby (including the Merger) by the holders of Company Shares entitled to vote thereon (such recommendation,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 w:name="page16"/>
    <w:bookmarkEnd w:id="15"/>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 xml:space="preserve">WHEREAS, as promptly as reasonably practicable (and in any event within 24 hours) following the execution of this Agreement, each Company Shareholder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Supporting Company Shareholders</w:t>
      </w:r>
      <w:r>
        <w:rPr>
          <w:rFonts w:ascii="Times New Roman" w:cs="Times New Roman" w:eastAsia="Times New Roman" w:hAnsi="Times New Roman"/>
          <w:sz w:val="18"/>
          <w:szCs w:val="18"/>
          <w:color w:val="auto"/>
        </w:rPr>
        <w:t xml:space="preserve">”) will duly execute and deliver to ARYA a transaction support agreement,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pursuant to which each such Supporting Company Shareholder will agree to, among other things, (a) support and vote in favor of this Agreement, the Ancillary Documents to which the Company is or will be a party and the transactions contemplated hereby and thereby (including the Merger), and (b) take, or cause to be taken, any actions necessary or advisable to cause certain agreements to be terminated effective as of the Closing; and</w:t>
      </w:r>
    </w:p>
    <w:p>
      <w:pPr>
        <w:spacing w:after="0" w:line="170"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WHEREAS, each of the Parties intends for U.S. federal income tax purposes that (a) this Agreement constitutes a “plan of reorganization” within the meaning of Section 368 of the Code and Treasury Regulations promulgated thereunder, (b) the Domestication constitutes a transaction treated as a “reorganization” within the meaning of Section 368(a)(1)(F) of the Code and (c) the Merger, or if applicable, the Alternative Merger Structure, constitutes a transaction treated as a “reorganization” within the meaning of Section 368(a) of the Code (clauses (a)-(c),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0"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010000"/>
        </w:rPr>
        <w:t>Section 1.1</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As used in this Agreement, the following terms have the respective meanings set forth below.</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ARYA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Equity Value</w:t>
      </w:r>
      <w:r>
        <w:rPr>
          <w:rFonts w:ascii="Times New Roman" w:cs="Times New Roman" w:eastAsia="Times New Roman" w:hAnsi="Times New Roman"/>
          <w:sz w:val="18"/>
          <w:szCs w:val="18"/>
          <w:color w:val="auto"/>
        </w:rPr>
        <w:t xml:space="preserve">” means (a) the Equity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Company Option Exercise Price.</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Transaction Share Consideration</w:t>
      </w:r>
      <w:r>
        <w:rPr>
          <w:rFonts w:ascii="Times New Roman" w:cs="Times New Roman" w:eastAsia="Times New Roman" w:hAnsi="Times New Roman"/>
          <w:sz w:val="18"/>
          <w:szCs w:val="18"/>
          <w:color w:val="auto"/>
        </w:rPr>
        <w:t xml:space="preserve">” means an aggregate number of ARYA Shares equal to (a) the Adjusted Equity Value, </w:t>
      </w:r>
      <w:r>
        <w:rPr>
          <w:rFonts w:ascii="Times New Roman" w:cs="Times New Roman" w:eastAsia="Times New Roman" w:hAnsi="Times New Roman"/>
          <w:sz w:val="18"/>
          <w:szCs w:val="18"/>
          <w:u w:val="single" w:color="auto"/>
          <w:color w:val="auto"/>
        </w:rPr>
        <w:t>divided</w:t>
      </w:r>
      <w:r>
        <w:rPr>
          <w:rFonts w:ascii="Times New Roman" w:cs="Times New Roman" w:eastAsia="Times New Roman" w:hAnsi="Times New Roman"/>
          <w:sz w:val="18"/>
          <w:szCs w:val="18"/>
          <w:color w:val="auto"/>
        </w:rPr>
        <w:t xml:space="preserve"> by (b) the ARYA Share Value.</w:t>
      </w:r>
    </w:p>
    <w:p>
      <w:pPr>
        <w:spacing w:after="0" w:line="151"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Notwithstanding the foregoing or anything to the contrary herein, the Affiliates of the ARYA Sponsor shall be deemed to include Perceptive and its Affiliates.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 w:name="page17"/>
    <w:bookmarkEnd w:id="16"/>
    <w:p>
      <w:pPr>
        <w:jc w:val="both"/>
        <w:ind w:firstLine="53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Aggregate Closing PIPE Proceeds</w:t>
      </w:r>
      <w:r>
        <w:rPr>
          <w:rFonts w:ascii="Times New Roman" w:cs="Times New Roman" w:eastAsia="Times New Roman" w:hAnsi="Times New Roman"/>
          <w:sz w:val="17"/>
          <w:szCs w:val="17"/>
          <w:color w:val="auto"/>
        </w:rPr>
        <w:t>” means the aggregate cash proceeds actually received in respect of the PIPE Financing (whether on or prior to the Closing Date) and held in a bank account owned and controlled by an ARYA Party on the Closing Date (and, for the avoidance of doubt, after giving effect to the funding of the PIPE Financing on such date and before giving effect to the payment of any Unpaid ARYA Expenses, Unpaid ARYA Liabilities or Unpaid Company Expenses). Notwithstanding the foregoing, in no event shall the Aggregate Closing PIPE Proceeds include any cash that is ARYA Excluded Cash.</w:t>
      </w:r>
    </w:p>
    <w:p>
      <w:pPr>
        <w:spacing w:after="0" w:line="154" w:lineRule="exact"/>
        <w:rPr>
          <w:sz w:val="20"/>
          <w:szCs w:val="20"/>
          <w:color w:val="auto"/>
        </w:rPr>
      </w:pPr>
    </w:p>
    <w:p>
      <w:pPr>
        <w:jc w:val="both"/>
        <w:ind w:firstLine="532"/>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Aggregate Company Option Exercise Price</w:t>
      </w:r>
      <w:r>
        <w:rPr>
          <w:rFonts w:ascii="Times New Roman" w:cs="Times New Roman" w:eastAsia="Times New Roman" w:hAnsi="Times New Roman"/>
          <w:sz w:val="17"/>
          <w:szCs w:val="17"/>
          <w:color w:val="auto"/>
        </w:rPr>
        <w:t>” means the aggregate exercise price that would be paid to the Company in respect of all Company Options if all Company Options were exercised in full immediately prior to the Effective Time (without giving effect to any “net” exercise or similar concept).</w:t>
      </w:r>
    </w:p>
    <w:p>
      <w:pPr>
        <w:spacing w:after="0" w:line="127"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means an amount equal to (a) the sum of (i) the aggregate cash proceeds available for release to any ARYA Party from the Trust Account in connection with the transactions contemplated hereby (which amount, for the avoidance of doubt and without duplication, shall be calculated after giving effect to the ARYA Shareholder Redemption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reduced by the aggregate amount payable with respect to all ARYA Shareholder Redemptions, notwithstanding that such amounts may not have been paid out of the Trust Account at such time) and the distribution of any other amounts paid or payable to any Person other than an ARYA Party (or, if so requested in writing by the Company and agreed to in writing by ARYA prior to the Effective Time, the Company) from the Trust Account as provided in the Trust Agreement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reduced by any distribution of any such other amounts) (collectively, the “</w:t>
      </w:r>
      <w:r>
        <w:rPr>
          <w:rFonts w:ascii="Times New Roman" w:cs="Times New Roman" w:eastAsia="Times New Roman" w:hAnsi="Times New Roman"/>
          <w:sz w:val="18"/>
          <w:szCs w:val="18"/>
          <w:u w:val="single" w:color="auto"/>
          <w:color w:val="auto"/>
        </w:rPr>
        <w:t>Trust Satisfied Obligations</w:t>
      </w:r>
      <w:r>
        <w:rPr>
          <w:rFonts w:ascii="Times New Roman" w:cs="Times New Roman" w:eastAsia="Times New Roman" w:hAnsi="Times New Roman"/>
          <w:sz w:val="18"/>
          <w:szCs w:val="18"/>
          <w:color w:val="auto"/>
        </w:rPr>
        <w:t xml:space="preserve">”)) and (ii) the Aggregate Closing PIPE Proceeds,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Unpaid ARYA Expenses and the Unpaid ARYA Liabilities.</w:t>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introductory paragraph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Merger Structure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the Investor Rights Agreement, Sponsor Letter Agreement, the PIPE Subscription Agreements, the Transaction Support Agreements, the Letters of Transmittal and each other agreement, document, instrument and/or certificate executed, or contemplated to be executed, in connection with the transactions contemplated hereby, including the Merger and the Domestication.</w:t>
      </w:r>
    </w:p>
    <w:p>
      <w:pPr>
        <w:spacing w:after="0" w:line="162"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collectively, (a) the U.S. Foreign Corrupt Practices Act (FCPA), (b) the UK Bribery Act 2010 and (c) any other anti-bribery or anti-corruption Laws or Orders related to combatting bribery, corruption and money laundering.</w:t>
      </w:r>
    </w:p>
    <w:p>
      <w:pPr>
        <w:spacing w:after="0" w:line="151"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w:t>
      </w:r>
      <w:r>
        <w:rPr>
          <w:rFonts w:ascii="Times New Roman" w:cs="Times New Roman" w:eastAsia="Times New Roman" w:hAnsi="Times New Roman"/>
          <w:sz w:val="18"/>
          <w:szCs w:val="18"/>
          <w:color w:val="auto"/>
        </w:rPr>
        <w:t>” means (a) prior to the consummation of the Domestication, ARYA Sciences Acquisition Corp III, an exempted company incorporated in the Cayman Islands with limited liability, and (b) from and after the consummation of the Domestication, shall mean ARYA as domesticated in Delaware, and anticipated to me named Nautilus Biotechnology, Inc., a Delaware corporation. Any reference to ARYA in this Agreement or any Ancillary Document shall be deemed to refer to clause (a) and/or (b), as the context so requires.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 w:name="page18"/>
    <w:bookmarkEnd w:id="17"/>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Acquisition Proposal</w:t>
      </w:r>
      <w:r>
        <w:rPr>
          <w:rFonts w:ascii="Times New Roman" w:cs="Times New Roman" w:eastAsia="Times New Roman" w:hAnsi="Times New Roman"/>
          <w:sz w:val="18"/>
          <w:szCs w:val="18"/>
          <w:color w:val="auto"/>
        </w:rPr>
        <w:t>” means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 as defined in the Prospectus. Notwithstanding the foregoing or anything to the contrary herein, none of this Agreement, the Ancillary Documents or the transactions contemplated hereby or thereby shall constitute an ARYA Acquisition Proposal.</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Affiliated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Affiliated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Benefit Plan</w:t>
      </w:r>
      <w:r>
        <w:rPr>
          <w:rFonts w:ascii="Times New Roman" w:cs="Times New Roman" w:eastAsia="Times New Roman" w:hAnsi="Times New Roman"/>
          <w:sz w:val="18"/>
          <w:szCs w:val="18"/>
          <w:color w:val="auto"/>
        </w:rPr>
        <w:t>” means each “employee benefit plan” (as such term is defined in Section 3(3) of ERISA, whether or not subject to ERISA) and each other benefit or compensatory plan, program, policy or Contract that ARYA, Merger Sub or any of their Subsidiaries maintains, sponsors or contributes to, or under or with respect to which ARYA, Merger Sub or any of their Subsidiaries has any Liability, other than any plan or program sponsored or maintained by a Governmental Entity.</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Board</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Bylaws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Certificate of Incorporation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Change in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Change of Control Payment</w:t>
      </w:r>
      <w:r>
        <w:rPr>
          <w:rFonts w:ascii="Times New Roman" w:cs="Times New Roman" w:eastAsia="Times New Roman" w:hAnsi="Times New Roman"/>
          <w:sz w:val="18"/>
          <w:szCs w:val="18"/>
          <w:color w:val="auto"/>
        </w:rPr>
        <w:t xml:space="preserve">” means any success, change of control, retention, transaction bonus or other similar payment or amount that any ARYA Party is required to pay to any current or former officer, director or employee of ARYA or any other ARYA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any ARYA Party is a party or by which any of the ARYA Parties’ assets are bound as of or prior to the Closing, in each case, as a result of the consummation of the Merger or the other transactions contemplated to occur on the Closing Date pursuant to this Agreement or the Ancillary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“ARYA Change of Control Payment” shall not include any ARYA Expenses, or, for the avoidance of doubt, any Liabilities that become payable on the basis any ARYA Party has breached, defaulted or failed to comply with or perform any obligations or covenants under a Contract.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8" w:name="page19"/>
    <w:bookmarkEnd w:id="18"/>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Class A Shares</w:t>
      </w:r>
      <w:r>
        <w:rPr>
          <w:rFonts w:ascii="Times New Roman" w:cs="Times New Roman" w:eastAsia="Times New Roman" w:hAnsi="Times New Roman"/>
          <w:sz w:val="18"/>
          <w:szCs w:val="18"/>
          <w:color w:val="auto"/>
        </w:rPr>
        <w:t>” means, prior to the Domestication, ARYA’s Class A ordinary shares.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Class B Shares</w:t>
      </w:r>
      <w:r>
        <w:rPr>
          <w:rFonts w:ascii="Times New Roman" w:cs="Times New Roman" w:eastAsia="Times New Roman" w:hAnsi="Times New Roman"/>
          <w:sz w:val="18"/>
          <w:szCs w:val="18"/>
          <w:color w:val="auto"/>
        </w:rPr>
        <w:t>” means, prior to the Domestication, ARYA’s Class B ordinary shares.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Disclosure Schedules</w:t>
      </w:r>
      <w:r>
        <w:rPr>
          <w:rFonts w:ascii="Times New Roman" w:cs="Times New Roman" w:eastAsia="Times New Roman" w:hAnsi="Times New Roman"/>
          <w:sz w:val="18"/>
          <w:szCs w:val="18"/>
          <w:color w:val="auto"/>
        </w:rPr>
        <w:t>” means the disclosure schedules to this Agreement delivered to the Company by ARYA on the date of this Agreement in connection with the execution of this Agreement.</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Employee Stock Purchase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Excluded Cash</w:t>
      </w:r>
      <w:r>
        <w:rPr>
          <w:rFonts w:ascii="Times New Roman" w:cs="Times New Roman" w:eastAsia="Times New Roman" w:hAnsi="Times New Roman"/>
          <w:sz w:val="18"/>
          <w:szCs w:val="18"/>
          <w:color w:val="auto"/>
        </w:rPr>
        <w:t>” means, without duplication of the Trust Satisfied Obligations or any other amounts included within clause (b) of the definition Aggregate Transaction Proceeds, any cash of the ARYA Parties that is not freely usable by such ARYA Party because of restrictions or limitations on use by any Contract to which an ARYA Party is bound (other than, for the avoidance of doubt, any restrictions or limitations on use under this Agreement or the Ancillary Documents).</w:t>
      </w:r>
    </w:p>
    <w:p>
      <w:pPr>
        <w:spacing w:after="0" w:line="167" w:lineRule="exact"/>
        <w:rPr>
          <w:sz w:val="20"/>
          <w:szCs w:val="20"/>
          <w:color w:val="auto"/>
        </w:rPr>
      </w:pPr>
    </w:p>
    <w:p>
      <w:pPr>
        <w:jc w:val="both"/>
        <w:ind w:firstLine="599"/>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ARYA Expenses</w:t>
      </w:r>
      <w:r>
        <w:rPr>
          <w:rFonts w:ascii="Times New Roman" w:cs="Times New Roman" w:eastAsia="Times New Roman" w:hAnsi="Times New Roman"/>
          <w:sz w:val="17"/>
          <w:szCs w:val="17"/>
          <w:color w:val="auto"/>
        </w:rPr>
        <w:t>” means, as of any determination time, the aggregate amount, without duplication, of all fees, expenses, costs, disbursements, commissions or other amounts incurred by or on behalf of any ARYA Party or that any ARYA Party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w:t>
      </w:r>
    </w:p>
    <w:p>
      <w:pPr>
        <w:spacing w:after="0" w:line="1" w:lineRule="exact"/>
        <w:rPr>
          <w:sz w:val="20"/>
          <w:szCs w:val="20"/>
          <w:color w:val="auto"/>
        </w:rPr>
      </w:pPr>
    </w:p>
    <w:p>
      <w:pPr>
        <w:jc w:val="both"/>
        <w:ind w:firstLine="9"/>
        <w:spacing w:after="0" w:line="233" w:lineRule="auto"/>
        <w:tabs>
          <w:tab w:leader="none" w:pos="2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fees and expenses of outside legal counsel, accountants, advisors, brokers, placement agents, investment bankers, consultants, or other agents or service providers of any ARYA Party (including with respect to this Agreement and the PIPE Financing) and (b) any other fees, expenses, commissions or other amounts that are expressly allocated to any ARYA Party pursuant to this Agreement or any Ancillary Document, including fifty percent (50%) of the HSR Act filing fee;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notwithstanding the foregoing or anything to the contrary herein, the ARYA Expenses shall not include (i) the Trust Satisfied Obligations to the extent such obligations will be satisfied from the Trust Account, or (ii) the Company Expenses or any fees, expenses, commissions or other amounts that are expressly contemplated to be allocated to and paid by Company or any Company Equityholder pursuant to this Agreement or any Ancillary Document.</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Financial Statements</w:t>
      </w:r>
      <w:r>
        <w:rPr>
          <w:rFonts w:ascii="Times New Roman" w:cs="Times New Roman" w:eastAsia="Times New Roman" w:hAnsi="Times New Roman"/>
          <w:sz w:val="18"/>
          <w:szCs w:val="18"/>
          <w:color w:val="auto"/>
        </w:rPr>
        <w:t>” means all of the financial statements of ARYA included in the ARYA SEC Reports.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9" w:name="page20"/>
    <w:bookmarkEnd w:id="19"/>
    <w:p>
      <w:pPr>
        <w:jc w:val="both"/>
        <w:ind w:firstLine="5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(Capitalization of the ARYA Parties),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(Absence of Changes), </w:t>
      </w:r>
      <w:r>
        <w:rPr>
          <w:rFonts w:ascii="Times New Roman" w:cs="Times New Roman" w:eastAsia="Times New Roman" w:hAnsi="Times New Roman"/>
          <w:sz w:val="18"/>
          <w:szCs w:val="18"/>
          <w:u w:val="single" w:color="auto"/>
          <w:color w:val="auto"/>
        </w:rPr>
        <w:t>Section 4.19(h)</w:t>
      </w:r>
      <w:r>
        <w:rPr>
          <w:rFonts w:ascii="Times New Roman" w:cs="Times New Roman" w:eastAsia="Times New Roman" w:hAnsi="Times New Roman"/>
          <w:sz w:val="18"/>
          <w:szCs w:val="18"/>
          <w:color w:val="auto"/>
        </w:rPr>
        <w:t xml:space="preserve"> (Tax Matters) and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(Change of Control Payments).</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Incentive Equity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Liabilities</w:t>
      </w:r>
      <w:r>
        <w:rPr>
          <w:rFonts w:ascii="Times New Roman" w:cs="Times New Roman" w:eastAsia="Times New Roman" w:hAnsi="Times New Roman"/>
          <w:sz w:val="18"/>
          <w:szCs w:val="18"/>
          <w:color w:val="auto"/>
        </w:rPr>
        <w:t xml:space="preserve">” means, as of any determination time, the aggregate amount, without duplication, of Liabilities of the ARYA Parties as of such determination time that would be required to be set forth on a balance sheet of the ARYA Parties prepared in accordance with GAAP (as in effect as of the date hereof), including any Liabilities that would, as of such determination time, be required to be set forth on a balance sheet of the ARYA Parties prepared in accordance with GAAP (as in effect as of the date hereof) arising in connection with the transactions contemplated by this Agreement or any Ancillary Documents, the performance of an ARYA Party’s covenants or agreements in this Agreement or any Ancillary Document to which it is or is contemplated hereby to be a party or the consummation of the transactions contemplated hereby or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notwithstanding the foregoing, ARYA Liabilities shall not include (a) any ARYA Expenses, (b) the Trust Satisfied Obligations to the extent such obligations will be satisfied from the Trust Account, or (c) any Company Expenses or any fees, expenses, commissions or other amounts that are expressly contemplated to be allocated to and paid by to the Company or any Company Equityholder pursuant to this Agreement or any Ancillary Document.</w:t>
      </w:r>
    </w:p>
    <w:p>
      <w:pPr>
        <w:spacing w:after="0" w:line="173" w:lineRule="exact"/>
        <w:rPr>
          <w:sz w:val="20"/>
          <w:szCs w:val="20"/>
          <w:color w:val="auto"/>
        </w:rPr>
      </w:pPr>
    </w:p>
    <w:p>
      <w:pPr>
        <w:jc w:val="both"/>
        <w:ind w:firstLine="532"/>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Material Adverse Effect</w:t>
      </w:r>
      <w:r>
        <w:rPr>
          <w:rFonts w:ascii="Times New Roman" w:cs="Times New Roman" w:eastAsia="Times New Roman" w:hAnsi="Times New Roman"/>
          <w:sz w:val="18"/>
          <w:szCs w:val="18"/>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any ARYA Party to consummate the Domestication, the Merger or the other transactions contemplated to be consummated by the ARYA Parties on the Closing Date in connection therewith, in each case,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 shall be taken into account in determining whether a ARYA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ARYA Party operates, (vi) the execution or public announcement of this Agreement or the pendency or consummation of the transactions contemplated by this Agreement, including the impact thereof on the relationships, contractual or otherwise, of any ARYA Party with investors, contractors, lenders, suppliers, vendors, partners, licensors, licensees, payors or other third parties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not apply to the representations and warranties set forth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to the extent it relates to such representations and warranties), (vii) any failure by any ARYA Party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change, event, effect or occurrence resulting from a matter described in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0" w:name="page21"/>
    <w:bookmarkEnd w:id="20"/>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Parties</w:t>
      </w:r>
      <w:r>
        <w:rPr>
          <w:rFonts w:ascii="Times New Roman" w:cs="Times New Roman" w:eastAsia="Times New Roman" w:hAnsi="Times New Roman"/>
          <w:sz w:val="18"/>
          <w:szCs w:val="18"/>
          <w:color w:val="auto"/>
        </w:rPr>
        <w:t>” means, collectively, ARYA and Merger Sub.</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Share Value</w:t>
      </w:r>
      <w:r>
        <w:rPr>
          <w:rFonts w:ascii="Times New Roman" w:cs="Times New Roman" w:eastAsia="Times New Roman" w:hAnsi="Times New Roman"/>
          <w:sz w:val="18"/>
          <w:szCs w:val="18"/>
          <w:color w:val="auto"/>
        </w:rPr>
        <w:t>” means $10.00.</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Shareholder Approval</w:t>
      </w:r>
      <w:r>
        <w:rPr>
          <w:rFonts w:ascii="Times New Roman" w:cs="Times New Roman" w:eastAsia="Times New Roman" w:hAnsi="Times New Roman"/>
          <w:sz w:val="18"/>
          <w:szCs w:val="18"/>
          <w:color w:val="auto"/>
        </w:rPr>
        <w:t>” means, collectively, the Required ARYA Shareholder Approval and the Other ARYA Shareholder Approval.</w:t>
      </w:r>
    </w:p>
    <w:p>
      <w:pPr>
        <w:spacing w:after="0" w:line="192" w:lineRule="exact"/>
        <w:rPr>
          <w:sz w:val="20"/>
          <w:szCs w:val="20"/>
          <w:color w:val="auto"/>
        </w:rPr>
      </w:pPr>
    </w:p>
    <w:p>
      <w:pPr>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Shareholder Redemption</w:t>
      </w:r>
      <w:r>
        <w:rPr>
          <w:rFonts w:ascii="Times New Roman" w:cs="Times New Roman" w:eastAsia="Times New Roman" w:hAnsi="Times New Roman"/>
          <w:sz w:val="18"/>
          <w:szCs w:val="18"/>
          <w:color w:val="auto"/>
        </w:rPr>
        <w:t>” means the right of the holders of ARYA Class A Shares to redeem all or a portion of their ARYA Class A Shares (in connection with the transactions contemplated by this Agreement or otherwise) as set forth in Governing Documents of ARYA.</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Shareholders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ARYA Shares</w:t>
      </w:r>
      <w:r>
        <w:rPr>
          <w:rFonts w:ascii="Times New Roman" w:cs="Times New Roman" w:eastAsia="Times New Roman" w:hAnsi="Times New Roman"/>
          <w:sz w:val="17"/>
          <w:szCs w:val="17"/>
          <w:color w:val="auto"/>
        </w:rPr>
        <w:t>” means (a) prior to the consummation of the Domestication, collectively, the ARYA Class A Shares and the ARYA Class B Shares and</w:t>
      </w:r>
    </w:p>
    <w:p>
      <w:pPr>
        <w:spacing w:after="0" w:line="24" w:lineRule="exact"/>
        <w:rPr>
          <w:sz w:val="20"/>
          <w:szCs w:val="20"/>
          <w:color w:val="auto"/>
        </w:rPr>
      </w:pPr>
    </w:p>
    <w:p>
      <w:pPr>
        <w:jc w:val="both"/>
        <w:ind w:firstLine="9"/>
        <w:spacing w:after="0" w:line="236"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consummation of the Domestication, shares of common stock, par value $0.0001 per share, of ARYA as contemplated pursuant to the ARYA Certificate of Incorporation. Any reference to the ARYA Shares in this Agreement or any Ancillary Document shall be deemed to refer to clause (a) and/or clause (b) of this definition, as the context so requires.</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ARYA Sponsor</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directly or indirectly, researching, developing, testing or manufacturing proteomic products, platforms or services for use in research and development (or similar) initiatives, drug development or otherwise in the healthcare, pharmaceutical or life sciences industries or sectors or any activities, services or products incidental thereto.</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1" w:name="page22"/>
    <w:bookmarkEnd w:id="21"/>
    <w:p>
      <w:pPr>
        <w:ind w:firstLine="5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commercial banks in New York, New York and San Francisco, California are open for the general transaction of business.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CBA</w:t>
      </w:r>
      <w:r>
        <w:rPr>
          <w:rFonts w:ascii="Times New Roman" w:cs="Times New Roman" w:eastAsia="Times New Roman" w:hAnsi="Times New Roman"/>
          <w:sz w:val="18"/>
          <w:szCs w:val="18"/>
          <w:color w:val="auto"/>
        </w:rPr>
        <w:t>” means any collective bargaining agreement or other Contract with any labor union, labor organization, or works council.</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Part 6 of Subtitle B of Title I of ERISA, Section 4980B of the Code and any similar state Law.</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Acquisition Proposal</w:t>
      </w:r>
      <w:r>
        <w:rPr>
          <w:rFonts w:ascii="Times New Roman" w:cs="Times New Roman" w:eastAsia="Times New Roman" w:hAnsi="Times New Roman"/>
          <w:sz w:val="17"/>
          <w:szCs w:val="17"/>
          <w:color w:val="auto"/>
        </w:rPr>
        <w:t>” means (a) any direct or indirect acquisition (or other business combination), in one or a series of related transactions,</w:t>
      </w:r>
    </w:p>
    <w:p>
      <w:pPr>
        <w:spacing w:after="0" w:line="24" w:lineRule="exact"/>
        <w:rPr>
          <w:sz w:val="20"/>
          <w:szCs w:val="20"/>
          <w:color w:val="auto"/>
        </w:rPr>
      </w:pPr>
    </w:p>
    <w:p>
      <w:pPr>
        <w:jc w:val="both"/>
        <w:ind w:firstLine="9"/>
        <w:spacing w:after="0" w:line="232" w:lineRule="auto"/>
        <w:tabs>
          <w:tab w:leader="none" w:pos="2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Equity Securities of the Company, in each case, that, if consummated, would result in a Person acquiring beneficial ownership of 15% or more of any class of outstanding voting Equity Securities of the Company or 15% or more of the outstanding voting Equity Securities of the Company (regardless of class) or (ii) of all or a portion of assets or businesses of the Group Companies which constitute 15% or more of the fair market value of the Group Companies,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the Company or 15% or more of the outstanding voting Equity Securities of the Company (regardless of class) (in each case of clauses (a) and (b) other than pursuant to the exercise or conversion of Company Options or Company Warrants in accordance with the terms of the Company Equity Plan, the underlying grant, award or similar agreement or the Company Warrant Agreement (as applicable)). Notwithstanding the foregoing or anything to the contrary herein, none of this Agreement, the Ancillary Documents or the transactions contemplated hereby or thereby or any transaction with any ARYA Party shall constitute (in whole or in part) a Company Acquisition Proposal.</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Affiliated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2" w:name="page23"/>
    <w:bookmarkEnd w:id="22"/>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Affiliated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Amended and Restated Certificate of Incorporation of the Company.</w:t>
      </w:r>
    </w:p>
    <w:p>
      <w:pPr>
        <w:spacing w:after="0" w:line="192"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Change of Control Payment</w:t>
      </w:r>
      <w:r>
        <w:rPr>
          <w:rFonts w:ascii="Times New Roman" w:cs="Times New Roman" w:eastAsia="Times New Roman" w:hAnsi="Times New Roman"/>
          <w:sz w:val="18"/>
          <w:szCs w:val="18"/>
          <w:color w:val="auto"/>
        </w:rPr>
        <w:t xml:space="preserve">” means any success, change of control, retention, transaction bonus or other similar payment or amount that any Group Company is required to pay to any current or former officer, director or employee of the Company or any other Company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the Company or any of its Subsidiaries is a party or by which any of their respective assets are bound as of or prior to the Closing, in each case, as a result of the consummation of the Merger or the other transactions contemplated to occur on the Closing Date pursuant to this Agreement or the Ancillary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“Company Change of Control Payment” shall not include (a) the ARYA Shares or Rollover Options to be issued to the holders of Company Equity Securities or in respect of Company Options or Company Warrants or options to acquire ARYA Shares to be issued to the Company Shareholders or to become issuable pursuant to holders of Company Options pursuant to, and on the terms and subject to the conditions of, this Agreement, or (b) for the avoidance of doubt, Liabilities that become payable on the basis any Group Company has breached, defaulted or failed to comply with or perform any obligations or covenants under a Contract.</w:t>
      </w:r>
    </w:p>
    <w:p>
      <w:pPr>
        <w:spacing w:after="0" w:line="174"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Shares</w:t>
      </w:r>
      <w:r>
        <w:rPr>
          <w:rFonts w:ascii="Times New Roman" w:cs="Times New Roman" w:eastAsia="Times New Roman" w:hAnsi="Times New Roman"/>
          <w:sz w:val="18"/>
          <w:szCs w:val="18"/>
          <w:color w:val="auto"/>
        </w:rPr>
        <w:t>” means shares of common stock, par value $0.0001 per share, of the Company designated as “Common Stock” pursuant to the Company Certificate of Incorporation.</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Designee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means the disclosure schedules to this Agreement delivered to ARYA by the Company on the date of this Agreement.</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Dissenting Shareholders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Dissenting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as of any determination time, each Company Option and each other award to any current or former director, manager, officer, employee, individual independent contractor or other service provider of any Group Company of rights of any kind to receive any Equity Security of any Group Company under any Company Equity Plan or otherwise that is outstanding.</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3" w:name="page24"/>
    <w:bookmarkEnd w:id="23"/>
    <w:p>
      <w:pPr>
        <w:jc w:val="both"/>
        <w:ind w:firstLine="5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Company 2017 Equity Incentive Plan and each other plan that provides for the award to any current or former director, manager, officer, employee, individual independent contractor or other service provider of any Group Company of rights of any kind to receive Equity Securities of any Group Company or benefits measured in whole or in part by reference to Equity Securities of any Group Company.</w:t>
      </w:r>
    </w:p>
    <w:p>
      <w:pPr>
        <w:spacing w:after="0" w:line="164"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Equityholders</w:t>
      </w:r>
      <w:r>
        <w:rPr>
          <w:rFonts w:ascii="Times New Roman" w:cs="Times New Roman" w:eastAsia="Times New Roman" w:hAnsi="Times New Roman"/>
          <w:sz w:val="18"/>
          <w:szCs w:val="18"/>
          <w:color w:val="auto"/>
        </w:rPr>
        <w:t>” means, collectively, the Company Shareholders and the holders of Company Equity Awards as of any determination time prior to the Effective Time.</w:t>
      </w:r>
    </w:p>
    <w:p>
      <w:pPr>
        <w:spacing w:after="0" w:line="151"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Expenses</w:t>
      </w:r>
      <w:r>
        <w:rPr>
          <w:rFonts w:ascii="Times New Roman" w:cs="Times New Roman" w:eastAsia="Times New Roman" w:hAnsi="Times New Roman"/>
          <w:sz w:val="17"/>
          <w:szCs w:val="17"/>
          <w:color w:val="auto"/>
        </w:rPr>
        <w:t xml:space="preserve">” means, as of any determination time, the aggregate amount, without duplication, of all fees, expenses, costs, disbursements, commissions or other amounts incurred by or on behalf of any Group Company or that any Group Company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or other agents or service providers of any Group Company, and (b) any other fees, expenses, commissions or other amounts that are expressly allocated to any Group Company pursuant to this Agreement or any Ancillary Document, including fifty percent (50%) of the HSR Act filing fees;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notwithstanding the foregoing or anything to the contrary herein, the Company Expenses shall not include any ARYA Expenses or any fees, expenses, commissions or other amounts that are expressly contemplated to be allocated to and paid by the ARYA Parties pursuant to this Agreement or any Ancillary Document.</w:t>
      </w:r>
    </w:p>
    <w:p>
      <w:pPr>
        <w:spacing w:after="0" w:line="164"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Sections 3.2(a)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 xml:space="preserve"> (Capitalization of the Group Companies),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3.8(b)(iii)</w:t>
      </w:r>
      <w:r>
        <w:rPr>
          <w:rFonts w:ascii="Times New Roman" w:cs="Times New Roman" w:eastAsia="Times New Roman" w:hAnsi="Times New Roman"/>
          <w:sz w:val="18"/>
          <w:szCs w:val="18"/>
          <w:color w:val="auto"/>
        </w:rPr>
        <w:t xml:space="preserve"> (Absence of Changes), </w:t>
      </w:r>
      <w:r>
        <w:rPr>
          <w:rFonts w:ascii="Times New Roman" w:cs="Times New Roman" w:eastAsia="Times New Roman" w:hAnsi="Times New Roman"/>
          <w:sz w:val="18"/>
          <w:szCs w:val="18"/>
          <w:u w:val="single" w:color="auto"/>
          <w:color w:val="auto"/>
        </w:rPr>
        <w:t>Section 3.16(n)</w:t>
      </w:r>
      <w:r>
        <w:rPr>
          <w:rFonts w:ascii="Times New Roman" w:cs="Times New Roman" w:eastAsia="Times New Roman" w:hAnsi="Times New Roman"/>
          <w:sz w:val="18"/>
          <w:szCs w:val="18"/>
          <w:color w:val="auto"/>
        </w:rPr>
        <w:t xml:space="preserve"> (Tax Matters) and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(Brokers).</w:t>
      </w:r>
    </w:p>
    <w:p>
      <w:pPr>
        <w:spacing w:after="0" w:line="16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computer systems, Software and hardware, communication systems, servers, network equipment and related documentation, including any outsourced systems and processes, in each case, relied on, owned, licensed or leased by a Group Company.</w:t>
      </w:r>
    </w:p>
    <w:p>
      <w:pPr>
        <w:spacing w:after="0" w:line="151"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means Intellectual Property Rights owned by any Person (other than a Group Company) that is licensed to any Group Company.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4" w:name="page25"/>
    <w:bookmarkEnd w:id="24"/>
    <w:p>
      <w:pPr>
        <w:jc w:val="both"/>
        <w:ind w:firstLine="532"/>
        <w:spacing w:after="0" w:line="23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the Group Companies, taken as a whole, or (b) the ability of the Company to consummate the Merger or the other transactions contemplated to be consummated by the Company on the Closing Date in connection therewith, in each case,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 shall be taken into account in determining whether a Company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not apply to the representations and warranties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change, event, effect or occurrence resulting from a matter described in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may be taken into account in determining whether a Company Material Adverse Effect has occurred or is reasonably likely to occur to the extent such change, event, effect or occurrence has or has had a disproportionate adverse effect on the Group Companies, taken as a whole, relative to other participants operating in the industries or markets in which the Group Companies operate.</w:t>
      </w:r>
    </w:p>
    <w:p>
      <w:pPr>
        <w:spacing w:after="0" w:line="188"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as of any determination time, each option to purchase Company Common Shares that is outstanding and unexercised, whether granted under a Company Equity Plan or otherwise.</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Rights that are owned or purported to be owned by the Group Companies.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PIPE Investors</w:t>
      </w:r>
      <w:r>
        <w:rPr>
          <w:rFonts w:ascii="Times New Roman" w:cs="Times New Roman" w:eastAsia="Times New Roman" w:hAnsi="Times New Roman"/>
          <w:sz w:val="18"/>
          <w:szCs w:val="18"/>
          <w:color w:val="auto"/>
        </w:rPr>
        <w:t>” has the meaning set forth in the recitals to this Agreement.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 w:name="page26"/>
    <w:bookmarkEnd w:id="25"/>
    <w:p>
      <w:pPr>
        <w:jc w:val="both"/>
        <w:ind w:firstLine="5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Shares</w:t>
      </w:r>
      <w:r>
        <w:rPr>
          <w:rFonts w:ascii="Times New Roman" w:cs="Times New Roman" w:eastAsia="Times New Roman" w:hAnsi="Times New Roman"/>
          <w:sz w:val="18"/>
          <w:szCs w:val="18"/>
          <w:color w:val="auto"/>
        </w:rPr>
        <w:t>” means, collectively, the Company Series A Preferred Shares, the Company Series B Preferred Shares and the Company Series Seed Preferred Shares.</w:t>
      </w:r>
    </w:p>
    <w:p>
      <w:pPr>
        <w:spacing w:after="0" w:line="151"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each platform or product candidate that is being researched, tested, developed or manufactured by or on behalf of the Group Companies.</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Registered Intellectual Property owned or purported to be owned by or filed by or in the name of any Group Company that has not been cancelled, expired, lapsed, or been abandoned.</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Required Shareholder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Shares</w:t>
      </w:r>
      <w:r>
        <w:rPr>
          <w:rFonts w:ascii="Times New Roman" w:cs="Times New Roman" w:eastAsia="Times New Roman" w:hAnsi="Times New Roman"/>
          <w:sz w:val="18"/>
          <w:szCs w:val="18"/>
          <w:color w:val="auto"/>
        </w:rPr>
        <w:t>” means shares of preferred stock, par value $0.0001 per share, of the Company designated as “Series A Preferred Stock” pursuant to the Company Certificate of Incorporation.</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Shares</w:t>
      </w:r>
      <w:r>
        <w:rPr>
          <w:rFonts w:ascii="Times New Roman" w:cs="Times New Roman" w:eastAsia="Times New Roman" w:hAnsi="Times New Roman"/>
          <w:sz w:val="18"/>
          <w:szCs w:val="18"/>
          <w:color w:val="auto"/>
        </w:rPr>
        <w:t>” means shares of preferred stock, par value $0.0001 per share, of the Company designated as “Series B Preferred Stock” pursuant to the Company Certificate of Incorporation.</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Seed Preferred Shares</w:t>
      </w:r>
      <w:r>
        <w:rPr>
          <w:rFonts w:ascii="Times New Roman" w:cs="Times New Roman" w:eastAsia="Times New Roman" w:hAnsi="Times New Roman"/>
          <w:sz w:val="18"/>
          <w:szCs w:val="18"/>
          <w:color w:val="auto"/>
        </w:rPr>
        <w:t>” means shares of preferred stock, par value $0.0001 per share, of the Company designated as “Series Seed Preferred Stock” pursuant to the Company Certificate of Incorporation.</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Written Consent</w:t>
      </w:r>
      <w:r>
        <w:rPr>
          <w:rFonts w:ascii="Times New Roman" w:cs="Times New Roman" w:eastAsia="Times New Roman" w:hAnsi="Times New Roman"/>
          <w:sz w:val="18"/>
          <w:szCs w:val="18"/>
          <w:color w:val="auto"/>
        </w:rPr>
        <w:t xml:space="preserve">” has the meaning set sort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 Written Consent Deadline</w:t>
      </w:r>
      <w:r>
        <w:rPr>
          <w:rFonts w:ascii="Times New Roman" w:cs="Times New Roman" w:eastAsia="Times New Roman" w:hAnsi="Times New Roman"/>
          <w:sz w:val="18"/>
          <w:szCs w:val="18"/>
          <w:color w:val="auto"/>
        </w:rPr>
        <w:t xml:space="preserve">” has the meaning set sort in </w:t>
      </w:r>
      <w:r>
        <w:rPr>
          <w:rFonts w:ascii="Times New Roman" w:cs="Times New Roman" w:eastAsia="Times New Roman" w:hAnsi="Times New Roman"/>
          <w:sz w:val="18"/>
          <w:szCs w:val="18"/>
          <w:u w:val="single" w:color="auto"/>
          <w:color w:val="auto"/>
        </w:rPr>
        <w:t>Section 5.14(a)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xml:space="preserve">” means, collectively, the holders of Company Shares as of any determination time prior to the Effective Time. For the avoidance of doubt, the holders of Company Warrants will become Company Shareholders immediately prior to the Closing upon exercise of such Company Warrants for Company Common Shares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 Agreement</w:t>
      </w:r>
      <w:r>
        <w:rPr>
          <w:rFonts w:ascii="Times New Roman" w:cs="Times New Roman" w:eastAsia="Times New Roman" w:hAnsi="Times New Roman"/>
          <w:sz w:val="18"/>
          <w:szCs w:val="18"/>
          <w:color w:val="auto"/>
        </w:rPr>
        <w:t>” means, collectively, (a) the Company Amended and Restated Stockholders Agreement, dated April 8, 2020, by and among the Company and the Company Shareholders party thereto, (b) the Company Amended and Restated Voting Agreement, dated April 8, 2020, by and among the Company and the Company Shareholders party thereto, (c) the Company Amended and Restated Right of First Refusal and Co-Sale Agreement, dated April 8, 2020, by and among the Company and the Company Shareholders party thereto and (d) the Company Amended and Restated Registration Rights Agreement, dated April 8, 2020, by and among the Company and the Company Shareholders party thereto.</w:t>
      </w:r>
    </w:p>
    <w:p>
      <w:pPr>
        <w:spacing w:after="0" w:line="167"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Company Series A Preferred Shares, the Company Series B Preferred Shares, the Company Series Seed Preferred Shares and the Company Common Shares.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 w:name="page27"/>
    <w:bookmarkEnd w:id="26"/>
    <w:p>
      <w:pPr>
        <w:jc w:val="both"/>
        <w:ind w:firstLine="5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means, as of any determination time, each warrant to purchase Company Common Shares that is outstanding and granted pursuant to the Company Warrant Agreement.</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 Agreement</w:t>
      </w:r>
      <w:r>
        <w:rPr>
          <w:rFonts w:ascii="Times New Roman" w:cs="Times New Roman" w:eastAsia="Times New Roman" w:hAnsi="Times New Roman"/>
          <w:sz w:val="18"/>
          <w:szCs w:val="18"/>
          <w:color w:val="auto"/>
        </w:rPr>
        <w:t>” means the Warrant to Purchase Common Stock, dated as of September 7, 2017, by and between the Company and Silicon Valley Bank.</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 means that certain Mutual Confidentiality Agreement, dated as of December 16, 2020, by and between the Company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ARYA.</w:t>
      </w:r>
    </w:p>
    <w:p>
      <w:pPr>
        <w:spacing w:after="0" w:line="17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notice, authorization, qualification, registration, filing, notification, permit, waiver, order, consent or approval to be obtained from, filed with or delivered to, a Governmental Entity or other Person.</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agreement, contract, license, lease, obligation, undertaking or other commitment or arrangement that is legally binding upon a Person or any of his, her or its properties or assets.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has the meaning set forth in the definition of Intellectual Property Rights.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thereof or related or associated epidemics, pandemic or disease outbreaks.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5.1(b)(vii)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Domestication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xml:space="preserve">” had the meaning set forth in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each “employee benefit plan” (as such term is defined in Section 3(3) of ERISA, whether or not subject to ERISA) and each other benefit or compensatory plan, program, policy or Contract that any Group Company maintains, sponsors or contributes to, or under or with respect to which any Group Company has any Liability, other than any plan or program sponsored or maintained by a Governmental Entity.</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Stock Purchase Plan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and Orders concerning pollution, protection of the environment, or human health or safety (as related to exposure to Hazardous Substances).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 w:name="page28"/>
    <w:bookmarkEnd w:id="27"/>
    <w:p>
      <w:pPr>
        <w:jc w:val="both"/>
        <w:ind w:firstLine="5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Value</w:t>
      </w:r>
      <w:r>
        <w:rPr>
          <w:rFonts w:ascii="Times New Roman" w:cs="Times New Roman" w:eastAsia="Times New Roman" w:hAnsi="Times New Roman"/>
          <w:sz w:val="18"/>
          <w:szCs w:val="18"/>
          <w:color w:val="auto"/>
        </w:rPr>
        <w:t>” means $900,000,000.</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the quotient obtained by dividing (a) the Adjusted Transaction Share Consideration, by (b) the number of Fully-Diluted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means the Exchange Act, the Securities Act and the other U.S. federal securities laws and the rules and regulations of the SEC promulgated thereunder or otherwise.</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Benefit Plan</w:t>
      </w:r>
      <w:r>
        <w:rPr>
          <w:rFonts w:ascii="Times New Roman" w:cs="Times New Roman" w:eastAsia="Times New Roman" w:hAnsi="Times New Roman"/>
          <w:sz w:val="18"/>
          <w:szCs w:val="18"/>
          <w:color w:val="auto"/>
        </w:rPr>
        <w:t xml:space="preserve">” means each Employee </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xml:space="preserve"> maintained by any of the Group Companies for its current or former employees, officers, directors or other individual service providers located outside of the United States.</w:t>
      </w:r>
    </w:p>
    <w:p>
      <w:pPr>
        <w:spacing w:after="0" w:line="151"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73"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Fully-Diluted Shares</w:t>
      </w:r>
      <w:r>
        <w:rPr>
          <w:rFonts w:ascii="Times New Roman" w:cs="Times New Roman" w:eastAsia="Times New Roman" w:hAnsi="Times New Roman"/>
          <w:sz w:val="18"/>
          <w:szCs w:val="18"/>
          <w:color w:val="auto"/>
        </w:rPr>
        <w:t xml:space="preserve">” means an amount equal to, without duplication, (a) the aggregate number of Company Shares and any other shares of capital stock of the Company that are issued and outstanding as of immediately prior to the Effective Time calculated on a fully-diluted, as converted-to-Company Common Shares basis in accordance with the Company Certificate of Incorporation (including, for the avoidance of doubt, the Company Common Shares issued upon exercise of the Company Warrants immediately prior to the Closing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number of shares of Company Common Shares issuable upon the full exercise, exchange or conversion of Company Options that are outstanding as of immediately prior to the Effective Time.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 w:name="page29"/>
    <w:bookmarkEnd w:id="28"/>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19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the legal document(s) by which any Person (other than an individual) establishes its legal existence or which govern its internal affairs. For example, the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of a U.S. corporation are its certificate or articles of incorporation and by-laws, the “</w:t>
      </w:r>
      <w:r>
        <w:rPr>
          <w:rFonts w:ascii="Times New Roman" w:cs="Times New Roman" w:eastAsia="Times New Roman" w:hAnsi="Times New Roman"/>
          <w:sz w:val="18"/>
          <w:szCs w:val="18"/>
          <w:u w:val="single" w:color="auto"/>
          <w:color w:val="auto"/>
        </w:rPr>
        <w:t>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of a U.S. limited partnership are its limited partnership agreement and certificate of limited partnership, the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of a U.S. limited liability company are its operating or limited liability company agreement and certificate of formation and the “Governing Documents” of an exempted company incorporated in the Cayman Islands with limited liability are its memorandum and articles of association.</w:t>
      </w:r>
    </w:p>
    <w:p>
      <w:pPr>
        <w:spacing w:after="0" w:line="167"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 (c) body exercising or entitled to exercise any administrative, executive, judicial, legislative, police, regulatory, or taxing authority or power of any nature, including any arbitral tribunal of competent jurisdiction (public or private).</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collectively, the Company and its Subsidiaries.</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hazardous, toxic, explosive or radioactive material, substance or waste or other pollutant that is regulated by, or may give rise to standards of conduct or Liability pursuant to, any Environmental Law, including any petroleum products or byproducts, asbestos, lead, polychlorinated biphenyls, per- and poly-fluoroakyl substances, or radon.</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and the rules and regulations promulgated thereunder.</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Equity Plan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 Company Option intended to be an “incentive stock option” (as defined in Section 422 of the Code).</w:t>
      </w:r>
    </w:p>
    <w:p>
      <w:pPr>
        <w:spacing w:after="0" w:line="19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payables arising in the ordinary course of business), (d) reimbursement and other obligations with respect to letters of credit, bank guarantees, bankers’ acceptances or other similar instruments, in each case, solely to the extent drawn, (e) leases required to be capitalized under GAAP, (f) derivative, hedging, swap, foreign exchange or similar arrangements, including swaps, caps, collars, hedges or similar arrangements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and (g) any of the obligations of any other Person of the type referred to in clauses (a) through (f) above directly or indirectly guaranteed by such Person or secured by any assets of such Person, whether or not such Indebtedness has been assumed by such Person.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9" w:name="page30"/>
    <w:bookmarkEnd w:id="29"/>
    <w:p>
      <w:pPr>
        <w:jc w:val="both"/>
        <w:ind w:firstLine="532"/>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(b) trademarks, service marks, trade names, service names, brand names, trade dress rights, logos, rights in Internet domain names, corporate names and other source or business identifiers, together with the goodwill associated with any of the foregoing, and all applications, registrations, extensions and renewals of any of the foregoing (collectively, “</w:t>
      </w:r>
      <w:r>
        <w:rPr>
          <w:rFonts w:ascii="Times New Roman" w:cs="Times New Roman" w:eastAsia="Times New Roman" w:hAnsi="Times New Roman"/>
          <w:sz w:val="17"/>
          <w:szCs w:val="17"/>
          <w:u w:val="single" w:color="auto"/>
          <w:color w:val="auto"/>
        </w:rPr>
        <w:t>Marks</w:t>
      </w:r>
      <w:r>
        <w:rPr>
          <w:rFonts w:ascii="Times New Roman" w:cs="Times New Roman" w:eastAsia="Times New Roman" w:hAnsi="Times New Roman"/>
          <w:sz w:val="17"/>
          <w:szCs w:val="17"/>
          <w:color w:val="auto"/>
        </w:rPr>
        <w:t>”); (c) copyrights and other rights in works of authorship, database and design rights, mask work rights and moral rights, whether or not registered or published, and all registrations, applications, renewals, extensions and reversions of any of any of the foregoing (collectively, “</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(d) rights in trade secrets, know-how and confidential and proprietary information, including invention disclosures, inventions and formulae, whether patentable or not; (e) rights in or to Software or other technology; and (f) any other intellectual or proprietary rights protectable, arising under or associated with any of the foregoing, including those protected by any Law anywhere in the world.</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ARYA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foreign, national or supranational statute, law (including common law), act, statute, ordinance, treaty, rule, code, regulation or other legally binding directive issued, promulgated or enforced by a Governmental Entity having jurisdiction over a given matter.</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means the letter of transmittal, substantially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with such modifications, amendments or supplements as may be requested by the Exchange Agent and mutually agreed to by each of ARYA and the Company (such agreement not to be unreasonably withheld, conditioned or delayed by either the Company or ARYA, as applicable).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0" w:name="page31"/>
    <w:bookmarkEnd w:id="30"/>
    <w:p>
      <w:pPr>
        <w:jc w:val="both"/>
        <w:ind w:firstLine="532"/>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and all debts, liabilities and obligations, whether accrued unaccrued, liquidated or unliquidated, fixed, absolute or contingent, known or unknown, matured or unmatured or determined or determinable, including those arising under any Law (including any Environmental Law), Proceeding or Order and those arising under any Contract, agreement, arrangement, commitment or undertaking.</w:t>
      </w:r>
    </w:p>
    <w:p>
      <w:pPr>
        <w:spacing w:after="0" w:line="164"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has the meaning set forth in the definition of Intellectual Property Rights.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introductory paragraph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has the meaning set forth in Section (3)37 or Section 4001(a)(3) of ERISA.</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Off-the-Shelf Software</w:t>
      </w:r>
      <w:r>
        <w:rPr>
          <w:rFonts w:ascii="Times New Roman" w:cs="Times New Roman" w:eastAsia="Times New Roman" w:hAnsi="Times New Roman"/>
          <w:sz w:val="18"/>
          <w:szCs w:val="18"/>
          <w:color w:val="auto"/>
        </w:rPr>
        <w:t>” means any Software or other technology that is made generally available on a commercial basis (including technology offered on a SaaS, PaaS, or IaaS or similar basis and Software available through retail stores, distribution networks or that is pre-installed as a standard part of hardware) and is licensed to or otherwise made available to any of the Group Companies on a non-exclusive basis under standard terms and conditions for a one-time fee of less than $100,000 per license or an ongoing fee of less than $50,000 per year.</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outstanding writ, order, judgment, injunction, settlement, decision, determination, award, ruling, subpoena, verdict or decree entered, issued or rendered by any Governmental Entity.</w:t>
      </w:r>
    </w:p>
    <w:p>
      <w:pPr>
        <w:spacing w:after="0" w:line="151"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ARYA Shareholder Approval</w:t>
      </w:r>
      <w:r>
        <w:rPr>
          <w:rFonts w:ascii="Times New Roman" w:cs="Times New Roman" w:eastAsia="Times New Roman" w:hAnsi="Times New Roman"/>
          <w:sz w:val="18"/>
          <w:szCs w:val="18"/>
          <w:color w:val="auto"/>
        </w:rPr>
        <w:t>” means the approval of each Other Transaction Proposal by the affirmative vote of the holders of the requisite number of ARYA Shares entitled to vote thereon, whether in person or by proxy at the ARYA Shareholders Meeting (or any adjournment thereof), in accordance with the Governing Documents of ARYA and applicable Law.</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1" w:name="page32"/>
    <w:bookmarkEnd w:id="31"/>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Class B Shareholders</w:t>
      </w:r>
      <w:r>
        <w:rPr>
          <w:rFonts w:ascii="Times New Roman" w:cs="Times New Roman" w:eastAsia="Times New Roman" w:hAnsi="Times New Roman"/>
          <w:sz w:val="18"/>
          <w:szCs w:val="18"/>
          <w:color w:val="auto"/>
        </w:rPr>
        <w:t>” means, collectively, Bradley Campbell, Saqib Islam and Todd Wider.</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Governing Document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Transaction Proposal</w:t>
      </w:r>
      <w:r>
        <w:rPr>
          <w:rFonts w:ascii="Times New Roman" w:cs="Times New Roman" w:eastAsia="Times New Roman" w:hAnsi="Times New Roman"/>
          <w:sz w:val="18"/>
          <w:szCs w:val="18"/>
          <w:color w:val="auto"/>
        </w:rPr>
        <w:t>” means each Transaction Proposal, other than the Required Transaction Proposals.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introductory paragraph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Intellectual Property Rights.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Perceptive</w:t>
      </w:r>
      <w:r>
        <w:rPr>
          <w:rFonts w:ascii="Times New Roman" w:cs="Times New Roman" w:eastAsia="Times New Roman" w:hAnsi="Times New Roman"/>
          <w:sz w:val="18"/>
          <w:szCs w:val="18"/>
          <w:color w:val="auto"/>
        </w:rPr>
        <w:t>” means Perceptive Advisors, LLC, a Delaware limited liability company.</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Perceptive PIPE Investor</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Perceptive Shareholders</w:t>
      </w:r>
      <w:r>
        <w:rPr>
          <w:rFonts w:ascii="Times New Roman" w:cs="Times New Roman" w:eastAsia="Times New Roman" w:hAnsi="Times New Roman"/>
          <w:sz w:val="18"/>
          <w:szCs w:val="18"/>
          <w:color w:val="auto"/>
        </w:rPr>
        <w:t>” means, collectively, the ARYA Sponsor and the Perceptive PIPE Investor.</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any approvals, authorizations, clearances, business licenses, registrations, permits or certificates of a Governmental Entity.</w:t>
      </w:r>
    </w:p>
    <w:p>
      <w:pPr>
        <w:spacing w:after="0" w:line="192"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mechanic’s, materialmen’s, carriers’, repairers’ and other similar statutory Liens arising or incurred in the ordinary course of business for amounts that are not yet delinquent or are being contested 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Intellectual Property Rights in the ordinary course of business and (g) other Liens that do not materially and adversely affect the value, use or operation of the asset subject thereto.</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2" w:name="page33"/>
    <w:bookmarkEnd w:id="32"/>
    <w:p>
      <w:pPr>
        <w:jc w:val="both"/>
        <w:ind w:firstLine="5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(a) can, alone or when combined with other information maintained for or on behalf of the Company, identify a natural person, or (b) is otherwise subject to applicable Laws or any privacy policies of the Company governing personal information.</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 Amount</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Subscription Agreements</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ARYA Governing Documents</w:t>
      </w:r>
      <w:r>
        <w:rPr>
          <w:rFonts w:ascii="Times New Roman" w:cs="Times New Roman" w:eastAsia="Times New Roman" w:hAnsi="Times New Roman"/>
          <w:sz w:val="18"/>
          <w:szCs w:val="18"/>
          <w:color w:val="auto"/>
        </w:rPr>
        <w:t>” means, collectively, (a) the Amended and Restated Memorandum of Association of ARYA, dated as of August 6, 2020, and (b) the Amended &amp; Restated Articles of Association of ARYA, dated as of August 6, 2020.</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ARYA Shareholders</w:t>
      </w:r>
      <w:r>
        <w:rPr>
          <w:rFonts w:ascii="Times New Roman" w:cs="Times New Roman" w:eastAsia="Times New Roman" w:hAnsi="Times New Roman"/>
          <w:sz w:val="18"/>
          <w:szCs w:val="18"/>
          <w:color w:val="auto"/>
        </w:rPr>
        <w:t>” means the holders of ARYA Shares as of any determination time prior to the Effective Time.</w:t>
      </w:r>
    </w:p>
    <w:p>
      <w:pPr>
        <w:spacing w:after="0" w:line="192"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lawsuit, litigation, action, audit, examination, investigation, claim, complaint, charge, proceeding, suit or arbitration (in each case, whether civil, criminal or administrative and whether public or private) pending by or before or otherwise involving any Governmental Entity.</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Processes</w:t>
      </w:r>
      <w:r>
        <w:rPr>
          <w:rFonts w:ascii="Times New Roman" w:cs="Times New Roman" w:eastAsia="Times New Roman" w:hAnsi="Times New Roman"/>
          <w:sz w:val="18"/>
          <w:szCs w:val="18"/>
          <w:color w:val="auto"/>
        </w:rPr>
        <w:t>”) means the collection, use, storage, processing, recording, distribution, transfer, import, export, protection (including security measures), disposal or disclosure or other activity regarding data (whether electronically or in any other form or medium).</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Health Laws</w:t>
      </w:r>
      <w:r>
        <w:rPr>
          <w:rFonts w:ascii="Times New Roman" w:cs="Times New Roman" w:eastAsia="Times New Roman" w:hAnsi="Times New Roman"/>
          <w:sz w:val="18"/>
          <w:szCs w:val="18"/>
          <w:color w:val="auto"/>
        </w:rPr>
        <w:t xml:space="preserve">” means all applicable Laws relating to the development, pre-clinical testing, clinical testing, manufacture, production, analysis, distribution, importation, exportation, use, handling, quality, sale or promotion of any drug, biologic or medical device (including any ingredient or component of the foregoing products) intended for any medical or clinical use subject to regulation under the Federal Food, Drug, and Cosmetic Act (21 U.S.C. § 301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similar federal, state or foreign Laws.</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 w:name="page34"/>
    <w:bookmarkEnd w:id="33"/>
    <w:p>
      <w:pPr>
        <w:jc w:val="both"/>
        <w:ind w:firstLine="532"/>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Software</w:t>
      </w:r>
      <w:r>
        <w:rPr>
          <w:rFonts w:ascii="Times New Roman" w:cs="Times New Roman" w:eastAsia="Times New Roman" w:hAnsi="Times New Roman"/>
          <w:sz w:val="18"/>
          <w:szCs w:val="18"/>
          <w:color w:val="auto"/>
        </w:rPr>
        <w:t>” means any Software that contains, includes, incorporates, or has instantiated therein, or is derived in any manner (in whole or in part) from, any Software that is distributed as free Software, open source software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spacing w:after="0" w:line="17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means all leases, sub-leases, licenses, concessions or other agreements, in each case, pursuant to which any Group Company leases or sub-leases any real property.</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all issued Patents, pending Patent applications, registered Marks, pending applications for registration of Marks, registered Copyrights, pending applications for registration of Copyrights and Internet domain name registrations.</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 / Proxy Statement</w:t>
      </w:r>
      <w:r>
        <w:rPr>
          <w:rFonts w:ascii="Times New Roman" w:cs="Times New Roman" w:eastAsia="Times New Roman" w:hAnsi="Times New Roman"/>
          <w:sz w:val="18"/>
          <w:szCs w:val="18"/>
          <w:color w:val="auto"/>
        </w:rPr>
        <w:t>” means a registration statement on Form S-4 relating to the transactions contemplated by this Agreement and the Ancillary Documents and containing a prospectus and proxy statement of ARYA.</w:t>
      </w:r>
    </w:p>
    <w:p>
      <w:pPr>
        <w:spacing w:after="0" w:line="151"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means all Permits granted by FDA or any comparable Governmental Entity to any Group Company, including investigational new drug applications, new drug applications, abbreviated new drug applications, medical device or in vitro diagnostic premarket approval applications, medical device or in vitro diagnostic premarket clearances (e.g., 510(k) clearances), investigational device exemptions, and other comparable national or foreign manufacturing approvals and authorizations.</w:t>
      </w:r>
    </w:p>
    <w:p>
      <w:pPr>
        <w:spacing w:after="0" w:line="167"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and such Person’s Affiliates’ respective directors, managers, general partners, officers, employees, accountants, consultants, advisors, attorneys, agents and other representatives.</w:t>
      </w:r>
    </w:p>
    <w:p>
      <w:pPr>
        <w:spacing w:after="0" w:line="151"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ARYA Shareholder Approval</w:t>
      </w:r>
      <w:r>
        <w:rPr>
          <w:rFonts w:ascii="Times New Roman" w:cs="Times New Roman" w:eastAsia="Times New Roman" w:hAnsi="Times New Roman"/>
          <w:sz w:val="18"/>
          <w:szCs w:val="18"/>
          <w:color w:val="auto"/>
        </w:rPr>
        <w:t>” means (a) the approval of the Domestication Proposal and the Required Governing Document Proposal by the affirmative vote of the holders of at least two-thirds (2/3) of ARYA Shares entitled to vote thereon, whether in person or by proxy at the ARYA Shareholders Meeting (or any adjournment thereof), in accordance with the Governing Documents of ARYA and applicable Law, and (b) the approval of the Business Combination Proposal, the Nasdaq Proposal, the Incentive Equity Plan Proposal and the Employee Stock Purchase Plan Proposal by the affirmative vote of the holders of a majority of ARYA Shares entitled to vote thereon, whether in person or by proxy at the ARYA Shareholders Meeting (or any adjournment thereof), in accordance with the Governing Documents of ARYA and applicable Law.</w:t>
      </w:r>
    </w:p>
    <w:p>
      <w:pPr>
        <w:spacing w:after="0" w:line="17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Transaction Proposals</w:t>
      </w:r>
      <w:r>
        <w:rPr>
          <w:rFonts w:ascii="Times New Roman" w:cs="Times New Roman" w:eastAsia="Times New Roman" w:hAnsi="Times New Roman"/>
          <w:sz w:val="18"/>
          <w:szCs w:val="18"/>
          <w:color w:val="auto"/>
        </w:rPr>
        <w:t>” means, collectively, the Business Combination Proposal, the Domestication Proposal, the Nasdaq Proposal, the Required Governing Document Proposal, the Incentive Equity Plan Proposal and the Employee Stock Purchase Plan Proposal.</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Governing Document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4" w:name="page35"/>
    <w:bookmarkEnd w:id="34"/>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and Export Control Laws</w:t>
      </w:r>
      <w:r>
        <w:rPr>
          <w:rFonts w:ascii="Times New Roman" w:cs="Times New Roman" w:eastAsia="Times New Roman" w:hAnsi="Times New Roman"/>
          <w:sz w:val="18"/>
          <w:szCs w:val="18"/>
          <w:color w:val="auto"/>
        </w:rPr>
        <w:t>” means any Law or Order related to (a) import and export controls, including the U.S. Export Administration Regulations, the International Traffic in Arms Regulations such other controls administered by the U.S. Customs and Border Protection, (b) economic sanctions, including those administered by the Office of Foreign Assets Control of the U.S. Department of the Treasury, the U.S. Department of State, the European Union, any European Union Member State, the United Nations, and Her Majesty’s Treasury of the United Kingdom or (c) anti-boycott measures.</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collectively, the Company Disclosure Schedules and the ARYA Disclosure Schedules.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Federal Securities Laws and other applicable foreign and domestic securities or similar Laws.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Letter Agreement</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5" w:name="page36"/>
    <w:bookmarkEnd w:id="35"/>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Supporting Company Shareholders</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2.1(b)(vi)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fees, additions to tax, or additional amounts imposed by any Governmental Entity with respect thereto, whether disputed or not.</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means any Governmental Entity responsible for the collection or administration of Taxes or Tax Returns.</w:t>
      </w:r>
    </w:p>
    <w:p>
      <w:pPr>
        <w:spacing w:after="0" w:line="19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returns, information returns, statements, declarations, claims for refund, schedules, attachments and reports relating to Taxes required to be filed with any Governmental Entity, including any amendment of any of the foregoing.</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PIPE Investors</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has the meaning set forth in the recitals to this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Unpaid ARYA Expenses</w:t>
      </w:r>
      <w:r>
        <w:rPr>
          <w:rFonts w:ascii="Times New Roman" w:cs="Times New Roman" w:eastAsia="Times New Roman" w:hAnsi="Times New Roman"/>
          <w:sz w:val="17"/>
          <w:szCs w:val="17"/>
          <w:color w:val="auto"/>
        </w:rPr>
        <w:t>” means the ARYA Expenses calculated as of immediately prior to the Closing, in each case, to the extent unpaid as of such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6" w:name="page37"/>
    <w:bookmarkEnd w:id="36"/>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Unpaid ARYA Liabilities</w:t>
      </w:r>
      <w:r>
        <w:rPr>
          <w:rFonts w:ascii="Times New Roman" w:cs="Times New Roman" w:eastAsia="Times New Roman" w:hAnsi="Times New Roman"/>
          <w:sz w:val="17"/>
          <w:szCs w:val="17"/>
          <w:color w:val="auto"/>
        </w:rPr>
        <w:t>” means the ARYA Liabilities calculated as of immediately prior to the Closing, in each case, to the extent unpaid as of such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7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Company Expenses</w:t>
      </w:r>
      <w:r>
        <w:rPr>
          <w:rFonts w:ascii="Times New Roman" w:cs="Times New Roman" w:eastAsia="Times New Roman" w:hAnsi="Times New Roman"/>
          <w:sz w:val="18"/>
          <w:szCs w:val="18"/>
          <w:color w:val="auto"/>
        </w:rPr>
        <w:t>” means the Company Expenses calculated as of immediately prior to the Closing, in each case, to the extent unpaid as of such time.</w:t>
      </w:r>
    </w:p>
    <w:p>
      <w:pPr>
        <w:spacing w:after="0" w:line="151"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as of immediately prior to the Effective Time that is not a Vested Company Option.</w:t>
      </w:r>
    </w:p>
    <w:p>
      <w:pPr>
        <w:spacing w:after="0" w:line="15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as of immediately prior to the Effective Time that is vested as of such time or will vest in connection with the consummation of the transactions contemplated hereby (whether at the Effective Time or otherwise).</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means the Worker Adjustment Retraining and Notification Act of 1988, as well as similar foreign, state or local Laws.</w:t>
      </w:r>
    </w:p>
    <w:p>
      <w:pPr>
        <w:spacing w:after="0" w:line="192" w:lineRule="exact"/>
        <w:rPr>
          <w:sz w:val="20"/>
          <w:szCs w:val="20"/>
          <w:color w:val="auto"/>
        </w:rPr>
      </w:pPr>
    </w:p>
    <w:p>
      <w:pPr>
        <w:jc w:val="both"/>
        <w:ind w:right="20" w:firstLine="532"/>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70"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2.1 </w:t>
      </w:r>
      <w:r>
        <w:rPr>
          <w:rFonts w:ascii="Times New Roman" w:cs="Times New Roman" w:eastAsia="Times New Roman" w:hAnsi="Times New Roman"/>
          <w:sz w:val="18"/>
          <w:szCs w:val="18"/>
          <w:b w:val="1"/>
          <w:bCs w:val="1"/>
          <w:u w:val="single" w:color="auto"/>
          <w:color w:val="000000"/>
        </w:rPr>
        <w:t>Closing Transactions</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On the terms and subject to the conditions set forth in this Agreement, the following transactions shall occur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 the order set forth in this Section 2.1:</w:t>
      </w:r>
    </w:p>
    <w:p>
      <w:pPr>
        <w:spacing w:after="0" w:line="147" w:lineRule="exact"/>
        <w:rPr>
          <w:sz w:val="20"/>
          <w:szCs w:val="20"/>
          <w:color w:val="auto"/>
        </w:rPr>
      </w:pPr>
    </w:p>
    <w:p>
      <w:pPr>
        <w:jc w:val="both"/>
        <w:ind w:firstLine="1074"/>
        <w:spacing w:after="0" w:line="234" w:lineRule="auto"/>
        <w:tabs>
          <w:tab w:leader="none" w:pos="1783"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xml:space="preserve">. On the Closing Date, prior to the Effective Time, ARYA shall cause the Domestication to occur in accordance with Section 388 of the DGCL and Part XII of the Cayman Islands Companies Act (2020 Revision), including by filing with the Delaware Secretary of State a Certificate of Domestication with respect to the Domestication, in form and substance reasonably acceptable to ARYA and the Company, together with the ARYA Certificate of Incorporation and completing and making all filings required to be made with the Cayman Registrar to effect the Domestication. In connection with (and as part of) the Domestication, ARYA shall cause (i) each ARYA Class A Share and each ARYA Class B Share that is issued and outstanding immediately prior to the Domestication to be converted into one share of common stock, par value $0.0001 per share, of ARYA, (ii) the Governing Documents of ARYA to become the certificate of incorporation,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(with such changes as may be agreed in writing by ARYA and the Company, the “</w:t>
      </w:r>
      <w:r>
        <w:rPr>
          <w:rFonts w:ascii="Times New Roman" w:cs="Times New Roman" w:eastAsia="Times New Roman" w:hAnsi="Times New Roman"/>
          <w:sz w:val="18"/>
          <w:szCs w:val="18"/>
          <w:u w:val="single" w:color="auto"/>
          <w:color w:val="auto"/>
        </w:rPr>
        <w:t>ARYA Certificate of Incorporation</w:t>
      </w:r>
      <w:r>
        <w:rPr>
          <w:rFonts w:ascii="Times New Roman" w:cs="Times New Roman" w:eastAsia="Times New Roman" w:hAnsi="Times New Roman"/>
          <w:sz w:val="18"/>
          <w:szCs w:val="18"/>
          <w:color w:val="auto"/>
        </w:rPr>
        <w:t xml:space="preserve">”), and the bylaws,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(with such changes as may be agreed in writing by ARYA and the Company, the “</w:t>
      </w:r>
      <w:r>
        <w:rPr>
          <w:rFonts w:ascii="Times New Roman" w:cs="Times New Roman" w:eastAsia="Times New Roman" w:hAnsi="Times New Roman"/>
          <w:sz w:val="18"/>
          <w:szCs w:val="18"/>
          <w:u w:val="single" w:color="auto"/>
          <w:color w:val="auto"/>
        </w:rPr>
        <w:t>ARYA Bylaws</w:t>
      </w:r>
      <w:r>
        <w:rPr>
          <w:rFonts w:ascii="Times New Roman" w:cs="Times New Roman" w:eastAsia="Times New Roman" w:hAnsi="Times New Roman"/>
          <w:sz w:val="18"/>
          <w:szCs w:val="18"/>
          <w:color w:val="auto"/>
        </w:rPr>
        <w:t>”) and (iii) ARYA’s name to be changed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 ARYA shall cause the Domestication to be consummated in accordance with applicable Law. ARYA and its Representatives shall give the Company and its pertinent Representatives a reasonable opportunity to review any applicable documents, certificates or filings in connection with the Domestication and will consider, in good faith, any comments thereto.</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7" w:name="page38"/>
    <w:bookmarkEnd w:id="37"/>
    <w:p>
      <w:pPr>
        <w:ind w:left="526" w:hanging="526"/>
        <w:spacing w:after="0"/>
        <w:tabs>
          <w:tab w:leader="none" w:pos="526" w:val="left"/>
        </w:tabs>
        <w:numPr>
          <w:ilvl w:val="0"/>
          <w:numId w:val="8"/>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u w:val="single" w:color="auto"/>
          <w:color w:val="auto"/>
        </w:rPr>
        <w:t>The Merger</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010000"/>
        </w:rPr>
      </w:pPr>
    </w:p>
    <w:p>
      <w:pPr>
        <w:jc w:val="both"/>
        <w:ind w:left="6" w:firstLine="526"/>
        <w:spacing w:after="0" w:line="241" w:lineRule="auto"/>
        <w:tabs>
          <w:tab w:leader="none" w:pos="995"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the terms and subject to the conditions set forth in this Agreement and in accordance with the DGCL, on the Closing Date promptly following the consummation of the Domestication, Merger Sub shall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As a result of the Merger, the separate existence of Merger Sub shall cease, and the Company shall continue as the surviving company of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010000"/>
        </w:rPr>
      </w:pPr>
    </w:p>
    <w:p>
      <w:pPr>
        <w:jc w:val="both"/>
        <w:ind w:left="6" w:firstLine="526"/>
        <w:spacing w:after="0" w:line="237" w:lineRule="auto"/>
        <w:tabs>
          <w:tab w:leader="none" w:pos="1133"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Closing and promptly following the consummation of the Domestication, the Parties shall cause the Merger to be consummated by filing with the Secretary of State of the State of Delaware a certificate of merger, in a form reasonably satisfactory to the Company and ARYA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and filed in accordance with the relevant provisions of the DGCL. The Merger shall become effective on the date and time at which the Certificate of Merger is accepted for filing by the Secretary of State of the State of Delaware or at such later date and/or time as is agreed by ARYA and the Company and specified in the Certificate of Merger (the time the Merger becomes effective being referred to herein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010000"/>
        </w:rPr>
      </w:pPr>
    </w:p>
    <w:p>
      <w:pPr>
        <w:jc w:val="both"/>
        <w:ind w:left="6" w:firstLine="526"/>
        <w:spacing w:after="0" w:line="241" w:lineRule="auto"/>
        <w:tabs>
          <w:tab w:leader="none" w:pos="1071"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Merger shall have the effects set forth in Section 251 of the DGCL. Without limiting the generality of the foregoing, and subject thereto, at the Effective Time, all of the assets, properties, rights, privileges, powers and franchises of the Company and Merger Sub shall vest in the Surviving Company and all debts, liabilities, obligations, restrictions, disabilities and duties of each of the Company and Merger Sub shall become the debts, liabilities, obligations and duties of the Surviving Company, in each case, in accordance with the DGCL.</w:t>
      </w:r>
    </w:p>
    <w:p>
      <w:pPr>
        <w:spacing w:after="0" w:line="166" w:lineRule="exact"/>
        <w:rPr>
          <w:rFonts w:ascii="Times New Roman" w:cs="Times New Roman" w:eastAsia="Times New Roman" w:hAnsi="Times New Roman"/>
          <w:sz w:val="18"/>
          <w:szCs w:val="18"/>
          <w:color w:val="010000"/>
        </w:rPr>
      </w:pPr>
    </w:p>
    <w:p>
      <w:pPr>
        <w:ind w:left="6" w:firstLine="526"/>
        <w:spacing w:after="0" w:line="260" w:lineRule="auto"/>
        <w:tabs>
          <w:tab w:leader="none" w:pos="1039"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Effective Time, the Governing Documents of Merger Sub shall be the Governing Documents of the Surviving Company, in each case, until thereafter changed or amended as provided therein or by applicable Law.</w:t>
      </w:r>
    </w:p>
    <w:p>
      <w:pPr>
        <w:spacing w:after="0" w:line="150" w:lineRule="exact"/>
        <w:rPr>
          <w:rFonts w:ascii="Times New Roman" w:cs="Times New Roman" w:eastAsia="Times New Roman" w:hAnsi="Times New Roman"/>
          <w:sz w:val="18"/>
          <w:szCs w:val="18"/>
          <w:color w:val="010000"/>
        </w:rPr>
      </w:pPr>
    </w:p>
    <w:p>
      <w:pPr>
        <w:jc w:val="both"/>
        <w:ind w:left="6" w:firstLine="526"/>
        <w:spacing w:after="0" w:line="267" w:lineRule="auto"/>
        <w:tabs>
          <w:tab w:leader="none" w:pos="1056" w:val="left"/>
        </w:tabs>
        <w:numPr>
          <w:ilvl w:val="1"/>
          <w:numId w:val="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At the Effective Time, the directors and officers of the Company immediately prior to the Effective Time shall be the initial directors and officers of the Surviving Company, each to hold office in accordance with the Governing Documents of the Surviving Company until such director’s or officer’s successor is duly elected or appointed and qualified, or until the earlier of their death, resignation or removal.</w:t>
      </w:r>
    </w:p>
    <w:p>
      <w:pPr>
        <w:spacing w:after="0" w:line="146" w:lineRule="exact"/>
        <w:rPr>
          <w:rFonts w:ascii="Times New Roman" w:cs="Times New Roman" w:eastAsia="Times New Roman" w:hAnsi="Times New Roman"/>
          <w:sz w:val="17"/>
          <w:szCs w:val="17"/>
          <w:color w:val="010000"/>
        </w:rPr>
      </w:pPr>
    </w:p>
    <w:p>
      <w:pPr>
        <w:jc w:val="both"/>
        <w:ind w:left="6" w:firstLine="526"/>
        <w:spacing w:after="0" w:line="241" w:lineRule="auto"/>
        <w:tabs>
          <w:tab w:leader="none" w:pos="1028" w:val="left"/>
        </w:tabs>
        <w:numPr>
          <w:ilvl w:val="1"/>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Effective Time, by virtue of the Merger and without any action on the part of any Party or any other Person, each share of capital stock of Merger Sub issued and outstanding immediately prior to the Effective Time shall be automatically cancelled and extinguished and converted into one share of common stock, par value $0.0001, of the Surviving Company (each such share, a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w:t>
      </w:r>
    </w:p>
    <w:p>
      <w:pPr>
        <w:spacing w:after="0" w:line="317" w:lineRule="exact"/>
        <w:rPr>
          <w:sz w:val="20"/>
          <w:szCs w:val="20"/>
          <w:color w:val="auto"/>
        </w:rPr>
      </w:pPr>
    </w:p>
    <w:p>
      <w:pPr>
        <w:ind w:left="4506"/>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29210</wp:posOffset>
            </wp:positionV>
            <wp:extent cx="7157085"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325" w:right="319" w:bottom="1440" w:gutter="0" w:footer="0" w:header="0"/>
        </w:sectPr>
      </w:pPr>
    </w:p>
    <w:bookmarkStart w:id="38" w:name="page39"/>
    <w:bookmarkEnd w:id="38"/>
    <w:p>
      <w:pPr>
        <w:jc w:val="both"/>
        <w:ind w:left="-60" w:firstLine="526"/>
        <w:spacing w:after="0" w:line="235" w:lineRule="auto"/>
        <w:tabs>
          <w:tab w:leader="none" w:pos="111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the Effective Time, by virtue of the Merger and without any action on the part of any Party or any other Person, each Company Share (other than the Company Shares cancelled and extinguished pursuant to </w:t>
      </w:r>
      <w:r>
        <w:rPr>
          <w:rFonts w:ascii="Times New Roman" w:cs="Times New Roman" w:eastAsia="Times New Roman" w:hAnsi="Times New Roman"/>
          <w:sz w:val="18"/>
          <w:szCs w:val="18"/>
          <w:u w:val="single" w:color="auto"/>
          <w:color w:val="auto"/>
        </w:rPr>
        <w:t>Section 2.1(b)(x)</w:t>
      </w:r>
      <w:r>
        <w:rPr>
          <w:rFonts w:ascii="Times New Roman" w:cs="Times New Roman" w:eastAsia="Times New Roman" w:hAnsi="Times New Roman"/>
          <w:sz w:val="18"/>
          <w:szCs w:val="18"/>
          <w:color w:val="auto"/>
        </w:rPr>
        <w:t xml:space="preserve"> and any Company Dissenting Shares) issued and outstanding as of immediately prior to the Effective Time shall be automatically canceled and extinguished and converted into the right to receive a number of ARYA Shares equal to the Exchange Ratio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From and after the Effective Time, each Company Shareholder’s certificates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if any, evidencing ownership of the Company Shares and the Company Shares held in book-entry form issued and outstanding immediately prior to the Effective Time shall each cease to have any rights with respect to such Company Shares except as otherwise expressly provided for herein or under applicable Law. Prior to the Effective Time, ARYA shall cause all ARYA Shares issued in the Merger and the PIPE Financing to constitute duly authorized, validly issued, fully paid and non-assessable ARYA Shares.</w:t>
      </w:r>
    </w:p>
    <w:p>
      <w:pPr>
        <w:spacing w:after="0" w:line="172" w:lineRule="exact"/>
        <w:rPr>
          <w:rFonts w:ascii="Times New Roman" w:cs="Times New Roman" w:eastAsia="Times New Roman" w:hAnsi="Times New Roman"/>
          <w:sz w:val="18"/>
          <w:szCs w:val="18"/>
          <w:color w:val="010000"/>
        </w:rPr>
      </w:pPr>
    </w:p>
    <w:p>
      <w:pPr>
        <w:jc w:val="both"/>
        <w:ind w:left="-60" w:firstLine="526"/>
        <w:spacing w:after="0" w:line="241" w:lineRule="auto"/>
        <w:tabs>
          <w:tab w:leader="none" w:pos="107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purposes of calculating the aggregate number of ARYA Shares issuable to each holder of Company Shares pursuant to the terms of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all Company Shares held by such holder shall be aggregated, and the Exchange Ratio shall be applied to that aggregate number of shares held by such holder, and not on a share-by-share basis and the number of ARYA Shares to be issued shall be rounded down to the nearest whole share.</w:t>
      </w:r>
    </w:p>
    <w:p>
      <w:pPr>
        <w:spacing w:after="0" w:line="166" w:lineRule="exact"/>
        <w:rPr>
          <w:rFonts w:ascii="Times New Roman" w:cs="Times New Roman" w:eastAsia="Times New Roman" w:hAnsi="Times New Roman"/>
          <w:sz w:val="18"/>
          <w:szCs w:val="18"/>
          <w:color w:val="010000"/>
        </w:rPr>
      </w:pPr>
    </w:p>
    <w:p>
      <w:pPr>
        <w:jc w:val="both"/>
        <w:ind w:left="-60" w:firstLine="526"/>
        <w:spacing w:after="0" w:line="235" w:lineRule="auto"/>
        <w:tabs>
          <w:tab w:leader="none" w:pos="995"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between the date of this Agreement and the Closing, the outstanding ARYA Shares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which is based upon the number of ARYA Shares will be appropriately adjusted to provide to the holders of Company Shares the same economic effect as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2.1(b)(ix)</w:t>
      </w:r>
      <w:r>
        <w:rPr>
          <w:rFonts w:ascii="Times New Roman" w:cs="Times New Roman" w:eastAsia="Times New Roman" w:hAnsi="Times New Roman"/>
          <w:sz w:val="18"/>
          <w:szCs w:val="18"/>
          <w:color w:val="auto"/>
        </w:rPr>
        <w:t xml:space="preserve"> shall not (A) be construed to permit ARYA, Merger Sub or the Company to take any action with respect to their respective securities that is prohibited by the terms and conditions of this Agreement, or (B) apply to the Domestication or any other transactions expressly contemplated by this Agreement or any Ancillary Document to the extent consummated in accordance with the terms contemplated by this Agreement and/or such Ancillary Document, as applicable.</w:t>
      </w:r>
    </w:p>
    <w:p>
      <w:pPr>
        <w:spacing w:after="0" w:line="172"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90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Effective Time, by virtue of the Merger and without any action on the part of any Party or any other Person, each Company Share held immediately prior to the Effective Time by the Company as treasury stock shall be automatically canceled and extinguished, and no consideration shall be paid with respect thereto.</w:t>
      </w:r>
    </w:p>
    <w:p>
      <w:pPr>
        <w:spacing w:after="0" w:line="3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29210</wp:posOffset>
            </wp:positionV>
            <wp:extent cx="715708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316" w:right="319" w:bottom="1440" w:gutter="0" w:footer="0" w:header="0"/>
        </w:sectPr>
      </w:pPr>
    </w:p>
    <w:bookmarkStart w:id="39" w:name="page40"/>
    <w:bookmarkEnd w:id="39"/>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2.2 </w:t>
      </w:r>
      <w:r>
        <w:rPr>
          <w:rFonts w:ascii="Times New Roman" w:cs="Times New Roman" w:eastAsia="Times New Roman" w:hAnsi="Times New Roman"/>
          <w:sz w:val="18"/>
          <w:szCs w:val="18"/>
          <w:b w:val="1"/>
          <w:bCs w:val="1"/>
          <w:u w:val="single" w:color="auto"/>
          <w:color w:val="000000"/>
        </w:rPr>
        <w:t>Closing of the Transactions Contemplated by this Agreement</w:t>
      </w:r>
      <w:r>
        <w:rPr>
          <w:rFonts w:ascii="Times New Roman" w:cs="Times New Roman" w:eastAsia="Times New Roman" w:hAnsi="Times New Roman"/>
          <w:sz w:val="18"/>
          <w:szCs w:val="18"/>
          <w:color w:val="000000"/>
        </w:rPr>
        <w:t>. The closing of the transactions contemplated by this Agreement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“Closing”) shall take place electronically by exchange of the closing deliverables by the means provided in Section 8.11 as promptly as reasonably practicable, but in no event later than the third (3rd) Business Day, following the satisfaction (or, to the extent permitted by applicable Law, waiver) of the conditions set forth in Article 6 (other than those conditions that by their nature are to be satisfied at the Closing, but subject to satisfaction or waiver of such conditions) (the date upon which the Closing actually occurs is referred to herein as the “Closing Date”) or at such other place, date and/or time as ARYA and the Company may agree in writing.</w:t>
      </w:r>
    </w:p>
    <w:p>
      <w:pPr>
        <w:spacing w:after="0" w:line="166"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2.3</w:t>
      </w:r>
      <w:r>
        <w:rPr>
          <w:sz w:val="20"/>
          <w:szCs w:val="20"/>
          <w:color w:val="auto"/>
        </w:rPr>
        <w:tab/>
      </w:r>
      <w:r>
        <w:rPr>
          <w:rFonts w:ascii="Times New Roman" w:cs="Times New Roman" w:eastAsia="Times New Roman" w:hAnsi="Times New Roman"/>
          <w:sz w:val="17"/>
          <w:szCs w:val="17"/>
          <w:b w:val="1"/>
          <w:bCs w:val="1"/>
          <w:u w:val="single" w:color="auto"/>
          <w:color w:val="auto"/>
        </w:rPr>
        <w:t>Allocation Schedule; Aggregate Transaction Proceeds Schedule</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jc w:val="both"/>
        <w:ind w:firstLine="1074"/>
        <w:spacing w:after="0" w:line="247" w:lineRule="auto"/>
        <w:tabs>
          <w:tab w:leader="none" w:pos="1739" w:val="left"/>
        </w:tabs>
        <w:numPr>
          <w:ilvl w:val="0"/>
          <w:numId w:val="1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Allocation Schedule</w:t>
      </w:r>
      <w:r>
        <w:rPr>
          <w:rFonts w:ascii="Times New Roman" w:cs="Times New Roman" w:eastAsia="Times New Roman" w:hAnsi="Times New Roman"/>
          <w:sz w:val="17"/>
          <w:szCs w:val="17"/>
          <w:color w:val="auto"/>
        </w:rPr>
        <w:t>. At least two (2) Business Days prior to the Closing Date, the Company shall deliver to ARYA an allocation schedule (the “</w:t>
      </w:r>
      <w:r>
        <w:rPr>
          <w:rFonts w:ascii="Times New Roman" w:cs="Times New Roman" w:eastAsia="Times New Roman" w:hAnsi="Times New Roman"/>
          <w:sz w:val="17"/>
          <w:szCs w:val="17"/>
          <w:u w:val="single" w:color="auto"/>
          <w:color w:val="auto"/>
        </w:rPr>
        <w:t>Allocation Schedule</w:t>
      </w:r>
      <w:r>
        <w:rPr>
          <w:rFonts w:ascii="Times New Roman" w:cs="Times New Roman" w:eastAsia="Times New Roman" w:hAnsi="Times New Roman"/>
          <w:sz w:val="17"/>
          <w:szCs w:val="17"/>
          <w:color w:val="auto"/>
        </w:rPr>
        <w:t xml:space="preserve">”) setting forth (i) the number of Company Shares held by each Company Shareholder (including the number of Company Common Shares immediately prior to the Closing, subject to the Company Warrants that will be exercised for Company Common Shares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2.4(b)</w:t>
      </w:r>
      <w:r>
        <w:rPr>
          <w:rFonts w:ascii="Times New Roman" w:cs="Times New Roman" w:eastAsia="Times New Roman" w:hAnsi="Times New Roman"/>
          <w:sz w:val="17"/>
          <w:szCs w:val="17"/>
          <w:color w:val="auto"/>
        </w:rPr>
        <w:t xml:space="preserve"> held by each holder thereof), the number of Company Common Shares subject to each Company Option held by each holder thereof, as well as whether each such Company Option will be a Vested Company Option or an Unvested Company Option as of immediately prior to the Effective Time, (ii) in the case of the Company Options, the exercise price and, if applicable, the exercise date, (iii) the portion of the Adjusted Transaction Share Consideration allocated to each Company Option pursuant to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and the portion of the Adjusted Transaction Share Consideration allocated to each Company Share pursuant to </w:t>
      </w:r>
      <w:r>
        <w:rPr>
          <w:rFonts w:ascii="Times New Roman" w:cs="Times New Roman" w:eastAsia="Times New Roman" w:hAnsi="Times New Roman"/>
          <w:sz w:val="17"/>
          <w:szCs w:val="17"/>
          <w:u w:val="single" w:color="auto"/>
          <w:color w:val="auto"/>
        </w:rPr>
        <w:t>Section 2.1(b)(vii)</w:t>
      </w:r>
      <w:r>
        <w:rPr>
          <w:rFonts w:ascii="Times New Roman" w:cs="Times New Roman" w:eastAsia="Times New Roman" w:hAnsi="Times New Roman"/>
          <w:sz w:val="17"/>
          <w:szCs w:val="17"/>
          <w:color w:val="auto"/>
        </w:rPr>
        <w:t xml:space="preserve"> (including, for the avoidance of doubt, each Company Share that is issued upon exercise of the Company Warrants immediately prior to the Closing pursuant to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as well as, in each case, reasonably detailed calculations with respect to the components and subcomponents thereof (including the Exchange Ratio), (iv) the exercise price of each Rollover Option at the Effective Time, and (v) a certification, duly executed by an authorized officer of the Company, that, to his or her knowledge and solely in his or her capacity as an officer of the Company (and without any personal liability), the information and calculations delivered pursuant to clauses (i), (ii), (iii) and (iv) are, and will be as of immediately prior to the Effective Time, (A) true and correct in all respects and (B) in accordance with the Allocation Schedule Principles. The Allocation Schedule (and the calculations and determinations contained therein) will be prepared in accordance with the applicable provisions of this Agreement, the Governing Documents of the Company, the Company Shareholders Agreement and applicable Laws, in the case of the Company Options, in accordance with the Company Equity Plan and any applicable grant or similar agreement with respect to each Company Option and, in the case of the Company Common Shares issued upon exercise of the Company Warrants immediately prior to the Closing pursuant to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the Company Warrant Agreement (collectively, the “</w:t>
      </w:r>
      <w:r>
        <w:rPr>
          <w:rFonts w:ascii="Times New Roman" w:cs="Times New Roman" w:eastAsia="Times New Roman" w:hAnsi="Times New Roman"/>
          <w:sz w:val="17"/>
          <w:szCs w:val="17"/>
          <w:u w:val="single" w:color="auto"/>
          <w:color w:val="auto"/>
        </w:rPr>
        <w:t>Allocation Schedule Principles</w:t>
      </w:r>
      <w:r>
        <w:rPr>
          <w:rFonts w:ascii="Times New Roman" w:cs="Times New Roman" w:eastAsia="Times New Roman" w:hAnsi="Times New Roman"/>
          <w:sz w:val="17"/>
          <w:szCs w:val="17"/>
          <w:color w:val="auto"/>
        </w:rPr>
        <w:t>”). The Company will review any comments to the Allocation Schedule provided by ARYA or any of its Representatives and consider in good faith and incorporate any reasonable comments proposed by ARYA or any of its Representatives. Notwithstanding the foregoing or anything to the contrary herein, (x) in no event shall the aggregate number of ARYA Shares set forth on the Allocation Schedule that are allocated in respect of the Equity Securities of the Company (or, for the avoidance of doubt, the Company Equityholders) exceed the Adjusted Transaction Share Consideration and (y) the ARYA Parties and the Exchange Agent will be entitled to rely upon the Allocation Schedule for purposes of allocating the transaction consideration to the Company Equityholders under this Agreement or under the Exchange Agent Agreement, as applicable.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40" w:name="page41"/>
    <w:bookmarkEnd w:id="40"/>
    <w:p>
      <w:pPr>
        <w:jc w:val="both"/>
        <w:ind w:firstLine="1074"/>
        <w:spacing w:after="0" w:line="250" w:lineRule="auto"/>
        <w:tabs>
          <w:tab w:leader="none" w:pos="1860" w:val="left"/>
        </w:tabs>
        <w:numPr>
          <w:ilvl w:val="1"/>
          <w:numId w:val="1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Aggregate Transaction Proceeds Schedule</w:t>
      </w:r>
      <w:r>
        <w:rPr>
          <w:rFonts w:ascii="Times New Roman" w:cs="Times New Roman" w:eastAsia="Times New Roman" w:hAnsi="Times New Roman"/>
          <w:sz w:val="17"/>
          <w:szCs w:val="17"/>
          <w:color w:val="auto"/>
        </w:rPr>
        <w:t>. At least two (2) Business Days prior to the Closing Date, ARYA shall deliver to the Company a reasonably detailed calculation of the Aggregate Transaction Proceeds (the “</w:t>
      </w:r>
      <w:r>
        <w:rPr>
          <w:rFonts w:ascii="Times New Roman" w:cs="Times New Roman" w:eastAsia="Times New Roman" w:hAnsi="Times New Roman"/>
          <w:sz w:val="17"/>
          <w:szCs w:val="17"/>
          <w:u w:val="single" w:color="auto"/>
          <w:color w:val="auto"/>
        </w:rPr>
        <w:t>Aggregate Transaction Proceeds Schedule</w:t>
      </w:r>
      <w:r>
        <w:rPr>
          <w:rFonts w:ascii="Times New Roman" w:cs="Times New Roman" w:eastAsia="Times New Roman" w:hAnsi="Times New Roman"/>
          <w:sz w:val="17"/>
          <w:szCs w:val="17"/>
          <w:color w:val="auto"/>
        </w:rPr>
        <w:t>”), including each subcomponent thereof, and reasonably detailed supporting documentation and a certification, duly executed by an authorized officer of ARYA, that, to his or her knowledge and solely in his or her capacity as an officer of ARYA (and without any personal liability), the information and calculations in the Aggregate Transaction Proceeds Schedule is, and will be as of immediately prior to the Effective Time, (i) to his or her knowledge, true and correct in all respects, and</w:t>
      </w:r>
    </w:p>
    <w:p>
      <w:pPr>
        <w:jc w:val="both"/>
        <w:ind w:firstLine="9"/>
        <w:spacing w:after="0" w:line="234" w:lineRule="auto"/>
        <w:tabs>
          <w:tab w:leader="none" w:pos="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applicable provisions of this Agreement. ARYA will review any comments to the Aggregate Transaction Proceeds Schedule provided by the Company or any of its Representatives and consider in good faith and incorporate any reasonable comments proposed by the Company or any of its Representatives. ARYA may update the Aggregate Transaction Proceeds Schedule if any of the calculations or amounts shown therein are incorrect as a result of changes in the number of ARYA shareholders participating in the ARYA Shareholder Redemption, not later than one (1) Business Day prior to the Closing Date.</w:t>
      </w:r>
    </w:p>
    <w:p>
      <w:pPr>
        <w:spacing w:after="0" w:line="175"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2.4</w:t>
      </w:r>
      <w:r>
        <w:rPr>
          <w:sz w:val="20"/>
          <w:szCs w:val="20"/>
          <w:color w:val="auto"/>
        </w:rPr>
        <w:tab/>
      </w:r>
      <w:r>
        <w:rPr>
          <w:rFonts w:ascii="Times New Roman" w:cs="Times New Roman" w:eastAsia="Times New Roman" w:hAnsi="Times New Roman"/>
          <w:sz w:val="14"/>
          <w:szCs w:val="14"/>
          <w:b w:val="1"/>
          <w:bCs w:val="1"/>
          <w:u w:val="single" w:color="auto"/>
          <w:color w:val="auto"/>
        </w:rPr>
        <w:t>Treatment of Company Options and Company Warrants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9" w:lineRule="auto"/>
        <w:tabs>
          <w:tab w:leader="none" w:pos="1717" w:val="left"/>
        </w:tabs>
        <w:numPr>
          <w:ilvl w:val="1"/>
          <w:numId w:val="1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At the Effective Time, by virtue of the Merger and without any action of any Party or any other Person (but subject to, in the case of the Company, </w:t>
      </w:r>
      <w:r>
        <w:rPr>
          <w:rFonts w:ascii="Times New Roman" w:cs="Times New Roman" w:eastAsia="Times New Roman" w:hAnsi="Times New Roman"/>
          <w:sz w:val="17"/>
          <w:szCs w:val="17"/>
          <w:u w:val="single" w:color="auto"/>
          <w:color w:val="auto"/>
        </w:rPr>
        <w:t>Section 2.4(d)</w:t>
      </w:r>
      <w:r>
        <w:rPr>
          <w:rFonts w:ascii="Times New Roman" w:cs="Times New Roman" w:eastAsia="Times New Roman" w:hAnsi="Times New Roman"/>
          <w:sz w:val="17"/>
          <w:szCs w:val="17"/>
          <w:color w:val="auto"/>
        </w:rPr>
        <w:t>), each Company Option (whether a Vested Company Option or an Unvested Company Option) that is outstanding and unexercised as of immediately prior to the Effective Time shall be assumed by ARYA and converted into an option to purchase a number of ARYA Shares (such option, a “</w:t>
      </w:r>
      <w:r>
        <w:rPr>
          <w:rFonts w:ascii="Times New Roman" w:cs="Times New Roman" w:eastAsia="Times New Roman" w:hAnsi="Times New Roman"/>
          <w:sz w:val="17"/>
          <w:szCs w:val="17"/>
          <w:u w:val="single" w:color="auto"/>
          <w:color w:val="auto"/>
        </w:rPr>
        <w:t>Rollover Option</w:t>
      </w:r>
      <w:r>
        <w:rPr>
          <w:rFonts w:ascii="Times New Roman" w:cs="Times New Roman" w:eastAsia="Times New Roman" w:hAnsi="Times New Roman"/>
          <w:sz w:val="17"/>
          <w:szCs w:val="17"/>
          <w:color w:val="auto"/>
        </w:rPr>
        <w:t xml:space="preserve">”) equal to the product (rounded down to the nearest whole number) of (x) the number of Company Common Shares subject to such Company Option immediately prior to the Effective Time, </w:t>
      </w:r>
      <w:r>
        <w:rPr>
          <w:rFonts w:ascii="Times New Roman" w:cs="Times New Roman" w:eastAsia="Times New Roman" w:hAnsi="Times New Roman"/>
          <w:sz w:val="17"/>
          <w:szCs w:val="17"/>
          <w:u w:val="single" w:color="auto"/>
          <w:color w:val="auto"/>
        </w:rPr>
        <w:t>multiplied</w:t>
      </w:r>
      <w:r>
        <w:rPr>
          <w:rFonts w:ascii="Times New Roman" w:cs="Times New Roman" w:eastAsia="Times New Roman" w:hAnsi="Times New Roman"/>
          <w:sz w:val="17"/>
          <w:szCs w:val="17"/>
          <w:color w:val="auto"/>
        </w:rPr>
        <w:t xml:space="preserve"> by (y) the Exchange Ratio, at an exercise price per share (rounded up to the nearest whole cent) equal to the quotient of (i) the exercise price per share of such Company Option immediately prior to the Effective Time, </w:t>
      </w:r>
      <w:r>
        <w:rPr>
          <w:rFonts w:ascii="Times New Roman" w:cs="Times New Roman" w:eastAsia="Times New Roman" w:hAnsi="Times New Roman"/>
          <w:sz w:val="17"/>
          <w:szCs w:val="17"/>
          <w:u w:val="single" w:color="auto"/>
          <w:color w:val="auto"/>
        </w:rPr>
        <w:t>divided</w:t>
      </w:r>
      <w:r>
        <w:rPr>
          <w:rFonts w:ascii="Times New Roman" w:cs="Times New Roman" w:eastAsia="Times New Roman" w:hAnsi="Times New Roman"/>
          <w:sz w:val="17"/>
          <w:szCs w:val="17"/>
          <w:color w:val="auto"/>
        </w:rPr>
        <w:t xml:space="preserve"> by</w:t>
      </w:r>
    </w:p>
    <w:p>
      <w:pPr>
        <w:spacing w:after="0" w:line="1" w:lineRule="exact"/>
        <w:rPr>
          <w:rFonts w:ascii="Times New Roman" w:cs="Times New Roman" w:eastAsia="Times New Roman" w:hAnsi="Times New Roman"/>
          <w:sz w:val="17"/>
          <w:szCs w:val="17"/>
          <w:color w:val="010000"/>
        </w:rPr>
      </w:pPr>
    </w:p>
    <w:p>
      <w:pPr>
        <w:jc w:val="both"/>
        <w:ind w:firstLine="9"/>
        <w:spacing w:after="0" w:line="233"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conversion shall occur in a manner intended to comply with (A) the requirements of Section 409A of the Code and (B) in the case of any Rollover Option that is an Incentive Stock Option, the requirements of Section 424 of the Code. Each Rollover Option shall be subject to the same terms and conditions (including applicable vesting, expiration and forfeiture provisions) that applied to the corresponding Company Option immediately prior to the Effective Time, except (I) as provided above in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or (II) as to terms (1) rendered inoperative by reason of the transactions contemplated by this Agreement (including any anti-dilution or other similar provisions that adjust the number of underlying shares that are subject to any such option), or (2) such other immaterial administrative or ministerial changes as the ARYA Board (or the compensation committee of the ARYA Board) may determine in good faith are appropriate to effectuate the administration of the Rollover Options.</w:t>
      </w:r>
    </w:p>
    <w:p>
      <w:pPr>
        <w:spacing w:after="0" w:line="170" w:lineRule="exact"/>
        <w:rPr>
          <w:rFonts w:ascii="Times New Roman" w:cs="Times New Roman" w:eastAsia="Times New Roman" w:hAnsi="Times New Roman"/>
          <w:sz w:val="18"/>
          <w:szCs w:val="18"/>
          <w:color w:val="auto"/>
        </w:rPr>
      </w:pPr>
    </w:p>
    <w:p>
      <w:pPr>
        <w:jc w:val="both"/>
        <w:ind w:firstLine="1074"/>
        <w:spacing w:after="0" w:line="241" w:lineRule="auto"/>
        <w:tabs>
          <w:tab w:leader="none" w:pos="1760" w:val="left"/>
        </w:tabs>
        <w:numPr>
          <w:ilvl w:val="1"/>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Immediately prior to the Closing, all Company Warrants shall be “net” exercised in exchange for Company Common Shares in accordance with the terms of the Company Warrant Agreement and shall no longer be outstanding and shall automatically be cancelled, extinguished and retired and shall cease to exist, and each holder thereof shall cease to have any rights with respect thereto, other than, for the avoidance of doubt, with respect to the Company Common Shares into which Company Warrants are exchanged.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1" w:name="page42"/>
    <w:bookmarkEnd w:id="41"/>
    <w:p>
      <w:pPr>
        <w:ind w:firstLine="1074"/>
        <w:spacing w:after="0" w:line="289" w:lineRule="auto"/>
        <w:tabs>
          <w:tab w:leader="none" w:pos="1905" w:val="left"/>
        </w:tabs>
        <w:numPr>
          <w:ilvl w:val="0"/>
          <w:numId w:val="1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As of immediately prior to the Effective Time, all Company Equity Plans shall terminate,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Rollover Options shall continue to be governed by the terms of the Company Equity Plan under which the Rollover Option was granted subject to the adjustments in </w:t>
      </w:r>
      <w:r>
        <w:rPr>
          <w:rFonts w:ascii="Times New Roman" w:cs="Times New Roman" w:eastAsia="Times New Roman" w:hAnsi="Times New Roman"/>
          <w:sz w:val="17"/>
          <w:szCs w:val="17"/>
          <w:u w:val="single" w:color="auto"/>
          <w:color w:val="auto"/>
        </w:rPr>
        <w:t>Section 2.4(a).</w:t>
      </w:r>
    </w:p>
    <w:p>
      <w:pPr>
        <w:spacing w:after="0" w:line="127" w:lineRule="exact"/>
        <w:rPr>
          <w:rFonts w:ascii="Times New Roman" w:cs="Times New Roman" w:eastAsia="Times New Roman" w:hAnsi="Times New Roman"/>
          <w:sz w:val="17"/>
          <w:szCs w:val="17"/>
          <w:color w:val="010000"/>
        </w:rPr>
      </w:pPr>
    </w:p>
    <w:p>
      <w:pPr>
        <w:jc w:val="both"/>
        <w:ind w:firstLine="1074"/>
        <w:spacing w:after="0" w:line="241" w:lineRule="auto"/>
        <w:tabs>
          <w:tab w:leader="none" w:pos="1527"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or prior to the Effective Time, the Parties and their respective boards of directors, as applicable, shall adopt any resolutions and take any actions that are reasonably necessary to effectuate the treatment of the Company Options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Prior to the Closing, the Company shall take, or cause to be taken, all other reasonably necessary or appropriate actions under the Company Equity Plans, under the underlying grant, award or similar agreement, under the Company Warrant Agreement and otherwise to give effect to the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2.5</w:t>
      </w:r>
      <w:r>
        <w:rPr>
          <w:sz w:val="20"/>
          <w:szCs w:val="20"/>
          <w:color w:val="auto"/>
        </w:rPr>
        <w:tab/>
      </w:r>
      <w:r>
        <w:rPr>
          <w:rFonts w:ascii="Times New Roman" w:cs="Times New Roman" w:eastAsia="Times New Roman" w:hAnsi="Times New Roman"/>
          <w:sz w:val="14"/>
          <w:szCs w:val="14"/>
          <w:b w:val="1"/>
          <w:bCs w:val="1"/>
          <w:u w:val="single" w:color="auto"/>
          <w:color w:val="auto"/>
        </w:rPr>
        <w:t>Company Shareholder Deliverables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4" w:lineRule="auto"/>
        <w:tabs>
          <w:tab w:leader="none" w:pos="1683"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promptly as reasonably practicable following the date of this Agreement, but in no event later than ten (10) Business Days prior to the Closing Date, ARYA shall appoint an exchange agent reasonably acceptable to the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(it being understood and agreed, for the avoidance of doubt, that Continental Stock Transfer &amp; Trust Company (or any of its Affiliates) shall be deemed to be acceptable to the Company) and enter into an exchange agent agreement with the Exchange Agent (the “</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for the purpose of exchanging Certificates, if any, representing the Company Shares and each Company Share held in book-entry form on the stock transfer books of the Company immediately prior to the Effective Time, in either case, for the portion of the Adjusted Transaction Share Consideration issuable in respect of such Company Shares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xml:space="preserve"> and on the terms and subject to the other conditions set forth in this Agreement. The Company shall each reasonably cooperate with ARYA and the Exchange Agent in connection with the appointment of the Exchange Agent, the entry into the Exchange Agent Agreement and the covenants and agreements set forth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(including the provision of any information, or the entry into any agreements or documentation, necessary or advisable in connection with any of the foregoing or otherwise required by the Exchange Agent Agreement for the Exchange Agent to fulfill its duties as the Exchange Agent in connection with the transactions contemplated hereby).</w:t>
      </w:r>
    </w:p>
    <w:p>
      <w:pPr>
        <w:spacing w:after="0" w:line="176" w:lineRule="exact"/>
        <w:rPr>
          <w:rFonts w:ascii="Times New Roman" w:cs="Times New Roman" w:eastAsia="Times New Roman" w:hAnsi="Times New Roman"/>
          <w:sz w:val="18"/>
          <w:szCs w:val="18"/>
          <w:color w:val="010000"/>
        </w:rPr>
      </w:pPr>
    </w:p>
    <w:p>
      <w:pPr>
        <w:ind w:firstLine="1074"/>
        <w:spacing w:after="0" w:line="260" w:lineRule="auto"/>
        <w:tabs>
          <w:tab w:leader="none" w:pos="1693"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least three (3) Business Days prior to the Closing Date, the Company shall mail or otherwise deliver, or shall cause to be mailed or otherwise delivered, to the Company Shareholders a Letter of Transmittal.</w:t>
      </w:r>
    </w:p>
    <w:p>
      <w:pPr>
        <w:spacing w:after="0" w:line="150"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883"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At the Effective Time, ARYA shall deposit, or cause to be deposited, with the Exchange Agent, for the benefit of the Company Shareholders and for exchange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through the Exchange Agent, evidence of ARYA Shares in book-entry form representing the portion of the Adjusted Transaction Share Consideration issuable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xml:space="preserve"> in exchange for the Company Shares outstanding immediately prior to the Effective Time. All shares in book-entry form representing the portion of the Adjusted Transaction Share Consideration issuable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xml:space="preserve"> deposited with the Exchange Agent shall be referred to in this Agreement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2" w:name="page43"/>
    <w:bookmarkEnd w:id="42"/>
    <w:p>
      <w:pPr>
        <w:jc w:val="both"/>
        <w:ind w:firstLine="1074"/>
        <w:spacing w:after="0" w:line="236" w:lineRule="auto"/>
        <w:tabs>
          <w:tab w:leader="none" w:pos="1993"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Company Shareholder whose Company Shares have been converted into the right to receive a portion of the Adjusted Transaction Share Consideration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 xml:space="preserve"> shall be entitled to receive the portion of the Adjusted Transaction Share Consideration to which he, she or it is entitled on the date provided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upon (i) surrender of a Certificate (or affidavit of loss in lieu thereof in the form required by the Letter of Transmittal), together with the delivery of a properly completed and duly executed Letter of Transmittal (including, for the avoidance of doubt, any other documents or agreements required by the Letter of Transmittal), to the Exchange Agent or (ii) delivery of an “agent’s message” in the case of Company Shares held in book-entry form, together with the delivery of a properly completed and duly executed Letter of Transmittal (including, for the avoidance of doubt, any other documents or agreements required by the Letter of Transmittal), to the Exchange Agent.</w:t>
      </w:r>
    </w:p>
    <w:p>
      <w:pPr>
        <w:spacing w:after="0" w:line="171"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72"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 properly completed and duly executed Letter of Transmittal, together with any Certificates (or affidavit of loss in lieu thereof in the form required by the Letter of Transmittal) or an “agent’s message”, as applicable, and any other documents or agreements required by the Letter of Transmittal, is delivered to the Exchange Agent in accordance with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(i) at least two Business Days prior to the Closing Date, then ARYA and the Company shall take all actions necessary to cause the applicable portion of the Adjusted Transaction Share Consideration to be issued to the applicable Company Shareholder in book-entry form on the Closing Date, or (ii) less than two Business Days prior to the Closing Date, then ARYA and the Company shall take all actions necessary to cause the applicable portion of the Adjusted Transaction Share Consideration to be issued to the Company Shareholder in book-entry form within two (2) Business Days after such delivery.</w:t>
      </w:r>
    </w:p>
    <w:p>
      <w:pPr>
        <w:spacing w:after="0" w:line="17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64"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portion of the Adjusted Transaction Share Consideration is to be issued to a Person other than the Company Shareholder in whose name the surrendered Certificate or the transferred Company Share in book-entry form is registered, it shall be a condition to the issuance of the applicable portion of the Adjusted Transaction Share Consideration that, in addition to any other requirements set forth in the Letter of Transmittal or the Exchange Agent Agreement, (i) either such Certificate shall be properly endorsed or shall otherwise be in proper form for transfer or such Company Share in book-entry form shall be properly transferred and (ii) the Person requesting such consideration pay to the Exchange Agent any transfer or similar Taxes required as a result of such consideration being issued to a Person other than the registered holder of such Certificate or Company Share in book-entry form or establish to the satisfaction of the Exchange Agent that such transfer or similar Taxes have been paid or are not payable.</w:t>
      </w:r>
    </w:p>
    <w:p>
      <w:pPr>
        <w:spacing w:after="0" w:line="17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760"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 interest will be paid or accrued on the Adjusted Transaction Share Consideration (or any portion thereof). From and after the Effective Time, until surrendered or transferred, as applicable,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each Company Share (other than, for the avoidance of doubt, the Company Shares cancelled and extinguished pursuant to </w:t>
      </w:r>
      <w:r>
        <w:rPr>
          <w:rFonts w:ascii="Times New Roman" w:cs="Times New Roman" w:eastAsia="Times New Roman" w:hAnsi="Times New Roman"/>
          <w:sz w:val="18"/>
          <w:szCs w:val="18"/>
          <w:u w:val="single" w:color="auto"/>
          <w:color w:val="auto"/>
        </w:rPr>
        <w:t>Section 2.1(b)(x)</w:t>
      </w:r>
      <w:r>
        <w:rPr>
          <w:rFonts w:ascii="Times New Roman" w:cs="Times New Roman" w:eastAsia="Times New Roman" w:hAnsi="Times New Roman"/>
          <w:sz w:val="18"/>
          <w:szCs w:val="18"/>
          <w:color w:val="auto"/>
        </w:rPr>
        <w:t xml:space="preserve"> or any Company Dissenting Shares) shall solely represent the right to receive a portion of the Adjusted Transaction Share Consideration to which such Company Share is entitled to receive pursuant to </w:t>
      </w:r>
      <w:r>
        <w:rPr>
          <w:rFonts w:ascii="Times New Roman" w:cs="Times New Roman" w:eastAsia="Times New Roman" w:hAnsi="Times New Roman"/>
          <w:sz w:val="18"/>
          <w:szCs w:val="18"/>
          <w:u w:val="single" w:color="auto"/>
          <w:color w:val="auto"/>
        </w:rPr>
        <w:t>Section 2.1(b)(vii)</w:t>
      </w:r>
      <w:r>
        <w:rPr>
          <w:rFonts w:ascii="Times New Roman" w:cs="Times New Roman" w:eastAsia="Times New Roman" w:hAnsi="Times New Roman"/>
          <w:sz w:val="18"/>
          <w:szCs w:val="18"/>
          <w:color w:val="auto"/>
        </w:rPr>
        <w: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3" w:name="page44"/>
    <w:bookmarkEnd w:id="43"/>
    <w:p>
      <w:pPr>
        <w:ind w:right="20" w:firstLine="1074"/>
        <w:spacing w:after="0" w:line="259" w:lineRule="auto"/>
        <w:tabs>
          <w:tab w:leader="none" w:pos="1682"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Effective Time, the stock transfer books of the Company shall be closed and there shall be no transfers of Company Shares that were outstanding immediately prior to the Effective Time.</w:t>
      </w:r>
    </w:p>
    <w:p>
      <w:pPr>
        <w:spacing w:after="0" w:line="151"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709"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portion of the Exchange Fund that remains unclaimed by the Company Shareholders twelve (12) months following the Closing Date shall be delivered to ARYA or as otherwise instructed by ARYA, and any Company Shareholder who has not exchanged his, her or its Company Shares for the applicable portion of the Adjusted Transaction Share Consideration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prior to that time shall thereafter look only to ARYA for the issuance of the applicable portion of the Adjusted Transaction Share Consideration, without any interest thereon. None of ARYA, the Surviving Company or any of their respective Affiliates shall be liable to any Person in respect of any consideration delivered to a public official pursuant to any applicable abandoned property, unclaimed property, escheat, or similar Law. Any portion of the Adjusted Transaction Share Consideration remaining unclaimed by the Company Shareholders immediately prior to such time when the amounts would otherwise escheat to or become property of any Governmental Entity shall become, to the extent permitted by applicable Law, the property of ARYA free and clear of any claims or interest of any Person previously entitled thereto.</w:t>
      </w:r>
    </w:p>
    <w:p>
      <w:pPr>
        <w:spacing w:after="0" w:line="171"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2.6 </w:t>
      </w:r>
      <w:r>
        <w:rPr>
          <w:rFonts w:ascii="Times New Roman" w:cs="Times New Roman" w:eastAsia="Times New Roman" w:hAnsi="Times New Roman"/>
          <w:sz w:val="18"/>
          <w:szCs w:val="18"/>
          <w:b w:val="1"/>
          <w:bCs w:val="1"/>
          <w:u w:val="single" w:color="auto"/>
          <w:color w:val="000000"/>
        </w:rPr>
        <w:t>Withholding</w:t>
      </w:r>
      <w:r>
        <w:rPr>
          <w:rFonts w:ascii="Times New Roman" w:cs="Times New Roman" w:eastAsia="Times New Roman" w:hAnsi="Times New Roman"/>
          <w:sz w:val="18"/>
          <w:szCs w:val="18"/>
          <w:color w:val="000000"/>
        </w:rPr>
        <w:t>. ARYA, the Group Companies and the Exchange Agent shall be entitled to deduct and withhold (or cause to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deducted and withheld) from any consideration payable 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w:t>
      </w:r>
    </w:p>
    <w:p>
      <w:pPr>
        <w:spacing w:after="0" w:line="166" w:lineRule="exact"/>
        <w:rPr>
          <w:sz w:val="20"/>
          <w:szCs w:val="20"/>
          <w:color w:val="auto"/>
        </w:rPr>
      </w:pPr>
    </w:p>
    <w:p>
      <w:pPr>
        <w:jc w:val="both"/>
        <w:ind w:firstLine="532"/>
        <w:spacing w:after="0" w:line="233" w:lineRule="auto"/>
        <w:rPr>
          <w:sz w:val="20"/>
          <w:szCs w:val="20"/>
          <w:color w:val="auto"/>
        </w:rPr>
      </w:pPr>
      <w:r>
        <w:rPr>
          <w:rFonts w:ascii="Times New Roman" w:cs="Times New Roman" w:eastAsia="Times New Roman" w:hAnsi="Times New Roman"/>
          <w:sz w:val="18"/>
          <w:szCs w:val="18"/>
          <w:b w:val="1"/>
          <w:bCs w:val="1"/>
          <w:color w:val="010000"/>
        </w:rPr>
        <w:t xml:space="preserve">Section 2.7 </w:t>
      </w:r>
      <w:r>
        <w:rPr>
          <w:rFonts w:ascii="Times New Roman" w:cs="Times New Roman" w:eastAsia="Times New Roman" w:hAnsi="Times New Roman"/>
          <w:sz w:val="18"/>
          <w:szCs w:val="18"/>
          <w:b w:val="1"/>
          <w:bCs w:val="1"/>
          <w:u w:val="single" w:color="auto"/>
          <w:color w:val="000000"/>
        </w:rPr>
        <w:t>Company Dissenting Shares</w:t>
      </w:r>
      <w:r>
        <w:rPr>
          <w:rFonts w:ascii="Times New Roman" w:cs="Times New Roman" w:eastAsia="Times New Roman" w:hAnsi="Times New Roman"/>
          <w:sz w:val="18"/>
          <w:szCs w:val="18"/>
          <w:color w:val="000000"/>
        </w:rPr>
        <w:t>. Notwithstanding anything to the contrary herein, any Company Shares for which a Company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Shareholder (a) has not voted in favor of the Merger or consented to it in writing and (b) has demanded the appraisal of such Company Shares in accordance with, and has complied in all respects with, Section 262 of the DGCL (collectively, such shareholders, the “Company Dissenting Shareholders”, and such shares, the “Company Dissenting Shares”) shall not be converted into the right to receive the Per Share Merger Consideration pursuant to Section 2.1(b)(vii). From and after the Effective Time, (i) the Company Dissenting Shares shall be cancelled and extinguished and shall cease to exist and (ii) the Company Dissenting Shareholders shall be entitled only to such rights as may be granted to them under Section 262 of the DGCL and shall not be entitled to exercise any of the voting rights or other rights of a stockholder of ARYA, the Surviving Company or any of its Affiliates (including ARYA); provided, that if any Company Dissenting Shareholder effectively withdraws or loses such appraisal rights (whether through failure to perfect such appraisal rights or otherwise), then the Company Shares held by such Company Dissenting Shareholder (A) shall no longer be deemed to be Company Dissenting Shares and (B) shall be treated as if they had been converted automatically at the Effective Time into the right to receive the Per Share Merger Consideration pursuant to Section 2.1(b)(vii) upon delivery of a properly completed and duly executed Letter of Transmittal (including, for the avoidance of doubt, any other documents or agreements required by the Letter of Transmittal) and the surrender of the applicable documents and other deliverables set forth in Section 2.5(d). Each Company Dissenting Shareholder who becomes entitled to payment for his, her or its Company Dissenting Shares pursuant to the DGCL shall receive payment thereof from the Company in accordance with the DGCL. The Company shall give ARYA prompt notice of any written demands for appraisal of any Company Share, attempted withdrawals of such demands and any other documents or instruments served pursuant to the DGCL and received by the Company relating to stockholders’ rights of appraisal in accordance with the provisions of Section 262 of the DGCL, and ARYA shall, at its sole cost and expense, have the opportunity to participate in, but not control, all negotiations and proceedings with respect to all such demands. The Company shall not, except with the prior written consent of ARYA (which consent shall not be unreasonably withheld, conditioned, or delayed), settle, or make any payment, or deliver any consideration, with respect to, any such demand.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010000"/>
        </w:rPr>
        <w:t>ARTICLE 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THE GROUP COMPANIES</w:t>
      </w:r>
    </w:p>
    <w:p>
      <w:pPr>
        <w:spacing w:after="0" w:line="172"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 xml:space="preserve">Except as set forth in the Company Disclosure Schedules (which shall only qualify the representations and warranties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in the manner set forth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the Company hereby represents and warrants to the ARYA Parties, in each case, as of the date of this Agreement and as of the Closing, as follows:</w:t>
      </w:r>
    </w:p>
    <w:p>
      <w:pPr>
        <w:spacing w:after="0" w:line="168"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3.1</w:t>
      </w:r>
      <w:r>
        <w:rPr>
          <w:sz w:val="20"/>
          <w:szCs w:val="20"/>
          <w:color w:val="auto"/>
        </w:rPr>
        <w:tab/>
      </w:r>
      <w:r>
        <w:rPr>
          <w:rFonts w:ascii="Times New Roman" w:cs="Times New Roman" w:eastAsia="Times New Roman" w:hAnsi="Times New Roman"/>
          <w:sz w:val="14"/>
          <w:szCs w:val="14"/>
          <w:b w:val="1"/>
          <w:bCs w:val="1"/>
          <w:u w:val="single" w:color="auto"/>
          <w:color w:val="auto"/>
        </w:rPr>
        <w:t>Organization and Qualification</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6" w:lineRule="auto"/>
        <w:tabs>
          <w:tab w:leader="none" w:pos="1661"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Group Company is a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7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60"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True and complete copies of the Governing Documents of the Company and the Company Shareholders Agreement have been made available to ARYA, in each case, as amended and in effect as of the date of this Agreement. The Governing Documents of the Company and the Company Shareholders Agreement are in full force and effect, and the Company is not in breach or violation of any provision set forth in its Governing Documents or the Company Shareholders Agreement.</w:t>
      </w:r>
    </w:p>
    <w:p>
      <w:pPr>
        <w:spacing w:after="0" w:line="166"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972"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have a Company Material Adverse Effect.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45" w:name="page46"/>
    <w:bookmarkEnd w:id="45"/>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3.2</w:t>
      </w:r>
      <w:r>
        <w:rPr>
          <w:sz w:val="20"/>
          <w:szCs w:val="20"/>
          <w:color w:val="auto"/>
        </w:rPr>
        <w:tab/>
      </w:r>
      <w:r>
        <w:rPr>
          <w:rFonts w:ascii="Times New Roman" w:cs="Times New Roman" w:eastAsia="Times New Roman" w:hAnsi="Times New Roman"/>
          <w:sz w:val="14"/>
          <w:szCs w:val="14"/>
          <w:b w:val="1"/>
          <w:bCs w:val="1"/>
          <w:u w:val="single" w:color="auto"/>
          <w:color w:val="auto"/>
        </w:rPr>
        <w:t>Capitalization of the Group Companies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5" w:lineRule="auto"/>
        <w:tabs>
          <w:tab w:leader="none" w:pos="1705"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Schedules sets forth a true and complete statement, as of the date hereof, of (i) the number and class or series (as applicable) of all of the Equity Securities of the Company issued and outstanding as of the date hereof, and, (ii) the identity of the Persons that are the record owners thereof. Except as set forth on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Schedules or for Equity Securities issued or granted after the date hereof either permitted by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(including as set forth in Section 5.1(b)(v) of the Company Disclosure Schedules), or in accordance with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(including, for the avoidance of doubt, upon the exercise of any Company Options or Company Warrants), the Company does not have any issued and outstanding Equity Securities. All of the outstanding Company Shares have been duly authorized and validly issued and are fully paid and non-assessable, and each Company Option outstanding immediately prior to the Effective Time will be an “in the money” Company Option for purposes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value of the Adjusted Transaction Share Consideration allocated to each Company Option (determined by reference to, for the avoidance of doubt, the ARYA Share Value) is in excess of the exercise (or similar) price applicable to such Company Option).</w:t>
      </w:r>
    </w:p>
    <w:p>
      <w:pPr>
        <w:spacing w:after="0" w:line="172"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616"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Equity Securities of the Company (i) were not issued in violation of the Governing Documents of the Company, or in violation of the Company Shareholders Agreement or any other Contract to which the Company is party or bound, in each case, in any material respect, (ii) were not issued in violation of any preemptive rights, call option, right of first refusal or first offer, subscription rights, or similar rights of any Person, and (iii) have been offered, sold and issued in compliance with applicable Law, including Securities Laws, in each case under clauses (ii) and (iii), in all material respects. Except for the Company Options and Company Warrants set forth on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Schedules and those either permitted by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(including as set forth in Section 5.1(b)(v) of the Company Disclosure Schedules), or issued, granted or entered into in accordance with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the Company has no outstanding (x) equity appreciation, phantom equity or profit participation rights or (y) options, restricted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w:t>
      </w:r>
    </w:p>
    <w:p>
      <w:pPr>
        <w:spacing w:after="0" w:line="169"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705" w:val="left"/>
        </w:tabs>
        <w:numPr>
          <w:ilvl w:val="0"/>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and beneficial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There are no outstanding bonds, debentures, notes or other indebtedness of the Company having the right to vote (or convertible into, or exchangeable for, securities having the right to vote) on any matter for which holders of Company Shares may vote.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46" w:name="page47"/>
    <w:bookmarkEnd w:id="46"/>
    <w:p>
      <w:pPr>
        <w:ind w:firstLine="1074"/>
        <w:spacing w:after="0" w:line="260" w:lineRule="auto"/>
        <w:tabs>
          <w:tab w:leader="none" w:pos="1693"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of the Company Disclosure Schedules, there are no voting trusts, proxies or other Contracts with respect to the voting or transfer of the Company’s Equity Securities between the Company and any other Person.</w:t>
      </w:r>
    </w:p>
    <w:p>
      <w:pPr>
        <w:spacing w:after="0" w:line="150"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961"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62" w:lineRule="exact"/>
        <w:rPr>
          <w:rFonts w:ascii="Times New Roman" w:cs="Times New Roman" w:eastAsia="Times New Roman" w:hAnsi="Times New Roman"/>
          <w:sz w:val="18"/>
          <w:szCs w:val="18"/>
          <w:color w:val="010000"/>
        </w:rPr>
      </w:pPr>
    </w:p>
    <w:p>
      <w:pPr>
        <w:ind w:left="1700" w:hanging="626"/>
        <w:spacing w:after="0"/>
        <w:tabs>
          <w:tab w:leader="none" w:pos="1700" w:val="left"/>
        </w:tabs>
        <w:numPr>
          <w:ilvl w:val="0"/>
          <w:numId w:val="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Section 3.2(f)</w:t>
      </w:r>
      <w:r>
        <w:rPr>
          <w:rFonts w:ascii="Times New Roman" w:cs="Times New Roman" w:eastAsia="Times New Roman" w:hAnsi="Times New Roman"/>
          <w:sz w:val="17"/>
          <w:szCs w:val="17"/>
          <w:color w:val="auto"/>
        </w:rPr>
        <w:t xml:space="preserve"> of the Company Disclosure Schedules sets forth a list of all Company Change of Control Payments as of the date of this</w:t>
      </w:r>
    </w:p>
    <w:p>
      <w:pPr>
        <w:spacing w:after="0" w:line="24"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Agreement.</w:t>
      </w:r>
    </w:p>
    <w:p>
      <w:pPr>
        <w:spacing w:after="0" w:line="172" w:lineRule="exact"/>
        <w:rPr>
          <w:rFonts w:ascii="Times New Roman" w:cs="Times New Roman" w:eastAsia="Times New Roman" w:hAnsi="Times New Roman"/>
          <w:sz w:val="17"/>
          <w:szCs w:val="17"/>
          <w:color w:val="010000"/>
        </w:rPr>
      </w:pPr>
    </w:p>
    <w:p>
      <w:pPr>
        <w:jc w:val="both"/>
        <w:ind w:firstLine="1074"/>
        <w:spacing w:after="0" w:line="241" w:lineRule="auto"/>
        <w:tabs>
          <w:tab w:leader="none" w:pos="1649"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xml:space="preserve"> of the Company Disclosure Schedules sets forth a true and complete statement, as of the date hereof, of (x) with respect to each Company Option, (i) the date of grant, (ii) exercise price, (iii) any applicable expiration (or similar) date, (iv) any applicable vesting schedule (including acceleration provisions) and (v) whether such Company Option is an Incentive Stock Option, and (y) with respect to each Company Warrant, the exercise (or similar) price.</w:t>
      </w:r>
    </w:p>
    <w:p>
      <w:pPr>
        <w:spacing w:after="0" w:line="166"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682" w:val="left"/>
        </w:tabs>
        <w:numPr>
          <w:ilvl w:val="0"/>
          <w:numId w:val="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3.2(h)</w:t>
      </w:r>
      <w:r>
        <w:rPr>
          <w:rFonts w:ascii="Times New Roman" w:cs="Times New Roman" w:eastAsia="Times New Roman" w:hAnsi="Times New Roman"/>
          <w:sz w:val="18"/>
          <w:szCs w:val="18"/>
          <w:color w:val="auto"/>
        </w:rPr>
        <w:t xml:space="preserve"> of the Company Disclosure Schedules sets forth a list of all Indebtedness of the Group Companies of the type described in clause (a) or (b) of the definition of Indebtedness as of the date of this Agreement, including the principal amount of such Indebtedness, the outstanding balance as of the date of this Agreement, and the debtor and the creditor thereof.</w:t>
      </w:r>
    </w:p>
    <w:p>
      <w:pPr>
        <w:spacing w:after="0" w:line="16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3.3 </w:t>
      </w:r>
      <w:r>
        <w:rPr>
          <w:rFonts w:ascii="Times New Roman" w:cs="Times New Roman" w:eastAsia="Times New Roman" w:hAnsi="Times New Roman"/>
          <w:sz w:val="17"/>
          <w:szCs w:val="17"/>
          <w:b w:val="1"/>
          <w:bCs w:val="1"/>
          <w:u w:val="single" w:color="auto"/>
          <w:color w:val="000000"/>
        </w:rPr>
        <w:t>Authority</w:t>
      </w:r>
      <w:r>
        <w:rPr>
          <w:rFonts w:ascii="Times New Roman" w:cs="Times New Roman" w:eastAsia="Times New Roman" w:hAnsi="Times New Roman"/>
          <w:sz w:val="17"/>
          <w:szCs w:val="17"/>
          <w:color w:val="000000"/>
        </w:rPr>
        <w:t>. The Company has the requisite corporate power and authority to execute and deliver this Agreement and each Ancillary</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Document to which it is (or, in the case of any Ancillary Document contemplated hereby to be entered into after the date of this Agreement, will be) a party and (subject to the approval and adoption of this Agreement and the transactions contemplated hereby (including the Merger) by holders of (a) a majority of the voting power of the outstanding Company Shares, voting together on an as-converted to Company Common Shares basis, and (b) a majority of the outstanding Company Preferred Shares, voting together on an as-converted to Company Common Shares basis (the “Company Required Shareholder Approval”)), to perform its obligations hereunder and thereunder and to consummate the transactions contemplated hereby and thereby. The execution and delivery of this Agreement, the Ancillary Documents to which the Company is or will be a party, the performance of the Company’s obligations hereby and thereby and the consummation of the transactions contemplated hereby and thereby, have been duly and validly authorized and approved by the Company Board and upon receipt of the Company Required Shareholder Approval, no other corporate or equivalent action or proceeding on the part of the Company or the Company Equityholders is necessary to authorize this Agreement or such Ancillary Documents, the Company’s performance of its obligations hereunder or thereunder or the consummation of the transactions contemplated hereby or thereby. This Agreement and each Ancillary Document to which the Company is contemplated hereby to be a party as of the date hereof has been (and each Ancillary Document to which the Company is contemplated hereby to be a party following the execution of this Agreement, will be upon execution thereof), duly and validly executed and delivered by the Company and constitutes or will constitute, upon execution and delivery thereof, as applicable, a valid, legal and binding agreement of the Company (assuming that this Agreement and the Ancillary Documents to which the Company is or is contemplated to be a party are or will be upon execution thereof, as applicable, duly authorized, executed and delivered by the other Persons party thereto), enforceable against the Company in accordance with their respective terms (subject to applicable bankruptcy, insolvency, reorganization, moratorium or other Laws affecting generally the enforcement of creditors’ rights and subject to general principles of equity). The Company Required Shareholder Approval is the only vote of the holders of any class or series of capital stock of the Company required to approve and adopt this Agreement, the Ancillary Documents to which the Company is or is contemplated to be a party, the performance of the Company’s obligations hereunder and thereunder and the consummation of the transactions contemplated hereby and thereby (including the Merger).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47" w:name="page48"/>
    <w:bookmarkEnd w:id="47"/>
    <w:p>
      <w:pPr>
        <w:ind w:left="520"/>
        <w:spacing w:after="0"/>
        <w:tabs>
          <w:tab w:leader="none" w:pos="1560" w:val="left"/>
        </w:tabs>
        <w:rPr>
          <w:sz w:val="20"/>
          <w:szCs w:val="20"/>
          <w:color w:val="auto"/>
        </w:rPr>
      </w:pPr>
      <w:r>
        <w:rPr>
          <w:rFonts w:ascii="Times New Roman" w:cs="Times New Roman" w:eastAsia="Times New Roman" w:hAnsi="Times New Roman"/>
          <w:sz w:val="15"/>
          <w:szCs w:val="15"/>
          <w:b w:val="1"/>
          <w:bCs w:val="1"/>
          <w:color w:val="010000"/>
        </w:rPr>
        <w:t>Section 3.4</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Undisclosed Liabilities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left="-20" w:firstLine="1074"/>
        <w:spacing w:after="0" w:line="237" w:lineRule="auto"/>
        <w:tabs>
          <w:tab w:leader="none" w:pos="1708"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made available to ARYA a true and complete copy of the audited consolidated balance sheet of the Company as of December 31, 2019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and the related audited consolidated statements of operations and comprehensive loss, convertible preferred stock and stockholders’ deficit and cash flows of the Company for the year then ended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which are attached as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 Disclosure Schedules. The Financial Statements (including the notes thereto, if applicable) (A) were prepared in accordance with GAAP applied on a consistent basis throughout the periods indicated (except as may be specifically indicated in the notes thereto), and (B) fairly present, in all material respects, the financial position, results of operations, and cash flows of the Company for the period indicated therein.</w:t>
      </w:r>
    </w:p>
    <w:p>
      <w:pPr>
        <w:spacing w:after="0" w:line="171" w:lineRule="exact"/>
        <w:rPr>
          <w:rFonts w:ascii="Times New Roman" w:cs="Times New Roman" w:eastAsia="Times New Roman" w:hAnsi="Times New Roman"/>
          <w:sz w:val="18"/>
          <w:szCs w:val="18"/>
          <w:color w:val="010000"/>
        </w:rPr>
      </w:pPr>
    </w:p>
    <w:p>
      <w:pPr>
        <w:jc w:val="both"/>
        <w:ind w:left="-20" w:firstLine="1074"/>
        <w:spacing w:after="0" w:line="235" w:lineRule="auto"/>
        <w:tabs>
          <w:tab w:leader="none" w:pos="1618" w:val="left"/>
        </w:tabs>
        <w:numPr>
          <w:ilvl w:val="0"/>
          <w:numId w:val="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(i) as set forth on the Latest Balance Sheet (and the notes thereto), (ii) for Liabilities incurred in the ordinary course of business since the date of the Latest Balance Sheet (excluding any Liabilities directly or indirectly related to a breach of Contract, breach of warranty, tort, Proceeding or violation of, or non-compliance with Law), (iii) 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(including, for the avoidance of doubt, the Company Expenses), (iv) executory obligations under Contracts (excluding any Liabilities directly or indirectly related to a breach of Contract), (v) that are expressly permitted pursuant to or incurred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(including as set forth in Section </w:t>
      </w:r>
      <w:r>
        <w:rPr>
          <w:rFonts w:ascii="Times New Roman" w:cs="Times New Roman" w:eastAsia="Times New Roman" w:hAnsi="Times New Roman"/>
          <w:sz w:val="18"/>
          <w:szCs w:val="18"/>
          <w:u w:val="single" w:color="auto"/>
          <w:color w:val="auto"/>
        </w:rPr>
        <w:t>5.1(b)(i)-(vi)</w:t>
      </w:r>
      <w:r>
        <w:rPr>
          <w:rFonts w:ascii="Times New Roman" w:cs="Times New Roman" w:eastAsia="Times New Roman" w:hAnsi="Times New Roman"/>
          <w:sz w:val="18"/>
          <w:szCs w:val="18"/>
          <w:color w:val="auto"/>
        </w:rPr>
        <w:t xml:space="preserve"> of the Company Disclosure Schedules) and (vi) for Liabilities that are not and would not reasonably be expected to be, individually or in the aggregate, material to the Group Companies, taken as a whole, no Group Company has any Liabilities.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157085"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20" w:top="323" w:right="319" w:bottom="1440" w:gutter="0" w:footer="0" w:header="0"/>
        </w:sectPr>
      </w:pPr>
    </w:p>
    <w:bookmarkStart w:id="48" w:name="page49"/>
    <w:bookmarkEnd w:id="48"/>
    <w:p>
      <w:pPr>
        <w:jc w:val="both"/>
        <w:ind w:firstLine="1074"/>
        <w:spacing w:after="0" w:line="237" w:lineRule="auto"/>
        <w:tabs>
          <w:tab w:leader="none" w:pos="1828"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have maintained books and records of the Group Companies in the ordinary course of business that are accurate and complete and reflect the revenues, expenses, assets and liabilities of the Group Companies in all material respects.</w:t>
      </w:r>
    </w:p>
    <w:p>
      <w:pPr>
        <w:spacing w:after="0" w:line="170"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693" w:val="left"/>
        </w:tabs>
        <w:numPr>
          <w:ilvl w:val="0"/>
          <w:numId w:val="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of the Company Disclosure Schedules, since January 1, 2019, (a) as of the date hereof, no Group Company has received any written complaint, allegation, assertion or claim that there is (i) “significant deficiency” in the internal controls over financial reporting of the Group Companies, or (ii) a “material weakness” in the internal controls over financial reporting of the Group Companies or (b) fraud, whether or not material, that involves management or other employees of the Group Companies who have a significant role in the internal controls over financial reporting of the Group Companies.</w:t>
      </w:r>
    </w:p>
    <w:p>
      <w:pPr>
        <w:spacing w:after="0" w:line="174"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3.5</w:t>
      </w:r>
      <w:r>
        <w:rPr>
          <w:sz w:val="20"/>
          <w:szCs w:val="20"/>
          <w:color w:val="auto"/>
        </w:rPr>
        <w:tab/>
      </w:r>
      <w:r>
        <w:rPr>
          <w:rFonts w:ascii="Times New Roman" w:cs="Times New Roman" w:eastAsia="Times New Roman" w:hAnsi="Times New Roman"/>
          <w:sz w:val="14"/>
          <w:szCs w:val="14"/>
          <w:b w:val="1"/>
          <w:bCs w:val="1"/>
          <w:u w:val="single" w:color="auto"/>
          <w:color w:val="auto"/>
        </w:rPr>
        <w:t>Consents and Requisite Governmental Approvals; No Violations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6" w:lineRule="auto"/>
        <w:tabs>
          <w:tab w:leader="none" w:pos="1683" w:val="left"/>
        </w:tabs>
        <w:numPr>
          <w:ilvl w:val="1"/>
          <w:numId w:val="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the filing of the Certificate of Merger or (iv) any other consents, approvals, authorizations, designations, declarations, waivers or filings, the absence of which would not have a Company Material Adverse Effect. The Company is its own ultimate parent entity (as such term is defined in the HSR Act).</w:t>
      </w:r>
    </w:p>
    <w:p>
      <w:pPr>
        <w:spacing w:after="0" w:line="168" w:lineRule="exact"/>
        <w:rPr>
          <w:rFonts w:ascii="Times New Roman" w:cs="Times New Roman" w:eastAsia="Times New Roman" w:hAnsi="Times New Roman"/>
          <w:sz w:val="18"/>
          <w:szCs w:val="18"/>
          <w:color w:val="010000"/>
        </w:rPr>
      </w:pPr>
    </w:p>
    <w:p>
      <w:pPr>
        <w:jc w:val="both"/>
        <w:ind w:firstLine="1074"/>
        <w:spacing w:after="0" w:line="253" w:lineRule="auto"/>
        <w:tabs>
          <w:tab w:leader="none" w:pos="1693" w:val="left"/>
        </w:tabs>
        <w:numPr>
          <w:ilvl w:val="1"/>
          <w:numId w:val="2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None of the execution or delivery by the Company of this Agreement or any Ancillary Documents to which it is or will be a party, the performance by the Company of its obligations hereunder or thereunder or the consummation of the transactions contemplated hereby or thereby will, directly or indirectly (with or without due notice or lapse of time or both) (i) result in a violation or breach of any provision of the Company’s Governing Documents,</w:t>
      </w:r>
    </w:p>
    <w:p>
      <w:pPr>
        <w:jc w:val="both"/>
        <w:ind w:firstLine="9"/>
        <w:spacing w:after="0" w:line="234" w:lineRule="auto"/>
        <w:tabs>
          <w:tab w:leader="none" w:pos="2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in a 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would not have a Company Material Adverse Effect.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9" w:name="page50"/>
    <w:bookmarkEnd w:id="49"/>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3.6 </w:t>
      </w:r>
      <w:r>
        <w:rPr>
          <w:rFonts w:ascii="Times New Roman" w:cs="Times New Roman" w:eastAsia="Times New Roman" w:hAnsi="Times New Roman"/>
          <w:sz w:val="18"/>
          <w:szCs w:val="18"/>
          <w:b w:val="1"/>
          <w:bCs w:val="1"/>
          <w:u w:val="single" w:color="auto"/>
          <w:color w:val="000000"/>
        </w:rPr>
        <w:t>Permits</w:t>
      </w:r>
      <w:r>
        <w:rPr>
          <w:rFonts w:ascii="Times New Roman" w:cs="Times New Roman" w:eastAsia="Times New Roman" w:hAnsi="Times New Roman"/>
          <w:sz w:val="18"/>
          <w:szCs w:val="18"/>
          <w:color w:val="000000"/>
        </w:rPr>
        <w:t>. Each of the Group Companies has all Permits (the “Material Permits”) that are required to own, lease or operate its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properties and assets and to conduct its business as currently conducted, except where the failure to hold the same would not result in a Company Material Adverse Effect. Except as is not and would not reasonably be expected to be material to the Group Companies, taken as a whole, (i) each Material Permit is in full force and effect in accordance with its terms and (ii) no written notice of revocation, cancellation or termination of any Material Permit has been received by any Group Company.</w:t>
      </w:r>
    </w:p>
    <w:p>
      <w:pPr>
        <w:spacing w:after="0" w:line="17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3.7</w:t>
      </w:r>
      <w:r>
        <w:rPr>
          <w:sz w:val="20"/>
          <w:szCs w:val="20"/>
          <w:color w:val="auto"/>
        </w:rPr>
        <w:tab/>
      </w:r>
      <w:r>
        <w:rPr>
          <w:rFonts w:ascii="Times New Roman" w:cs="Times New Roman" w:eastAsia="Times New Roman" w:hAnsi="Times New Roman"/>
          <w:sz w:val="14"/>
          <w:szCs w:val="14"/>
          <w:b w:val="1"/>
          <w:bCs w:val="1"/>
          <w:u w:val="single" w:color="auto"/>
          <w:color w:val="auto"/>
        </w:rPr>
        <w:t>Material Contracts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1" w:lineRule="auto"/>
        <w:tabs>
          <w:tab w:leader="none" w:pos="1761" w:val="left"/>
        </w:tabs>
        <w:numPr>
          <w:ilvl w:val="0"/>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sets forth a list of the following Contracts to which a Group Company is, as of the date of this Agreement, a party or by which any of their respective assets are bound and that are not expired or have not been terminated, and not including any Contracts pursuant to which the Company has with no material outstanding or executory obligations or Liabilities (each Contract required to be set forth on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010000"/>
        </w:rPr>
      </w:pPr>
    </w:p>
    <w:p>
      <w:pPr>
        <w:ind w:left="1080" w:firstLine="526"/>
        <w:spacing w:after="0" w:line="260" w:lineRule="auto"/>
        <w:tabs>
          <w:tab w:leader="none" w:pos="2157" w:val="left"/>
        </w:tabs>
        <w:numPr>
          <w:ilvl w:val="1"/>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relating to Indebtedness for borrowed money of any Group Company or to the placing of a Lien (other than a Permitted Lien) on any material assets or properties of any Group Company;</w:t>
      </w:r>
    </w:p>
    <w:p>
      <w:pPr>
        <w:spacing w:after="0" w:line="150" w:lineRule="exact"/>
        <w:rPr>
          <w:rFonts w:ascii="Times New Roman" w:cs="Times New Roman" w:eastAsia="Times New Roman" w:hAnsi="Times New Roman"/>
          <w:sz w:val="18"/>
          <w:szCs w:val="18"/>
          <w:color w:val="010000"/>
        </w:rPr>
      </w:pPr>
    </w:p>
    <w:p>
      <w:pPr>
        <w:jc w:val="both"/>
        <w:ind w:left="1080" w:firstLine="526"/>
        <w:spacing w:after="0" w:line="246" w:lineRule="auto"/>
        <w:tabs>
          <w:tab w:leader="none" w:pos="2129" w:val="left"/>
        </w:tabs>
        <w:numPr>
          <w:ilvl w:val="1"/>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$2,000,000;</w:t>
      </w:r>
    </w:p>
    <w:p>
      <w:pPr>
        <w:spacing w:after="0" w:line="162" w:lineRule="exact"/>
        <w:rPr>
          <w:rFonts w:ascii="Times New Roman" w:cs="Times New Roman" w:eastAsia="Times New Roman" w:hAnsi="Times New Roman"/>
          <w:sz w:val="18"/>
          <w:szCs w:val="18"/>
          <w:color w:val="010000"/>
        </w:rPr>
      </w:pPr>
    </w:p>
    <w:p>
      <w:pPr>
        <w:jc w:val="both"/>
        <w:ind w:left="1080" w:firstLine="526"/>
        <w:spacing w:after="0" w:line="246" w:lineRule="auto"/>
        <w:tabs>
          <w:tab w:leader="none" w:pos="2245" w:val="left"/>
        </w:tabs>
        <w:numPr>
          <w:ilvl w:val="1"/>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$2,000,000;</w:t>
      </w:r>
    </w:p>
    <w:p>
      <w:pPr>
        <w:spacing w:after="0" w:line="162" w:lineRule="exact"/>
        <w:rPr>
          <w:rFonts w:ascii="Times New Roman" w:cs="Times New Roman" w:eastAsia="Times New Roman" w:hAnsi="Times New Roman"/>
          <w:sz w:val="18"/>
          <w:szCs w:val="18"/>
          <w:color w:val="010000"/>
        </w:rPr>
      </w:pPr>
    </w:p>
    <w:p>
      <w:pPr>
        <w:jc w:val="both"/>
        <w:ind w:left="1080" w:firstLine="526"/>
        <w:spacing w:after="0" w:line="260" w:lineRule="auto"/>
        <w:tabs>
          <w:tab w:leader="none" w:pos="2168" w:val="left"/>
        </w:tabs>
        <w:numPr>
          <w:ilvl w:val="1"/>
          <w:numId w:val="2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any (A) joint venture, profit-sharing, partnership, collaboration, co-promotion, commercialization or research or development Contract, or similar Contract, in each case, which requires, or would reasonably be expected to require (based on any occurrence, development, activity or event contemplated by such Contract), aggregate payments to or from any Group Company in excess of $5,000,000 over the life of the Contract or (B) other Contract with respect to material Company Licensed Intellectual Property (other than any Non-Scheduled Contracts);</w:t>
      </w:r>
    </w:p>
    <w:p>
      <w:pPr>
        <w:spacing w:after="0" w:line="151" w:lineRule="exact"/>
        <w:rPr>
          <w:rFonts w:ascii="Times New Roman" w:cs="Times New Roman" w:eastAsia="Times New Roman" w:hAnsi="Times New Roman"/>
          <w:sz w:val="17"/>
          <w:szCs w:val="17"/>
          <w:color w:val="010000"/>
        </w:rPr>
      </w:pPr>
    </w:p>
    <w:p>
      <w:pPr>
        <w:jc w:val="both"/>
        <w:ind w:left="1080" w:firstLine="526"/>
        <w:spacing w:after="0" w:line="236" w:lineRule="auto"/>
        <w:tabs>
          <w:tab w:leader="none" w:pos="2152" w:val="left"/>
        </w:tabs>
        <w:numPr>
          <w:ilvl w:val="1"/>
          <w:numId w:val="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that (A) limits or purports to limit, in any material respect, the freedom of any Group Company to engage or compete in any line of business or with any Person or in any area or that would so limit or purport to limit, in any material respect, the operations of ARYA or any of its Affiliates after the Closing,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each case, in any material respect or that would so limit or purports to limit, in any material respect, ARYA or any of its Affiliates after the Closing;</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0" w:name="page51"/>
    <w:bookmarkEnd w:id="50"/>
    <w:p>
      <w:pPr>
        <w:ind w:left="-60" w:firstLine="526"/>
        <w:spacing w:after="0" w:line="260" w:lineRule="auto"/>
        <w:tabs>
          <w:tab w:leader="none" w:pos="1017"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requiring any future capital commitment or capital expenditure (or series of capital expenditures) by any Group Company in an amount in excess of (A) $2,000,000 annually or (B) $5,000,000 over the life of the agreement;</w:t>
      </w:r>
    </w:p>
    <w:p>
      <w:pPr>
        <w:spacing w:after="0" w:line="150"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967"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requiring any Group Company to guarantee the Liabilities of any Person (other than the Company or a Subsidiary) or pursuant to which any Person (other than the Company or a Subsidiary) has guaranteed the Liabilities of a Group Company, in each case in excess of $2,000,000;</w:t>
      </w:r>
    </w:p>
    <w:p>
      <w:pPr>
        <w:spacing w:after="0" w:line="162"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16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under which any Group Company has, directly or indirectly, made or agreed to make any loan, advance, or assignment of payment to any Person outside of the ordinary course of business or, individually or in the aggregate, in an amount in excess of $1,000,000 or made any capital contribution to, or other investment in, any Person;</w:t>
      </w:r>
    </w:p>
    <w:p>
      <w:pPr>
        <w:spacing w:after="0" w:line="162" w:lineRule="exact"/>
        <w:rPr>
          <w:rFonts w:ascii="Times New Roman" w:cs="Times New Roman" w:eastAsia="Times New Roman" w:hAnsi="Times New Roman"/>
          <w:sz w:val="18"/>
          <w:szCs w:val="18"/>
          <w:color w:val="010000"/>
        </w:rPr>
      </w:pPr>
    </w:p>
    <w:p>
      <w:pPr>
        <w:ind w:left="940" w:hanging="474"/>
        <w:spacing w:after="0"/>
        <w:tabs>
          <w:tab w:leader="none" w:pos="94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any Contract required to be disclosed on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Schedules;</w:t>
      </w:r>
    </w:p>
    <w:p>
      <w:pPr>
        <w:spacing w:after="0" w:line="192" w:lineRule="exact"/>
        <w:rPr>
          <w:rFonts w:ascii="Times New Roman" w:cs="Times New Roman" w:eastAsia="Times New Roman" w:hAnsi="Times New Roman"/>
          <w:sz w:val="18"/>
          <w:szCs w:val="18"/>
          <w:color w:val="010000"/>
        </w:rPr>
      </w:pPr>
    </w:p>
    <w:p>
      <w:pPr>
        <w:jc w:val="both"/>
        <w:ind w:left="-60" w:firstLine="526"/>
        <w:spacing w:after="0" w:line="239" w:lineRule="auto"/>
        <w:tabs>
          <w:tab w:leader="none" w:pos="968"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with any Person (A) pursuant to which any Group Company (or ARYA or any of its Affiliates after the Closing) is or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material Company Product or any material Intellectual Property Rights;</w:t>
      </w:r>
    </w:p>
    <w:p>
      <w:pPr>
        <w:spacing w:after="0" w:line="167" w:lineRule="exact"/>
        <w:rPr>
          <w:rFonts w:ascii="Times New Roman" w:cs="Times New Roman" w:eastAsia="Times New Roman" w:hAnsi="Times New Roman"/>
          <w:sz w:val="18"/>
          <w:szCs w:val="18"/>
          <w:color w:val="010000"/>
        </w:rPr>
      </w:pPr>
    </w:p>
    <w:p>
      <w:pPr>
        <w:ind w:left="980" w:hanging="514"/>
        <w:spacing w:after="0"/>
        <w:tabs>
          <w:tab w:leader="none" w:pos="9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providing for any Company Change of Control Payment;</w:t>
      </w:r>
    </w:p>
    <w:p>
      <w:pPr>
        <w:spacing w:after="0" w:line="192" w:lineRule="exact"/>
        <w:rPr>
          <w:rFonts w:ascii="Times New Roman" w:cs="Times New Roman" w:eastAsia="Times New Roman" w:hAnsi="Times New Roman"/>
          <w:sz w:val="18"/>
          <w:szCs w:val="18"/>
          <w:color w:val="010000"/>
        </w:rPr>
      </w:pPr>
    </w:p>
    <w:p>
      <w:pPr>
        <w:jc w:val="both"/>
        <w:ind w:left="-60" w:firstLine="526"/>
        <w:spacing w:after="0" w:line="241" w:lineRule="auto"/>
        <w:tabs>
          <w:tab w:leader="none" w:pos="1055"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w:t>
      </w:r>
    </w:p>
    <w:p>
      <w:pPr>
        <w:spacing w:after="0" w:line="166"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027"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settlement, conciliation or similar Contract (A) requiring monetary payments by any Group Company after the date of this Agreement, (B) with a Governmental Entity or (C) that imposes any material, non-monetary obligations on any Group Company (or ARYA or any of its Affiliates after the Closing); and</w:t>
      </w:r>
    </w:p>
    <w:p>
      <w:pPr>
        <w:spacing w:after="0" w:line="3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29210</wp:posOffset>
            </wp:positionV>
            <wp:extent cx="7157085"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316" w:right="319" w:bottom="1440" w:gutter="0" w:footer="0" w:header="0"/>
        </w:sectPr>
      </w:pPr>
    </w:p>
    <w:bookmarkStart w:id="51" w:name="page52"/>
    <w:bookmarkEnd w:id="51"/>
    <w:p>
      <w:pPr>
        <w:jc w:val="both"/>
        <w:ind w:left="1080" w:firstLine="526"/>
        <w:spacing w:after="0" w:line="245" w:lineRule="auto"/>
        <w:tabs>
          <w:tab w:leader="none" w:pos="2202" w:val="left"/>
        </w:tabs>
        <w:numPr>
          <w:ilvl w:val="1"/>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other Contract the performance of which requires either (A) annual payments to or from any Group Company in excess of $2,000,000 or (B) aggregate payments to or from any Group Company in excess of $5,000,000 over the life of the agreement and, in each case, that is not terminable by the applicable Group Company without penalty upon less than thirty (30) days’ prior written notice.</w:t>
      </w:r>
    </w:p>
    <w:p>
      <w:pPr>
        <w:spacing w:after="0" w:line="164"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594"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Each Material Contract is valid and binding on the applicable Group Company and, to the Company’s knowledge,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ARYA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spacing w:after="0" w:line="168"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b w:val="1"/>
          <w:bCs w:val="1"/>
          <w:color w:val="010000"/>
        </w:rPr>
        <w:t xml:space="preserve">Section 3.8 </w:t>
      </w:r>
      <w:r>
        <w:rPr>
          <w:rFonts w:ascii="Times New Roman" w:cs="Times New Roman" w:eastAsia="Times New Roman" w:hAnsi="Times New Roman"/>
          <w:sz w:val="18"/>
          <w:szCs w:val="18"/>
          <w:b w:val="1"/>
          <w:bCs w:val="1"/>
          <w:u w:val="single" w:color="auto"/>
          <w:color w:val="000000"/>
        </w:rPr>
        <w:t>Absence of Changes</w:t>
      </w:r>
      <w:r>
        <w:rPr>
          <w:rFonts w:ascii="Times New Roman" w:cs="Times New Roman" w:eastAsia="Times New Roman" w:hAnsi="Times New Roman"/>
          <w:sz w:val="18"/>
          <w:szCs w:val="18"/>
          <w:color w:val="000000"/>
        </w:rPr>
        <w:t>. During the period beginning on January 1, 2020 and ending on the date of this Agreement, (a) no Company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Material Adverse Effect has occurred and (b) except as expressly contemplated by this Agreement, any Ancillary Document or in connection with the transactions contemplated hereby and thereby, (i) the Group Companies have conducted their businesses in the ordinary course in all material respects, (ii) no Group Company has taken any action that would require the consent of ARYA if taken during the period from the date of this Agreement until the Closing pursuant to, Section 5.1(b)(iv)(A), Section 5.1(b)(viii), Section 5.1(b)(xii) or Section 5.1(b)(xvi) (to the extent related to any of the foregoing) and (iii) no Group Company has taken any action that would require the consent of ARYA if taken during the period from the date of this Agreement until the Closing pursuant to Section 5.1(b)(i), Section 5.1(b)(xv) or Section 5.1(b)(xvi) (to the extent related to Section 5.1(b)(i) or Section 5.1(b)(xv)).</w:t>
      </w:r>
    </w:p>
    <w:p>
      <w:pPr>
        <w:spacing w:after="0" w:line="167"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3.9 </w:t>
      </w:r>
      <w:r>
        <w:rPr>
          <w:rFonts w:ascii="Times New Roman" w:cs="Times New Roman" w:eastAsia="Times New Roman" w:hAnsi="Times New Roman"/>
          <w:sz w:val="18"/>
          <w:szCs w:val="18"/>
          <w:b w:val="1"/>
          <w:bCs w:val="1"/>
          <w:u w:val="single" w:color="auto"/>
          <w:color w:val="000000"/>
        </w:rPr>
        <w:t>Litigation</w:t>
      </w:r>
      <w:r>
        <w:rPr>
          <w:rFonts w:ascii="Times New Roman" w:cs="Times New Roman" w:eastAsia="Times New Roman" w:hAnsi="Times New Roman"/>
          <w:sz w:val="18"/>
          <w:szCs w:val="18"/>
          <w:color w:val="000000"/>
        </w:rPr>
        <w:t>. There is (and since January 1, 2018 there has been) no Proceeding, by any counterparty not a Party hereto, pending or,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Company’s knowledge, threatened against or involving any Group Company or, to the Company’s knowledge, pending or threatened against or involving any Group Company’s managers, officers, directors or employees (in their capacity as such), that, if adversely decided or resolved, has been or would reasonably be expected to be, individually or in the aggregate, material to the Group Companies, taken as a whole. Neither the Group Companies nor any of their respective properties or assets is subject to any material Order. From January 1, 2018, through the date hereof, there have been no material Proceedings by a Group Company pending against any other Person.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2" w:name="page53"/>
    <w:bookmarkEnd w:id="52"/>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3.10 </w:t>
      </w:r>
      <w:r>
        <w:rPr>
          <w:rFonts w:ascii="Times New Roman" w:cs="Times New Roman" w:eastAsia="Times New Roman" w:hAnsi="Times New Roman"/>
          <w:sz w:val="18"/>
          <w:szCs w:val="18"/>
          <w:b w:val="1"/>
          <w:bCs w:val="1"/>
          <w:u w:val="single" w:color="auto"/>
          <w:color w:val="000000"/>
        </w:rPr>
        <w:t>Compliance with Applicable Law</w:t>
      </w:r>
      <w:r>
        <w:rPr>
          <w:rFonts w:ascii="Times New Roman" w:cs="Times New Roman" w:eastAsia="Times New Roman" w:hAnsi="Times New Roman"/>
          <w:sz w:val="18"/>
          <w:szCs w:val="18"/>
          <w:color w:val="000000"/>
        </w:rPr>
        <w:t>. Each Group Company (a) conducts (and since January 1, 2018 has conducted) its business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accordance with all Laws and Orders applicable to such Group Company and is not in violation of any such Law or Order and (b) as of the date of this Agreement, has not received any written communications or, to the Company’s knowledge, any other communications from a Governmental Entity that alleges that such Group Company is not in compliance with any Law or Order, except in each case of clauses (a) and (b), as is not and would not reasonably be expected to be, individually or in the aggregate, material to the Group Companies, taken as a whole.</w:t>
      </w:r>
    </w:p>
    <w:p>
      <w:pPr>
        <w:spacing w:after="0" w:line="17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3.11</w:t>
      </w:r>
      <w:r>
        <w:rPr>
          <w:sz w:val="20"/>
          <w:szCs w:val="20"/>
          <w:color w:val="auto"/>
        </w:rPr>
        <w:tab/>
      </w:r>
      <w:r>
        <w:rPr>
          <w:rFonts w:ascii="Times New Roman" w:cs="Times New Roman" w:eastAsia="Times New Roman" w:hAnsi="Times New Roman"/>
          <w:sz w:val="14"/>
          <w:szCs w:val="14"/>
          <w:b w:val="1"/>
          <w:bCs w:val="1"/>
          <w:u w:val="single" w:color="auto"/>
          <w:color w:val="auto"/>
        </w:rPr>
        <w:t>Employee Plans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6" w:lineRule="auto"/>
        <w:tabs>
          <w:tab w:leader="none" w:pos="1883"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ARYA with true and complete copies of the material documents pursuant to which the plan is maintained, funded and administered.</w:t>
      </w:r>
    </w:p>
    <w:p>
      <w:pPr>
        <w:spacing w:after="0" w:line="16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38"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or post-ownership health or life insurance or other welfare-type benefits to any Person other than health continuation coverage pursuant to COBRA or similar Law and for which the recipient pays the full premium cost of coverage. No Group Company has any material Liabilities by reason of at any relevant time being considered a single employer under Section 414 of the Code with any other Person.</w:t>
      </w:r>
    </w:p>
    <w:p>
      <w:pPr>
        <w:spacing w:after="0" w:line="172"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05"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Employee Benefit Plan that is intended to be qualified under Section 401(a) of the Code is so qualified and has timely received a favorable determination or opinion or advisory letter from the Internal Revenue Service. None of the Group Companies has incurred (whether or not assessed) any material penalty or Tax under Section 4980H, 4980B, 4980D, 6721 or 6722 of the Code.</w:t>
      </w:r>
    </w:p>
    <w:p>
      <w:pPr>
        <w:spacing w:after="0" w:line="16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893"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Employee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its purpose, and no amount under any such plan, agreement or arrangement is or has been subject to the interest and additional Tax set forth under Section 409A(a)(1)(B) of the Code.</w:t>
      </w:r>
    </w:p>
    <w:p>
      <w:pPr>
        <w:spacing w:after="0" w:line="166"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861"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pending or, to the Company’s knowledge, threatened in writing, material claims or Proceedings with respect to any Employee Benefit Plan (other than routine claims for benefits). There have been no “prohibited transactions” within the meaning of Section 4975 of the Code or Sections 406 or 407 of ERISA and no breaches of fiduciary duty (as determined under ERISA) with respect to any Employee Benefit Plan that have resulted in or could reasonably be expected to result in a material Liability to any Group Company. With respect to each Employee Benefit Plan, all contributions, distributions, reimbursements and premium payments that are due have been timely made, except as is not and would not reasonably be expected to be, individually or in the aggregate, material to the Group Companies, taken as a whole.</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3" w:name="page54"/>
    <w:bookmarkEnd w:id="53"/>
    <w:p>
      <w:pPr>
        <w:jc w:val="both"/>
        <w:ind w:firstLine="1074"/>
        <w:spacing w:after="0" w:line="236" w:lineRule="auto"/>
        <w:tabs>
          <w:tab w:leader="none" w:pos="1775"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and delivery of this Agreement and the consummation of the transactions contemplated by this Agreement will not materially (alone or in combination with any other event)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spacing w:after="0" w:line="171"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27"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amount that could be received (whether in cash or property or the vesting of property) by any “disqualified individual” of any of the Group Companies under any Employee Benefit Plan or otherwise as a result of the consummation of the transactions contemplated by this Agreement could, separately or in the aggregate, be nondeductible under Section 280G of the Code or subjected to an excise tax under Section 4999 of the Code.</w:t>
      </w:r>
    </w:p>
    <w:p>
      <w:pPr>
        <w:spacing w:after="0" w:line="162" w:lineRule="exact"/>
        <w:rPr>
          <w:rFonts w:ascii="Times New Roman" w:cs="Times New Roman" w:eastAsia="Times New Roman" w:hAnsi="Times New Roman"/>
          <w:sz w:val="18"/>
          <w:szCs w:val="18"/>
          <w:color w:val="010000"/>
        </w:rPr>
      </w:pPr>
    </w:p>
    <w:p>
      <w:pPr>
        <w:ind w:firstLine="1074"/>
        <w:spacing w:after="0" w:line="260" w:lineRule="auto"/>
        <w:tabs>
          <w:tab w:leader="none" w:pos="1716"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Group Companies have no material obligation to make a “gross-up” or similar payment in respect of any taxes that may become payable under Section 4999 or 409A of the Code.</w:t>
      </w:r>
    </w:p>
    <w:p>
      <w:pPr>
        <w:spacing w:after="0" w:line="150"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98"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Foreign Benefit Plan that is required to be registered or intended to be tax exempt has been registered (and, where applicable, accepted for registration) and is tax exempt and has been maintained in good standing,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the Group Companies with respect to plans or arrangements maintained or sponsored a Governmental Entity (including severance, termination indemnities or other similar benefits maintained for employees outside of the U.S.) have been timely made or fully accrued.</w:t>
      </w:r>
    </w:p>
    <w:p>
      <w:pPr>
        <w:spacing w:after="0" w:line="169"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010000"/>
        </w:rPr>
        <w:t>Section 3.12</w:t>
      </w:r>
      <w:r>
        <w:rPr>
          <w:sz w:val="20"/>
          <w:szCs w:val="20"/>
          <w:color w:val="auto"/>
        </w:rPr>
        <w:tab/>
      </w:r>
      <w:r>
        <w:rPr>
          <w:rFonts w:ascii="Times New Roman" w:cs="Times New Roman" w:eastAsia="Times New Roman" w:hAnsi="Times New Roman"/>
          <w:sz w:val="17"/>
          <w:szCs w:val="17"/>
          <w:b w:val="1"/>
          <w:bCs w:val="1"/>
          <w:u w:val="single" w:color="auto"/>
          <w:color w:val="auto"/>
        </w:rPr>
        <w:t>Environmental Matters</w:t>
      </w:r>
      <w:r>
        <w:rPr>
          <w:rFonts w:ascii="Times New Roman" w:cs="Times New Roman" w:eastAsia="Times New Roman" w:hAnsi="Times New Roman"/>
          <w:sz w:val="17"/>
          <w:szCs w:val="17"/>
          <w:color w:val="auto"/>
        </w:rPr>
        <w:t>. Except as would not have a Company Material Adverse Effect:</w:t>
      </w:r>
    </w:p>
    <w:p>
      <w:pPr>
        <w:spacing w:after="0" w:line="194" w:lineRule="exact"/>
        <w:rPr>
          <w:sz w:val="20"/>
          <w:szCs w:val="20"/>
          <w:color w:val="auto"/>
        </w:rPr>
      </w:pPr>
    </w:p>
    <w:p>
      <w:pPr>
        <w:ind w:firstLine="1074"/>
        <w:spacing w:after="0" w:line="260" w:lineRule="auto"/>
        <w:tabs>
          <w:tab w:leader="none" w:pos="1705" w:val="left"/>
        </w:tabs>
        <w:numPr>
          <w:ilvl w:val="0"/>
          <w:numId w:val="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Group Companies have received any written communication or, to the Company’s knowledge, other communication from any Governmental Entity or any other Person regarding any actual, alleged, or potential violation of, or Liability under, any Environmental Laws.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4" w:name="page55"/>
    <w:bookmarkEnd w:id="54"/>
    <w:p>
      <w:pPr>
        <w:ind w:right="20" w:firstLine="1074"/>
        <w:spacing w:after="0" w:line="259" w:lineRule="auto"/>
        <w:tabs>
          <w:tab w:leader="none" w:pos="1738"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is (and since January 1, 2018 there has been) no Proceeding pending or, to the Company’s knowledge, threatened in writing against or involving any Group Company in respect to any Environmental Laws.</w:t>
      </w:r>
    </w:p>
    <w:p>
      <w:pPr>
        <w:spacing w:after="0" w:line="151" w:lineRule="exact"/>
        <w:rPr>
          <w:rFonts w:ascii="Times New Roman" w:cs="Times New Roman" w:eastAsia="Times New Roman" w:hAnsi="Times New Roman"/>
          <w:sz w:val="18"/>
          <w:szCs w:val="18"/>
          <w:color w:val="010000"/>
        </w:rPr>
      </w:pPr>
    </w:p>
    <w:p>
      <w:pPr>
        <w:ind w:right="20" w:firstLine="1074"/>
        <w:spacing w:after="0" w:line="260" w:lineRule="auto"/>
        <w:tabs>
          <w:tab w:leader="none" w:pos="1661" w:val="left"/>
        </w:tabs>
        <w:numPr>
          <w:ilvl w:val="0"/>
          <w:numId w:val="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not manufactured, released, treated, stored, disposed of, arranged for disposal of, transported or handled, or exposed any Person to, any Hazardous Substances, and no current or former property or facility is or has been contaminated by any Hazardous Substances.</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Group Companies have made available to ARYA copies of all environmental assessments, audits and reports and all other material environmental, health and safety documents that are in any Group Company’s possession or reasonable control relating to the current or former operations, properties or facilities of the Group Companies.</w:t>
      </w:r>
    </w:p>
    <w:p>
      <w:pPr>
        <w:spacing w:after="0" w:line="168"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3.13</w:t>
      </w:r>
      <w:r>
        <w:rPr>
          <w:sz w:val="20"/>
          <w:szCs w:val="20"/>
          <w:color w:val="auto"/>
        </w:rPr>
        <w:tab/>
      </w:r>
      <w:r>
        <w:rPr>
          <w:rFonts w:ascii="Times New Roman" w:cs="Times New Roman" w:eastAsia="Times New Roman" w:hAnsi="Times New Roman"/>
          <w:sz w:val="14"/>
          <w:szCs w:val="14"/>
          <w:b w:val="1"/>
          <w:bCs w:val="1"/>
          <w:u w:val="single" w:color="auto"/>
          <w:color w:val="auto"/>
        </w:rPr>
        <w:t>Intellectual Property</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9" w:lineRule="auto"/>
        <w:tabs>
          <w:tab w:leader="none" w:pos="1938"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sets forth a true and complete list of (i) all currently issued or pending Company Registered Intellectual Property and (ii) material unregistered Marks and Copyrights owned by any Group Company, in each case, as of the date of this Agreement.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lists, for each item of Company Registered Intellectual Property as of the date of this Agreement (A) the record owner of such item, (B) the jurisdictions in which such item has been issued or registered or filed, (C) the issuance, registration or application date, as applicable, for such item and (D) the issuance, registration or application number, as applicable, for such item.</w:t>
      </w:r>
    </w:p>
    <w:p>
      <w:pPr>
        <w:spacing w:after="0" w:line="167"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727"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Agreement, all necessary fees and filings with respect to any material Company Registered Intellectual Property have been timely submitted to the relevant intellectual property office or Governmental Entity and Internet domain name registrars to maintain such material Company Registered Intellectual Property in full force and effect, except, in each case, where a Group Company has, in its reasonable business judgment, decided to cancel, abandon, allow to lapse or not renew such issuance, registration or application. As of the date of this Agreement,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As of the date of this Agreement, there are no material Proceedings pending that relate to any of the Company Registered Intellectual Property and, to the Company’s knowledge, no such material Proceedings are threatened by any Governmental Entity or any other Person.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5" w:name="page56"/>
    <w:bookmarkEnd w:id="55"/>
    <w:p>
      <w:pPr>
        <w:jc w:val="both"/>
        <w:ind w:firstLine="1074"/>
        <w:spacing w:after="0" w:line="233" w:lineRule="auto"/>
        <w:tabs>
          <w:tab w:leader="none" w:pos="1672"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Group Company exclusively owns all right, title and interest in and to all material Company Owned Intellectual Property, free and clear of all Liens or obligations to others (other than Permitted Liens). For all Patents owned by the Group Companies,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Product on anything other than a non-exclusive basis. </w:t>
      </w:r>
      <w:r>
        <w:rPr>
          <w:rFonts w:ascii="Times New Roman" w:cs="Times New Roman" w:eastAsia="Times New Roman" w:hAnsi="Times New Roman"/>
          <w:sz w:val="18"/>
          <w:szCs w:val="18"/>
          <w:u w:val="single" w:color="auto"/>
          <w:color w:val="auto"/>
        </w:rPr>
        <w:t>Section 3.13(c)</w:t>
      </w:r>
      <w:r>
        <w:rPr>
          <w:rFonts w:ascii="Times New Roman" w:cs="Times New Roman" w:eastAsia="Times New Roman" w:hAnsi="Times New Roman"/>
          <w:sz w:val="18"/>
          <w:szCs w:val="18"/>
          <w:color w:val="auto"/>
        </w:rPr>
        <w:t xml:space="preserve"> of the Company Disclosure Schedules sets forth a list of all current (i.e., not terminated or expired) Contracts for material Company Licensed Intellectual Property as of the date of this Agreement pursuant to which any Group Company has been granted any license or covenant not to sue under, or otherwise has received or acquired any right (whether or not exercisable) or interest in, such material Company Licensed Intellectual Property, other than any of the following (the “</w:t>
      </w:r>
      <w:r>
        <w:rPr>
          <w:rFonts w:ascii="Times New Roman" w:cs="Times New Roman" w:eastAsia="Times New Roman" w:hAnsi="Times New Roman"/>
          <w:sz w:val="18"/>
          <w:szCs w:val="18"/>
          <w:u w:val="single" w:color="auto"/>
          <w:color w:val="auto"/>
        </w:rPr>
        <w:t>Non-Scheduled Contracts</w:t>
      </w:r>
      <w:r>
        <w:rPr>
          <w:rFonts w:ascii="Times New Roman" w:cs="Times New Roman" w:eastAsia="Times New Roman" w:hAnsi="Times New Roman"/>
          <w:sz w:val="18"/>
          <w:szCs w:val="18"/>
          <w:color w:val="auto"/>
        </w:rPr>
        <w:t>”): (A) Contracts for Off-the-Shelf Software, (B) Contracts for Public Software, (C) non-disclosure Contracts and (D) Contracts with licenses granted by employees, individual consultants or individual contractors of any Group Company to a Group Company that do not materially differ from the Group Companies’ form therefor that has been made available to ARYA. The applicable Group Company has valid rights under all of its Contracts for Company Licensed Intellectual Property to use, sell, license and otherwise exploit, as the case may be, all Company Licensed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Company’s knowledge, constitute all of the Intellectual Property Rights used or held for use by the Group Companies in the operation of their respective businesses, and all Intellectual Property Rights necessary and sufficient to enable the Group Companies to conduct their respective businesses as currently conducted in all material respects. The Company Registered Intellectual Property (other than Company Registered Intellectual Property that has been applied for but not issued as registered), to the Company’s knowledge, is valid and enforceable, and, to the Company’s knowledge, all of the Group Companies’ rights in and to the Company Registered Intellectual Property, the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spacing w:after="0" w:line="17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649"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January 1, 2018 (each such person, a “</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have agreed to maintain and protect the trade secrets and confidential information of all Group Companies. Each Group Company’s employees, consultants, advisors and independent contractors who independently or jointly contributed to or otherwise participated in the authorship, invention, creation, improvement, modification or development of any material Company Owned Intellectual Property have assigned or have agreed to a present assignment to such Group Company all Intellectual Property Rights authored, invented, created, improved, modified or developed by such person in the course of such Creator’s employment or other engagement with such Group Company, other than such Intellectual Property Rights that cannot be assigned under applicable Law.</w:t>
      </w:r>
    </w:p>
    <w:p>
      <w:pPr>
        <w:spacing w:after="0" w:line="168"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894"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takes reasonable steps to safeguard and maintain the secrecy of any trade secrets, know-how and other confidential information owned by each Group Company that the applicable Group Company desires to maintain as confidential. Without limiting the foregoing, each Group Company has not disclosed any material trade secrets, know-how or confidential information that the applicable Group Company desired to maintain as confidential to any other Person unless such disclosure was under an appropriate contractual, fiduciary or professional non-disclosure obligations. To the Company’s knowledge, since January 1, 2018, there has been no violation or unauthorized access to or disclosure of any material trade secrets, know-how or confidential information of or in the possession each Group Company, or of any written obligations with respect to such.</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6" w:name="page57"/>
    <w:bookmarkEnd w:id="56"/>
    <w:p>
      <w:pPr>
        <w:jc w:val="both"/>
        <w:ind w:firstLine="1074"/>
        <w:spacing w:after="0"/>
        <w:tabs>
          <w:tab w:leader="none" w:pos="173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69"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660"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Company’s knowledge, neither the conduct of the business of the Group Companies nor any of the Company Products offered, marketed, licensed, provided, sold, distributed or otherwise exploited by the Group Companies nor the design, development, manufacturing, reproduction, use, marketing, offer for sale, sale, importation, exportation, distribution, maintenance or other exploitation of any Company Product as authorized by any Group Company infringes, constitutes or results from an unauthorized use or misappropriation of or otherwise violates any Intellectual Property Rights of any other Person, except as is not and would not reasonably be expected to be, individually or in the aggregate, material to the Group Companies, taken as a whole.</w:t>
      </w:r>
    </w:p>
    <w:p>
      <w:pPr>
        <w:spacing w:after="0" w:line="171"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27"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January 1, 2018, there is no material Proceeding pending nor has any Group Company received any written communications or, to the Company’s knowledge, any other communications (i) alleging that a Group Company has infringed, misappropriated or otherwise violated any Intellectual Property Rights of any other Person, (ii) 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 except as, in each case, is not and would not reasonably be expected to be, individually or in the aggregate, material to the Group Companies, taken as a whole.</w:t>
      </w:r>
    </w:p>
    <w:p>
      <w:pPr>
        <w:spacing w:after="0" w:line="171"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76"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Company’s knowledge, no Person is infringing, misappropriating, misusing, diluting or violating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spacing w:after="0" w:line="162"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632" w:val="left"/>
        </w:tabs>
        <w:numPr>
          <w:ilvl w:val="0"/>
          <w:numId w:val="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whole. No Group Company has disclosed or delivered to any escrow agent or any other Person, other than employees or contractors who are subject to confidentiality obligations, any of the confidential Software source code that is Company Owned Intellectual Property, and no other Person has the right, contingent or otherwise, to obtain access to or use any such Software source code. To the Company’s knowledge, no event has occurred that (with or without notice or lapse of time or both) will, or could reasonably be expected to, result in the delivery, license or disclosure of any confidential Software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7" w:name="page58"/>
    <w:bookmarkEnd w:id="57"/>
    <w:p>
      <w:pPr>
        <w:jc w:val="both"/>
        <w:ind w:firstLine="1074"/>
        <w:spacing w:after="0" w:line="234" w:lineRule="auto"/>
        <w:tabs>
          <w:tab w:leader="none" w:pos="1849" w:val="left"/>
        </w:tabs>
        <w:numPr>
          <w:ilvl w:val="0"/>
          <w:numId w:val="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spacing w:after="0" w:line="182"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3.14</w:t>
      </w:r>
      <w:r>
        <w:rPr>
          <w:sz w:val="20"/>
          <w:szCs w:val="20"/>
          <w:color w:val="auto"/>
        </w:rPr>
        <w:tab/>
      </w:r>
      <w:r>
        <w:rPr>
          <w:rFonts w:ascii="Times New Roman" w:cs="Times New Roman" w:eastAsia="Times New Roman" w:hAnsi="Times New Roman"/>
          <w:sz w:val="14"/>
          <w:szCs w:val="14"/>
          <w:b w:val="1"/>
          <w:bCs w:val="1"/>
          <w:u w:val="single" w:color="auto"/>
          <w:color w:val="auto"/>
        </w:rPr>
        <w:t>Labor Matters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6" w:lineRule="auto"/>
        <w:tabs>
          <w:tab w:leader="none" w:pos="1750"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January 1, 2018, except as has not and would not reasonably be expected to result in, individually or in the aggregate, material Liability to the Group Companies, (i) none of the Group Companies (A) has or has had any Liability for any arrears of wages or other compensation for services (including salaries, wage premiums, commissions, fees or bonuses), or any penalties, fines, interest, or other sums for failure to pay or delinquency in paying such compensation, and (B) has or has had any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consistent with past practice); and (ii) the Group Companies have withheld all amounts required by applicable Law or by agreement to be withheld from wages, salaries and other payments to employees or independent contractors or other service providers of each Group Company.</w:t>
      </w:r>
    </w:p>
    <w:p>
      <w:pPr>
        <w:spacing w:after="0" w:line="168"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38" w:val="left"/>
        </w:tabs>
        <w:numPr>
          <w:ilvl w:val="0"/>
          <w:numId w:val="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January 1, 2018, there has been no “mass layoff” or “plant closing” as defined by WARN related to any Group Company, and the Group Companies have not incurred any material Liability under WARN nor are they reasonably expected to incur any Liability under WARN as a result of the transactions contemplated by this Agreement.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8" w:name="page59"/>
    <w:bookmarkEnd w:id="58"/>
    <w:p>
      <w:pPr>
        <w:jc w:val="both"/>
        <w:ind w:firstLine="1074"/>
        <w:spacing w:after="0" w:line="236" w:lineRule="auto"/>
        <w:tabs>
          <w:tab w:leader="none" w:pos="1628"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is a party to or bound by any CBA and no employees of the Group Companies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Since January 1, 2018, there has been no actual or, to the Company’s knowledge, threatened material unfair labor practice charges, material grievances, arbitrations, strikes, lockouts, work stoppages, slowdowns, picketing, handbilling or other material labor disputes against or affecting any Group Company. To the Company’s knowledge, since January 1, 2018, there have been no labor organizing activities with respect to any employees of any Group Company.</w:t>
      </w:r>
    </w:p>
    <w:p>
      <w:pPr>
        <w:spacing w:after="0" w:line="167"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60" w:val="left"/>
        </w:tabs>
        <w:numPr>
          <w:ilvl w:val="0"/>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employee layoff, facility closure or shutdown (whether voluntary or by Order), reduction-in-force, furlough, temporary layoff, material work schedule change or reduction in hours, or reduction in salary or wages, or other workforce changes affecting employees of the Group Companies has occurred since January 1, 2020 or, as of the date of this Agreement, is currently contemplated, planned or announced, including as a result of COVID-19 or any Law, Order, directive, guideline or recommendation by any Governmental Entity in connection with or in response to COVID-19. As of the date of this Agreement, the Group Companies have not otherwise experienced any material employment-related liability with respect to or arising out of COVID-19 or any Law, Order, directive, guideline or recommendation by any Governmental Entity in connection with or in response to COVID-19.</w:t>
      </w:r>
    </w:p>
    <w:p>
      <w:pPr>
        <w:spacing w:after="0" w:line="169"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3.15 </w:t>
      </w:r>
      <w:r>
        <w:rPr>
          <w:rFonts w:ascii="Times New Roman" w:cs="Times New Roman" w:eastAsia="Times New Roman" w:hAnsi="Times New Roman"/>
          <w:sz w:val="18"/>
          <w:szCs w:val="18"/>
          <w:b w:val="1"/>
          <w:bCs w:val="1"/>
          <w:u w:val="single" w:color="auto"/>
          <w:color w:val="000000"/>
        </w:rPr>
        <w:t>Insurance</w:t>
      </w:r>
      <w:r>
        <w:rPr>
          <w:rFonts w:ascii="Times New Roman" w:cs="Times New Roman" w:eastAsia="Times New Roman" w:hAnsi="Times New Roman"/>
          <w:sz w:val="18"/>
          <w:szCs w:val="18"/>
          <w:color w:val="000000"/>
        </w:rPr>
        <w:t>. Section 3.15 of the Company Disclosure Schedules sets forth a list of all material policies of fire, liability, workers’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compensation, property, casualty and other forms of insurance owned or held by any Group Company as of the date of this Agreement. All such policies are in full force and effect, all premiums due and payable thereon as of the date of this Agreement have been paid in full as of the date of this Agreement, and true and complete copies of all such policies have been made available to ARYA. As of the date of this Agreement, no claim by any Group Company is pending under any such policies as to which coverage has been denied or disputed, or rights reserved to do so, by the underwriters thereof, except as would not have a Company Material Adverse Effect.</w:t>
      </w:r>
    </w:p>
    <w:p>
      <w:pPr>
        <w:spacing w:after="0" w:line="174"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3.16</w:t>
      </w:r>
      <w:r>
        <w:rPr>
          <w:sz w:val="20"/>
          <w:szCs w:val="20"/>
          <w:color w:val="auto"/>
        </w:rPr>
        <w:tab/>
      </w:r>
      <w:r>
        <w:rPr>
          <w:rFonts w:ascii="Times New Roman" w:cs="Times New Roman" w:eastAsia="Times New Roman" w:hAnsi="Times New Roman"/>
          <w:sz w:val="14"/>
          <w:szCs w:val="14"/>
          <w:b w:val="1"/>
          <w:bCs w:val="1"/>
          <w:u w:val="single" w:color="auto"/>
          <w:color w:val="auto"/>
        </w:rPr>
        <w:t>Tax Matters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right="20" w:firstLine="1074"/>
        <w:spacing w:after="0" w:line="246" w:lineRule="auto"/>
        <w:tabs>
          <w:tab w:leader="none" w:pos="1683"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162" w:lineRule="exact"/>
        <w:rPr>
          <w:rFonts w:ascii="Times New Roman" w:cs="Times New Roman" w:eastAsia="Times New Roman" w:hAnsi="Times New Roman"/>
          <w:sz w:val="18"/>
          <w:szCs w:val="18"/>
          <w:color w:val="010000"/>
        </w:rPr>
      </w:pPr>
    </w:p>
    <w:p>
      <w:pPr>
        <w:jc w:val="both"/>
        <w:ind w:firstLine="1074"/>
        <w:spacing w:after="0" w:line="220" w:lineRule="exact"/>
        <w:tabs>
          <w:tab w:leader="none" w:pos="1782" w:val="left"/>
        </w:tabs>
        <w:numPr>
          <w:ilvl w:val="0"/>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9" w:name="page60"/>
    <w:bookmarkEnd w:id="59"/>
    <w:p>
      <w:pPr>
        <w:ind w:firstLine="1074"/>
        <w:spacing w:after="0" w:line="259" w:lineRule="auto"/>
        <w:tabs>
          <w:tab w:leader="none" w:pos="1728"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51"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16"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62"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94"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spacing w:after="0" w:line="162" w:lineRule="exact"/>
        <w:rPr>
          <w:rFonts w:ascii="Times New Roman" w:cs="Times New Roman" w:eastAsia="Times New Roman" w:hAnsi="Times New Roman"/>
          <w:sz w:val="18"/>
          <w:szCs w:val="18"/>
          <w:color w:val="010000"/>
        </w:rPr>
      </w:pPr>
    </w:p>
    <w:p>
      <w:pPr>
        <w:ind w:right="20" w:firstLine="1074"/>
        <w:spacing w:after="0" w:line="260" w:lineRule="auto"/>
        <w:tabs>
          <w:tab w:leader="none" w:pos="193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is or has been a party to any “listed transaction” as defined in Section 6707A of the Code and Treasury Regulations Section 1.6011-4 (or any corresponding or similar provision of state, local or non-U.S. income Tax Law).</w:t>
      </w:r>
    </w:p>
    <w:p>
      <w:pPr>
        <w:spacing w:after="0" w:line="150"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are no Liens for material Taxes on any assets of the Group Companies other than Permitted Liens.</w:t>
      </w:r>
    </w:p>
    <w:p>
      <w:pPr>
        <w:spacing w:after="0" w:line="192" w:lineRule="exact"/>
        <w:rPr>
          <w:rFonts w:ascii="Times New Roman" w:cs="Times New Roman" w:eastAsia="Times New Roman" w:hAnsi="Times New Roman"/>
          <w:sz w:val="18"/>
          <w:szCs w:val="18"/>
          <w:color w:val="010000"/>
        </w:rPr>
      </w:pPr>
    </w:p>
    <w:p>
      <w:pPr>
        <w:ind w:right="20" w:firstLine="1074"/>
        <w:spacing w:after="0" w:line="260" w:lineRule="auto"/>
        <w:tabs>
          <w:tab w:leader="none" w:pos="1627"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During the two (2)-year period ending on the date of this Agreement, no Group Company was a distributing corporation or a controlled corporation in a transaction purported or intended to be governed by Section 355 of the Code.</w:t>
      </w:r>
    </w:p>
    <w:p>
      <w:pPr>
        <w:spacing w:after="0" w:line="150"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72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entered into in the ordinary course of business and the principal purpose of which does not relate to Taxes).</w:t>
      </w:r>
    </w:p>
    <w:p>
      <w:pPr>
        <w:spacing w:after="0" w:line="167" w:lineRule="exact"/>
        <w:rPr>
          <w:rFonts w:ascii="Times New Roman" w:cs="Times New Roman" w:eastAsia="Times New Roman" w:hAnsi="Times New Roman"/>
          <w:sz w:val="18"/>
          <w:szCs w:val="18"/>
          <w:color w:val="010000"/>
        </w:rPr>
      </w:pPr>
    </w:p>
    <w:p>
      <w:pPr>
        <w:ind w:firstLine="1074"/>
        <w:spacing w:after="0" w:line="260" w:lineRule="auto"/>
        <w:tabs>
          <w:tab w:leader="none" w:pos="1731"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50"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826"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is a party to any Tax allocation, Tax sharing or Tax indemnity or similar agreements (other than one that is included in a Contract entered into in the ordinary course of business that is not primarily related to Taxes) and no Group Company is a party to any joint venture, partnership or other arrangement that is treated as a partnership for U.S. federal income Tax purposes.</w:t>
      </w:r>
    </w:p>
    <w:p>
      <w:pPr>
        <w:spacing w:after="0" w:line="16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is tax resident only in its jurisdiction of formation.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0" w:name="page61"/>
    <w:bookmarkEnd w:id="60"/>
    <w:p>
      <w:pPr>
        <w:ind w:firstLine="1074"/>
        <w:spacing w:after="0" w:line="260" w:lineRule="auto"/>
        <w:tabs>
          <w:tab w:leader="none" w:pos="1787"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Group Company has a permanent establishment (within the meaning of an applicable Tax treaty) or otherwise has an office or fixed place of business in a country other than the country in which it is organized.</w:t>
      </w:r>
    </w:p>
    <w:p>
      <w:pPr>
        <w:spacing w:after="0" w:line="150"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830" w:val="left"/>
        </w:tabs>
        <w:numPr>
          <w:ilvl w:val="0"/>
          <w:numId w:val="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Agreement, no Group Company has taken or agreed to take any action not contemplated by this Agreement and/or any Ancillary Document that could reasonably be expected to prevent the Merger from qualifying for the Intended Tax Treatment. To the knowledge of the Company, no facts or circumstances exist as of the date of this Agreement that could reasonably be expected to prevent the Merger (or, if applicable, the Alternative Merger Structure) from qualifying for the Intended Tax Treatment.</w:t>
      </w:r>
    </w:p>
    <w:p>
      <w:pPr>
        <w:spacing w:after="0" w:line="165"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3.17 </w:t>
      </w:r>
      <w:r>
        <w:rPr>
          <w:rFonts w:ascii="Times New Roman" w:cs="Times New Roman" w:eastAsia="Times New Roman" w:hAnsi="Times New Roman"/>
          <w:sz w:val="18"/>
          <w:szCs w:val="18"/>
          <w:b w:val="1"/>
          <w:bCs w:val="1"/>
          <w:u w:val="single" w:color="auto"/>
          <w:color w:val="000000"/>
        </w:rPr>
        <w:t>Brokers</w:t>
      </w:r>
      <w:r>
        <w:rPr>
          <w:rFonts w:ascii="Times New Roman" w:cs="Times New Roman" w:eastAsia="Times New Roman" w:hAnsi="Times New Roman"/>
          <w:sz w:val="18"/>
          <w:szCs w:val="18"/>
          <w:color w:val="000000"/>
        </w:rPr>
        <w:t>. Except for fees (including a good faith estimate of the amounts due and payable assuming the Closing occurs) set forth 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Section 3.17 of the Company Disclosure Schedules (which fees shall be the sole responsibility of the Company),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spacing w:after="0" w:line="164" w:lineRule="exact"/>
        <w:rPr>
          <w:sz w:val="20"/>
          <w:szCs w:val="20"/>
          <w:color w:val="auto"/>
        </w:rPr>
      </w:pPr>
    </w:p>
    <w:p>
      <w:pPr>
        <w:ind w:left="54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010000"/>
        </w:rPr>
        <w:t>Section 3.18</w:t>
      </w:r>
      <w:r>
        <w:rPr>
          <w:sz w:val="20"/>
          <w:szCs w:val="20"/>
          <w:color w:val="auto"/>
        </w:rPr>
        <w:tab/>
      </w:r>
      <w:r>
        <w:rPr>
          <w:rFonts w:ascii="Times New Roman" w:cs="Times New Roman" w:eastAsia="Times New Roman" w:hAnsi="Times New Roman"/>
          <w:sz w:val="17"/>
          <w:szCs w:val="17"/>
          <w:b w:val="1"/>
          <w:bCs w:val="1"/>
          <w:u w:val="single" w:color="auto"/>
          <w:color w:val="auto"/>
        </w:rPr>
        <w:t>Real and Personal Property</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ind w:left="1720" w:hanging="646"/>
        <w:spacing w:after="0"/>
        <w:tabs>
          <w:tab w:leader="none" w:pos="1720"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No Group Company owns any real property.</w:t>
      </w:r>
    </w:p>
    <w:p>
      <w:pPr>
        <w:spacing w:after="0" w:line="192" w:lineRule="exact"/>
        <w:rPr>
          <w:rFonts w:ascii="Times New Roman" w:cs="Times New Roman" w:eastAsia="Times New Roman" w:hAnsi="Times New Roman"/>
          <w:sz w:val="18"/>
          <w:szCs w:val="18"/>
          <w:color w:val="010000"/>
        </w:rPr>
      </w:pPr>
    </w:p>
    <w:p>
      <w:pPr>
        <w:jc w:val="both"/>
        <w:ind w:firstLine="1074"/>
        <w:spacing w:after="0" w:line="234" w:lineRule="auto"/>
        <w:tabs>
          <w:tab w:leader="none" w:pos="1860"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Schedules sets forth a true and complete list (including street addresses) of all real property leased by any of the Group Companies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all Real Property Leases pursuant to which any Group Company is a tenant or landlord as of the date of this Agreement. True and complete copies of all such Real Property Leases have been made available to ARYA.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counterparty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 The Group Companies’ possession and quiet enjoyment of the Leased Real Property under any Real Property Lease has not been materially disturbed, and to the Company’s knowledge, there are no material disputes with respect to any Real Property Lease.</w:t>
      </w:r>
    </w:p>
    <w:p>
      <w:pPr>
        <w:spacing w:after="0" w:line="176"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17" w:val="left"/>
        </w:tabs>
        <w:numPr>
          <w:ilvl w:val="0"/>
          <w:numId w:val="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 Each Group Company has good, marketable and indefeasible title to, or a valid leasehold interest in or license or right to use, all of the material tangible assets and properties of the Group Companies reflected in the Financial Statements or thereafter acquired by the Group Companies, except for assets disposed of in the ordinary course of business.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1" w:name="page62"/>
    <w:bookmarkEnd w:id="61"/>
    <w:p>
      <w:pPr>
        <w:jc w:val="both"/>
        <w:ind w:firstLine="1074"/>
        <w:spacing w:after="0" w:line="241" w:lineRule="auto"/>
        <w:tabs>
          <w:tab w:leader="none" w:pos="1704" w:val="left"/>
        </w:tabs>
        <w:numPr>
          <w:ilvl w:val="0"/>
          <w:numId w:val="4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Immediately after the Effective Time, the tangible assets (which, for the avoidance of doubt, shall include any tangible assets held pursuant to valid leasehold interest, license or other similar interests or right to use any assets) of the Group Companies will constitute all of the tangible assets necessary to conduct the Business immediately after the Closing, except as is not and would not reasonably be expected to be, individually or in the aggregate, material to the Group Companies, taken as a whole.</w:t>
      </w:r>
    </w:p>
    <w:p>
      <w:pPr>
        <w:spacing w:after="0" w:line="165"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3.19 </w:t>
      </w:r>
      <w:r>
        <w:rPr>
          <w:rFonts w:ascii="Times New Roman" w:cs="Times New Roman" w:eastAsia="Times New Roman" w:hAnsi="Times New Roman"/>
          <w:sz w:val="18"/>
          <w:szCs w:val="18"/>
          <w:b w:val="1"/>
          <w:bCs w:val="1"/>
          <w:u w:val="single" w:color="auto"/>
          <w:color w:val="000000"/>
        </w:rPr>
        <w:t>Transactions with Affiliates</w:t>
      </w:r>
      <w:r>
        <w:rPr>
          <w:rFonts w:ascii="Times New Roman" w:cs="Times New Roman" w:eastAsia="Times New Roman" w:hAnsi="Times New Roman"/>
          <w:sz w:val="18"/>
          <w:szCs w:val="18"/>
          <w:color w:val="000000"/>
        </w:rPr>
        <w:t>. Section 3.19 of the Company Disclosure Schedules sets forth all Contracts between (a) any Group</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Company, on the one hand, and (b) any employee, officer, director, equityholder or Affiliate of any Group Company or any spouse, child or member of the same household of any officer, director or employee of any Group Company or any Affiliate of any Group Company, on the other hand (each Person identified in this clause (b), a “Company Affiliated Party”), other than (i) Contracts with respect to a Company Affiliated Party’s status as an (A) employee (including Employee Benefits Plans and other ordinary course compensation) entered into in the ordinary course of business, or (B) consultant or other non-employee service provider of the Company that have been made available to ARYA and (ii) Contracts entered into after the date of this Agreement that are either permitted pursuant to Section 5.1(b) (including as set forth in Section 5.1(b)(i)-(vi) of the Company Disclosure Schedules) or entered into in accordance with Section 5.1(b), (iii) Contracts with respect to a Company Shareholder’s or a holder of Company Equity Award’s status as a holder of Equity Securities of the Company, and (iv) customary director and officer indemnification agreements that have been made available to ARYA. No Company Affiliated Party (A) owns any material interest in any material asset or property used in any Group Company’s business, or (B) possesses, directly or indirectly, any material financial interest in, or is a director or executive officer of, any Person which is a material supplier, vendor, partner, customer, lessor or other material business relation of any Group Company. All Contracts, arrangements, understandings, interests and other matters that are required to be disclosed pursuant to this Section 3.19 (including, for the avoidance of doubt, pursuant to the second sentence of this Section 3.19) are referred to herein as “Company Affiliated Party Transactions”.</w:t>
      </w:r>
    </w:p>
    <w:p>
      <w:pPr>
        <w:spacing w:after="0" w:line="178"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3.20</w:t>
      </w:r>
      <w:r>
        <w:rPr>
          <w:sz w:val="20"/>
          <w:szCs w:val="20"/>
          <w:color w:val="auto"/>
        </w:rPr>
        <w:tab/>
      </w:r>
      <w:r>
        <w:rPr>
          <w:rFonts w:ascii="Times New Roman" w:cs="Times New Roman" w:eastAsia="Times New Roman" w:hAnsi="Times New Roman"/>
          <w:sz w:val="14"/>
          <w:szCs w:val="14"/>
          <w:b w:val="1"/>
          <w:bCs w:val="1"/>
          <w:u w:val="single" w:color="auto"/>
          <w:color w:val="auto"/>
        </w:rPr>
        <w:t>Data Privacy and Security</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1" w:lineRule="auto"/>
        <w:tabs>
          <w:tab w:leader="none" w:pos="1572" w:val="left"/>
        </w:tabs>
        <w:numPr>
          <w:ilvl w:val="1"/>
          <w:numId w:val="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is (and since January 1, 2018 there has been) no material Proceeding pending or, to the Company’s knowledge, threatened against or involving any Group Company initiated by any Person (including (i) the United States Federal Trade Commission, any state attorney general or similar state official, (ii) any other Governmental Entity, foreign or domestic or (iii) any regulatory or self-regulatory entity) alleging that any Processing of Personal Data by or on behalf of a Group Company is or was in violation of any privacy Laws.</w:t>
      </w:r>
    </w:p>
    <w:p>
      <w:pPr>
        <w:spacing w:after="0" w:line="166" w:lineRule="exact"/>
        <w:rPr>
          <w:rFonts w:ascii="Times New Roman" w:cs="Times New Roman" w:eastAsia="Times New Roman" w:hAnsi="Times New Roman"/>
          <w:sz w:val="18"/>
          <w:szCs w:val="18"/>
          <w:color w:val="010000"/>
        </w:rPr>
      </w:pPr>
    </w:p>
    <w:p>
      <w:pPr>
        <w:jc w:val="both"/>
        <w:ind w:firstLine="1074"/>
        <w:spacing w:after="0" w:line="257" w:lineRule="auto"/>
        <w:tabs>
          <w:tab w:leader="none" w:pos="1660" w:val="left"/>
        </w:tabs>
        <w:numPr>
          <w:ilvl w:val="1"/>
          <w:numId w:val="4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Since January 1, 2018, (i) there has been no unauthorized access to, or unauthorized use, disclosure, or Processing of Personal Data in the possession or control of any Group Company or any of its contractors with regard to any Personal Data obtained from or on behalf of a Group Company,</w:t>
      </w:r>
    </w:p>
    <w:p>
      <w:pPr>
        <w:jc w:val="both"/>
        <w:ind w:firstLine="9"/>
        <w:spacing w:after="0" w:line="236" w:lineRule="auto"/>
        <w:tabs>
          <w:tab w:leader="none" w:pos="2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unauthorized intrusions or breaches of security into any Company IT Systems, and (iii) none of the Group Companies has notified or been required to notify any Person of any (A) loss, theft or damage of, or (B) other unauthorized or unlawful access to, or use, disclosure or other Processing of, Personal Data, except, in each case of clauses (i), (ii), and (iii), as would not have a Company Material Adverse Effect.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2" w:name="page63"/>
    <w:bookmarkEnd w:id="62"/>
    <w:p>
      <w:pPr>
        <w:jc w:val="both"/>
        <w:ind w:firstLine="1074"/>
        <w:spacing w:after="0" w:line="236" w:lineRule="auto"/>
        <w:tabs>
          <w:tab w:leader="none" w:pos="1661" w:val="left"/>
        </w:tabs>
        <w:numPr>
          <w:ilvl w:val="0"/>
          <w:numId w:val="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Group Company owns or has a license or other right to use the Company IT Systems as necessary to operate the business of each Group Company as currently conducted. All Company IT Systems are (i) free from any defect, bug, virus or programming, design or documentation error and (ii) in sufficiently good working condition to effectively perform all information technology operations necessary for the operation of the Business (except for ordinary wear and tear), except in each case of clauses (i) and (ii), as is not and would not reasonably be expected to be, individually or in the aggregate, material to the Group Companies, taken as a whole. Since January 1, 2018, there have not been any material failures, breakdowns or continued substandard performance of any Company IT Systems that have caused a material failure or disruption of the Company IT Systems other than routine failures or disruptions that have been remediated in the ordinary course of business.</w:t>
      </w:r>
    </w:p>
    <w:p>
      <w:pPr>
        <w:spacing w:after="0" w:line="170" w:lineRule="exact"/>
        <w:rPr>
          <w:sz w:val="20"/>
          <w:szCs w:val="20"/>
          <w:color w:val="auto"/>
        </w:rPr>
      </w:pPr>
    </w:p>
    <w:p>
      <w:pPr>
        <w:ind w:left="5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010000"/>
        </w:rPr>
        <w:t>Section 3.21</w:t>
      </w:r>
      <w:r>
        <w:rPr>
          <w:sz w:val="20"/>
          <w:szCs w:val="20"/>
          <w:color w:val="auto"/>
        </w:rPr>
        <w:tab/>
      </w:r>
      <w:r>
        <w:rPr>
          <w:rFonts w:ascii="Times New Roman" w:cs="Times New Roman" w:eastAsia="Times New Roman" w:hAnsi="Times New Roman"/>
          <w:sz w:val="17"/>
          <w:szCs w:val="17"/>
          <w:b w:val="1"/>
          <w:bCs w:val="1"/>
          <w:u w:val="single" w:color="auto"/>
          <w:color w:val="auto"/>
        </w:rPr>
        <w:t>Compliance with International Trade &amp; Anti-Corruption Laws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6" w:lineRule="auto"/>
        <w:tabs>
          <w:tab w:leader="none" w:pos="1650"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Group Companies, any of their respective officers, directors or employees or, to the Company’s knowledge, any of their other Representatives, or any other Persons acting for or on behalf of any of the foregoing, is or has been, since January 1, 2018,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through (iii) or any country or territory which is or has, since January 1, 2018, been the subject of or target of any Sanctions and Export Control Laws (at the time of this Agreement, the Crimea region of Ukraine, Cuba, Iran, North Korea, Venezuela, Sudan and Syria).</w:t>
      </w:r>
    </w:p>
    <w:p>
      <w:pPr>
        <w:spacing w:after="0" w:line="17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49" w:val="left"/>
        </w:tabs>
        <w:numPr>
          <w:ilvl w:val="0"/>
          <w:numId w:val="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Group Companies, any of their respective officers, directors or employees or, to the Company’s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65"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b w:val="1"/>
          <w:bCs w:val="1"/>
          <w:color w:val="010000"/>
        </w:rPr>
        <w:t xml:space="preserve">Section 3.22 </w:t>
      </w:r>
      <w:r>
        <w:rPr>
          <w:rFonts w:ascii="Times New Roman" w:cs="Times New Roman" w:eastAsia="Times New Roman" w:hAnsi="Times New Roman"/>
          <w:sz w:val="18"/>
          <w:szCs w:val="18"/>
          <w:b w:val="1"/>
          <w:bCs w:val="1"/>
          <w:u w:val="single" w:color="auto"/>
          <w:color w:val="000000"/>
        </w:rPr>
        <w:t>Information Supplied</w:t>
      </w:r>
      <w:r>
        <w:rPr>
          <w:rFonts w:ascii="Times New Roman" w:cs="Times New Roman" w:eastAsia="Times New Roman" w:hAnsi="Times New Roman"/>
          <w:sz w:val="18"/>
          <w:szCs w:val="18"/>
          <w:color w:val="000000"/>
        </w:rPr>
        <w:t>. None of the information supplied or to be supplied by or on behalf of the Group Companies expressly for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provided, however, notwithstanding the foregoing provisions of this Section 3.22, no representation or warranty is made by either the Group Companies with respect to information or statements made or incorporated by reference in the Registration Statement / Proxy Statement that were not supplied by or on behalf of the Group Companies for use therein.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3" w:name="page64"/>
    <w:bookmarkEnd w:id="63"/>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3.23</w:t>
      </w:r>
      <w:r>
        <w:rPr>
          <w:sz w:val="20"/>
          <w:szCs w:val="20"/>
          <w:color w:val="auto"/>
        </w:rPr>
        <w:tab/>
      </w:r>
      <w:r>
        <w:rPr>
          <w:rFonts w:ascii="Times New Roman" w:cs="Times New Roman" w:eastAsia="Times New Roman" w:hAnsi="Times New Roman"/>
          <w:sz w:val="14"/>
          <w:szCs w:val="14"/>
          <w:b w:val="1"/>
          <w:bCs w:val="1"/>
          <w:u w:val="single" w:color="auto"/>
          <w:color w:val="auto"/>
        </w:rPr>
        <w:t>Regulatory Compliance</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7" w:lineRule="auto"/>
        <w:tabs>
          <w:tab w:leader="none" w:pos="1739"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Company Products are or have been classified by the FDA as medical devices, biologics or pharmaceuticals or are or have been otherwise regulated by the FDA or any other Governmental Entity under the Public Health Laws or any other comparable Laws that require any premarket authorization, clearance, or approval for any Company Product before commercialization or that classify medical devices, biologics, or pharmaceuticals as exempt from premarket authorization, clearance, or approval. Neither the FDA nor any other Governmental Entity has provided written or verbal notice to any Group Company that the Company Products may be subject to such Laws by FDA nor any other Governmental Entity regulation under any Public Health Laws or any other comparable Laws.</w:t>
      </w:r>
    </w:p>
    <w:p>
      <w:pPr>
        <w:spacing w:after="0" w:line="171"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760"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January 1, 2018, none of the Group Companies have held any Regulatory Permits and no such Regulatory Permits are or have been required and necessary for the Group Companies to conduct their respective businesses as currently conducted (including the Business). To the Company’s knowledge, no Governmental Entity has informed the Company that a Regulatory Permit is required for the Group Companies to conduct their respective businesses as currently conducted (including the Business).</w:t>
      </w:r>
    </w:p>
    <w:p>
      <w:pPr>
        <w:spacing w:after="0" w:line="166"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572"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There is (and since January 1, 2018 there has been) no material Proceeding pending or, to the Company’s knowledge, threatened against or involving any Group Company related to compliance with Public Health Laws. The Group Companies do not have, and since January 1, 2018 have not had, any material Liabilities for failure to comply with any Public Health Laws.</w:t>
      </w:r>
    </w:p>
    <w:p>
      <w:pPr>
        <w:spacing w:after="0" w:line="162" w:lineRule="exact"/>
        <w:rPr>
          <w:rFonts w:ascii="Times New Roman" w:cs="Times New Roman" w:eastAsia="Times New Roman" w:hAnsi="Times New Roman"/>
          <w:sz w:val="18"/>
          <w:szCs w:val="18"/>
          <w:color w:val="010000"/>
        </w:rPr>
      </w:pPr>
    </w:p>
    <w:p>
      <w:pPr>
        <w:ind w:right="20" w:firstLine="1074"/>
        <w:spacing w:after="0" w:line="260" w:lineRule="auto"/>
        <w:tabs>
          <w:tab w:leader="none" w:pos="1882" w:val="left"/>
        </w:tabs>
        <w:numPr>
          <w:ilvl w:val="0"/>
          <w:numId w:val="4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January 1, 2018, no Group Company has undergone, or is currently undergoing, any inspection related to any Company Product or any other Governmental Entity investigation under any Public Health Law.</w:t>
      </w:r>
    </w:p>
    <w:p>
      <w:pPr>
        <w:spacing w:after="0" w:line="15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3.24</w:t>
      </w:r>
      <w:r>
        <w:rPr>
          <w:sz w:val="20"/>
          <w:szCs w:val="20"/>
          <w:color w:val="auto"/>
        </w:rPr>
        <w:tab/>
      </w:r>
      <w:r>
        <w:rPr>
          <w:rFonts w:ascii="Times New Roman" w:cs="Times New Roman" w:eastAsia="Times New Roman" w:hAnsi="Times New Roman"/>
          <w:sz w:val="14"/>
          <w:szCs w:val="14"/>
          <w:b w:val="1"/>
          <w:bCs w:val="1"/>
          <w:u w:val="single" w:color="auto"/>
          <w:color w:val="auto"/>
        </w:rPr>
        <w:t>Investigation; No Other Representations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9" w:lineRule="auto"/>
        <w:tabs>
          <w:tab w:leader="none" w:pos="1728"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ARYA Parties and (ii) it has been furnished with or given access to such documents and information about the ARYA Parties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67"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671" w:val="left"/>
        </w:tabs>
        <w:numPr>
          <w:ilvl w:val="0"/>
          <w:numId w:val="5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in the Ancillary Documents to which it is or will be a party and no other representations or warranties of any ARYA Party or any other Person, either express or implied, and the Company, on its own behalf and on behalf of its Representatives, acknowledges, represents, warrants and agrees that, except for the representations and warranties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in the Ancillary Documents to which it is or will be a party, none of the ARYA Parties or any other Person makes or has made any representation or warranty, either express or implied, in connection with or related to this Agreement, the Ancillary Documents or the transactions contemplated hereby or thereby.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64" w:name="page65"/>
    <w:bookmarkEnd w:id="64"/>
    <w:p>
      <w:pPr>
        <w:jc w:val="both"/>
        <w:ind w:firstLine="532"/>
        <w:spacing w:after="0" w:line="233" w:lineRule="auto"/>
        <w:rPr>
          <w:sz w:val="20"/>
          <w:szCs w:val="20"/>
          <w:color w:val="auto"/>
        </w:rPr>
      </w:pPr>
      <w:r>
        <w:rPr>
          <w:rFonts w:ascii="Times New Roman" w:cs="Times New Roman" w:eastAsia="Times New Roman" w:hAnsi="Times New Roman"/>
          <w:sz w:val="18"/>
          <w:szCs w:val="18"/>
          <w:b w:val="1"/>
          <w:bCs w:val="1"/>
          <w:color w:val="010000"/>
        </w:rPr>
        <w:t xml:space="preserve">Section 3.25 </w:t>
      </w:r>
      <w:r>
        <w:rPr>
          <w:rFonts w:ascii="Times New Roman" w:cs="Times New Roman" w:eastAsia="Times New Roman" w:hAnsi="Times New Roman"/>
          <w:sz w:val="18"/>
          <w:szCs w:val="18"/>
          <w:b w:val="1"/>
          <w:bCs w:val="1"/>
          <w:u w:val="single" w:color="auto"/>
          <w:color w:val="000000"/>
        </w:rPr>
        <w:t>EXCLUSIVITY OF REPRESENTATIONS AND WARRANTIES</w:t>
      </w:r>
      <w:r>
        <w:rPr>
          <w:rFonts w:ascii="Times New Roman" w:cs="Times New Roman" w:eastAsia="Times New Roman" w:hAnsi="Times New Roman"/>
          <w:sz w:val="18"/>
          <w:szCs w:val="18"/>
          <w:color w:val="000000"/>
        </w:rPr>
        <w:t>. NOTWITHSTANDING THE DELIVERY OR DISCLOSURE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 ANY ARYA PARTY OR ANY OF THEIR RESPECTIVE REPRESENTATIVES OF ANY DOCUMENTATION OR OTHER INFORMATION (INCLUDING ANY FINANCIAL PROJECTIONS OR OTHER SUPPLEMENTAL DATA), EXCEPT AS OTHERWISE EXPRESSLY SET FORTH IN THIS ARTICLE 3 OR THE ANCILLARY DOCUMENTS, NEITHER THE COMPANY NOR ANY OTHER PERSON MAKES,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ANY ARYA PARTY OR ANY OF THEIR REPRESENTATIVES OR IN ANY PRESENTATION OF THE BUSINESS AND AFFAIRS OF THE GROUP COMPANIES BY THE MANAGEMENT OR ON BEHALF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ANY ARYA PARTY OR ANY OF THEIR AFFILIATES OR REPRESENTATIVES IN EXECUTING, DELIVERING OR PERFORMING THIS AGREEMENT, THE ANCILLARY DOCUMENTS OR THE TRANSACTIONS CONTEMPLATED HEREBY OR THEREBY. EXCEPT FOR THE REPRESENTATIONS AND WARRANTIES EXPRESSLY SET FORTH IN ARTICLE 3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GROUP COMPANY ARE NOT AND SHALL NOT BE DEEMED TO BE OR TO INCLUDE REPRESENTATIONS OR WARRANTIES OF THE COMPANY OR ANY OTHER PERSON, AND ARE NOT AND SHALL NOT BE DEEMED TO BE RELIED UPON BY ANY ARYA PARTY OR ANY OF THEIR AFFILIATES OR REPRESENTATIVES IN EXECUTING, DELIVERING OR PERFORMING THIS AGREEMENT, THE ANCILLARY DOCUMENTS OR THE TRANSACTIONS CONTEMPLATED HEREBY OR THEREBY.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4</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THE ARYA PARTIES</w:t>
      </w:r>
    </w:p>
    <w:p>
      <w:pPr>
        <w:spacing w:after="0" w:line="17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 xml:space="preserve">Except (a) as set forth on the ARYA Disclosure Schedules, (which will only qualify the representations and warranties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the manner set forth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or (b) as set forth in any ARYA SEC Reports publicly filed with the SEC prior to the date of this Agreement (excluding (x) any disclosures in any “risk factors” section that do not constitute statements of fact, disclosures in any forward-looking statements disclaimers and other disclosures that are generally cautionary, predictive or forward-looking in nature, (y) any information incorporated by reference into the ARYA SEC Reports (other than from other ARYA SEC Reports), or (z) any information or disclosure subject to a confidential treatment order or not otherwise publicly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set forth in or disclosed in the ARYA SEC Reports will qualify, or been deemed to qualify, the representations and warranties set forth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each ARYA Party hereby represents and warrants to the Company, in each case, as of the date of this Agreement and as of the Closing, as follows: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5" w:name="page66"/>
    <w:bookmarkEnd w:id="65"/>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4.1 </w:t>
      </w:r>
      <w:r>
        <w:rPr>
          <w:rFonts w:ascii="Times New Roman" w:cs="Times New Roman" w:eastAsia="Times New Roman" w:hAnsi="Times New Roman"/>
          <w:sz w:val="18"/>
          <w:szCs w:val="18"/>
          <w:b w:val="1"/>
          <w:bCs w:val="1"/>
          <w:u w:val="single" w:color="auto"/>
          <w:color w:val="000000"/>
        </w:rPr>
        <w:t>Organization and Qualification</w:t>
      </w:r>
      <w:r>
        <w:rPr>
          <w:rFonts w:ascii="Times New Roman" w:cs="Times New Roman" w:eastAsia="Times New Roman" w:hAnsi="Times New Roman"/>
          <w:sz w:val="18"/>
          <w:szCs w:val="18"/>
          <w:color w:val="000000"/>
        </w:rPr>
        <w:t>. Each ARYA Party is an exempted company, corporation, limited liability company or other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The Governing Documents of each ARYA Party are in full force and effect, and no ARYA Party is in breach or violation of any provision set forth in its Governing Documents.</w:t>
      </w:r>
    </w:p>
    <w:p>
      <w:pPr>
        <w:spacing w:after="0" w:line="167"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4.2 </w:t>
      </w:r>
      <w:r>
        <w:rPr>
          <w:rFonts w:ascii="Times New Roman" w:cs="Times New Roman" w:eastAsia="Times New Roman" w:hAnsi="Times New Roman"/>
          <w:sz w:val="17"/>
          <w:szCs w:val="17"/>
          <w:b w:val="1"/>
          <w:bCs w:val="1"/>
          <w:u w:val="single" w:color="auto"/>
          <w:color w:val="000000"/>
        </w:rPr>
        <w:t>Authority</w:t>
      </w:r>
      <w:r>
        <w:rPr>
          <w:rFonts w:ascii="Times New Roman" w:cs="Times New Roman" w:eastAsia="Times New Roman" w:hAnsi="Times New Roman"/>
          <w:sz w:val="17"/>
          <w:szCs w:val="17"/>
          <w:color w:val="000000"/>
        </w:rPr>
        <w:t>. Each ARYA Party has the requisite exempted company, corporate, limited liability company or other similar power and</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authority to execute and deliver this Agreement and each Ancillary Document to which it is (or, in the case of any Ancillary Document contemplated hereby to be entered into after the date of this Agreement, will be) a party and, subject to (a) the receipt of the ARYA Shareholder Approval and (b) the approvals and consents to be obtained by Merger Sub pursuant to Section 5.10 (which, in the case of this clause (b), do not require any consent other than the consent of ARYA), to perform its obligations hereunder and thereunder and to consummate the transactions contemplated hereby and thereby. The execution and delivery of this Agreement, the Ancillary Documents to which an ARYA Party is or will be a party, the performance of an ARYA Party’s obligations hereunder and thereunder and the consummation of the transactions contemplated hereby and thereby have been duly and validly authorized and unanimously approved by the ARYA Board (including that, as of the date hereof, the ARYA Board has unanimously made, and has not revoked, the ARYA Board Recommendation) and upon receipt of the Required ARYA Shareholder Approval (and the approvals and consents to be obtained with respect to Merger Sub pursuant to Section 5.10, which do not require any consent other than the consent of ARYA), no other corporate or equivalent action or proceeding on the part of any holder of ARYA capital stock, ARYA or Merger Sub is necessary to authorize this Agreement or such Ancillary Documents, the performance of any ARYA Party’s obligations hereunder or thereunder or the consummation of the transactions contemplated hereby or thereby (including the Domestication). This Agreement and each Ancillary Document to which an ARYA Party is contemplated hereby to be a party as of the date hereof has been (and each Ancillary Document to which an ARYA Party is contemplated hereby to be a party following the execution of this Agreement, will be upon execution thereof), duly and validly executed and delivered by such ARYA Party and constitutes (or, with respect to each Ancillary Document contemplated to be executed after the execution of this Agreement, will constitute upon execution thereof), a valid, legal and binding agreement of such ARYA Party (assuming this Agreement has been and the Ancillary Documents to which such ARYA Party is or is contemplated to be a party are or will be, upon execution thereof, as applicable, duly authorized, executed and delivered by the other Persons party hereto or thereto), enforceable against such ARYA Party in accordance with their respective terms (subject to applicable bankruptcy, insolvency, reorganization, moratorium or other Laws affecting generally the enforcement of creditors’ rights and subject to general principles of equity). The Required ARYA Shareholder Approval and the approvals and consents to be obtained by Merger Sub pursuant to Section 5.10 are the only votes or consents of the holders of any class or series of capital stock of ARYA or Merger Sub required to approve and adopt this Agreement, the Ancillary Documents to which any ARYA Party is or is contemplated to be a party, the performance of the ARYA Parties’ obligations hereunder and thereunder and the consummation of the transactions contemplated hereby (including the Domestication and the Merger).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6" w:name="page67"/>
    <w:bookmarkEnd w:id="66"/>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4.3</w:t>
      </w:r>
      <w:r>
        <w:rPr>
          <w:sz w:val="20"/>
          <w:szCs w:val="20"/>
          <w:color w:val="auto"/>
        </w:rPr>
        <w:tab/>
      </w:r>
      <w:r>
        <w:rPr>
          <w:rFonts w:ascii="Times New Roman" w:cs="Times New Roman" w:eastAsia="Times New Roman" w:hAnsi="Times New Roman"/>
          <w:sz w:val="14"/>
          <w:szCs w:val="14"/>
          <w:b w:val="1"/>
          <w:bCs w:val="1"/>
          <w:u w:val="single" w:color="auto"/>
          <w:color w:val="auto"/>
        </w:rPr>
        <w:t>Consents and Requisite Governmental Approvals; No Violations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8" w:lineRule="auto"/>
        <w:tabs>
          <w:tab w:leader="none" w:pos="1495" w:val="left"/>
        </w:tabs>
        <w:numPr>
          <w:ilvl w:val="1"/>
          <w:numId w:val="5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consent, approval or authorization of, or designation, declaration or filing with, any Governmental Entity is required on the part of an ARYA Party with respect to such ARYA Party’s execution, delivery or performance of its obligations under this Agreement or the Ancillary Documents to which it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ARYA Shares to be issued in connection with the transactions contemplated by this Agreement and the other Ancillary Documents to be listed on Nasdaq, (iv) such filings required in connection with the Domestication,</w:t>
      </w:r>
    </w:p>
    <w:p>
      <w:pPr>
        <w:spacing w:after="0" w:line="3" w:lineRule="exact"/>
        <w:rPr>
          <w:rFonts w:ascii="Times New Roman" w:cs="Times New Roman" w:eastAsia="Times New Roman" w:hAnsi="Times New Roman"/>
          <w:sz w:val="17"/>
          <w:szCs w:val="17"/>
          <w:color w:val="010000"/>
        </w:rPr>
      </w:pPr>
    </w:p>
    <w:p>
      <w:pPr>
        <w:ind w:firstLine="9"/>
        <w:spacing w:after="0" w:line="238" w:lineRule="auto"/>
        <w:tabs>
          <w:tab w:leader="none" w:pos="2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Certificate of Merger, or (vi) any other consents, approvals, authorizations, designations, declarations, waivers or filings, the absence of which would not have an ARYA Material Adverse Effect. ARYA is its own ultimate parent entity (as such term is defined in the HSR Act).</w:t>
      </w:r>
    </w:p>
    <w:p>
      <w:pPr>
        <w:spacing w:after="0" w:line="168" w:lineRule="exact"/>
        <w:rPr>
          <w:rFonts w:ascii="Times New Roman" w:cs="Times New Roman" w:eastAsia="Times New Roman" w:hAnsi="Times New Roman"/>
          <w:sz w:val="18"/>
          <w:szCs w:val="18"/>
          <w:color w:val="auto"/>
        </w:rPr>
      </w:pPr>
    </w:p>
    <w:p>
      <w:pPr>
        <w:jc w:val="both"/>
        <w:ind w:firstLine="1074"/>
        <w:spacing w:after="0" w:line="236" w:lineRule="auto"/>
        <w:tabs>
          <w:tab w:leader="none" w:pos="1516" w:val="left"/>
        </w:tabs>
        <w:numPr>
          <w:ilvl w:val="1"/>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None of the execution or delivery by an ARYA Party of this Agreement or any Ancillary Document to which it is or will be a party, the performance by an ARYA Party of its obligations hereunder or thereunder or the consummation by an ARYA Party of the transactions contemplated hereby or thereby will, directly or indirectly (with or without due notice or lapse of time or both) (i) result in a violation or breach of any provision of the Governing Documents of an ARYA Party, (ii) result in a violation or breach of, or constitute a default or give rise to any right of termination, Consent, cancellation, amendment, modification, suspension, revocation or acceleration under, any of the terms, conditions or provisions of any Contract to which an ARYA Party is a party, (iii) violate, or constitute a breach under, any Order or applicable Law to which any such ARYA Party or any of its properties or assets are subject or bound or (iv) result in the creation of any Lien upon any of the assets or properties (other than any Permitted Liens) or Equity Securities of an ARYA Party,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would not have an ARYA Material Adverse Effect.</w:t>
      </w:r>
    </w:p>
    <w:p>
      <w:pPr>
        <w:spacing w:after="0" w:line="167"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4.4 </w:t>
      </w:r>
      <w:r>
        <w:rPr>
          <w:rFonts w:ascii="Times New Roman" w:cs="Times New Roman" w:eastAsia="Times New Roman" w:hAnsi="Times New Roman"/>
          <w:sz w:val="18"/>
          <w:szCs w:val="18"/>
          <w:b w:val="1"/>
          <w:bCs w:val="1"/>
          <w:u w:val="single" w:color="auto"/>
          <w:color w:val="000000"/>
        </w:rPr>
        <w:t>Brokers</w:t>
      </w:r>
      <w:r>
        <w:rPr>
          <w:rFonts w:ascii="Times New Roman" w:cs="Times New Roman" w:eastAsia="Times New Roman" w:hAnsi="Times New Roman"/>
          <w:sz w:val="18"/>
          <w:szCs w:val="18"/>
          <w:color w:val="000000"/>
        </w:rPr>
        <w:t>. Except for fees (including a good faith estimate of the amounts due and payable assuming the Closing occurs) set forth 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Section 4.4 of the ARYA Disclosure Schedules (which fees shall be the sole responsibility of the ARYA), no broker, finder, investment banker or other Person is entitled to any brokerage fee, finders’ fee or other commission in connection with the transactions contemplated by this Agreement based upon arrangements made by or on behalf of any ARYA Party or any of its Affiliates for which an ARYA Party has any obligation.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67" w:name="page68"/>
    <w:bookmarkEnd w:id="67"/>
    <w:p>
      <w:pPr>
        <w:jc w:val="both"/>
        <w:ind w:firstLine="532"/>
        <w:spacing w:after="0" w:line="236" w:lineRule="auto"/>
        <w:rPr>
          <w:sz w:val="20"/>
          <w:szCs w:val="20"/>
          <w:color w:val="auto"/>
        </w:rPr>
      </w:pPr>
      <w:r>
        <w:rPr>
          <w:rFonts w:ascii="Times New Roman" w:cs="Times New Roman" w:eastAsia="Times New Roman" w:hAnsi="Times New Roman"/>
          <w:sz w:val="18"/>
          <w:szCs w:val="18"/>
          <w:b w:val="1"/>
          <w:bCs w:val="1"/>
          <w:color w:val="010000"/>
        </w:rPr>
        <w:t xml:space="preserve">Section 4.5 </w:t>
      </w:r>
      <w:r>
        <w:rPr>
          <w:rFonts w:ascii="Times New Roman" w:cs="Times New Roman" w:eastAsia="Times New Roman" w:hAnsi="Times New Roman"/>
          <w:sz w:val="18"/>
          <w:szCs w:val="18"/>
          <w:b w:val="1"/>
          <w:bCs w:val="1"/>
          <w:u w:val="single" w:color="auto"/>
          <w:color w:val="000000"/>
        </w:rPr>
        <w:t>Information Supplied</w:t>
      </w:r>
      <w:r>
        <w:rPr>
          <w:rFonts w:ascii="Times New Roman" w:cs="Times New Roman" w:eastAsia="Times New Roman" w:hAnsi="Times New Roman"/>
          <w:sz w:val="18"/>
          <w:szCs w:val="18"/>
          <w:color w:val="000000"/>
        </w:rPr>
        <w:t>. None of the information supplied or to be supplied by or on behalf of either ARYA Party expressly for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provided, however, notwithstanding the foregoing provisions of this Section 4.5, no representation or warranty is made by either ARYA Party with respect to information or statements made or incorporated by reference in the Registration Statement / Proxy Statement that were not supplied by or on behalf of the ARYA Parties for use therein.</w:t>
      </w:r>
    </w:p>
    <w:p>
      <w:pPr>
        <w:spacing w:after="0" w:line="17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4.6</w:t>
      </w:r>
      <w:r>
        <w:rPr>
          <w:sz w:val="20"/>
          <w:szCs w:val="20"/>
          <w:color w:val="auto"/>
        </w:rPr>
        <w:tab/>
      </w:r>
      <w:r>
        <w:rPr>
          <w:rFonts w:ascii="Times New Roman" w:cs="Times New Roman" w:eastAsia="Times New Roman" w:hAnsi="Times New Roman"/>
          <w:sz w:val="14"/>
          <w:szCs w:val="14"/>
          <w:b w:val="1"/>
          <w:bCs w:val="1"/>
          <w:u w:val="single" w:color="auto"/>
          <w:color w:val="auto"/>
        </w:rPr>
        <w:t>Capitalization of the ARYA Parties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9" w:lineRule="auto"/>
        <w:tabs>
          <w:tab w:leader="none" w:pos="1872" w:val="left"/>
        </w:tabs>
        <w:numPr>
          <w:ilvl w:val="0"/>
          <w:numId w:val="5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Section 4.6(a)</w:t>
      </w:r>
      <w:r>
        <w:rPr>
          <w:rFonts w:ascii="Times New Roman" w:cs="Times New Roman" w:eastAsia="Times New Roman" w:hAnsi="Times New Roman"/>
          <w:sz w:val="17"/>
          <w:szCs w:val="17"/>
          <w:color w:val="auto"/>
        </w:rPr>
        <w:t xml:space="preserve"> of the ARYA Disclosure Schedules sets forth a true and complete statement of the number and class or series (as applicable) of the issued and outstanding ARYA Shares prior to the consummation of the Domestication. All outstanding ARYA Shares (except to the extent such concepts are not applicable under the applicable Law of ARYA’s jurisdiction of organization, incorporation or formation, as applicable, or other applicable Law) prior to the consummation of the Domestication have been duly authorized and validly issued and are fully paid and non-assessable. Such Equity Securities (x) were not issued in violation of the Governing Documents of ARYA or in violation of any other Contracts to which ARYA is a party or otherwise bound, in each case, in any material respect, (y) are not subject to any preemptive rights, call option, right of first refusal, subscription rights, transfer restrictions or similar rights of any Person (other than transfer restrictions under applicable Securities Laws or under the Governing Documents of ARYA) and were not issued in violation of any preemptive rights, call option, right of first refusal, subscription rights, transfer restrictions or similar rights of any Person and (z) have been offered, sold and issued in compliance with applicable Law, including Securities Laws, in each case under clause (y) and (z), in all material respects. Except for the ARYA Shares set forth on </w:t>
      </w:r>
      <w:r>
        <w:rPr>
          <w:rFonts w:ascii="Times New Roman" w:cs="Times New Roman" w:eastAsia="Times New Roman" w:hAnsi="Times New Roman"/>
          <w:sz w:val="17"/>
          <w:szCs w:val="17"/>
          <w:u w:val="single" w:color="auto"/>
          <w:color w:val="auto"/>
        </w:rPr>
        <w:t>Section 4.6(a)</w:t>
      </w:r>
      <w:r>
        <w:rPr>
          <w:rFonts w:ascii="Times New Roman" w:cs="Times New Roman" w:eastAsia="Times New Roman" w:hAnsi="Times New Roman"/>
          <w:sz w:val="17"/>
          <w:szCs w:val="17"/>
          <w:color w:val="auto"/>
        </w:rPr>
        <w:t xml:space="preserve"> of the ARYA Disclosure Schedules (taking into account, for the avoidance of doubt, any changes or adjustments to the ARYA Shares as a result of, or to give effect to, the Domestication), immediately prior to Closing and before giving effect to the PIPE Financing and the ARYA Shareholder Redemption, there shall be no other Equity Securities of ARYA issued and outstanding.</w:t>
      </w:r>
    </w:p>
    <w:p>
      <w:pPr>
        <w:spacing w:after="0" w:line="162" w:lineRule="exact"/>
        <w:rPr>
          <w:rFonts w:ascii="Times New Roman" w:cs="Times New Roman" w:eastAsia="Times New Roman" w:hAnsi="Times New Roman"/>
          <w:sz w:val="17"/>
          <w:szCs w:val="17"/>
          <w:color w:val="010000"/>
        </w:rPr>
      </w:pPr>
    </w:p>
    <w:p>
      <w:pPr>
        <w:jc w:val="both"/>
        <w:ind w:firstLine="1074"/>
        <w:spacing w:after="0" w:line="248" w:lineRule="auto"/>
        <w:tabs>
          <w:tab w:leader="none" w:pos="1804" w:val="left"/>
        </w:tabs>
        <w:numPr>
          <w:ilvl w:val="0"/>
          <w:numId w:val="5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Immediately after the Effective Time, (i) the authorized share capital of ARYA will consist of 1,000,000,000 ARYA Shares and 200,000,000 shares of preferred stock, par value $0.0001 per share, of which 124,481,376 ARYA Shares will be issued and outstanding (assuming that no redemptions of ARYA Class A Shares are effected in connection with the ARYA Shareholder Redemption, all PIPE Investors have collectively funded the PIPE Financing in full, the Adjusted Transaction Share Consideration that is allocated to the Company Shares is an amount equal to 90,000,000, all ARYA Shares issuable as a result of, or in connection with, the Merger have been issued out of the Exchange Fund by the Exchange Agent, none of the Rollover Options are exercised for ARYA Shares on the Closing Date and no Equity Securities are issued or granted after the Effective Time (including, for the avoidance of doubt, any Equity Securities granted under or issued in respect of the ARYA Incentive Equity Plan (or any awards thereunder) or the ARYA Employee Stock Purchase Plan on the Closing Date)) and no shares of preferred stock or any other Equity Securities of ARYA will be issued and outstanding ((A) assuming that the Allocation Schedule is true and correct in all respects and otherwise in accordance with the requirements of </w:t>
      </w:r>
      <w:r>
        <w:rPr>
          <w:rFonts w:ascii="Times New Roman" w:cs="Times New Roman" w:eastAsia="Times New Roman" w:hAnsi="Times New Roman"/>
          <w:sz w:val="17"/>
          <w:szCs w:val="17"/>
          <w:u w:val="single" w:color="auto"/>
          <w:color w:val="auto"/>
        </w:rPr>
        <w:t>Section 2.3(a)</w:t>
      </w:r>
      <w:r>
        <w:rPr>
          <w:rFonts w:ascii="Times New Roman" w:cs="Times New Roman" w:eastAsia="Times New Roman" w:hAnsi="Times New Roman"/>
          <w:sz w:val="17"/>
          <w:szCs w:val="17"/>
          <w:color w:val="auto"/>
        </w:rPr>
        <w:t xml:space="preserve"> and the Company has complied in all respects with </w:t>
      </w:r>
      <w:r>
        <w:rPr>
          <w:rFonts w:ascii="Times New Roman" w:cs="Times New Roman" w:eastAsia="Times New Roman" w:hAnsi="Times New Roman"/>
          <w:sz w:val="17"/>
          <w:szCs w:val="17"/>
          <w:u w:val="single" w:color="auto"/>
          <w:color w:val="auto"/>
        </w:rPr>
        <w:t>Section 2.4(d)</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Section 5.1(b)(v)</w:t>
      </w:r>
      <w:r>
        <w:rPr>
          <w:rFonts w:ascii="Times New Roman" w:cs="Times New Roman" w:eastAsia="Times New Roman" w:hAnsi="Times New Roman"/>
          <w:sz w:val="17"/>
          <w:szCs w:val="17"/>
          <w:color w:val="auto"/>
        </w:rPr>
        <w:t xml:space="preserve"> and (B) other than the Rollover Options, any Equity Securities either permitted to be issued or granted pursuant to </w:t>
      </w:r>
      <w:r>
        <w:rPr>
          <w:rFonts w:ascii="Times New Roman" w:cs="Times New Roman" w:eastAsia="Times New Roman" w:hAnsi="Times New Roman"/>
          <w:sz w:val="17"/>
          <w:szCs w:val="17"/>
          <w:u w:val="single" w:color="auto"/>
          <w:color w:val="auto"/>
        </w:rPr>
        <w:t>Section 5.11(h)</w:t>
      </w:r>
      <w:r>
        <w:rPr>
          <w:rFonts w:ascii="Times New Roman" w:cs="Times New Roman" w:eastAsia="Times New Roman" w:hAnsi="Times New Roman"/>
          <w:sz w:val="17"/>
          <w:szCs w:val="17"/>
          <w:color w:val="auto"/>
        </w:rPr>
        <w:t xml:space="preserve"> (including as set forth in </w:t>
      </w:r>
      <w:r>
        <w:rPr>
          <w:rFonts w:ascii="Times New Roman" w:cs="Times New Roman" w:eastAsia="Times New Roman" w:hAnsi="Times New Roman"/>
          <w:sz w:val="17"/>
          <w:szCs w:val="17"/>
          <w:u w:val="single" w:color="auto"/>
          <w:color w:val="auto"/>
        </w:rPr>
        <w:t>Section 5.11(h)</w:t>
      </w:r>
      <w:r>
        <w:rPr>
          <w:rFonts w:ascii="Times New Roman" w:cs="Times New Roman" w:eastAsia="Times New Roman" w:hAnsi="Times New Roman"/>
          <w:sz w:val="17"/>
          <w:szCs w:val="17"/>
          <w:color w:val="auto"/>
        </w:rPr>
        <w:t xml:space="preserve"> of the ARYA Disclosure Schedules or in accordance with </w:t>
      </w:r>
      <w:r>
        <w:rPr>
          <w:rFonts w:ascii="Times New Roman" w:cs="Times New Roman" w:eastAsia="Times New Roman" w:hAnsi="Times New Roman"/>
          <w:sz w:val="17"/>
          <w:szCs w:val="17"/>
          <w:u w:val="single" w:color="auto"/>
          <w:color w:val="auto"/>
        </w:rPr>
        <w:t>Section 5.11(h)</w:t>
      </w:r>
      <w:r>
        <w:rPr>
          <w:rFonts w:ascii="Times New Roman" w:cs="Times New Roman" w:eastAsia="Times New Roman" w:hAnsi="Times New Roman"/>
          <w:sz w:val="17"/>
          <w:szCs w:val="17"/>
          <w:color w:val="auto"/>
        </w:rPr>
        <w:t>) or any Equity Securities issued or granted after the Effective Time (including, for the avoidance of doubt, any Equity Securities granted under or issued in respect of the ARYA Incentive Equity Plan (or any awards thereunder) or the ARYA Employee Stock Purchase Plan on the Closing Date)), and (ii) all of the issued and outstanding ARYA Shares (A) will be duly authorized, validly issued, fully paid and nonassessable, (B) will have been issued in compliance with applicable Law, including Securities Laws, in each case under clause (B), in all material respects and (C) will not have been issued in breach or violation of any preemptive rights or Contract to which ARYA is a party or bound, in each case under clause (C), in any material respect.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68" w:name="page69"/>
    <w:bookmarkEnd w:id="68"/>
    <w:p>
      <w:pPr>
        <w:jc w:val="both"/>
        <w:ind w:firstLine="1074"/>
        <w:spacing w:after="0" w:line="234" w:lineRule="auto"/>
        <w:tabs>
          <w:tab w:leader="none" w:pos="1761"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(w) as set forth on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of the ARYA Disclosure Schedules, (x) for the issuance of the ARYA Shares as expressly contemplated by this Agreement or the PIPE Subscription Agreements or the entry into the applicable Ancillary Documents, (y) as permitted to be issued, granted or entered into, as applicable, pursuant to </w:t>
      </w:r>
      <w:r>
        <w:rPr>
          <w:rFonts w:ascii="Times New Roman" w:cs="Times New Roman" w:eastAsia="Times New Roman" w:hAnsi="Times New Roman"/>
          <w:sz w:val="18"/>
          <w:szCs w:val="18"/>
          <w:u w:val="single" w:color="auto"/>
          <w:color w:val="auto"/>
        </w:rPr>
        <w:t>Section 5.11(h)</w:t>
      </w:r>
      <w:r>
        <w:rPr>
          <w:rFonts w:ascii="Times New Roman" w:cs="Times New Roman" w:eastAsia="Times New Roman" w:hAnsi="Times New Roman"/>
          <w:sz w:val="18"/>
          <w:szCs w:val="18"/>
          <w:color w:val="auto"/>
        </w:rPr>
        <w:t xml:space="preserve"> (including as set forth in </w:t>
      </w:r>
      <w:r>
        <w:rPr>
          <w:rFonts w:ascii="Times New Roman" w:cs="Times New Roman" w:eastAsia="Times New Roman" w:hAnsi="Times New Roman"/>
          <w:sz w:val="18"/>
          <w:szCs w:val="18"/>
          <w:u w:val="single" w:color="auto"/>
          <w:color w:val="auto"/>
        </w:rPr>
        <w:t>Section 5.11(h)</w:t>
      </w:r>
      <w:r>
        <w:rPr>
          <w:rFonts w:ascii="Times New Roman" w:cs="Times New Roman" w:eastAsia="Times New Roman" w:hAnsi="Times New Roman"/>
          <w:sz w:val="18"/>
          <w:szCs w:val="18"/>
          <w:color w:val="auto"/>
        </w:rPr>
        <w:t xml:space="preserve"> of the ARYA Disclosure Schedules) in accordance with </w:t>
      </w:r>
      <w:r>
        <w:rPr>
          <w:rFonts w:ascii="Times New Roman" w:cs="Times New Roman" w:eastAsia="Times New Roman" w:hAnsi="Times New Roman"/>
          <w:sz w:val="18"/>
          <w:szCs w:val="18"/>
          <w:u w:val="single" w:color="auto"/>
          <w:color w:val="auto"/>
        </w:rPr>
        <w:t>Section 5.11(h)</w:t>
      </w:r>
      <w:r>
        <w:rPr>
          <w:rFonts w:ascii="Times New Roman" w:cs="Times New Roman" w:eastAsia="Times New Roman" w:hAnsi="Times New Roman"/>
          <w:sz w:val="18"/>
          <w:szCs w:val="18"/>
          <w:color w:val="auto"/>
        </w:rPr>
        <w:t xml:space="preserve"> or (z) for the capital stock of Merger Sub owned by ARYA, (i) there are no outstanding (A) equity appreciation, phantom equity or profit participation rights with respect to an ARYA Party is a party or pursuant to which it has any obligations or (B) options, restricted stock, restrictive stock units phantom stock, warrants, purchase rights, subscription rights, conversion rights, exchange rights, calls, puts, rights of first refusal or first offer or other Contracts or commitment that could require ARYA to issue, sell or otherwise cause to become outstanding or to acquire, repurchase or redeem any Equity Securities or securities convertible into or exchangeable for Equity Securities of any ARYA Party. There are no outstanding bonds, debentures, notes or other indebtedness of ARYA having the right to vote (or convertible into, or exchangeable for, securities having the right to vote) on any matter for which holders of ARYA Shares may vote. There are no voting trusts, proxies or other Contracts with respect to the voting or transfer of any ARYA Party’s Equity Securities between an ARYA Party and any other Person. The ARYA Parties are not a party to any shareholders agreement, or registration rights agreement relating to ARYA Shares or any other Equity Securities of ARYA. There are no securities issued by or to which ARYA is a party containing anti-dilution or similar provisions that will be triggered by the consummation of the transactions contemplated by this Agreement or the Ancillary Documents, in each case, that have not been or will not be waived on or prior to the Closing Date.</w:t>
      </w:r>
    </w:p>
    <w:p>
      <w:pPr>
        <w:spacing w:after="0" w:line="168"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682" w:val="left"/>
        </w:tabs>
        <w:numPr>
          <w:ilvl w:val="0"/>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Equity Securities of Merger Sub outstanding as of the date of this Agreement (i) have been duly authorized and validly issued and are fully paid and nonassessable, (ii) were issued in compliance with applicable Law, including Securities Laws, in each case under clause (ii), in all material respects and (iii) were not issued in breach or violation of any preemptive rights or Contract to which Merger Sub is a party or bound. All of the outstanding Equity Securities of Merger Sub are owned directly by ARYA free and clear of all Liens (other than transfer restrictions under applicable Securities Law or under the Governing Documents of Merger Sub). As of the date of this Agreement, ARYA has no Subsidiaries other than Merger Sub and does not own, directly or indirectly, any Equity Securities in any Person other than Merger Sub. Merger Sub was formed solely for the purpose of consummating the transactions contemplated by this Agreement and the other Ancillary Documents.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9" w:name="page70"/>
    <w:bookmarkEnd w:id="69"/>
    <w:p>
      <w:pPr>
        <w:jc w:val="both"/>
        <w:ind w:firstLine="1074"/>
        <w:spacing w:after="0" w:line="245" w:lineRule="auto"/>
        <w:tabs>
          <w:tab w:leader="none" w:pos="1761"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the ownership of ARYA of the Equity Securities of Merger Sub, no ARYA Party owns or holds (of record, beneficially, legally or otherwise), directly or indirectly, any Equity Securities in any other Person or the right to acquire any such Equity Security, and no ARYA Party is a partner or member of any partnership, limited liability company or joint venture.</w:t>
      </w:r>
    </w:p>
    <w:p>
      <w:pPr>
        <w:spacing w:after="0" w:line="16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4.7 </w:t>
      </w:r>
      <w:r>
        <w:rPr>
          <w:rFonts w:ascii="Times New Roman" w:cs="Times New Roman" w:eastAsia="Times New Roman" w:hAnsi="Times New Roman"/>
          <w:sz w:val="17"/>
          <w:szCs w:val="17"/>
          <w:b w:val="1"/>
          <w:bCs w:val="1"/>
          <w:u w:val="single" w:color="auto"/>
          <w:color w:val="000000"/>
        </w:rPr>
        <w:t>SEC Filings</w:t>
      </w:r>
      <w:r>
        <w:rPr>
          <w:rFonts w:ascii="Times New Roman" w:cs="Times New Roman" w:eastAsia="Times New Roman" w:hAnsi="Times New Roman"/>
          <w:sz w:val="17"/>
          <w:szCs w:val="17"/>
          <w:color w:val="000000"/>
        </w:rPr>
        <w:t>. ARYA has timely filed or furnished all statements, forms, reports and documents required to be filed or furnished by it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“ARYA SEC Reports”),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“Additional ARYA SEC Reports”). Each of the ARYA SEC Reports, as of their respective dates of filing, and as of the date of any amendment or filing that superseded the initial filing, complied and each of the Additional ARYA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ARYA SEC Reports or the Additional ARYA SEC Reports (for purposes of the Additional ARYA SEC Reports, assuming that the representation and warranty set forth in Section 3.22 is true and correct in all respects with respect to all information supplied by or on behalf of Group Companies expressly for inclusion or incorporation by reference therein). As of their respective dates of filing, the ARYA SEC Reports did not, and the Additional ARYA SEC Reports will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ARYA SEC Reports, assuming that the representation and warranty set forth in Section 3.22 is true and correct in all respects with respect to all information supplied by or on behalf of Group Companies expressly for inclusion or incorporation by reference therein). As of the date of this Agreement, there are no outstanding or unresolved comments in comment letters received from the SEC with respect to the ARYA SEC Reports.</w:t>
      </w:r>
    </w:p>
    <w:p>
      <w:pPr>
        <w:spacing w:after="0" w:line="374"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4.8 </w:t>
      </w:r>
      <w:r>
        <w:rPr>
          <w:rFonts w:ascii="Times New Roman" w:cs="Times New Roman" w:eastAsia="Times New Roman" w:hAnsi="Times New Roman"/>
          <w:sz w:val="18"/>
          <w:szCs w:val="18"/>
          <w:b w:val="1"/>
          <w:bCs w:val="1"/>
          <w:u w:val="single" w:color="auto"/>
          <w:color w:val="000000"/>
        </w:rPr>
        <w:t>Absence of Changes</w:t>
      </w:r>
      <w:r>
        <w:rPr>
          <w:rFonts w:ascii="Times New Roman" w:cs="Times New Roman" w:eastAsia="Times New Roman" w:hAnsi="Times New Roman"/>
          <w:sz w:val="18"/>
          <w:szCs w:val="18"/>
          <w:color w:val="000000"/>
        </w:rPr>
        <w:t>. During the period beginning on March 27, 2020 and ending on the date of this Agreement, no ARYA Material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Adverse Effect has occurred.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0" w:name="page71"/>
    <w:bookmarkEnd w:id="70"/>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4.9</w:t>
      </w:r>
      <w:r>
        <w:rPr>
          <w:sz w:val="20"/>
          <w:szCs w:val="20"/>
          <w:color w:val="auto"/>
        </w:rPr>
        <w:tab/>
      </w:r>
      <w:r>
        <w:rPr>
          <w:rFonts w:ascii="Times New Roman" w:cs="Times New Roman" w:eastAsia="Times New Roman" w:hAnsi="Times New Roman"/>
          <w:sz w:val="14"/>
          <w:szCs w:val="14"/>
          <w:b w:val="1"/>
          <w:bCs w:val="1"/>
          <w:u w:val="single" w:color="auto"/>
          <w:color w:val="auto"/>
        </w:rPr>
        <w:t>Contracts; No Defaults.</w:t>
      </w:r>
    </w:p>
    <w:p>
      <w:pPr>
        <w:spacing w:after="0" w:line="198" w:lineRule="exact"/>
        <w:rPr>
          <w:sz w:val="20"/>
          <w:szCs w:val="20"/>
          <w:color w:val="auto"/>
        </w:rPr>
      </w:pPr>
    </w:p>
    <w:p>
      <w:pPr>
        <w:jc w:val="both"/>
        <w:ind w:firstLine="1074"/>
        <w:spacing w:after="0" w:line="246" w:lineRule="auto"/>
        <w:tabs>
          <w:tab w:leader="none" w:pos="1506"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 xml:space="preserve"> of the ARYA Disclosure Schedules contains a listing of all Contracts including every “material contract” (as such term is defined in Item 601(b)(10) of Regulation S-K of the SEC) (other than confidentiality and non-disclosure agreements) to which an ARYA Party is a party or by which any of their respective assets are bound as of the date hereof.</w:t>
      </w:r>
    </w:p>
    <w:p>
      <w:pPr>
        <w:spacing w:after="0" w:line="162" w:lineRule="exact"/>
        <w:rPr>
          <w:rFonts w:ascii="Times New Roman" w:cs="Times New Roman" w:eastAsia="Times New Roman" w:hAnsi="Times New Roman"/>
          <w:sz w:val="18"/>
          <w:szCs w:val="18"/>
          <w:color w:val="010000"/>
        </w:rPr>
      </w:pPr>
    </w:p>
    <w:p>
      <w:pPr>
        <w:ind w:left="1520" w:hanging="446"/>
        <w:spacing w:after="0"/>
        <w:tabs>
          <w:tab w:leader="none" w:pos="1520" w:val="left"/>
        </w:tabs>
        <w:numPr>
          <w:ilvl w:val="1"/>
          <w:numId w:val="5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Each Contract of a type required to be listed on </w:t>
      </w:r>
      <w:r>
        <w:rPr>
          <w:rFonts w:ascii="Times New Roman" w:cs="Times New Roman" w:eastAsia="Times New Roman" w:hAnsi="Times New Roman"/>
          <w:sz w:val="17"/>
          <w:szCs w:val="17"/>
          <w:u w:val="single" w:color="auto"/>
          <w:color w:val="auto"/>
        </w:rPr>
        <w:t>Section 4.9(a)</w:t>
      </w:r>
      <w:r>
        <w:rPr>
          <w:rFonts w:ascii="Times New Roman" w:cs="Times New Roman" w:eastAsia="Times New Roman" w:hAnsi="Times New Roman"/>
          <w:sz w:val="17"/>
          <w:szCs w:val="17"/>
          <w:color w:val="auto"/>
        </w:rPr>
        <w:t xml:space="preserve"> of the ARYA Disclosure Schedules (each, an “</w:t>
      </w:r>
      <w:r>
        <w:rPr>
          <w:rFonts w:ascii="Times New Roman" w:cs="Times New Roman" w:eastAsia="Times New Roman" w:hAnsi="Times New Roman"/>
          <w:sz w:val="17"/>
          <w:szCs w:val="17"/>
          <w:u w:val="single" w:color="auto"/>
          <w:color w:val="auto"/>
        </w:rPr>
        <w:t>ARYA Material Contract</w:t>
      </w:r>
      <w:r>
        <w:rPr>
          <w:rFonts w:ascii="Times New Roman" w:cs="Times New Roman" w:eastAsia="Times New Roman" w:hAnsi="Times New Roman"/>
          <w:sz w:val="17"/>
          <w:szCs w:val="17"/>
          <w:color w:val="auto"/>
        </w:rPr>
        <w:t>”),</w:t>
      </w:r>
    </w:p>
    <w:p>
      <w:pPr>
        <w:spacing w:after="0" w:line="24" w:lineRule="exact"/>
        <w:rPr>
          <w:rFonts w:ascii="Times New Roman" w:cs="Times New Roman" w:eastAsia="Times New Roman" w:hAnsi="Times New Roman"/>
          <w:sz w:val="17"/>
          <w:szCs w:val="17"/>
          <w:color w:val="010000"/>
        </w:rPr>
      </w:pPr>
    </w:p>
    <w:p>
      <w:pPr>
        <w:jc w:val="both"/>
        <w:ind w:firstLine="9"/>
        <w:spacing w:after="0" w:line="233" w:lineRule="auto"/>
        <w:tabs>
          <w:tab w:leader="none" w:pos="2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valid and binding on the applicable ARYA Party and, to the ARYA Parties’ knowledge, the counterparties thereto, and is in full force and effect and enforceable in accordance with its terms against such ARYA Party and, to the ARYA Parties’ knowledge, the counterparties thereto (subject to applicable bankruptcy, insolvency, reorganization, moratorium or other Laws affecting generally the enforcement of creditors’ rights and subject to general principles of equity), (ii) the applicable ARYA Party and, to the Parties’ knowledge, the counterparties thereto are not in material breach of, or default under, any ARYA Material Contract and (iii) no event has occurred that (with or without due notice or lapse of time or both) would result in a material breach of, or default under, any ARYA Material Contract by the applicable ARYA Party or, to the Parties’ knowledge, the counterparties thereto. ARYA Parties have made available to the Company true and complete copies of all ARYA Material Contracts in effect as of the date hereof (it being understood and agreed, for the avoidance of doubt, that each ARYA Material Contract set forth in any ARYA SEC Report that is publicly available as of the date hereof shall be deemed to have been made available to the Company pursuant to this sentence).</w:t>
      </w:r>
    </w:p>
    <w:p>
      <w:pPr>
        <w:spacing w:after="0" w:line="166" w:lineRule="exact"/>
        <w:rPr>
          <w:sz w:val="20"/>
          <w:szCs w:val="20"/>
          <w:color w:val="auto"/>
        </w:rPr>
      </w:pPr>
    </w:p>
    <w:p>
      <w:pPr>
        <w:ind w:left="5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010000"/>
        </w:rPr>
        <w:t>Section 4.10</w:t>
      </w:r>
      <w:r>
        <w:rPr>
          <w:sz w:val="20"/>
          <w:szCs w:val="20"/>
          <w:color w:val="auto"/>
        </w:rPr>
        <w:tab/>
      </w:r>
      <w:r>
        <w:rPr>
          <w:rFonts w:ascii="Times New Roman" w:cs="Times New Roman" w:eastAsia="Times New Roman" w:hAnsi="Times New Roman"/>
          <w:sz w:val="17"/>
          <w:szCs w:val="17"/>
          <w:b w:val="1"/>
          <w:bCs w:val="1"/>
          <w:u w:val="single" w:color="auto"/>
          <w:color w:val="auto"/>
        </w:rPr>
        <w:t>Investment Company Act</w:t>
      </w:r>
      <w:r>
        <w:rPr>
          <w:rFonts w:ascii="Times New Roman" w:cs="Times New Roman" w:eastAsia="Times New Roman" w:hAnsi="Times New Roman"/>
          <w:sz w:val="17"/>
          <w:szCs w:val="17"/>
          <w:color w:val="auto"/>
        </w:rPr>
        <w:t>. No ARYA Party is an “investment company” within the meaning of the Investment Company Act.</w:t>
      </w:r>
    </w:p>
    <w:p>
      <w:pPr>
        <w:spacing w:after="0" w:line="19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4.11 </w:t>
      </w:r>
      <w:r>
        <w:rPr>
          <w:rFonts w:ascii="Times New Roman" w:cs="Times New Roman" w:eastAsia="Times New Roman" w:hAnsi="Times New Roman"/>
          <w:sz w:val="17"/>
          <w:szCs w:val="17"/>
          <w:b w:val="1"/>
          <w:bCs w:val="1"/>
          <w:u w:val="single" w:color="auto"/>
          <w:color w:val="000000"/>
        </w:rPr>
        <w:t>Trust Account; Financial Ability</w:t>
      </w:r>
      <w:r>
        <w:rPr>
          <w:rFonts w:ascii="Times New Roman" w:cs="Times New Roman" w:eastAsia="Times New Roman" w:hAnsi="Times New Roman"/>
          <w:sz w:val="17"/>
          <w:szCs w:val="17"/>
          <w:color w:val="000000"/>
        </w:rPr>
        <w:t>. As of the date of this Agreement, ARYA has an amount in cash in the Trust Account equal to at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least $149,500,000. The 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that certain Investment Management Trust Agreement, dated August 11, 2020 (the “Trust Agreement”), between ARYA and Continental Stock Transfer &amp; Trust Company, as trustee (the “Trustee”). There are no separate agreements, side letters or other agreements or understandings (whether written or unwritten, express or implied) that would cause the description of the Trust Agreement in the ARYA SEC Reports to be inaccurate or, that would entitle any Person to any portion of the funds in the Trust Account (other than (i) in respect of deferred underwriting commissions or Taxes, (ii) the Pre-Closing ARYA Shareholders who shall have elected to redeem their ARYA Class A Shares pursuant to the Governing Documents of ARYA or (iii) if ARYA fails to complete a business combination within the allotted time period set forth in the Governing Documents of ARYA and liquidates the Trust Account, subject to the terms of the Trust Agreement, ARYA (in limited amounts to permit ARYA to pay the expenses of the Trust Account’s liquidation, dissolution and winding up of ARYA) and then the Pre-Closing ARYA Shareholders). Prior to the Closing, none of the funds held in the Trust Account are permitted to be released, except in the circumstances described in the Governing Documents of ARYA and the Trust Agreement. As of the date hereof, ARYA has performed all material obligations required to be performed by it, and is not in material breach or default, or delinquent in performance in any material respect or any other respect (claimed or actual) in any material respect, under the Trust Agreement, and, to ARYA’s knowledge, no event has occurred which (with due notice or lapse of time or both) would constitute a material default under the Trust Agreement. As of the date of this Agreement, there are no Proceedings pending, or to ARYA’s knowledge, threatened with respect to the Trust Account. Since August 11, 2020, ARYA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ARYA Shareholders who have elected to redeem their ARYA Class A Shares pursuant to the Governing Documents of ARYA, each in accordance with the terms of and as set forth in the Trust Agreement), ARYA shall have no further obligation under either the Trust Agreement or the Governing Documents of ARYA to liquidate or distribute any assets held in the Trust Account, and the Trust Agreement shall terminate in accordance with its terms.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71" w:name="page72"/>
    <w:bookmarkEnd w:id="71"/>
    <w:p>
      <w:pPr>
        <w:jc w:val="both"/>
        <w:ind w:firstLine="532"/>
        <w:spacing w:after="0" w:line="249" w:lineRule="auto"/>
        <w:rPr>
          <w:sz w:val="20"/>
          <w:szCs w:val="20"/>
          <w:color w:val="auto"/>
        </w:rPr>
      </w:pPr>
      <w:r>
        <w:rPr>
          <w:rFonts w:ascii="Times New Roman" w:cs="Times New Roman" w:eastAsia="Times New Roman" w:hAnsi="Times New Roman"/>
          <w:sz w:val="17"/>
          <w:szCs w:val="17"/>
          <w:b w:val="1"/>
          <w:bCs w:val="1"/>
          <w:color w:val="010000"/>
        </w:rPr>
        <w:t xml:space="preserve">Section 4.12 </w:t>
      </w:r>
      <w:r>
        <w:rPr>
          <w:rFonts w:ascii="Times New Roman" w:cs="Times New Roman" w:eastAsia="Times New Roman" w:hAnsi="Times New Roman"/>
          <w:sz w:val="17"/>
          <w:szCs w:val="17"/>
          <w:b w:val="1"/>
          <w:bCs w:val="1"/>
          <w:u w:val="single" w:color="auto"/>
          <w:color w:val="000000"/>
        </w:rPr>
        <w:t>Transactions with Affiliates</w:t>
      </w:r>
      <w:r>
        <w:rPr>
          <w:rFonts w:ascii="Times New Roman" w:cs="Times New Roman" w:eastAsia="Times New Roman" w:hAnsi="Times New Roman"/>
          <w:sz w:val="17"/>
          <w:szCs w:val="17"/>
          <w:color w:val="000000"/>
        </w:rPr>
        <w:t>. Section 4.12 of the ARYA Disclosure Schedules sets forth all Contracts between (a) ARYA, on the one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hand, and (b) any employee, officer, director, equityholder or Affiliate of ARYA or any spouse, child or member of the same household of any officer, director or employee of ARYA, ARYA Sponsor, the Perceptive Shareholders or any of their respective Affiliates, on the other hand (each Person identified in this clause (b), an “ARYA Affiliated Party”), other than (i) Contracts with respect to an ARYA Affiliated Party’s employment with, or the provision of services to, ARYA entered into in the ordinary course of business (including benefit plans, indemnification arrangements and other ordinary course compensation), (ii) Contracts entered into after the date of this Agreement that are either permitted pursuant to Section 5.11 (including as set forth in Section 5.11(a)-(r) of the ARYA Disclosure Schedules) or entered into in accordance with Section 5.11, (iii) Contracts with respect to a Person’s status as a holder of ARYA Shares and</w:t>
      </w:r>
    </w:p>
    <w:p>
      <w:pPr>
        <w:spacing w:after="0" w:line="1" w:lineRule="exact"/>
        <w:rPr>
          <w:sz w:val="20"/>
          <w:szCs w:val="20"/>
          <w:color w:val="auto"/>
        </w:rPr>
      </w:pPr>
    </w:p>
    <w:p>
      <w:pPr>
        <w:jc w:val="both"/>
        <w:ind w:firstLine="9"/>
        <w:spacing w:after="0" w:line="233" w:lineRule="auto"/>
        <w:tabs>
          <w:tab w:leader="none" w:pos="30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director and officer indemnification agreements that have been made available to the Company or are in the form that is publicly filed with the SEC. No ARYA Affiliated Party (A) owns any material interest in any material asset or property used in the business of ARYA, or (B) possesses, directly or indirectly, any material financial interest in, or is a director or executive officer of, any Person which is a material supplier, vendor, partner, customer, lessor or other material business relation of ARYA. All Contracts, arrangements, understandings, interests and other matters that are required to be disclosed pursuant to this Section 4.12 (including, for the avoidance of doubt, pursuant to the second sentence of this Section 4.12) are referred to herein as “ARYA Affiliated Party Transactions”.</w:t>
      </w:r>
    </w:p>
    <w:p>
      <w:pPr>
        <w:spacing w:after="0" w:line="170"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4.13 </w:t>
      </w:r>
      <w:r>
        <w:rPr>
          <w:rFonts w:ascii="Times New Roman" w:cs="Times New Roman" w:eastAsia="Times New Roman" w:hAnsi="Times New Roman"/>
          <w:sz w:val="18"/>
          <w:szCs w:val="18"/>
          <w:b w:val="1"/>
          <w:bCs w:val="1"/>
          <w:u w:val="single" w:color="auto"/>
          <w:color w:val="000000"/>
        </w:rPr>
        <w:t>Litigation</w:t>
      </w:r>
      <w:r>
        <w:rPr>
          <w:rFonts w:ascii="Times New Roman" w:cs="Times New Roman" w:eastAsia="Times New Roman" w:hAnsi="Times New Roman"/>
          <w:sz w:val="18"/>
          <w:szCs w:val="18"/>
          <w:color w:val="000000"/>
        </w:rPr>
        <w:t>. There is (and since its organization, incorporation or formation, as applicable, there has been) no Proceeding by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counterparty not a Party hereto, pending or, to ARYA’s knowledge, threatened against or involving any ARYA Party, or, to ARYA’s knowledge, pending or threatened against or involving any ARYA Party’s managers, officers, directors or employees (in their capacity as such), that, if adversely decided or resolved, has been or would reasonably be expected to be, individually or in the aggregate, material to the ARYA Parties, taken as a whole. None of the ARYA Parties nor any of their respective properties or assets is subject to any material Order. Since ARYA’s organization, incorporation or formation, as applicable, through the date hereof, there have been no material Proceedings by any ARYA Party pending against any other Person.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2" w:name="page73"/>
    <w:bookmarkEnd w:id="72"/>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4.14 </w:t>
      </w:r>
      <w:r>
        <w:rPr>
          <w:rFonts w:ascii="Times New Roman" w:cs="Times New Roman" w:eastAsia="Times New Roman" w:hAnsi="Times New Roman"/>
          <w:sz w:val="18"/>
          <w:szCs w:val="18"/>
          <w:b w:val="1"/>
          <w:bCs w:val="1"/>
          <w:u w:val="single" w:color="auto"/>
          <w:color w:val="000000"/>
        </w:rPr>
        <w:t>Compliance with Applicable Law</w:t>
      </w:r>
      <w:r>
        <w:rPr>
          <w:rFonts w:ascii="Times New Roman" w:cs="Times New Roman" w:eastAsia="Times New Roman" w:hAnsi="Times New Roman"/>
          <w:sz w:val="18"/>
          <w:szCs w:val="18"/>
          <w:color w:val="000000"/>
        </w:rPr>
        <w:t>. Each ARYA Party (a) is (and since its organization, incorporation or formation, as applicable,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has been) in compliance with all applicable Laws, and (b) as of the date of this Agreement, has not received any written communications or, to ARYA’s knowledge, any other communications from a Governmental Entity that alleges that any ARYA Party is not in compliance with any Law or Order, except in each case of except in the case of clauses (a) and (b) as is not and would not reasonably be expected, individually or in the aggregate, material to the ARYA Parties, taken as a whole.</w:t>
      </w:r>
    </w:p>
    <w:p>
      <w:pPr>
        <w:spacing w:after="0" w:line="169"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010000"/>
        </w:rPr>
        <w:t>Section 4.15</w:t>
      </w:r>
      <w:r>
        <w:rPr>
          <w:sz w:val="20"/>
          <w:szCs w:val="20"/>
          <w:color w:val="auto"/>
        </w:rPr>
        <w:tab/>
      </w:r>
      <w:r>
        <w:rPr>
          <w:rFonts w:ascii="Times New Roman" w:cs="Times New Roman" w:eastAsia="Times New Roman" w:hAnsi="Times New Roman"/>
          <w:sz w:val="17"/>
          <w:szCs w:val="17"/>
          <w:b w:val="1"/>
          <w:bCs w:val="1"/>
          <w:u w:val="single" w:color="auto"/>
          <w:color w:val="auto"/>
        </w:rPr>
        <w:t>ARYA Party Activities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7" w:lineRule="auto"/>
        <w:tabs>
          <w:tab w:leader="none" w:pos="1761"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Merger Sub was organized solely for the purpose of entering into this Agreement, the Ancillary Documents, the performance of its covenants and agreements in this Agreement and the Ancillary Documents and consummating the transactions contemplated hereby and thereby and has not engaged in any activities or business, other than those incident or related to, or incurred in connection with, its organization, incorporation or formation, as applicable, its continuing corporate (or similar) existence or the negotiation, preparation or execution of this Agreement or any Ancillary Document, the performance of its covenants or agreements in this Agreement or any Ancillary Document or the consummation of the transactions contemplated hereby or thereby. ARYA owns 100% of the outstanding Equity Securities of Merger Sub.</w:t>
      </w:r>
    </w:p>
    <w:p>
      <w:pPr>
        <w:spacing w:after="0" w:line="171"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815"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its incorporation, ARYA has not conducted any business activities other than activities (i) in connection with or incident or related to its incorporation or continuing corporate (or similar) existence, (ii) directed toward the accomplishment of a business or similar combination, including those incident or related to or incurred in connection with the negotiation, preparation or execution of this Agreement or any Ancillary Documents, the performance of its covenants or agreements in this Agreement or any Ancillary Documents or the consummation of the transactions contemplated hereby or thereby or (iii) those that are administrative, ministerial or otherwise immaterial in nature. Except for this Agreement or the Ancillary Documents, there is no Contract binding upon any ARYA Party or to which any ARYA Party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spacing w:after="0" w:line="167"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4.16</w:t>
      </w:r>
      <w:r>
        <w:rPr>
          <w:sz w:val="20"/>
          <w:szCs w:val="20"/>
          <w:color w:val="auto"/>
        </w:rPr>
        <w:tab/>
      </w:r>
      <w:r>
        <w:rPr>
          <w:rFonts w:ascii="Times New Roman" w:cs="Times New Roman" w:eastAsia="Times New Roman" w:hAnsi="Times New Roman"/>
          <w:sz w:val="17"/>
          <w:szCs w:val="17"/>
          <w:b w:val="1"/>
          <w:bCs w:val="1"/>
          <w:u w:val="single" w:color="auto"/>
          <w:color w:val="auto"/>
        </w:rPr>
        <w:t>Internal Controls; Listing; Financial Statements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6" w:lineRule="auto"/>
        <w:tabs>
          <w:tab w:leader="none" w:pos="1728" w:val="left"/>
        </w:tabs>
        <w:numPr>
          <w:ilvl w:val="0"/>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is not required in reliance on exemptions from various reporting requirements by virtue of ARYA’s status as an “emerging growth company” within the meaning of the Securities Act, as modified by the JOBS Act, or “smaller reporting company” within the meaning of the Exchange Act, since its initial public offering, (i) ARYA has established and maintained a system of internal controls over financial reporting (as defined in Rule 13a-15 and Rule 15d-15 under the Exchange Act) sufficient to provide reasonable assurance regarding the reliability of ARYA’s financial reporting and the preparation of ARYA’s financial statements for external purposes in accordance with GAAP and (ii) ARYA has established and maintained disclosure controls and procedures (as defined in Rule 13a-15 and Rule 15d-15 under the Exchange Act) designed to ensure that material information relating to ARYA is made known to ARYA’s principal executive officer and principal financial officer by others within ARYA.</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3" w:name="page74"/>
    <w:bookmarkEnd w:id="73"/>
    <w:p>
      <w:pPr>
        <w:ind w:left="-9" w:firstLine="1074"/>
        <w:spacing w:after="0" w:line="259" w:lineRule="auto"/>
        <w:tabs>
          <w:tab w:leader="none" w:pos="1818"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has not taken any action prohibited by Section 402 of the Sarbanes-Oxley Act. There are no outstanding loans or other extensions of credit made by ARYA to any executive officer (as defined in Rule 3b-7 under the Exchange Act) or director of ARYA.</w:t>
      </w:r>
    </w:p>
    <w:p>
      <w:pPr>
        <w:spacing w:after="0" w:line="151" w:lineRule="exact"/>
        <w:rPr>
          <w:rFonts w:ascii="Times New Roman" w:cs="Times New Roman" w:eastAsia="Times New Roman" w:hAnsi="Times New Roman"/>
          <w:sz w:val="18"/>
          <w:szCs w:val="18"/>
          <w:color w:val="010000"/>
        </w:rPr>
      </w:pPr>
    </w:p>
    <w:p>
      <w:pPr>
        <w:jc w:val="both"/>
        <w:ind w:left="-9" w:firstLine="1074"/>
        <w:spacing w:after="0" w:line="237" w:lineRule="auto"/>
        <w:tabs>
          <w:tab w:leader="none" w:pos="1752"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Since its initial public offering, except as set forth on </w:t>
      </w:r>
      <w:r>
        <w:rPr>
          <w:rFonts w:ascii="Times New Roman" w:cs="Times New Roman" w:eastAsia="Times New Roman" w:hAnsi="Times New Roman"/>
          <w:sz w:val="18"/>
          <w:szCs w:val="18"/>
          <w:u w:val="single" w:color="auto"/>
          <w:color w:val="auto"/>
        </w:rPr>
        <w:t>Section 4.16(c)</w:t>
      </w:r>
      <w:r>
        <w:rPr>
          <w:rFonts w:ascii="Times New Roman" w:cs="Times New Roman" w:eastAsia="Times New Roman" w:hAnsi="Times New Roman"/>
          <w:sz w:val="18"/>
          <w:szCs w:val="18"/>
          <w:color w:val="auto"/>
        </w:rPr>
        <w:t xml:space="preserve"> of the ARYA Disclosure Schedules, ARYA has complied in all material respects with all applicable listing and corporate governance rules and regulations of Nasdaq. The ARYA Class A Shares are registered pursuant to Section 12(b) of the Exchange Act and are listed for trading on Nasdaq. As of the date of this Agreement, there is no Proceeding pending or, to ARYA’s knowledge, threatened against ARYA by Nasdaq or the SEC with respect to any intention by such entity to deregister ARYA Class A Shares or prohibit or terminate the listing of ARYA Class A Shares on Nasdaq. ARYA has not taken any action that is designed to terminate the registration of ARYA Class A Shares under the Exchange Act.</w:t>
      </w:r>
    </w:p>
    <w:p>
      <w:pPr>
        <w:spacing w:after="0" w:line="171" w:lineRule="exact"/>
        <w:rPr>
          <w:rFonts w:ascii="Times New Roman" w:cs="Times New Roman" w:eastAsia="Times New Roman" w:hAnsi="Times New Roman"/>
          <w:sz w:val="18"/>
          <w:szCs w:val="18"/>
          <w:color w:val="010000"/>
        </w:rPr>
      </w:pPr>
    </w:p>
    <w:p>
      <w:pPr>
        <w:jc w:val="both"/>
        <w:ind w:left="-9" w:firstLine="1074"/>
        <w:spacing w:after="0" w:line="205" w:lineRule="exact"/>
        <w:tabs>
          <w:tab w:leader="none" w:pos="1795"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ARYA SEC Reports contain true and complete copies of the applicable ARYA Financial Statements. The ARYA Financial Statements (i) fairly present in all material respects the financial position of ARYA as at the respective dates thereof, and the results of its operations, shareholders’ equity and cash flows for the respective periods then ended (subject, in the case of any unaudited interim financial statements, to normal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ARYA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68" w:lineRule="exact"/>
        <w:rPr>
          <w:rFonts w:ascii="Times New Roman" w:cs="Times New Roman" w:eastAsia="Times New Roman" w:hAnsi="Times New Roman"/>
          <w:sz w:val="18"/>
          <w:szCs w:val="18"/>
          <w:color w:val="010000"/>
        </w:rPr>
      </w:pPr>
    </w:p>
    <w:p>
      <w:pPr>
        <w:jc w:val="both"/>
        <w:ind w:left="-9" w:firstLine="1074"/>
        <w:spacing w:after="0" w:line="239" w:lineRule="auto"/>
        <w:tabs>
          <w:tab w:leader="none" w:pos="1785"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ARYA’s and its Subsidiaries’ assets. ARYA maintains and, for all periods covered by the ARYA Financial Statements, has maintained books and records of ARYA in the ordinary course of business that are accurate and complete and reflect the revenues, expenses, assets and liabilities of ARYA in all material respects.</w:t>
      </w:r>
    </w:p>
    <w:p>
      <w:pPr>
        <w:spacing w:after="0" w:line="167" w:lineRule="exact"/>
        <w:rPr>
          <w:rFonts w:ascii="Times New Roman" w:cs="Times New Roman" w:eastAsia="Times New Roman" w:hAnsi="Times New Roman"/>
          <w:sz w:val="18"/>
          <w:szCs w:val="18"/>
          <w:color w:val="010000"/>
        </w:rPr>
      </w:pPr>
    </w:p>
    <w:p>
      <w:pPr>
        <w:jc w:val="both"/>
        <w:ind w:left="-9" w:firstLine="1074"/>
        <w:spacing w:after="0" w:line="257" w:lineRule="auto"/>
        <w:tabs>
          <w:tab w:leader="none" w:pos="1810" w:val="left"/>
        </w:tabs>
        <w:numPr>
          <w:ilvl w:val="1"/>
          <w:numId w:val="6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Since its incorporation, ARYA has not received any written complaint, allegation, assertion or claim that there is (i) a “significant deficiency” in the internal controls over financial reporting of ARYA, (ii) a “material weakness” in the internal controls over financial reporting of ARYA or</w:t>
      </w:r>
    </w:p>
    <w:p>
      <w:pPr>
        <w:ind w:left="-9" w:right="20" w:firstLine="9"/>
        <w:spacing w:after="0" w:line="238" w:lineRule="auto"/>
        <w:tabs>
          <w:tab w:leader="none" w:pos="30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whether or not material, that involves management or other employees of ARYA who have a significant role in the internal controls over financial reporting of ARYA.</w:t>
      </w:r>
    </w:p>
    <w:p>
      <w:pPr>
        <w:spacing w:after="0" w:line="3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5708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74" w:name="page75"/>
    <w:bookmarkEnd w:id="74"/>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4.17 </w:t>
      </w:r>
      <w:r>
        <w:rPr>
          <w:rFonts w:ascii="Times New Roman" w:cs="Times New Roman" w:eastAsia="Times New Roman" w:hAnsi="Times New Roman"/>
          <w:sz w:val="18"/>
          <w:szCs w:val="18"/>
          <w:b w:val="1"/>
          <w:bCs w:val="1"/>
          <w:u w:val="single" w:color="auto"/>
          <w:color w:val="000000"/>
        </w:rPr>
        <w:t>No Undisclosed Liabilities</w:t>
      </w:r>
      <w:r>
        <w:rPr>
          <w:rFonts w:ascii="Times New Roman" w:cs="Times New Roman" w:eastAsia="Times New Roman" w:hAnsi="Times New Roman"/>
          <w:sz w:val="18"/>
          <w:szCs w:val="18"/>
          <w:color w:val="000000"/>
        </w:rPr>
        <w:t>. Except for the Liabilities (a) set forth in Section 4.17 of the ARYA Disclosure Schedules, (b) ARYA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Expenses incurred in connection with the negotiation, preparation or execution of this Agreement or any Ancillary Document, the performance of its covenants or agreements in this Agreement or any Ancillary Document or the consummation of the transactions contemplated hereby or thereby (it being understood and agreed that the expected third parties that are, as of the date hereof, entitled to fees, expenses or other payments in connection with the matters described in this clause (b) shall be set forth on Section 4.17 of the ARYA Disclosure Schedules), (c) incurred in connection with or incident or related to an ARYA Party’s organization, incorporation or formation, as applicable, or continuing corporate (or similar) existence of either ARYA Party, in each case, which are immaterial in nature, (d) that are immaterial and incurred in connection with activities that are administrative or ministerial in nature, (e) set forth on (or in the notes to) the balance sheet of ARYA contained in the Quarterly Report on Form 10-Q, filed with the SEC on November 13, 2020 (the “Latest ARYA Balance Sheet”), (f) that have arisen since the date of the Latest ARYA Balance Sheet in the ordinary course of business (excluding any Liabilities directly or indirectly related to a breach of Contract, breach of warranty, tort, Proceeding or violation of, or non-compliance with Law), (g) that are first incurred after the date hereof, expressly permitted pursuant to the terms Section 5.11 (including as set forth in Section 5.11(a)-(r) of the ARYA Disclosure Schedules), or incurred in accordance with Section 5.11 or (h) that are not, and would not reasonably be expected to be, individually or in the aggregate, material to the ARYA Parties, taken as a whole, the ARYA Parties do not have any Liabilities.</w:t>
      </w:r>
    </w:p>
    <w:p>
      <w:pPr>
        <w:spacing w:after="0" w:line="173"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4.18 </w:t>
      </w:r>
      <w:r>
        <w:rPr>
          <w:rFonts w:ascii="Times New Roman" w:cs="Times New Roman" w:eastAsia="Times New Roman" w:hAnsi="Times New Roman"/>
          <w:sz w:val="18"/>
          <w:szCs w:val="18"/>
          <w:b w:val="1"/>
          <w:bCs w:val="1"/>
          <w:u w:val="single" w:color="auto"/>
          <w:color w:val="000000"/>
        </w:rPr>
        <w:t>Employees</w:t>
      </w:r>
      <w:r>
        <w:rPr>
          <w:rFonts w:ascii="Times New Roman" w:cs="Times New Roman" w:eastAsia="Times New Roman" w:hAnsi="Times New Roman"/>
          <w:sz w:val="18"/>
          <w:szCs w:val="18"/>
          <w:color w:val="000000"/>
        </w:rPr>
        <w:t>. Other than any officers as described in the ARYA SEC Reports, ARYA and Merger Sub have never employed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employees or retained any contractors. ARYA and Merger Sub have never maintained, sponsored, contributed to or had any direct liability under, and do not currently maintain, sponsor, contribute to or have any direct liability under, any employee benefit plan (as defined in Section 3(3) of ERISA), nonqualified deferred compensation plan subject to Section 409A of the Code, bonus, stock option, stock purchase, restricted stock, incentive, deferred compensation, retiree medical or life insurance, supplemental retirement, severance, change in control compensation, fringe benefit, sick pay and vacation plans or arrangements or other employee benefit plans, programs or arrangements. Neither the execution and delivery of this Agreement and any Ancillary Document nor the consummation of the transactions contemplated by this Agreement will (i) result in any payment (including severance, unemployment compensation, golden parachute, bonus or otherwise) becoming due to any director, officer or employee of ARYA, or (ii) result in the acceleration of the time of payment or vesting of any such benefits. The transactions contemplated by this Agreement shall not be the direct or indirect cause of any amount paid or payable by the ARYA, Merger Sub or any of their Affiliates being classified as an “excess parachute payment” under Section 280G of the Code or the imposition of any additional Tax under Section 4999 or 409A(a)(1)(B) of the Code. There is no contract, agreement, plan or arrangement to which ARYA or Merger Sub is a party which requires payment by any party of a Tax gross-up or Tax reimbursement payment to any person, including under Section 4999 or 409A of the Code.</w:t>
      </w:r>
    </w:p>
    <w:p>
      <w:pPr>
        <w:spacing w:after="0" w:line="180"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4.19</w:t>
      </w:r>
      <w:r>
        <w:rPr>
          <w:sz w:val="20"/>
          <w:szCs w:val="20"/>
          <w:color w:val="auto"/>
        </w:rPr>
        <w:tab/>
      </w:r>
      <w:r>
        <w:rPr>
          <w:rFonts w:ascii="Times New Roman" w:cs="Times New Roman" w:eastAsia="Times New Roman" w:hAnsi="Times New Roman"/>
          <w:sz w:val="14"/>
          <w:szCs w:val="14"/>
          <w:b w:val="1"/>
          <w:bCs w:val="1"/>
          <w:u w:val="single" w:color="auto"/>
          <w:color w:val="auto"/>
        </w:rPr>
        <w:t>Tax Matters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6" w:lineRule="auto"/>
        <w:tabs>
          <w:tab w:leader="none" w:pos="1729" w:val="left"/>
        </w:tabs>
        <w:numPr>
          <w:ilvl w:val="0"/>
          <w:numId w:val="6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has prepared and filed all material Tax Returns required to have been filed by it, all such Tax Returns are true and complete in all material respects and prepared in compliance in all material respects with all applicable Laws and Orders, and ARYA has paid all material Taxes required to have been paid or deposited by it regardless of whether shown on a Tax Return.</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5" w:name="page76"/>
    <w:bookmarkEnd w:id="75"/>
    <w:p>
      <w:pPr>
        <w:jc w:val="both"/>
        <w:ind w:firstLine="1074"/>
        <w:spacing w:after="0" w:line="230" w:lineRule="exact"/>
        <w:tabs>
          <w:tab w:leader="none" w:pos="1704" w:val="left"/>
        </w:tabs>
        <w:numPr>
          <w:ilvl w:val="0"/>
          <w:numId w:val="6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ARYA has timely withheld and paid to the appropriate Tax Authority all material amounts required to have been withheld and paid in connection with amounts paid or owing to any employee, individual independent contractor, other service providers, equity interest holder or other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w:t>
      </w:r>
    </w:p>
    <w:p>
      <w:pPr>
        <w:spacing w:after="0" w:line="149" w:lineRule="exact"/>
        <w:rPr>
          <w:rFonts w:ascii="Times New Roman" w:cs="Times New Roman" w:eastAsia="Times New Roman" w:hAnsi="Times New Roman"/>
          <w:sz w:val="17"/>
          <w:szCs w:val="17"/>
          <w:color w:val="010000"/>
        </w:rPr>
      </w:pPr>
    </w:p>
    <w:p>
      <w:pPr>
        <w:ind w:firstLine="1074"/>
        <w:spacing w:after="0" w:line="260" w:lineRule="auto"/>
        <w:tabs>
          <w:tab w:leader="none" w:pos="1828"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is not currently the subject of a Tax audit or examination and has not been informed in writing of the commencement or anticipated commencement of any Tax audit or examination that has not been resolved or completed, in each case with respect to material Taxes.</w:t>
      </w:r>
    </w:p>
    <w:p>
      <w:pPr>
        <w:spacing w:after="0" w:line="150"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71"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62"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661"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any ARYA Party which agreement or ruling would be effective after the Closing Date.</w:t>
      </w:r>
    </w:p>
    <w:p>
      <w:pPr>
        <w:spacing w:after="0" w:line="162" w:lineRule="exact"/>
        <w:rPr>
          <w:rFonts w:ascii="Times New Roman" w:cs="Times New Roman" w:eastAsia="Times New Roman" w:hAnsi="Times New Roman"/>
          <w:sz w:val="18"/>
          <w:szCs w:val="18"/>
          <w:color w:val="010000"/>
        </w:rPr>
      </w:pPr>
    </w:p>
    <w:p>
      <w:pPr>
        <w:ind w:firstLine="1074"/>
        <w:spacing w:after="0" w:line="260" w:lineRule="auto"/>
        <w:tabs>
          <w:tab w:leader="none" w:pos="1653"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None of the ARYA Parties is and none of the ARYA Parties has been a party to any “listed transaction” as defined in Section 6707A of the Code and Treasury Regulations Section 1.6011-4 (or any corresponding or similar provision of state, local or non-U.S. income Tax Law).</w:t>
      </w:r>
    </w:p>
    <w:p>
      <w:pPr>
        <w:spacing w:after="0" w:line="150" w:lineRule="exact"/>
        <w:rPr>
          <w:rFonts w:ascii="Times New Roman" w:cs="Times New Roman" w:eastAsia="Times New Roman" w:hAnsi="Times New Roman"/>
          <w:sz w:val="18"/>
          <w:szCs w:val="18"/>
          <w:color w:val="010000"/>
        </w:rPr>
      </w:pPr>
    </w:p>
    <w:p>
      <w:pPr>
        <w:ind w:left="1680" w:hanging="606"/>
        <w:spacing w:after="0"/>
        <w:tabs>
          <w:tab w:leader="none" w:pos="1680"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ARYA Party is tax resident only in its jurisdiction of organization, incorporation or formation, as applicable.</w:t>
      </w:r>
    </w:p>
    <w:p>
      <w:pPr>
        <w:spacing w:after="0" w:line="19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38" w:val="left"/>
        </w:tabs>
        <w:numPr>
          <w:ilvl w:val="0"/>
          <w:numId w:val="6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Agreement, none of the ARYA Parties has taken or agreed to take any action not contemplated by this Agreement and/or any Ancillary Documents that could reasonably be expected to prevent the Merger or the Domestication from qualifying for the Intended Tax Treatment. To the knowledge of ARYA, no facts or circumstances exist as of the date of this Agreement that could reasonably be expected to prevent the Merger (or, if applicable, the Alternative Merger Structure) or the Domestication from qualifying for the Intended Tax Treatment.</w:t>
      </w:r>
    </w:p>
    <w:p>
      <w:pPr>
        <w:spacing w:after="0" w:line="165"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b w:val="1"/>
          <w:bCs w:val="1"/>
          <w:color w:val="010000"/>
        </w:rPr>
        <w:t xml:space="preserve">Section 4.20 </w:t>
      </w:r>
      <w:r>
        <w:rPr>
          <w:rFonts w:ascii="Times New Roman" w:cs="Times New Roman" w:eastAsia="Times New Roman" w:hAnsi="Times New Roman"/>
          <w:sz w:val="18"/>
          <w:szCs w:val="18"/>
          <w:b w:val="1"/>
          <w:bCs w:val="1"/>
          <w:u w:val="single" w:color="auto"/>
          <w:color w:val="000000"/>
        </w:rPr>
        <w:t>CFIUS Foreign Person Status</w:t>
      </w:r>
      <w:r>
        <w:rPr>
          <w:rFonts w:ascii="Times New Roman" w:cs="Times New Roman" w:eastAsia="Times New Roman" w:hAnsi="Times New Roman"/>
          <w:sz w:val="18"/>
          <w:szCs w:val="18"/>
          <w:color w:val="000000"/>
        </w:rPr>
        <w:t>. No ARYA Party is a “foreign person” or a “foreign entity,” as defined in Section 721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Defense Production Act of 1950, including all implementing regulations thereof (the “DPA”). No ARYA Party is controlled by a “foreign person,” as defined in the DPA. No ARYA Party permits any foreign person affiliated with ARYA, whether affiliated as a limited partner or otherwise, to obtain through ARYA any of the following with respect to ARYA: (i) access to any “material nonpublic technical information” (as defined in the DPA) in the possession of ARYA;</w:t>
      </w:r>
    </w:p>
    <w:p>
      <w:pPr>
        <w:spacing w:after="0" w:line="3" w:lineRule="exact"/>
        <w:rPr>
          <w:sz w:val="20"/>
          <w:szCs w:val="20"/>
          <w:color w:val="auto"/>
        </w:rPr>
      </w:pPr>
    </w:p>
    <w:p>
      <w:pPr>
        <w:jc w:val="both"/>
        <w:ind w:firstLine="9"/>
        <w:spacing w:after="0" w:line="233" w:lineRule="auto"/>
        <w:tabs>
          <w:tab w:leader="none" w:pos="26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membership or observer rights on the Board of Directors or equivalent governing body of ARYA or the right to nominate an individual to a position on the Board of Directors or equivalent governing body of ARYA; (iii) any involvement, other than through the voting of shares, in the substantive decision-making of ARYA regarding (x) the use, development, acquisition, or release of any “critical technology” (as defined in the DPA), (y) the use, development, acquisition, safekeeping, or release of “sensitive personal data” (as defined in the DPA) of U.S. citizens maintained or collected by ARYA, or (z) the management, operation, manufacture, or supply of “covered investment critical infrastructure” (as defined in the DPA); or (iv) “control” of the Company (as defined in the DPA).</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6" w:name="page77"/>
    <w:bookmarkEnd w:id="76"/>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4.21</w:t>
      </w:r>
      <w:r>
        <w:rPr>
          <w:sz w:val="20"/>
          <w:szCs w:val="20"/>
          <w:color w:val="auto"/>
        </w:rPr>
        <w:tab/>
      </w:r>
      <w:r>
        <w:rPr>
          <w:rFonts w:ascii="Times New Roman" w:cs="Times New Roman" w:eastAsia="Times New Roman" w:hAnsi="Times New Roman"/>
          <w:sz w:val="14"/>
          <w:szCs w:val="14"/>
          <w:b w:val="1"/>
          <w:bCs w:val="1"/>
          <w:u w:val="single" w:color="auto"/>
          <w:color w:val="auto"/>
        </w:rPr>
        <w:t>Compliance with International Trade &amp; Anti-Corruption Laws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6" w:lineRule="auto"/>
        <w:tabs>
          <w:tab w:leader="none" w:pos="1661"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ARYA’s incorporation, neither ARYA nor, ARYA’s respective officers, directors or employees or, to ARYA’s knowledge, any of their other Representatives, or any other Persons acting for or on behalf of any of the foregoing, is or has been,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 (iii) or any country or territory which is or has, since ARYA’s incorporation, been the subject of or target of any Sanctions and Export Control Laws (at the time of this Agreement, the Crimea region of Ukraine, Cuba, Iran, North Korea, Venezuela, Sudan and Syria).</w:t>
      </w:r>
    </w:p>
    <w:p>
      <w:pPr>
        <w:spacing w:after="0" w:line="172" w:lineRule="exact"/>
        <w:rPr>
          <w:rFonts w:ascii="Times New Roman" w:cs="Times New Roman" w:eastAsia="Times New Roman" w:hAnsi="Times New Roman"/>
          <w:sz w:val="18"/>
          <w:szCs w:val="18"/>
          <w:color w:val="010000"/>
        </w:rPr>
      </w:pPr>
    </w:p>
    <w:p>
      <w:pPr>
        <w:jc w:val="both"/>
        <w:ind w:firstLine="1074"/>
        <w:spacing w:after="0" w:line="260" w:lineRule="auto"/>
        <w:tabs>
          <w:tab w:leader="none" w:pos="1716" w:val="left"/>
        </w:tabs>
        <w:numPr>
          <w:ilvl w:val="0"/>
          <w:numId w:val="6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Since ARYA’s incorporation, none of the ARYA Parties, any of their respective officers or directors or, to ARYA’s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49" w:lineRule="exact"/>
        <w:rPr>
          <w:sz w:val="20"/>
          <w:szCs w:val="20"/>
          <w:color w:val="auto"/>
        </w:rPr>
      </w:pPr>
    </w:p>
    <w:p>
      <w:pPr>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4.22 </w:t>
      </w:r>
      <w:r>
        <w:rPr>
          <w:rFonts w:ascii="Times New Roman" w:cs="Times New Roman" w:eastAsia="Times New Roman" w:hAnsi="Times New Roman"/>
          <w:sz w:val="18"/>
          <w:szCs w:val="18"/>
          <w:b w:val="1"/>
          <w:bCs w:val="1"/>
          <w:u w:val="single" w:color="auto"/>
          <w:color w:val="000000"/>
        </w:rPr>
        <w:t>Change of Control Payments</w:t>
      </w:r>
      <w:r>
        <w:rPr>
          <w:rFonts w:ascii="Times New Roman" w:cs="Times New Roman" w:eastAsia="Times New Roman" w:hAnsi="Times New Roman"/>
          <w:sz w:val="18"/>
          <w:szCs w:val="18"/>
          <w:color w:val="000000"/>
        </w:rPr>
        <w:t>. Section 4.22 of the ARYA Disclosure Schedules sets forth a list of all ARYA Change of Control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Payments as of the date of this Agreement.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77" w:name="page78"/>
    <w:bookmarkEnd w:id="77"/>
    <w:p>
      <w:pPr>
        <w:jc w:val="both"/>
        <w:ind w:firstLine="532"/>
        <w:spacing w:after="0" w:line="232" w:lineRule="auto"/>
        <w:rPr>
          <w:sz w:val="20"/>
          <w:szCs w:val="20"/>
          <w:color w:val="auto"/>
        </w:rPr>
      </w:pPr>
      <w:r>
        <w:rPr>
          <w:rFonts w:ascii="Times New Roman" w:cs="Times New Roman" w:eastAsia="Times New Roman" w:hAnsi="Times New Roman"/>
          <w:sz w:val="18"/>
          <w:szCs w:val="18"/>
          <w:b w:val="1"/>
          <w:bCs w:val="1"/>
          <w:color w:val="010000"/>
        </w:rPr>
        <w:t xml:space="preserve">Section 4.23 </w:t>
      </w:r>
      <w:r>
        <w:rPr>
          <w:rFonts w:ascii="Times New Roman" w:cs="Times New Roman" w:eastAsia="Times New Roman" w:hAnsi="Times New Roman"/>
          <w:sz w:val="18"/>
          <w:szCs w:val="18"/>
          <w:b w:val="1"/>
          <w:bCs w:val="1"/>
          <w:u w:val="single" w:color="auto"/>
          <w:color w:val="000000"/>
        </w:rPr>
        <w:t>PIPE Financing</w:t>
      </w:r>
      <w:r>
        <w:rPr>
          <w:rFonts w:ascii="Times New Roman" w:cs="Times New Roman" w:eastAsia="Times New Roman" w:hAnsi="Times New Roman"/>
          <w:sz w:val="18"/>
          <w:szCs w:val="18"/>
          <w:color w:val="000000"/>
        </w:rPr>
        <w:t>. ARYA has delivered to the Company a true, correct and complete copy of the fully executed PIPE Subscription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Agreements as in effect as of the date hereof, each of which is substantially in the form as Exhibit A-1, in the case of the Perceptive PIPE Investor, or Exhibit A-2, in the case of the Company PIPE Investors and the Third Party PIPE Investors, pursuant to which the PIPE Investors have collectively committed, on the terms and subject to the conditions therein, to purchase an aggregate of 15,000,000 ARYA Shares for $10.00 per share. Each of the PIPE Subscription Agreements is, as of the date hereof, in full force and effect (assuming, with respect to each PIPE Investor (other than the Perceptive PIPE Investor), that each such PIPE Subscription Agreement has been duly authorized, executed and delivered by each applicable PIPE Investor), and as of the date hereof, none of the PIPE Subscription Agreements has been withdrawn, rescinded or terminated or otherwise amended or modified in any respect, and, to ARYA’s knowledge, no such amendment or modification is contemplated as of the date hereof. Except as has not and would not reasonably be expected to cause any of the conditions to a PIPE Investor’s obligation to purchase the ARYA Shares under the applicable PIPE Subscription Agreement to not be satisfied, ARYA is not in breach of any of the representations or warranties of ARYA, or terms or conditions set forth in any of the PIPE Subscription Agreements. As of the date hereof, no event has occurred which, with or without notice, lapse of time or both, would reasonably be expected to constitute a breach, default or failure to satisfy any condition precedent set forth therein (assuming the accuracy of the representations and warranties of the Company set forth in this Agreement and, with respect to each PIPE Investor (other than the Perceptive PIPE Investor), the accuracy of the PIPE Investors set forth in each PIPE Subscription Agreement). As of the date hereof, assuming the accuracy of the representations and warranties contained in Article 3 in all material respects and, with respect to each PIPE Investor (other than the Perceptive PIPE Investor), the representations and warranties of each PIPE Investor in the applicable PIPE Subscription Agreement in all material respects, the performance by the Company of its covenants, agreements and obligations to be performed prior to the Closing hereunder in all material respects and, with respect to each PIPE Investor (other than the Perceptive PIPE Investor), the performance by each PIPE Investor of its covenants, agreements and obligations under the applicable PIPE Subscription Agreement in all material respects, ARYA (i) has no knowledge that any event has occurred that (with or without notice or lapse of time, or both) would constitute a breach or default under any of the PIPE Subscription Agreements, (ii) has no knowledge of any fact, event or other occurrence that makes any of the representations or warranties of ARYA in any of the PIPE Subscription Agreements inaccurate in any material respect and (iii) has no knowledge that any of the conditions to the consummation of the transactions contemplated by the PIPE Subscription Agreements will not be satisfied when required thereunder or that the transaction proceeds contemplated by the PIPE Subscription Agreements will not be made available when required thereunder. As of the date of this Agreement, no PIPE Investor has notified ARYA in writing of its intention to terminate all or any portion of the Subscription Amount (as defined in the PIPE Subscription Agreements) or not to provide the financing contemplated thereunder. Other than as set forth in the PIPE Subscription Agreements delivered to the Company in connection with the execution of this Agreement, (i) there are no conditions precedent or contingencies to the obligations of the parties under the PIPE Subscription Agreements to make the full amount of the PIPE Financing available to ARYA on the terms therein, and (ii) to the knowledge of ARYA, there are no side letters or other agreements, understandings, contracts or arrangements (written, oral or otherwise) related to the PIPE Subscription Agreements or the PIPE Financing, other than those entered into with the placement agents of the PIPE Financing.</w:t>
      </w:r>
    </w:p>
    <w:p>
      <w:pPr>
        <w:spacing w:after="0" w:line="189"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4.24</w:t>
      </w:r>
      <w:r>
        <w:rPr>
          <w:sz w:val="20"/>
          <w:szCs w:val="20"/>
          <w:color w:val="auto"/>
        </w:rPr>
        <w:tab/>
      </w:r>
      <w:r>
        <w:rPr>
          <w:rFonts w:ascii="Times New Roman" w:cs="Times New Roman" w:eastAsia="Times New Roman" w:hAnsi="Times New Roman"/>
          <w:sz w:val="17"/>
          <w:szCs w:val="17"/>
          <w:b w:val="1"/>
          <w:bCs w:val="1"/>
          <w:u w:val="single" w:color="auto"/>
          <w:color w:val="auto"/>
        </w:rPr>
        <w:t>Investigation; No Other Representations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56" w:lineRule="auto"/>
        <w:tabs>
          <w:tab w:leader="none" w:pos="1717" w:val="left"/>
        </w:tabs>
        <w:numPr>
          <w:ilvl w:val="0"/>
          <w:numId w:val="6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Each ARYA Party,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78" w:name="page79"/>
    <w:bookmarkEnd w:id="78"/>
    <w:p>
      <w:pPr>
        <w:jc w:val="both"/>
        <w:ind w:firstLine="1074"/>
        <w:spacing w:after="0" w:line="236" w:lineRule="auto"/>
        <w:tabs>
          <w:tab w:leader="none" w:pos="1682" w:val="left"/>
        </w:tabs>
        <w:numPr>
          <w:ilvl w:val="0"/>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entering into this Agreement and the Ancillary Documents to which it is or will be a party, each ARYA Party has relied solely on its own investigation and analysis and the representations and warranties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in the Ancillary Documents to which it is or will be a party and no other representations or warranties of the Company or any other Person, either express or implied, and each ARYA Party, on its own behalf and on behalf of its Representatives, acknowledges, represents, warrants and agrees that, except for the representations and warranties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in the Ancillary Documents to which it is or will be a party, neither the Company nor any other Person makes or has made any representation or warranty, either express or implied, in connection with or related to this Agreement, the Ancillary Documents or the transactions contemplated hereby or thereby.</w:t>
      </w:r>
    </w:p>
    <w:p>
      <w:pPr>
        <w:spacing w:after="0" w:line="17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4.25 </w:t>
      </w:r>
      <w:r>
        <w:rPr>
          <w:rFonts w:ascii="Times New Roman" w:cs="Times New Roman" w:eastAsia="Times New Roman" w:hAnsi="Times New Roman"/>
          <w:sz w:val="17"/>
          <w:szCs w:val="17"/>
          <w:b w:val="1"/>
          <w:bCs w:val="1"/>
          <w:u w:val="single" w:color="auto"/>
          <w:color w:val="000000"/>
        </w:rPr>
        <w:t>EXCLUSIVITY OF REPRESENTATIONS AND WARRANTIES</w:t>
      </w:r>
      <w:r>
        <w:rPr>
          <w:rFonts w:ascii="Times New Roman" w:cs="Times New Roman" w:eastAsia="Times New Roman" w:hAnsi="Times New Roman"/>
          <w:sz w:val="17"/>
          <w:szCs w:val="17"/>
          <w:color w:val="000000"/>
        </w:rPr>
        <w:t>. NOTWITHSTANDING THE DELIVERY OR DISCLOSURE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 xml:space="preserve">TO THE COMPANY OR ANY OF ITS REPRESENTATIVES OF ANY DOCUMENTATION OR OTHER INFORMATION (INCLUDING ANY FINANCIAL PROJECTIONS OR OTHER SUPPLEMENTAL DATA), EXCEPT AS OTHERWISE EXPRESSLY SET FORTH IN THIS </w:t>
      </w:r>
      <w:r>
        <w:rPr>
          <w:rFonts w:ascii="Times New Roman" w:cs="Times New Roman" w:eastAsia="Times New Roman" w:hAnsi="Times New Roman"/>
          <w:sz w:val="17"/>
          <w:szCs w:val="17"/>
          <w:u w:val="single" w:color="auto"/>
          <w:color w:val="000000"/>
        </w:rPr>
        <w:t>ARTICLE 4</w:t>
      </w:r>
      <w:r>
        <w:rPr>
          <w:rFonts w:ascii="Times New Roman" w:cs="Times New Roman" w:eastAsia="Times New Roman" w:hAnsi="Times New Roman"/>
          <w:sz w:val="17"/>
          <w:szCs w:val="17"/>
          <w:color w:val="000000"/>
        </w:rPr>
        <w:t xml:space="preserve"> OR THE ANCILLARY DOCUMENTS, NONE OF THE ARYA PARTIES OR ANY OTHER PERSON MAKES, AND EACH ARYA PARTY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ARYA PARTIES THAT HAVE BEEN MADE AVAILABLE TO THE COMPANY OR ANY OF ITS REPRESENTATIVES OR IN ANY PRESENTATION OF THE BUSINESS AND AFFAIRS OF THE ARYA PARTIES BY OR ON BEHALF OF THE MANAGEMENT OF ANY ARYA PARTY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OR ANY OF ITS AFFILIATES OR REPRESENTATIVES IN EXECUTING, DELIVERING OR PERFORMING THIS AGREEMENT, THE ANCILLARY DOCUMENTS OR THE TRANSACTIONS CONTEMPLATED HEREBY OR THEREBY. EXCEPT FOR THE REPRESENTATIONS AND WARRANTIES EXPRESSLY SET FORTH IN </w:t>
      </w:r>
      <w:r>
        <w:rPr>
          <w:rFonts w:ascii="Times New Roman" w:cs="Times New Roman" w:eastAsia="Times New Roman" w:hAnsi="Times New Roman"/>
          <w:sz w:val="17"/>
          <w:szCs w:val="17"/>
          <w:u w:val="single" w:color="auto"/>
          <w:color w:val="000000"/>
        </w:rPr>
        <w:t>ARTICLE 4</w:t>
      </w:r>
      <w:r>
        <w:rPr>
          <w:rFonts w:ascii="Times New Roman" w:cs="Times New Roman" w:eastAsia="Times New Roman" w:hAnsi="Times New Roman"/>
          <w:sz w:val="17"/>
          <w:szCs w:val="17"/>
          <w:color w:val="000000"/>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ARYA PARTY ARE NOT AND SHALL NOT BE DEEMED TO BE OR TO INCLUDE REPRESENTATIONS OR WARRANTIES OF ANY ARYA PARTY, AND ARE NOT AND SHALL NOT BE DEEMED TO BE RELIED UPON BY THE COMPANY OR ANY OF ITS AFFILIATES OR REPRESENTATIVES IN EXECUTING, DELIVERING OR PERFORMING THIS AGREEMENT, THE ANCILLARY DOCUMENTS OR THE TRANSACTIONS CONTEMPLATED HEREBY OR THEREBY.</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010000"/>
        </w:rPr>
        <w:t>ARTICLE 5</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9"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5.1</w:t>
      </w:r>
      <w:r>
        <w:rPr>
          <w:sz w:val="20"/>
          <w:szCs w:val="20"/>
          <w:color w:val="auto"/>
        </w:rPr>
        <w:tab/>
      </w:r>
      <w:r>
        <w:rPr>
          <w:rFonts w:ascii="Times New Roman" w:cs="Times New Roman" w:eastAsia="Times New Roman" w:hAnsi="Times New Roman"/>
          <w:sz w:val="14"/>
          <w:szCs w:val="14"/>
          <w:b w:val="1"/>
          <w:bCs w:val="1"/>
          <w:u w:val="single" w:color="auto"/>
          <w:color w:val="auto"/>
        </w:rPr>
        <w:t>Conduct of Business of the Company</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7" w:lineRule="auto"/>
        <w:tabs>
          <w:tab w:leader="none" w:pos="1717"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the Company Disclosure Schedules, or as consented to in writing by ARYA (such consent not to be unreasonably withheld, conditioned or delayed), (i) operate the business of the Group Companies in the ordinary course in all material respects and (ii) use commercially reasonable efforts to maintain and preserve intact in all material respects the business organization, assets, properties and material business relations of the Group Companies.</w:t>
      </w:r>
    </w:p>
    <w:p>
      <w:pPr>
        <w:spacing w:after="0" w:line="171"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826"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Schedules or as consented to in writing by ARYA (such consent, other than in the case of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5.1(b)(xvi)</w:t>
      </w:r>
      <w:r>
        <w:rPr>
          <w:rFonts w:ascii="Times New Roman" w:cs="Times New Roman" w:eastAsia="Times New Roman" w:hAnsi="Times New Roman"/>
          <w:sz w:val="18"/>
          <w:szCs w:val="18"/>
          <w:color w:val="auto"/>
        </w:rPr>
        <w:t xml:space="preserve"> (to the extent related to any of the foregoing) not to be unreasonably withheld, conditioned or delayed), not do any of the following:</w:t>
      </w:r>
    </w:p>
    <w:p>
      <w:pPr>
        <w:spacing w:after="0" w:line="171" w:lineRule="exact"/>
        <w:rPr>
          <w:rFonts w:ascii="Times New Roman" w:cs="Times New Roman" w:eastAsia="Times New Roman" w:hAnsi="Times New Roman"/>
          <w:sz w:val="18"/>
          <w:szCs w:val="18"/>
          <w:color w:val="010000"/>
        </w:rPr>
      </w:pPr>
    </w:p>
    <w:p>
      <w:pPr>
        <w:jc w:val="both"/>
        <w:ind w:left="1080" w:firstLine="526"/>
        <w:spacing w:after="0" w:line="241" w:lineRule="auto"/>
        <w:tabs>
          <w:tab w:leader="none" w:pos="2168"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w:t>
      </w:r>
    </w:p>
    <w:p>
      <w:pPr>
        <w:spacing w:after="0" w:line="166" w:lineRule="exact"/>
        <w:rPr>
          <w:rFonts w:ascii="Times New Roman" w:cs="Times New Roman" w:eastAsia="Times New Roman" w:hAnsi="Times New Roman"/>
          <w:sz w:val="18"/>
          <w:szCs w:val="18"/>
          <w:color w:val="010000"/>
        </w:rPr>
      </w:pPr>
    </w:p>
    <w:p>
      <w:pPr>
        <w:jc w:val="both"/>
        <w:ind w:left="1080" w:firstLine="526"/>
        <w:spacing w:after="0" w:line="246" w:lineRule="auto"/>
        <w:tabs>
          <w:tab w:leader="none" w:pos="2151"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162" w:lineRule="exact"/>
        <w:rPr>
          <w:rFonts w:ascii="Times New Roman" w:cs="Times New Roman" w:eastAsia="Times New Roman" w:hAnsi="Times New Roman"/>
          <w:sz w:val="18"/>
          <w:szCs w:val="18"/>
          <w:color w:val="010000"/>
        </w:rPr>
      </w:pPr>
    </w:p>
    <w:p>
      <w:pPr>
        <w:ind w:left="1080" w:firstLine="526"/>
        <w:spacing w:after="0" w:line="260" w:lineRule="auto"/>
        <w:tabs>
          <w:tab w:leader="none" w:pos="2211"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adopt any amendments, supplements, restatements or modifications to any Group Company’s Governing Documents or the Company Shareholders Agreement;</w:t>
      </w:r>
    </w:p>
    <w:p>
      <w:pPr>
        <w:spacing w:after="0" w:line="150" w:lineRule="exact"/>
        <w:rPr>
          <w:rFonts w:ascii="Times New Roman" w:cs="Times New Roman" w:eastAsia="Times New Roman" w:hAnsi="Times New Roman"/>
          <w:sz w:val="18"/>
          <w:szCs w:val="18"/>
          <w:color w:val="010000"/>
        </w:rPr>
      </w:pPr>
    </w:p>
    <w:p>
      <w:pPr>
        <w:jc w:val="both"/>
        <w:ind w:left="1080" w:firstLine="526"/>
        <w:spacing w:after="0" w:line="246" w:lineRule="auto"/>
        <w:tabs>
          <w:tab w:leader="none" w:pos="2213" w:val="left"/>
        </w:tabs>
        <w:numPr>
          <w:ilvl w:val="1"/>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sell, assign, abandon, lease, exclusively license or otherwise dispose of any material assets or properties of the Group Companies, other than inventory or obsolete equipment in the ordinary course of business, or (B) subject any material assets or properties of the Group Companies to any Lien (other than any Permitted Liens);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80" w:name="page81"/>
    <w:bookmarkEnd w:id="80"/>
    <w:p>
      <w:pPr>
        <w:jc w:val="both"/>
        <w:ind w:left="-60" w:firstLine="526"/>
        <w:spacing w:after="0" w:line="237" w:lineRule="auto"/>
        <w:tabs>
          <w:tab w:leader="none" w:pos="979"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transfer, issue, sell, grant or otherwise dispose of, or subject to a Lien, (A) any Equity Securities of any Group Company or (B) any options, warrants, rights of conversion or other rights, agreements, arrangements or commitments obligating any Group Company to issue, deliver or sell any Equity Securities of any Group Company, other than the issuance of Company Common Shares upon the exercise of any Company Options or conversion of Company Preferred Shares outstanding as of the date of this Agreement in accordance with the terms of the Company Equity Plan and the underlying grant, award or similar agreement or any Company Warrants in accordance with the terms of the Company Warrant Agreement;</w:t>
      </w:r>
    </w:p>
    <w:p>
      <w:pPr>
        <w:spacing w:after="0" w:line="170" w:lineRule="exact"/>
        <w:rPr>
          <w:rFonts w:ascii="Times New Roman" w:cs="Times New Roman" w:eastAsia="Times New Roman" w:hAnsi="Times New Roman"/>
          <w:sz w:val="18"/>
          <w:szCs w:val="18"/>
          <w:color w:val="010000"/>
        </w:rPr>
      </w:pPr>
    </w:p>
    <w:p>
      <w:pPr>
        <w:ind w:left="940" w:hanging="474"/>
        <w:spacing w:after="0"/>
        <w:tabs>
          <w:tab w:leader="none" w:pos="940"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incur, create or assume any Indebtedness, other than ordinary course trade payables, or guarantee any Liability of any Person;</w:t>
      </w:r>
    </w:p>
    <w:p>
      <w:pPr>
        <w:spacing w:after="0" w:line="192" w:lineRule="exact"/>
        <w:rPr>
          <w:rFonts w:ascii="Times New Roman" w:cs="Times New Roman" w:eastAsia="Times New Roman" w:hAnsi="Times New Roman"/>
          <w:sz w:val="18"/>
          <w:szCs w:val="18"/>
          <w:color w:val="010000"/>
        </w:rPr>
      </w:pPr>
    </w:p>
    <w:p>
      <w:pPr>
        <w:jc w:val="both"/>
        <w:ind w:left="-60" w:firstLine="526"/>
        <w:spacing w:after="0" w:line="236" w:lineRule="auto"/>
        <w:tabs>
          <w:tab w:leader="none" w:pos="1033"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amend or modify, in either case in a manner materially adverse to the Company, or terminate any Material Contract of the type described in </w:t>
      </w:r>
      <w:r>
        <w:rPr>
          <w:rFonts w:ascii="Times New Roman" w:cs="Times New Roman" w:eastAsia="Times New Roman" w:hAnsi="Times New Roman"/>
          <w:sz w:val="18"/>
          <w:szCs w:val="18"/>
          <w:u w:val="single" w:color="auto"/>
          <w:color w:val="auto"/>
        </w:rPr>
        <w:t>Section 3.7(a)(iv)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3.7(a)(v)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3.7(a)(ix)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3.7(a)(x)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3.7(a)(xi)</w:t>
      </w:r>
      <w:r>
        <w:rPr>
          <w:rFonts w:ascii="Times New Roman" w:cs="Times New Roman" w:eastAsia="Times New Roman" w:hAnsi="Times New Roman"/>
          <w:sz w:val="18"/>
          <w:szCs w:val="18"/>
          <w:color w:val="auto"/>
        </w:rPr>
        <w:t xml:space="preserve"> (such types of Material Contracts, collectively, the “</w:t>
      </w:r>
      <w:r>
        <w:rPr>
          <w:rFonts w:ascii="Times New Roman" w:cs="Times New Roman" w:eastAsia="Times New Roman" w:hAnsi="Times New Roman"/>
          <w:sz w:val="18"/>
          <w:szCs w:val="18"/>
          <w:u w:val="single" w:color="auto"/>
          <w:color w:val="auto"/>
        </w:rPr>
        <w:t>Designated Material Contracts</w:t>
      </w:r>
      <w:r>
        <w:rPr>
          <w:rFonts w:ascii="Times New Roman" w:cs="Times New Roman" w:eastAsia="Times New Roman" w:hAnsi="Times New Roman"/>
          <w:sz w:val="18"/>
          <w:szCs w:val="18"/>
          <w:color w:val="auto"/>
        </w:rPr>
        <w:t>”) (excluding, for the avoidance of doubt, any expiration or automatic extension or renewal of any Designated Material Contract pursuant to its terms or entering into additional work or purchase orders pursuant to, and in accordance with the terms of, any Designated Material Contract), (B) waive any material benefit or right under any Designated Material Contract or (C) enter into any Contract that would, if in effect as of the date hereof, have constituted a Designated Material Contract or take any of the actions described in clause (A) or (B) with respect to any Contract entered into after the date hereof that would, if in effect as of the date hereof, have constituted a Designated Material Contract;</w:t>
      </w:r>
    </w:p>
    <w:p>
      <w:pPr>
        <w:spacing w:after="0" w:line="168"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071"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or advancements of expenses, in each case, in the ordinary course of business;</w:t>
      </w:r>
    </w:p>
    <w:p>
      <w:pPr>
        <w:spacing w:after="0" w:line="162" w:lineRule="exact"/>
        <w:rPr>
          <w:rFonts w:ascii="Times New Roman" w:cs="Times New Roman" w:eastAsia="Times New Roman" w:hAnsi="Times New Roman"/>
          <w:sz w:val="18"/>
          <w:szCs w:val="18"/>
          <w:color w:val="010000"/>
        </w:rPr>
      </w:pPr>
    </w:p>
    <w:p>
      <w:pPr>
        <w:jc w:val="both"/>
        <w:ind w:left="-60" w:firstLine="526"/>
        <w:spacing w:after="0" w:line="234" w:lineRule="auto"/>
        <w:tabs>
          <w:tab w:leader="none" w:pos="1062"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(x) as required under the terms of any Employee Benefit Plan that has been made available to ARYA, or (y) in the ordinary course of business consistent with past practice (it being understood and agreed, for the avoidance of doubt, that in no event shall the exception in this clause (y) be deemed or construed as permitting any Group Company to take any action that is not permitted by any other provision of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(A) amend or modify in any material respect, adopt or enter into any material Employee Benefit Plan of any Group Company or any material benefit or compensation plan, policy, program or Contract that would be an Employee Benefit Plan if in effect as of the date of this Agreement (excluding any employment or consulting agreements entered into in the ordinary course of business with any newly hired or newly engaged service providers to any Group Company each of whose compensation would not exceed, on an annualized basis $300,000 per year), (B) materially increase the compensation or benefits payable to any current or former director, manager, officer, employee, individual independent contractor or other service provider of any Group Company, (C) take any action to accelerate any material payments (whether individually or in the aggregate), right to payment or benefit, or the funding of any payment or benefit, right to material payments (whether individually or in the aggregate), payable or to become payable to any current or former director, manager, officer, employee, individual independent contractor or other service provider of any Group Company, or (D) waive or release any noncompetition, nonsolicitation, no-hire, nondisclosure or other restrictive covenant obligation of any current or former director, manager, officer, employee, individual independent contractor or other service provider of any Group Company;</w:t>
      </w:r>
    </w:p>
    <w:p>
      <w:pPr>
        <w:spacing w:after="0" w:line="3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29210</wp:posOffset>
            </wp:positionV>
            <wp:extent cx="7157085"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118" w:right="319" w:bottom="1440" w:gutter="0" w:footer="0" w:header="0"/>
        </w:sectPr>
      </w:pPr>
    </w:p>
    <w:bookmarkStart w:id="81" w:name="page82"/>
    <w:bookmarkEnd w:id="81"/>
    <w:p>
      <w:pPr>
        <w:jc w:val="both"/>
        <w:ind w:left="-60" w:firstLine="526"/>
        <w:spacing w:after="0"/>
        <w:tabs>
          <w:tab w:leader="none" w:pos="912"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69" w:lineRule="exact"/>
        <w:rPr>
          <w:rFonts w:ascii="Times New Roman" w:cs="Times New Roman" w:eastAsia="Times New Roman" w:hAnsi="Times New Roman"/>
          <w:sz w:val="18"/>
          <w:szCs w:val="18"/>
          <w:color w:val="010000"/>
        </w:rPr>
      </w:pPr>
    </w:p>
    <w:p>
      <w:pPr>
        <w:jc w:val="both"/>
        <w:ind w:left="-60" w:right="20" w:firstLine="526"/>
        <w:spacing w:after="0" w:line="246" w:lineRule="auto"/>
        <w:tabs>
          <w:tab w:leader="none" w:pos="1006"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enter into any settlement, conciliation or similar Contract the performance of which would involve the payment by the Group Companies in excess of $2,000,000, in the aggregate, or that imposes, or by its terms will impose at any point in the future, any material, non-monetary obligations on any Group Company (or ARYA or any of its Affiliates after the Closing);</w:t>
      </w:r>
    </w:p>
    <w:p>
      <w:pPr>
        <w:spacing w:after="0" w:line="162"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022"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authorize, recommend, propose or announce an intention to adopt, or otherwise effect, a plan of complete or partial liquidation, dissolution, restructuring, recapitalization, reorganization or similar transaction (other than, for the avoidance of doubt, the transactions expressly contemplated by this Agreement) involving any Group Company;</w:t>
      </w:r>
    </w:p>
    <w:p>
      <w:pPr>
        <w:spacing w:after="0" w:line="162" w:lineRule="exact"/>
        <w:rPr>
          <w:rFonts w:ascii="Times New Roman" w:cs="Times New Roman" w:eastAsia="Times New Roman" w:hAnsi="Times New Roman"/>
          <w:sz w:val="18"/>
          <w:szCs w:val="18"/>
          <w:color w:val="010000"/>
        </w:rPr>
      </w:pPr>
    </w:p>
    <w:p>
      <w:pPr>
        <w:ind w:left="-60" w:firstLine="526"/>
        <w:spacing w:after="0" w:line="260" w:lineRule="auto"/>
        <w:tabs>
          <w:tab w:leader="none" w:pos="1082"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change any Group Company’s methods of accounting in any material respect, other than changes that are made in accordance with PCAOB standards;</w:t>
      </w:r>
    </w:p>
    <w:p>
      <w:pPr>
        <w:spacing w:after="0" w:line="150"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15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162"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012"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make any material Company Change of Control Payment that is not set forth on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of the Company Disclosure Schedules or make any material payment with respect to a Company Affiliated Party Transaction that is not set forth on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of the Company Disclosure Schedules; or</w:t>
      </w:r>
    </w:p>
    <w:p>
      <w:pPr>
        <w:spacing w:after="0" w:line="162" w:lineRule="exact"/>
        <w:rPr>
          <w:rFonts w:ascii="Times New Roman" w:cs="Times New Roman" w:eastAsia="Times New Roman" w:hAnsi="Times New Roman"/>
          <w:sz w:val="18"/>
          <w:szCs w:val="18"/>
          <w:color w:val="010000"/>
        </w:rPr>
      </w:pPr>
    </w:p>
    <w:p>
      <w:pPr>
        <w:ind w:left="1040" w:hanging="574"/>
        <w:spacing w:after="0"/>
        <w:tabs>
          <w:tab w:leader="none" w:pos="1040"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enter into any Contract to take, or cause to be taken, any of the actions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29210</wp:posOffset>
            </wp:positionV>
            <wp:extent cx="715708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118" w:right="319" w:bottom="1440" w:gutter="0" w:footer="0" w:header="0"/>
        </w:sectPr>
      </w:pPr>
    </w:p>
    <w:bookmarkStart w:id="82" w:name="page83"/>
    <w:bookmarkEnd w:id="82"/>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this Agreement to the contrary, (a) nothing set forth in this Agreement shall give ARYA, directly or indirectly, the right to control or direct the operations of the Group Companies prior to the Closing, (b) any action taken, or omitted to be taken, by any Group Company to the extent such act or omission is reasonably determined by the Company, based on the advice of outside legal counsel, to be necessary to comply with any Law, Order, directive, pronouncement or guideline issued by a Governmental Entity providing for business closures, “sheltering-in-place” or other restrictions that relates to, or arises out of, COVID-19 shall in no event be deemed to constitute a breach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(c) any action taken, or omitted to be taken, by any Group Company to the extent that the Company Board reasonably determines that such act or omission is necessary in response to COVID-19 to maintain and preserve in all material respects the business organization, assets, properties and material business relations of the Group Companies, taken as a whole, shall not be deemed to constitute a breach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 in the case of each of clause (b) and (c), the Company shall give ARYA prior written notice of any such act or omission to the extent reasonably practicable, which notice shall describe in reasonable detail the act or omission and the reason(s) that such act or omission is being taken, or omitted to be taken, pursuant to clause (b) or (c) and, in the event that it is not reasonably practicable for the Company to give the prior written notice described in this clause (i), the Company shall instead give such written notice to ARYA promptly after such act or omission and (ii) in no event shall clause (b) or (c) be applicable to any act or omission of the type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5.1(b)(xv)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5.1(b)(xvi)</w:t>
      </w:r>
      <w:r>
        <w:rPr>
          <w:rFonts w:ascii="Times New Roman" w:cs="Times New Roman" w:eastAsia="Times New Roman" w:hAnsi="Times New Roman"/>
          <w:sz w:val="18"/>
          <w:szCs w:val="18"/>
          <w:color w:val="auto"/>
        </w:rPr>
        <w:t xml:space="preserve"> (to the extent related to any of the foregoing).</w:t>
      </w:r>
    </w:p>
    <w:p>
      <w:pPr>
        <w:spacing w:after="0" w:line="167"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5.2</w:t>
      </w:r>
      <w:r>
        <w:rPr>
          <w:sz w:val="20"/>
          <w:szCs w:val="20"/>
          <w:color w:val="auto"/>
        </w:rPr>
        <w:tab/>
      </w:r>
      <w:r>
        <w:rPr>
          <w:rFonts w:ascii="Times New Roman" w:cs="Times New Roman" w:eastAsia="Times New Roman" w:hAnsi="Times New Roman"/>
          <w:sz w:val="17"/>
          <w:szCs w:val="17"/>
          <w:b w:val="1"/>
          <w:bCs w:val="1"/>
          <w:u w:val="single" w:color="auto"/>
          <w:color w:val="auto"/>
        </w:rPr>
        <w:t>Efforts to Consummate; Transaction Litigation</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2" w:lineRule="auto"/>
        <w:tabs>
          <w:tab w:leader="none" w:pos="1739"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the terms and conditions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each of the Parties shall use reasonable best efforts to take, or cause to be taken, all actions and to do, or cause to be done, all things reasonably necessary or advisable to consummate and make effective as promptly as reasonably practicable the transactions contemplated by this Agreement (including (i) by using reasonable best efforts with respect to the satisfaction, but not waiver, of the closing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and, in the case of any Ancillary Document to which such Party is contemplated hereby to be a party after the date of this Agreement, to execute and delivery such Ancillary Document when required pursuant to this Agreement, and (ii) the Company taking, or causing to be taken, all actions necessary or advisable to cause the agreements set forth on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of the Company Disclosure Schedules to be terminated effective as of the Closing without any further obligations or Liabilities to the Company or any of its Affiliates (including the other Group Companies and, from and after the Effective Time, ARYA). Without limiting the generality of the foregoing, each of the Parties shall use reasonable best efforts to, and each of the Parties shall cause its Affiliates to, obtain, file with or deliver to, as applicable, any Consents of any Governmental Entities or other Persons necessary, proper or advisable to consummate the transactions contemplated by this Agreement or the Ancillary Documents. Each Party shall pay fifty percent (50%) of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Subject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except with respect to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(which will be allocated as indicated above), each Party shall bear its out-of-pocket costs and expenses in connection with the preparation of any such Consents, including the legal and related expenses in connection with the preparation and submission of the Notification and Report Form under the HSR Act. Each Party shall (i) make any appropriate filings pursuant to the HSR Act with respect to the transactions contemplated by this Agreement promptly (and in any event within five (5) Business Days) following the date of this Agreement, and (ii) respond as promptly as reasonably practicable to any requests by any Governmental Entity for additional information and documentary material that may be requested pursuant to the HSR Act. ARYA shall promptly inform the Company of any communication between any ARYA Party, on the one hand, and any Governmental Entity, on the other hand, and the Company shall promptly inform ARYA of any communication between the Company, on the one hand, and any Governmental Entity, on the other hand, in either case, regarding any of the transactions contemplated by this Agreement or any Ancillary Document. Without limiting the foregoing, (a) the Parties agree to request early termination of the applicable waiting period under the HSR Act, and (b)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ARYA and the Company. Nothing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obligates any Party or any of its Affiliates to agree to (i) sell, license or otherwise dispose of, or hold separate and agree to sell, license or otherwise dispose of, any entities, assets or facilities of any Group Company or any entity, facility or asset of such Party or any of its Affiliates, (ii) terminate, amend or assign existing relationships and contractual rights or obligations, (iii) amend, assign or terminate existing licenses or other agreements, or (iv) enter into new licenses or other agreements. No Party shall agree to any of the measures set forth in the immediately preceding sentence with respect to such Party or with respect to any other Party or any of its Affiliates, except with ARYA’s and the Company’s prior written consent (not to be unreasonable withheld, conditioned or delayed).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3" w:name="page84"/>
    <w:bookmarkEnd w:id="83"/>
    <w:p>
      <w:pPr>
        <w:jc w:val="both"/>
        <w:ind w:firstLine="1074"/>
        <w:spacing w:after="0" w:line="236" w:lineRule="auto"/>
        <w:tabs>
          <w:tab w:leader="none" w:pos="1844"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From and after the date of this Agreement until the earlier of the Closing or termination of this Agreement in accordance with its terms, the ARYA Parties, on the one hand, and the Company, on the other hand, shall give counsel for the Company (in the case of any ARYA Party) or ARYA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Each of the Parties agrees not to participate in any substantive meeting or discussion, either in person or by telephone with any Governmental Entity in connection with the transactions contemplated by this Agreement unless it consults with, in the case of any ARYA Party, the Company, or, in the case of the Company, ARYA in advance and, to the extent not prohibited by such Governmental Entity, gives, in the case of any ARYA Party, the Company, or, in the case of the Company, ARYA, the opportunity to attend and participate in such meeting or discussion.</w:t>
      </w:r>
    </w:p>
    <w:p>
      <w:pPr>
        <w:spacing w:after="0" w:line="167"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834" w:val="left"/>
        </w:tabs>
        <w:numPr>
          <w:ilvl w:val="0"/>
          <w:numId w:val="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to the contrary in the Agreement, in the event that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conflicts with any other covenant or agreement in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that is intended to specifically address any subject matter, then such other covenant or agreement shall govern and control solely to the extent of such conflict.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4" w:name="page85"/>
    <w:bookmarkEnd w:id="84"/>
    <w:p>
      <w:pPr>
        <w:jc w:val="both"/>
        <w:ind w:firstLine="1074"/>
        <w:spacing w:after="0" w:line="234" w:lineRule="auto"/>
        <w:tabs>
          <w:tab w:leader="none" w:pos="1844" w:val="left"/>
        </w:tabs>
        <w:numPr>
          <w:ilvl w:val="0"/>
          <w:numId w:val="7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From and after the date of this Agreement until the earlier of the Closing or termination of this Agreement in accordance with its terms, ARYA, on the one hand, and the Company, on the other hand, shall each notify the other in writing promptly after learning of any shareholder demands or other shareholder Proceedings (including derivative claims) relating to this Agreement, any Ancillary Document or any matters relating thereto (collectively, the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commenced against, in the case of ARYA, any of the ARYA Parties or any of their respective Representatives (in their capacity as a Representative of an ARYA Party) or, in the case of the Company, any Group Company or any of their respective Representatives (in their capacity as a Representative of a Group Company). ARYA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(x) ARYA, any other ARYA Party or any of their respective Representatives settle or compromise any Transaction Litigation without the prior written consent of the Company (not to be unreasonably withheld, conditioned or delayed), or (y) any Group Company or any of their respective Representatives settle or compromise any Transaction Litigation without the prior written consent of ARYA (not to be unreasonably withheld, conditioned or delayed).</w:t>
      </w:r>
    </w:p>
    <w:p>
      <w:pPr>
        <w:spacing w:after="0" w:line="17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5.3</w:t>
      </w:r>
      <w:r>
        <w:rPr>
          <w:sz w:val="20"/>
          <w:szCs w:val="20"/>
          <w:color w:val="auto"/>
        </w:rPr>
        <w:tab/>
      </w:r>
      <w:r>
        <w:rPr>
          <w:rFonts w:ascii="Times New Roman" w:cs="Times New Roman" w:eastAsia="Times New Roman" w:hAnsi="Times New Roman"/>
          <w:sz w:val="14"/>
          <w:szCs w:val="14"/>
          <w:b w:val="1"/>
          <w:bCs w:val="1"/>
          <w:u w:val="single" w:color="auto"/>
          <w:color w:val="auto"/>
        </w:rPr>
        <w:t>Confidentiality and Access to Information</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7" w:lineRule="auto"/>
        <w:tabs>
          <w:tab w:leader="none" w:pos="1927"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71" w:lineRule="exact"/>
        <w:rPr>
          <w:rFonts w:ascii="Times New Roman" w:cs="Times New Roman" w:eastAsia="Times New Roman" w:hAnsi="Times New Roman"/>
          <w:sz w:val="18"/>
          <w:szCs w:val="18"/>
          <w:color w:val="010000"/>
        </w:rPr>
      </w:pPr>
    </w:p>
    <w:p>
      <w:pPr>
        <w:jc w:val="both"/>
        <w:ind w:firstLine="1074"/>
        <w:spacing w:after="0" w:line="234" w:lineRule="auto"/>
        <w:tabs>
          <w:tab w:leader="none" w:pos="1638" w:val="left"/>
        </w:tabs>
        <w:numPr>
          <w:ilvl w:val="0"/>
          <w:numId w:val="7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and after the date of this Agreement until the earlier of the Closing Date or the termination of this Agreement in accordance with its terms, upon reasonable advance written notice, the Company shall provide, or cause to be provided, to ARYA and its Representatives during normal business hours reasonable access to the directors, officers, books and records of the Group Companies (in a manner so as to not interfere with the normal business operations of the Group Companies). Notwithstanding the foregoing, none of the Group Companies shall be required pursuant to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to provide, or caused to be provided, to ARYA or any of its Representatives any information (i) if and to the extent doing so would (A) violate any Law to which any Group Company is subject, (B) result in the disclosure of any trade secrets of third parties in breach of any Contract with such third party, (C) violate any legally-binding obligation of any Group Company with respect to confidentiality, non-disclosure or privacy or (D) jeopardize protections afforded to any Group Company under the attorney-client privilege or the attorney work product doctrine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each of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the Company shall use,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or any of its Affiliates or Representatives, on the one hand, and any ARYA Party or any of its Representatives, on the other hand, are adverse parties in a litigation and such information is reasonably pertinent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prompt written notice of the withholding of access or information on any such basis unless such written notice is prohibited by applicable Law.</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5" w:name="page86"/>
    <w:bookmarkEnd w:id="85"/>
    <w:p>
      <w:pPr>
        <w:jc w:val="both"/>
        <w:ind w:firstLine="1074"/>
        <w:spacing w:after="0" w:line="234" w:lineRule="auto"/>
        <w:tabs>
          <w:tab w:leader="none" w:pos="1639"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and after the date of this Agreement until the earlier of the Closing Date or the termination of this Agreement in accordance with its terms, upon reasonable advance written notice, ARYA shall provide, or cause to be provided, to the Company and its Representatives during normal business hours reasonable access to the directors, officers and books and records of the ARYA Parties (in a manner so as to not interfere with the normal business operations of the ARYA Parties). Notwithstanding the foregoing, ARYA shall not be required pursuant to this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to provide, or cause to be provided to, the Company or any of its Representatives any information (i) if and to the extent doing so would (A) violate any Law to which any ARYA Party is subject, (B) result in the disclosure of any trade secrets of third parties in breach of any Contract with such third party, (C) violate any legally-binding obligation of any ARYA Party with respect to confidentiality, non-disclosure or privacy or (D) jeopardize protections afforded to any ARYA Party under the attorney-client privilege or the attorney work product doctrine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each of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ARYA shall use, and shall cause the other ARYA Parties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 ARYA Party, Perceptive, the ARYA Sponsor or any of their respective Representatives, on the one hand, and any Group Company or any of their respective Representatives, on the other hand, are adverse parties in a litigation and such information is reasonably pertinent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ARYA shall,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prompt written notice of the withholding of access or information on any such basis unless such written notice is prohibited by applicable Law.</w:t>
      </w:r>
    </w:p>
    <w:p>
      <w:pPr>
        <w:spacing w:after="0" w:line="175"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5.4</w:t>
      </w:r>
      <w:r>
        <w:rPr>
          <w:sz w:val="20"/>
          <w:szCs w:val="20"/>
          <w:color w:val="auto"/>
        </w:rPr>
        <w:tab/>
      </w:r>
      <w:r>
        <w:rPr>
          <w:rFonts w:ascii="Times New Roman" w:cs="Times New Roman" w:eastAsia="Times New Roman" w:hAnsi="Times New Roman"/>
          <w:sz w:val="14"/>
          <w:szCs w:val="14"/>
          <w:b w:val="1"/>
          <w:bCs w:val="1"/>
          <w:u w:val="single" w:color="auto"/>
          <w:color w:val="auto"/>
        </w:rPr>
        <w:t>Public Announcements</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3" w:lineRule="auto"/>
        <w:tabs>
          <w:tab w:leader="none" w:pos="1572"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none of the Parties or any of their respective Representatives shall issue any press releases or make any public announcements with respect to this Agreement or the transactions contemplated hereby without the prior written consent of the Company and ARYA;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Party, the ARYA Sponsor and their respective Representatives may make any such announcement or other communication (i) if such press release, announcement or other communication is required by applicable Law, in which case (A) prior to the Closing, the disclosing Person shall, to the extent permitted by such applicable Law, use reasonable best efforts to consult with the Company, if the disclosing Person is any ARYA Party, the ARYA Sponsor or any of their respective Representative, or ARYA, if the disclosing Person is the Company or any of its Representative, and give the Company or ARYA, as applicable, the opportunity to review such announcement or communication and comment thereon and the disclosing Person shall consider such comments in good faith, or (B) after the Closing, the disclosing Person and/or its Representatives, as applicable, shall, to the extent permitted by such applicable Law, use reasonable best efforts to consult with ARYA and give ARYA the opportunity to review such announcement or communication and comment thereon and the disclosing Person shall consider such comments in good faith, (ii) to the extent such press release, announcement or other communication contains only information previously disclosed in a public statement, press release or other communication previously approved in accordance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(iii) to Governmental Entities in connection with any Consents required to be made under this Agreement, the Ancillary Documents or the transactions contemplated hereby or thereby. Notwithstanding anything to the contrary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otherwise in this Agreement, the Parties agree that the Perceptive Shareholders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6" w:name="page87"/>
    <w:bookmarkEnd w:id="86"/>
    <w:p>
      <w:pPr>
        <w:jc w:val="both"/>
        <w:ind w:firstLine="1074"/>
        <w:spacing w:after="0" w:line="248" w:lineRule="auto"/>
        <w:tabs>
          <w:tab w:leader="none" w:pos="1733" w:val="left"/>
        </w:tabs>
        <w:numPr>
          <w:ilvl w:val="0"/>
          <w:numId w:val="7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initial press release concerning this Agreement and the transactions contemplated hereby shall be a joint press release in the form agreed by the Company and ARYA prior to the execution of this Agreement and such initial press release (the “</w:t>
      </w:r>
      <w:r>
        <w:rPr>
          <w:rFonts w:ascii="Times New Roman" w:cs="Times New Roman" w:eastAsia="Times New Roman" w:hAnsi="Times New Roman"/>
          <w:sz w:val="17"/>
          <w:szCs w:val="17"/>
          <w:u w:val="single" w:color="auto"/>
          <w:color w:val="auto"/>
        </w:rPr>
        <w:t>Signing Press Release</w:t>
      </w:r>
      <w:r>
        <w:rPr>
          <w:rFonts w:ascii="Times New Roman" w:cs="Times New Roman" w:eastAsia="Times New Roman" w:hAnsi="Times New Roman"/>
          <w:sz w:val="17"/>
          <w:szCs w:val="17"/>
          <w:color w:val="auto"/>
        </w:rPr>
        <w:t>”) shall be released as promptly as reasonably practicable after the execution of this Agreement on the day thereof. Promptly after the execution of this Agreement (but in any event within four (4) Business Days after the date of this Agreement), ARYA shall file a current report on Form 8-K (the “</w:t>
      </w:r>
      <w:r>
        <w:rPr>
          <w:rFonts w:ascii="Times New Roman" w:cs="Times New Roman" w:eastAsia="Times New Roman" w:hAnsi="Times New Roman"/>
          <w:sz w:val="17"/>
          <w:szCs w:val="17"/>
          <w:u w:val="single" w:color="auto"/>
          <w:color w:val="auto"/>
        </w:rPr>
        <w:t>Signing Filing</w:t>
      </w:r>
      <w:r>
        <w:rPr>
          <w:rFonts w:ascii="Times New Roman" w:cs="Times New Roman" w:eastAsia="Times New Roman" w:hAnsi="Times New Roman"/>
          <w:sz w:val="17"/>
          <w:szCs w:val="17"/>
          <w:color w:val="auto"/>
        </w:rPr>
        <w:t>”) with the Signing Press Release and a description of this Agreement as required by, and in compliance with, the Securities Laws, which the Company shall have the opportunity to review and comment upon prior to filing and ARYA shall consider such comments in good faith. The Company, on the one hand, and ARYA, on the other hand, shall mutually agree upon (such agreement not to be unreasonably withheld, conditioned or delayed by either the Company or ARYA, as applicable) a press release announcing the consummation of the transactions contemplated by this Agreement (the “</w:t>
      </w:r>
      <w:r>
        <w:rPr>
          <w:rFonts w:ascii="Times New Roman" w:cs="Times New Roman" w:eastAsia="Times New Roman" w:hAnsi="Times New Roman"/>
          <w:sz w:val="17"/>
          <w:szCs w:val="17"/>
          <w:u w:val="single" w:color="auto"/>
          <w:color w:val="auto"/>
        </w:rPr>
        <w:t>Closing Press Release</w:t>
      </w:r>
      <w:r>
        <w:rPr>
          <w:rFonts w:ascii="Times New Roman" w:cs="Times New Roman" w:eastAsia="Times New Roman" w:hAnsi="Times New Roman"/>
          <w:sz w:val="17"/>
          <w:szCs w:val="17"/>
          <w:color w:val="auto"/>
        </w:rPr>
        <w:t>”) prior to the Closing, and, on the Closing Date (or such other date as may be mutually agreed to in writing by ARYA and the Company prior to the Closing), the Parties shall cause the Closing Press Release to be released. Promptly after the Closing (but in any event within four (4) Business Days after the Closing), ARYA shall file a current report on Form 8-K (the “</w:t>
      </w:r>
      <w:r>
        <w:rPr>
          <w:rFonts w:ascii="Times New Roman" w:cs="Times New Roman" w:eastAsia="Times New Roman" w:hAnsi="Times New Roman"/>
          <w:sz w:val="17"/>
          <w:szCs w:val="17"/>
          <w:u w:val="single" w:color="auto"/>
          <w:color w:val="auto"/>
        </w:rPr>
        <w:t>Closing Filing</w:t>
      </w:r>
      <w:r>
        <w:rPr>
          <w:rFonts w:ascii="Times New Roman" w:cs="Times New Roman" w:eastAsia="Times New Roman" w:hAnsi="Times New Roman"/>
          <w:sz w:val="17"/>
          <w:szCs w:val="17"/>
          <w:color w:val="auto"/>
        </w:rPr>
        <w:t>”) with the Closing Press Release and a description of the Closing as required by Securities Laws, which Closing Filing shall be mutually agreed upon by the Company and ARYA prior to the Closing (such agreement not to be unreasonably withheld, conditioned or delayed by either the Company or ARYA,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7" w:name="page88"/>
    <w:bookmarkEnd w:id="87"/>
    <w:p>
      <w:pPr>
        <w:spacing w:after="0"/>
        <w:tabs>
          <w:tab w:leader="none" w:pos="1040" w:val="left"/>
        </w:tabs>
        <w:rPr>
          <w:sz w:val="20"/>
          <w:szCs w:val="20"/>
          <w:color w:val="auto"/>
        </w:rPr>
      </w:pPr>
      <w:r>
        <w:rPr>
          <w:rFonts w:ascii="Times New Roman" w:cs="Times New Roman" w:eastAsia="Times New Roman" w:hAnsi="Times New Roman"/>
          <w:sz w:val="15"/>
          <w:szCs w:val="15"/>
          <w:b w:val="1"/>
          <w:bCs w:val="1"/>
          <w:color w:val="010000"/>
        </w:rPr>
        <w:t>Section 5.5</w:t>
      </w:r>
      <w:r>
        <w:rPr>
          <w:sz w:val="20"/>
          <w:szCs w:val="20"/>
          <w:color w:val="auto"/>
        </w:rPr>
        <w:tab/>
      </w:r>
      <w:r>
        <w:rPr>
          <w:rFonts w:ascii="Times New Roman" w:cs="Times New Roman" w:eastAsia="Times New Roman" w:hAnsi="Times New Roman"/>
          <w:sz w:val="14"/>
          <w:szCs w:val="14"/>
          <w:b w:val="1"/>
          <w:bCs w:val="1"/>
          <w:u w:val="single" w:color="auto"/>
          <w:color w:val="auto"/>
        </w:rPr>
        <w:t>Tax Matters</w:t>
      </w:r>
      <w:r>
        <w:rPr>
          <w:rFonts w:ascii="Times New Roman" w:cs="Times New Roman" w:eastAsia="Times New Roman" w:hAnsi="Times New Roman"/>
          <w:sz w:val="14"/>
          <w:szCs w:val="14"/>
          <w:b w:val="1"/>
          <w:bCs w:val="1"/>
          <w:color w:val="auto"/>
        </w:rPr>
        <w:t>.</w:t>
      </w:r>
    </w:p>
    <w:p>
      <w:pPr>
        <w:spacing w:after="0" w:line="207" w:lineRule="exact"/>
        <w:rPr>
          <w:sz w:val="20"/>
          <w:szCs w:val="20"/>
          <w:color w:val="auto"/>
        </w:rPr>
      </w:pPr>
    </w:p>
    <w:p>
      <w:pPr>
        <w:ind w:left="1060" w:hanging="526"/>
        <w:spacing w:after="0"/>
        <w:tabs>
          <w:tab w:leader="none" w:pos="1060" w:val="left"/>
        </w:tabs>
        <w:numPr>
          <w:ilvl w:val="0"/>
          <w:numId w:val="79"/>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u w:val="single" w:color="auto"/>
          <w:color w:val="auto"/>
        </w:rPr>
        <w:t>Tax Treatment</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010000"/>
        </w:rPr>
      </w:pPr>
    </w:p>
    <w:p>
      <w:pPr>
        <w:jc w:val="both"/>
        <w:ind w:left="540" w:firstLine="526"/>
        <w:spacing w:after="0" w:line="234" w:lineRule="auto"/>
        <w:tabs>
          <w:tab w:leader="none" w:pos="1462" w:val="left"/>
        </w:tabs>
        <w:numPr>
          <w:ilvl w:val="1"/>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intend that the Domestication shall constitute a transaction treated as a “reorganization” within the meaning of Section 368(a)(1)(F) of the Code and ARYA shall, and shall cause its respective Affiliates to, use reasonable best efforts to cause it to so qualify. The Parties intend that the Merger shall constitute a transaction treated as a “reorganization” within the meaning of Section 368(a) of the Code, and each Party shall, and shall cause its respective Affiliates to, use reasonable best efforts to cause the Merger to so qualify. The Parties shall file all Tax Returns consistent with and take no position inconsistent with (whether in audits, Tax Returns or otherwise), the Intended Tax Treatment unless required to do so pursuant to a “determination” that is final within the meaning of Section 1313(a) of the Code. Notwithstanding anything to the contrary herein, if, after the date hereof, the Company reasonably determines, in good faith, that the Merger is not reasonably expected to qualify as a “reorganization” within the meaning of Section 368(a) of the Code, the Parties shall use commercially reasonable efforts to restructure the transactions contemplated hereby (the Merger, as restructured pursuant to this sentence, the “</w:t>
      </w:r>
      <w:r>
        <w:rPr>
          <w:rFonts w:ascii="Times New Roman" w:cs="Times New Roman" w:eastAsia="Times New Roman" w:hAnsi="Times New Roman"/>
          <w:sz w:val="18"/>
          <w:szCs w:val="18"/>
          <w:u w:val="single" w:color="auto"/>
          <w:color w:val="auto"/>
        </w:rPr>
        <w:t>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 Structure</w:t>
      </w:r>
      <w:r>
        <w:rPr>
          <w:rFonts w:ascii="Times New Roman" w:cs="Times New Roman" w:eastAsia="Times New Roman" w:hAnsi="Times New Roman"/>
          <w:sz w:val="18"/>
          <w:szCs w:val="18"/>
          <w:color w:val="auto"/>
        </w:rPr>
        <w:t>”) in a manner that is reasonably expected to cause the Alternative Merger Structure to so qualify, including by adding a second merger to take place immediately after the Merger whereby the surviving company in the Merger would merge with and into a new limited liability company that is a wholly-owned Subsidiary of ARYA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with Newco being the surviving company in such second merger.</w:t>
      </w:r>
    </w:p>
    <w:p>
      <w:pPr>
        <w:spacing w:after="0" w:line="171" w:lineRule="exact"/>
        <w:rPr>
          <w:rFonts w:ascii="Times New Roman" w:cs="Times New Roman" w:eastAsia="Times New Roman" w:hAnsi="Times New Roman"/>
          <w:sz w:val="18"/>
          <w:szCs w:val="18"/>
          <w:color w:val="010000"/>
        </w:rPr>
      </w:pPr>
    </w:p>
    <w:p>
      <w:pPr>
        <w:jc w:val="both"/>
        <w:ind w:left="540" w:firstLine="526"/>
        <w:spacing w:after="0" w:line="253" w:lineRule="auto"/>
        <w:tabs>
          <w:tab w:leader="none" w:pos="1567" w:val="left"/>
        </w:tabs>
        <w:numPr>
          <w:ilvl w:val="1"/>
          <w:numId w:val="7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ARYA and the Company hereby adopt this Agreement as a “plan of reorganization” within the meaning of Treasury Regulations Sections 1.368-2(g) and 1.368-3(a). The Parties shall not, and shall not permit or cause their respective Affiliates to, take any action, or knowingly fail to take any action, which action or failure to act prevents or impedes, or would reasonably be expected to prevent or impede,</w:t>
      </w:r>
    </w:p>
    <w:p>
      <w:pPr>
        <w:ind w:left="540"/>
        <w:spacing w:after="0" w:line="238" w:lineRule="auto"/>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(A) the Merger qualifying for the Intended Tax Treatment, and (B) in the case of ARYA, the Domestication qualifying for the Intended Tax Treatment.</w:t>
      </w:r>
    </w:p>
    <w:p>
      <w:pPr>
        <w:spacing w:after="0" w:line="168" w:lineRule="exact"/>
        <w:rPr>
          <w:rFonts w:ascii="Times New Roman" w:cs="Times New Roman" w:eastAsia="Times New Roman" w:hAnsi="Times New Roman"/>
          <w:sz w:val="17"/>
          <w:szCs w:val="17"/>
          <w:color w:val="010000"/>
        </w:rPr>
      </w:pPr>
    </w:p>
    <w:p>
      <w:pPr>
        <w:jc w:val="both"/>
        <w:ind w:left="540" w:firstLine="526"/>
        <w:spacing w:after="0" w:line="235" w:lineRule="auto"/>
        <w:tabs>
          <w:tab w:leader="none" w:pos="1616" w:val="left"/>
        </w:tabs>
        <w:numPr>
          <w:ilvl w:val="1"/>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in connection with the preparation and filing of the Registration Statement / Proxy Statement, the SEC requests or requires that tax opinions be prepared and submitted in such connection, ARYA and the Company shall deliver to Kirkland &amp; Ellis and Wilson Sonsini Goodrich &amp; Rosati, respectively, customary Tax representation letters satisfactory to its counsel,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 and, if required, Kirkland &amp; Ellis LLP shall furnish an opinion, subject to customary assumptions and limitations, to the effect that the Intended Tax Treatment should apply to the Domestication and, if required, Wilson Sonsini Goodrich &amp; Rosati shall furnish an opinion, subject to customary assumptions and limitations, to the effect that the Intended Tax Treatment should apply to the Merger, or the Alternative Merger Structure, as applicable.</w:t>
      </w:r>
    </w:p>
    <w:p>
      <w:pPr>
        <w:spacing w:after="0" w:line="3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29210</wp:posOffset>
            </wp:positionV>
            <wp:extent cx="7157085"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323" w:right="319" w:bottom="1440" w:gutter="0" w:footer="0" w:header="0"/>
        </w:sectPr>
      </w:pPr>
    </w:p>
    <w:bookmarkStart w:id="88" w:name="page89"/>
    <w:bookmarkEnd w:id="88"/>
    <w:p>
      <w:pPr>
        <w:jc w:val="both"/>
        <w:ind w:firstLine="1074"/>
        <w:spacing w:after="0" w:line="234" w:lineRule="auto"/>
        <w:tabs>
          <w:tab w:leader="none" w:pos="1671"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Tax Matters Cooperation</w:t>
      </w:r>
      <w:r>
        <w:rPr>
          <w:rFonts w:ascii="Times New Roman" w:cs="Times New Roman" w:eastAsia="Times New Roman" w:hAnsi="Times New Roman"/>
          <w:sz w:val="18"/>
          <w:szCs w:val="18"/>
          <w:color w:val="auto"/>
        </w:rPr>
        <w:t xml:space="preserve">.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the </w:t>
      </w:r>
      <w:r>
        <w:rPr>
          <w:rFonts w:ascii="Times New Roman" w:cs="Times New Roman" w:eastAsia="Times New Roman" w:hAnsi="Times New Roman"/>
          <w:sz w:val="18"/>
          <w:szCs w:val="18"/>
          <w:u w:val="single" w:color="auto"/>
          <w:color w:val="auto"/>
        </w:rPr>
        <w:t>Pre-Closing ARYA Shareholders</w:t>
      </w:r>
      <w:r>
        <w:rPr>
          <w:rFonts w:ascii="Times New Roman" w:cs="Times New Roman" w:eastAsia="Times New Roman" w:hAnsi="Times New Roman"/>
          <w:sz w:val="18"/>
          <w:szCs w:val="18"/>
          <w:color w:val="auto"/>
        </w:rPr>
        <w:t xml:space="preserve"> information reasonably necessary to compute any income of any such holder (or its direct or indirect owners) arising (i) if applicable, as a result of ARYA’s status as a “passive foreign investment company” within the meaning of Section 1297(a) of the Code or a “controlled foreign corporation” within the meaning of Section 957(a) of the Code for any taxable period ending on or prior to the Closing, including timely providing (A) a PFIC Annual Information Statement to enable such holders to make a “Qualifying Electing Fund” election under Section 1295 of the Code for such taxable period, and (B) information to enable applicable holders to report their allocable share of “subpart F” income under Section 951 of the Code for such taxable period and (ii) under Section 367(b) of the Code and the Treasury Regulations promulgated thereunder as a result of the Domestication.</w:t>
      </w:r>
    </w:p>
    <w:p>
      <w:pPr>
        <w:spacing w:after="0" w:line="175" w:lineRule="exact"/>
        <w:rPr>
          <w:rFonts w:ascii="Times New Roman" w:cs="Times New Roman" w:eastAsia="Times New Roman" w:hAnsi="Times New Roman"/>
          <w:sz w:val="18"/>
          <w:szCs w:val="18"/>
          <w:color w:val="010000"/>
        </w:rPr>
      </w:pPr>
    </w:p>
    <w:p>
      <w:pPr>
        <w:ind w:firstLine="1074"/>
        <w:spacing w:after="0" w:line="260" w:lineRule="auto"/>
        <w:tabs>
          <w:tab w:leader="none" w:pos="1583" w:val="left"/>
        </w:tabs>
        <w:numPr>
          <w:ilvl w:val="0"/>
          <w:numId w:val="8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ARYA Taxable Year</w:t>
      </w:r>
      <w:r>
        <w:rPr>
          <w:rFonts w:ascii="Times New Roman" w:cs="Times New Roman" w:eastAsia="Times New Roman" w:hAnsi="Times New Roman"/>
          <w:sz w:val="18"/>
          <w:szCs w:val="18"/>
          <w:color w:val="auto"/>
        </w:rPr>
        <w:t>. The Parties agree to treat the taxable year of ARYA as ending on the date that the Domestication is consummated for U.S. federal income tax purposes.</w:t>
      </w:r>
    </w:p>
    <w:p>
      <w:pPr>
        <w:spacing w:after="0" w:line="157"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5.6</w:t>
      </w:r>
      <w:r>
        <w:rPr>
          <w:sz w:val="20"/>
          <w:szCs w:val="20"/>
          <w:color w:val="auto"/>
        </w:rPr>
        <w:tab/>
      </w:r>
      <w:r>
        <w:rPr>
          <w:rFonts w:ascii="Times New Roman" w:cs="Times New Roman" w:eastAsia="Times New Roman" w:hAnsi="Times New Roman"/>
          <w:sz w:val="14"/>
          <w:szCs w:val="14"/>
          <w:b w:val="1"/>
          <w:bCs w:val="1"/>
          <w:u w:val="single" w:color="auto"/>
          <w:color w:val="auto"/>
        </w:rPr>
        <w:t>Company Exclusive Dealing</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35" w:lineRule="auto"/>
        <w:tabs>
          <w:tab w:leader="none" w:pos="1539"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From the date of this Agreement until the earlier of the Closing or the termination of this Agreement in accordance with its terms, the Company shall not, and shall cause the other Group Companies and its and their respective officers and directors to not and shall use its reasonable best efforts to cause the other Representatives of the Group Companies to not, directly or indirectly: (i) solicit, initiate, knowingly induce, knowingly encourage, knowingly facilitate, discuss or negotiate, directly or indirectly, any inquiry, proposal or offer (written or oral) that constitutes, or could reasonably be expected to lead to, a Company Acquisition Proposal; (ii) furnish or disclose any non-public information to any Person in connection with, or that could reasonably be expected to lead to, a Company Acquisition Proposal; (iii) enter into any Contract or other arrangement or understanding (whether or not binding) regarding a Company Acquisition Proposal; (iv) make any filings or submissions with the SEC in connection with a public offering of any Equity Securities, or other securities, of any Group Company; or (v) otherwise cooperate in any way with, or assist or participate in any negotiations or discussions with, any Person in connection any Company Acquisition Proposal or a transaction of the type in clause (iv) (other than to inform such Person of the existence of the Company’s obligations under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010000"/>
        </w:rPr>
      </w:pPr>
    </w:p>
    <w:p>
      <w:pPr>
        <w:jc w:val="both"/>
        <w:ind w:firstLine="1074"/>
        <w:spacing w:after="0" w:line="267" w:lineRule="auto"/>
        <w:tabs>
          <w:tab w:leader="none" w:pos="1571" w:val="left"/>
        </w:tabs>
        <w:numPr>
          <w:ilvl w:val="0"/>
          <w:numId w:val="8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Company agrees to (i) notify ARYA promptly upon receipt of any Company Acquisition Proposal by any Group Company, and to describe the material terms and conditions of any such Company Acquisition Proposal in reasonable detail (including the identity of the Persons making such Company Acquisition Proposal) and (ii) keep ARYA reasonably informed on a current basis of any material modifications to such offer or information.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9" w:name="page90"/>
    <w:bookmarkEnd w:id="89"/>
    <w:p>
      <w:pPr>
        <w:ind w:left="540"/>
        <w:spacing w:after="0"/>
        <w:tabs>
          <w:tab w:leader="none" w:pos="1580" w:val="left"/>
        </w:tabs>
        <w:rPr>
          <w:sz w:val="20"/>
          <w:szCs w:val="20"/>
          <w:color w:val="auto"/>
        </w:rPr>
      </w:pPr>
      <w:r>
        <w:rPr>
          <w:rFonts w:ascii="Times New Roman" w:cs="Times New Roman" w:eastAsia="Times New Roman" w:hAnsi="Times New Roman"/>
          <w:sz w:val="15"/>
          <w:szCs w:val="15"/>
          <w:b w:val="1"/>
          <w:bCs w:val="1"/>
          <w:color w:val="010000"/>
        </w:rPr>
        <w:t>Section 5.7</w:t>
      </w:r>
      <w:r>
        <w:rPr>
          <w:sz w:val="20"/>
          <w:szCs w:val="20"/>
          <w:color w:val="auto"/>
        </w:rPr>
        <w:tab/>
      </w:r>
      <w:r>
        <w:rPr>
          <w:rFonts w:ascii="Times New Roman" w:cs="Times New Roman" w:eastAsia="Times New Roman" w:hAnsi="Times New Roman"/>
          <w:sz w:val="14"/>
          <w:szCs w:val="14"/>
          <w:b w:val="1"/>
          <w:bCs w:val="1"/>
          <w:u w:val="single" w:color="auto"/>
          <w:color w:val="auto"/>
        </w:rPr>
        <w:t>ARYA Exclusive Dealing</w:t>
      </w:r>
      <w:r>
        <w:rPr>
          <w:rFonts w:ascii="Times New Roman" w:cs="Times New Roman" w:eastAsia="Times New Roman" w:hAnsi="Times New Roman"/>
          <w:sz w:val="14"/>
          <w:szCs w:val="14"/>
          <w:b w:val="1"/>
          <w:bCs w:val="1"/>
          <w:color w:val="auto"/>
        </w:rPr>
        <w:t>.</w:t>
      </w:r>
    </w:p>
    <w:p>
      <w:pPr>
        <w:spacing w:after="0" w:line="198" w:lineRule="exact"/>
        <w:rPr>
          <w:sz w:val="20"/>
          <w:szCs w:val="20"/>
          <w:color w:val="auto"/>
        </w:rPr>
      </w:pPr>
    </w:p>
    <w:p>
      <w:pPr>
        <w:jc w:val="both"/>
        <w:ind w:firstLine="1074"/>
        <w:spacing w:after="0" w:line="249" w:lineRule="auto"/>
        <w:tabs>
          <w:tab w:leader="none" w:pos="1661" w:val="left"/>
        </w:tabs>
        <w:numPr>
          <w:ilvl w:val="0"/>
          <w:numId w:val="8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From the date of this Agreement until the earlier of the Closing or the termination of this Agreement in accordance with its terms, the ARYA Parties shall not, shall cause their respective officers, and directors to not, shall cause Perceptive to not, and the ARYA Sponsor and their controlled Affiliates to not, and shall use their reasonable best efforts to cause its and their Affiliates and the other Representatives of the ARYA Parties, Perceptive, the ARYA Sponsor and their controlled Affiliates to not, directly or indirectly: (i) solicit, initiate, knowingly induce,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 ARYA Acquisition Proposal; (iii) enter into any Contract or other arrangement or understanding (whether or not binding) regarding an ARYA Acquisition Proposal; (iv) make any filings or submissions with the SEC in connection with a public offering of any Equity Securities, or other securities, of any ARYA Party, other than any such filings or submissions in connection with the transactions contemplated by this Agreement or the Ancillary Documents; or (v) otherwise cooperate in any way with, or assist or participate in any negotiations or discussions with, any Person in connection any ARYA Acquisition Proposal or a transaction of the type in clause (iv) (other than to inform such Person of the existence of the ARYA Parties’ obligations under this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010000"/>
        </w:rPr>
      </w:pPr>
    </w:p>
    <w:p>
      <w:pPr>
        <w:jc w:val="both"/>
        <w:ind w:firstLine="1074"/>
        <w:spacing w:after="0" w:line="246" w:lineRule="auto"/>
        <w:tabs>
          <w:tab w:leader="none" w:pos="1804" w:val="left"/>
        </w:tabs>
        <w:numPr>
          <w:ilvl w:val="0"/>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agrees to (i) notify the Company promptly upon receipt of any ARYA Acquisition Proposal by ARYA, and to describe the material terms and conditions of any such ARYA Acquisition Proposal in reasonable detail (including the identity of the Persons making such ARYA Acquisition Proposal) and (ii) keep the Company reasonably informed on a current basis of any material modifications to such offer or information.</w:t>
      </w:r>
    </w:p>
    <w:p>
      <w:pPr>
        <w:spacing w:after="0" w:line="160"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5.8 </w:t>
      </w:r>
      <w:r>
        <w:rPr>
          <w:rFonts w:ascii="Times New Roman" w:cs="Times New Roman" w:eastAsia="Times New Roman" w:hAnsi="Times New Roman"/>
          <w:sz w:val="18"/>
          <w:szCs w:val="18"/>
          <w:color w:val="000000"/>
        </w:rPr>
        <w:t>Preparation of Registration Statement / Proxy Statement. As promptly as reasonably practicable following the date of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ARYA and the Company shall prepare and mutually agree upon (such agreement not to be unreasonably withheld, conditioned or delayed by either of ARYA or the Company, as applicable), and ARYA shall file with the SEC, the Registration Statement / Proxy Statement (it being understood that the Registration Statement / Proxy Statement shall include a proxy statement / prospectus of ARYA which will be included therein and which will be used for the ARYA Shareholders Meeting to adopt and approve the Transaction Proposals, provide its applicable shareholders with the opportunity to elect to effect the ARYA Shareholder Redemption, and other matters reasonably related to the Transaction Proposals, all in accordance with and as required by ARYA’s Governing Documents, applicable Law, and any applicable rules and regulations of the SEC and Nasdaq). Each of ARYA and the Company shall use its reasonable best efforts to (a) cause the Registration Statement / Proxy Statement to comply in all material respects with the applicable rules and regulations promulgated by the SEC (including, with respect to the Group Companies, the provision of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mutually agree upon (such agreement not to be unreasonably withheld, conditioned or delayed by either of ARYA or the Company, as applicable) and respond promptly to any comments of the SEC or its staff; (c) have the Registration Statement / Proxy Statement declared effective under the Securities Act as promptly as reasonably practicable after it is filed with the SEC; and (d) keep the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2" w:right="319" w:bottom="1440" w:gutter="0" w:footer="0" w:header="0"/>
        </w:sectPr>
      </w:pPr>
    </w:p>
    <w:bookmarkStart w:id="90" w:name="page91"/>
    <w:bookmarkEnd w:id="90"/>
    <w:p>
      <w:pPr>
        <w:jc w:val="both"/>
        <w:spacing w:after="0" w:line="247" w:lineRule="auto"/>
        <w:rPr>
          <w:sz w:val="20"/>
          <w:szCs w:val="20"/>
          <w:color w:val="auto"/>
        </w:rPr>
      </w:pPr>
      <w:r>
        <w:rPr>
          <w:rFonts w:ascii="Times New Roman" w:cs="Times New Roman" w:eastAsia="Times New Roman" w:hAnsi="Times New Roman"/>
          <w:sz w:val="17"/>
          <w:szCs w:val="17"/>
          <w:color w:val="auto"/>
        </w:rPr>
        <w:t>Registration Statement / Proxy Statement effective through the Closing in order to permit the consummation of the transactions contemplated by this Agreement. ARYA, on the one hand, and the Company, on the other hand, shall use reasonable best efforts to promptly furnish, or cause to be furnished, to the other all information concerning such Party and its Representatives that may be required or reasonably requested in connection with any action contemplated by this Section 5.8 or for inclusion in any other statement, filing, notice or application made by or on behalf of ARYA to the SEC or Nasdaq in connection with the transactions contemplated by this Agreement or the Ancillary Documents, including using reasonable best efforts to deliver customary tax representation letters to counsel to enable counsel to deliver any tax opinions requested or required by the SEC to be submitted in connection therewith as described in Section 5.5(a)(iii). If any Party becomes aware of any information that should be disclosed in an amendment or supplement to the Registration Statement / Proxy Statement, then (i) such Party shall promptly inform, in the case of any ARYA Party, the Company, or, in the case of the Company, ARYA, thereof; (ii) such Party shall prepare and mutually agree upon with, in the case of ARYA, the Company, or, in the case of the Company, ARYA (in either case, such agreement not to be unreasonably withheld, conditioned or delayed), an amendment or supplement to the Registration Statement / Proxy Statement; (iii) ARYA shall file such mutually agreed upon amendment or supplement with the SEC; and (iv) the Parties shall reasonably cooperate, if appropriate, in mailing such amendment or supplement to the Pre-Closing ARYA Shareholders. ARYA shall as promptly as reasonably practicable advise the Company of the time of effectiveness of the Registration Statement / Proxy Statement, the issuance of any stop order relating thereto or the suspension of the qualification of ARYA Shares for offering or sale in any jurisdiction, and ARYA and the Company shall each use its reasonable best efforts to have any such stop order or suspension lifted, reversed or otherwise terminated. Each of the Parties shall use reasonable best efforts to ensure that none of the information related to him, her or it or any of his, her or its Representatives, supplied by or on his, her or its behalf for inclusion or incorporation by reference in the Registration Statement / Proxy Statement will, at the time the Registration Statement / Proxy Statement is initially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168"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5.9 </w:t>
      </w:r>
      <w:r>
        <w:rPr>
          <w:rFonts w:ascii="Times New Roman" w:cs="Times New Roman" w:eastAsia="Times New Roman" w:hAnsi="Times New Roman"/>
          <w:sz w:val="18"/>
          <w:szCs w:val="18"/>
          <w:b w:val="1"/>
          <w:bCs w:val="1"/>
          <w:u w:val="single" w:color="auto"/>
          <w:color w:val="000000"/>
        </w:rPr>
        <w:t>ARYA Shareholder Approval</w:t>
      </w:r>
      <w:r>
        <w:rPr>
          <w:rFonts w:ascii="Times New Roman" w:cs="Times New Roman" w:eastAsia="Times New Roman" w:hAnsi="Times New Roman"/>
          <w:sz w:val="18"/>
          <w:szCs w:val="18"/>
          <w:color w:val="000000"/>
        </w:rPr>
        <w:t>. As promptly as reasonably practicable following the time at which the Registration Statement / Proxy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Statement is declared effective under the Securities Act, (A) ARYA shall (a) duly give not less than five clear days’ notice of a meeting of the ARYA shareholders (the “ARYA Shareholders Meeting”), (b) cause the Registration Statement / Proxy Statement to be mailed to the ARYA shareholders and (c) duly convene and hold the ARYA Shareholder Meeting, in each case, in accordance with the Governing Documents of ARYA and applicable Law, for the purposes of obtaining the ARYA Shareholder Approval and (B) use reasonable best efforts to solicit proxies from the holders of ARYA Shares to vote in favor of each of the Transaction Proposals and (C) in connection with the mailing of the Registration Statement / Proxy Statement and the ARYA Shareholders Meeting, provide the applicable ARYA shareholders with the opportunity to elect to effect an ARYA Shareholder Redemption in accordance with the Governing Documents of ARYA. ARYA shall, through unanimous approval of the ARYA Board, recommend to its shareholders each of the following (the “ARYA Board Recommendation”): (A) the adoption and approval of this Agreement and the transactions contemplated hereby (including the Merger) (the “Business Combination Proposal”);</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1" w:name="page92"/>
    <w:bookmarkEnd w:id="91"/>
    <w:p>
      <w:pPr>
        <w:jc w:val="both"/>
        <w:ind w:firstLine="9"/>
        <w:spacing w:after="0" w:line="232" w:lineRule="auto"/>
        <w:tabs>
          <w:tab w:leader="none" w:pos="28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the approval of the Domestication in accordance with applicable Law (the “</w:t>
      </w:r>
      <w:r>
        <w:rPr>
          <w:rFonts w:ascii="Times New Roman" w:cs="Times New Roman" w:eastAsia="Times New Roman" w:hAnsi="Times New Roman"/>
          <w:sz w:val="18"/>
          <w:szCs w:val="18"/>
          <w:u w:val="single" w:color="auto"/>
          <w:color w:val="auto"/>
        </w:rPr>
        <w:t>Domestication Proposal</w:t>
      </w:r>
      <w:r>
        <w:rPr>
          <w:rFonts w:ascii="Times New Roman" w:cs="Times New Roman" w:eastAsia="Times New Roman" w:hAnsi="Times New Roman"/>
          <w:sz w:val="18"/>
          <w:szCs w:val="18"/>
          <w:color w:val="auto"/>
        </w:rPr>
        <w:t>”); (C) the adoption and approval of the issuance of the ARYA Shares in connection with the transactions contemplated by this Agreement as required by Nasdaq listing requirements (the “Nasdaq Proposal”); (D) the adoption and approval of the ARYA Certificate of Incorporation (the “</w:t>
      </w:r>
      <w:r>
        <w:rPr>
          <w:rFonts w:ascii="Times New Roman" w:cs="Times New Roman" w:eastAsia="Times New Roman" w:hAnsi="Times New Roman"/>
          <w:sz w:val="18"/>
          <w:szCs w:val="18"/>
          <w:u w:val="single" w:color="auto"/>
          <w:color w:val="auto"/>
        </w:rPr>
        <w:t>Required Governing Document Proposal</w:t>
      </w:r>
      <w:r>
        <w:rPr>
          <w:rFonts w:ascii="Times New Roman" w:cs="Times New Roman" w:eastAsia="Times New Roman" w:hAnsi="Times New Roman"/>
          <w:sz w:val="18"/>
          <w:szCs w:val="18"/>
          <w:color w:val="auto"/>
        </w:rPr>
        <w:t>”); (E) the adoption and approval of certain differences between the Pre-Closing ARYA Governing Documents and the proposed ARYA Certificate of Incorporation and the proposed ARYA Bylaws (collectively, the “Other Governing Document Proposals”); (F) the adoption and approval of the ARYA Incentive Equity Plan (the “Incentive Equity Plan Proposal”); (G) the adoption and approval of the ARYA Employee Stock Purchase Plan (the “</w:t>
      </w: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(H) the adoption and approval of each other proposal that either the SEC or Nasdaq (or the respective staff members thereof) indicates is necessary in its comments to the Registration Statement / Proxy Statement or in correspondence related thereto; (I) the adoption and approval of each other proposal reasonably agreed to by ARYA and the Company as necessary or appropriate in connection with the consummation of the transactions contemplated by this Agreement or the Ancillary Documents; and (J) the adoption and approval of a proposal for the adjournment of the ARYA Shareholders Meeting, if necessary, to permit further solicitation of proxies because there are not sufficient votes to approve and adopt any of the foregoing (such proposals in (A) through (J), collectively, the “</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and ARYA shall include the ARYA Board Recommendation in the Registration Statement / Proxy Statement. Notwithstanding the foregoing or anything to the contrary herein, ARYA may only adjourn the ARYA Shareholders Meeting (and ARYA shall adjourn the ARYA Shareholder Meeting if an adjournment is reasonably requested by the Company in writing) (1) to solicit additional proxies because there are not sufficient votes to constitute the ARYA Shareholder Approval, (2) for the absence of a quorum, (3) to allow reasonable additional time for the filing or mailing of any supplemental or amended disclosures that ARYA (or the Company) has reasonably determined in good faith, based on the advice of outside legal counsel, is reasonably likely to be required under applicable Law and for such supplemental or amended disclosure to be disseminated and reviewed by the Pre-Closing ARYA Shareholders prior to the ARYA Shareholders Meeting or (4) if the holders of ARYA Class A Shares have elected to redeem a number of ARYA Class A Shares as of such time that would reasonably be expected to result in the condition set forth in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not being satisfied (assuming for purposes of this clause (4) that the full PIPE Financing Amount will be funded pursuant to the terms of the PIPE Subscription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without the consent of the Company, in no event shall ARYA adjourn the ARYA Shareholders Meeting for more than fifteen (15) Business Days later than the most recently adjourned meeting or to a date that is beyond the date that is five (5) Business Days prior to the Termination Date. ARYA covenants that none of the ARYA Board, ARYA or any committee of the ARYA Board shall (i) change, withdraw, withhold, qualify, amend or modify, or publicly propose to change, withdraw, withhold, qualify, amend or modify, in a manner adverse to the Company, the ARYA Board Recommendation or any other recommendation by the ARYA Board or ARYA of the proposals set forth in the Registration Statement / Proxy Statement, (ii) adopt, approve, recommend or declare advisable to the Pre-Closing ARYA Shareholders, or publicly propose to adopt, approve, recommend or declare advisable, any ARYA Acquisition Proposal or (iii) fail to include the ARYA Board Recommendation in the Registration Statement / Proxy Statement (any action described in clause (i), (ii) or (iii) an “</w:t>
      </w:r>
      <w:r>
        <w:rPr>
          <w:rFonts w:ascii="Times New Roman" w:cs="Times New Roman" w:eastAsia="Times New Roman" w:hAnsi="Times New Roman"/>
          <w:sz w:val="18"/>
          <w:szCs w:val="18"/>
          <w:u w:val="single" w:color="auto"/>
          <w:color w:val="auto"/>
        </w:rPr>
        <w:t>ARYA Change in Recommendation</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2" w:name="page93"/>
    <w:bookmarkEnd w:id="92"/>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5.10 </w:t>
      </w:r>
      <w:r>
        <w:rPr>
          <w:rFonts w:ascii="Times New Roman" w:cs="Times New Roman" w:eastAsia="Times New Roman" w:hAnsi="Times New Roman"/>
          <w:sz w:val="18"/>
          <w:szCs w:val="18"/>
          <w:b w:val="1"/>
          <w:bCs w:val="1"/>
          <w:u w:val="single" w:color="auto"/>
          <w:color w:val="000000"/>
        </w:rPr>
        <w:t>Merger Sub Shareholder Approval</w:t>
      </w:r>
      <w:r>
        <w:rPr>
          <w:rFonts w:ascii="Times New Roman" w:cs="Times New Roman" w:eastAsia="Times New Roman" w:hAnsi="Times New Roman"/>
          <w:sz w:val="18"/>
          <w:szCs w:val="18"/>
          <w:color w:val="000000"/>
        </w:rPr>
        <w:t>. As promptly as reasonably practicable (and in any event within one Business Day) following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date of this Agreement, ARYA, as the sole stockholder of Merger Sub, will approve and adopt this Agreement, the Ancillary Documents to which Merger Sub is or will be a party and the transactions contemplated hereby and thereby (including the Merger).</w:t>
      </w:r>
    </w:p>
    <w:p>
      <w:pPr>
        <w:spacing w:after="0" w:line="161"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5.11 </w:t>
      </w:r>
      <w:r>
        <w:rPr>
          <w:rFonts w:ascii="Times New Roman" w:cs="Times New Roman" w:eastAsia="Times New Roman" w:hAnsi="Times New Roman"/>
          <w:sz w:val="18"/>
          <w:szCs w:val="18"/>
          <w:b w:val="1"/>
          <w:bCs w:val="1"/>
          <w:u w:val="single" w:color="auto"/>
          <w:color w:val="000000"/>
        </w:rPr>
        <w:t>Conduct of Business of ARYA</w:t>
      </w:r>
      <w:r>
        <w:rPr>
          <w:rFonts w:ascii="Times New Roman" w:cs="Times New Roman" w:eastAsia="Times New Roman" w:hAnsi="Times New Roman"/>
          <w:sz w:val="18"/>
          <w:szCs w:val="18"/>
          <w:color w:val="000000"/>
        </w:rPr>
        <w:t>. From and after the date of this Agreement until the earlier of the Closing or the termination of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in accordance with its terms, ARYA shall not, and shall cause its Subsidiaries not to, as applicable, except as expressly contemplated by this Agreement or any Ancillary Document (including, for the avoidance of doubt, in connection with the Domestication or as contemplated pursuant to the PIPE Subscription Agreements), as required by applicable Law, as set forth on Section 5.11 of the ARYA Disclosure Schedules or as consented to in writing by the Company (such consent, other than in the case of Section 5.11(a), Section 5.11(b), Section 5.11(c), Section 5.11(d), Section 5.11(h), or Section 5.11(j), not to be unreasonably withheld, conditioned or delayed), do any of the following:</w:t>
      </w:r>
    </w:p>
    <w:p>
      <w:pPr>
        <w:spacing w:after="0" w:line="168" w:lineRule="exact"/>
        <w:rPr>
          <w:sz w:val="20"/>
          <w:szCs w:val="20"/>
          <w:color w:val="auto"/>
        </w:rPr>
      </w:pPr>
    </w:p>
    <w:p>
      <w:pPr>
        <w:ind w:left="1600" w:hanging="526"/>
        <w:spacing w:after="0"/>
        <w:tabs>
          <w:tab w:leader="none" w:pos="1600" w:val="left"/>
        </w:tabs>
        <w:numPr>
          <w:ilvl w:val="0"/>
          <w:numId w:val="8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adopt any amendments, supplements, restatements or modifications to the Trust Agreement or the Governing Documents of any ARYA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172" w:lineRule="exact"/>
        <w:rPr>
          <w:sz w:val="20"/>
          <w:szCs w:val="20"/>
          <w:color w:val="auto"/>
        </w:rPr>
      </w:pPr>
    </w:p>
    <w:p>
      <w:pPr>
        <w:ind w:left="1720" w:hanging="646"/>
        <w:spacing w:after="0"/>
        <w:tabs>
          <w:tab w:leader="none" w:pos="172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create or form any Subsidiary;</w:t>
      </w:r>
    </w:p>
    <w:p>
      <w:pPr>
        <w:spacing w:after="0" w:line="192"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05"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acquire (including, without limitation, by merger, consolidation, or acquisition of stock or assets or any other business combination) any corporation, partnership, other business organization or enter into any strategic joint ventures, partnerships or alliances with any other person, or make any loans, advances or capital contributions to, or guarantees for the benefit of, or any investments in, any Person;</w:t>
      </w:r>
    </w:p>
    <w:p>
      <w:pPr>
        <w:spacing w:after="0" w:line="162"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937"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declare, set aside, make or pay a dividend on, or make any other distribution or payment in respect of, its, or any of its Subsidiaries’, Equity Securities, or repurchase, redeem or otherwise acquire, or offer to repurchase, redeem or otherwise acquire, any outstanding of its, or any of its Subsidiaries’, Equity Securities, or (ii) authorize, recommend, propose or announce an intention to adopt, or otherwise effect, a plan of complete or partial liquidation, dissolution, restructuring, recapitalization, reorganization or similar transaction involving any ARYA Party;</w:t>
      </w:r>
    </w:p>
    <w:p>
      <w:pPr>
        <w:spacing w:after="0" w:line="166" w:lineRule="exact"/>
        <w:rPr>
          <w:rFonts w:ascii="Times New Roman" w:cs="Times New Roman" w:eastAsia="Times New Roman" w:hAnsi="Times New Roman"/>
          <w:sz w:val="18"/>
          <w:szCs w:val="18"/>
          <w:color w:val="010000"/>
        </w:rPr>
      </w:pPr>
    </w:p>
    <w:p>
      <w:pPr>
        <w:ind w:firstLine="1074"/>
        <w:spacing w:after="0" w:line="260" w:lineRule="auto"/>
        <w:tabs>
          <w:tab w:leader="none" w:pos="1694"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split, combine or reclassify any of its, or any of its Subsidiaries’, capital stock or other Equity Securities or issue any other security in respect of, in lieu of or in substitution for shares of its, or any of its Subsidiaries’, capital stock;</w:t>
      </w:r>
    </w:p>
    <w:p>
      <w:pPr>
        <w:spacing w:after="0" w:line="150" w:lineRule="exact"/>
        <w:rPr>
          <w:rFonts w:ascii="Times New Roman" w:cs="Times New Roman" w:eastAsia="Times New Roman" w:hAnsi="Times New Roman"/>
          <w:sz w:val="18"/>
          <w:szCs w:val="18"/>
          <w:color w:val="010000"/>
        </w:rPr>
      </w:pPr>
    </w:p>
    <w:p>
      <w:pPr>
        <w:ind w:left="1740" w:hanging="666"/>
        <w:spacing w:after="0"/>
        <w:tabs>
          <w:tab w:leader="none" w:pos="174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incur, create or assume any Indebtedness, or guarantee any Liability of any Person;</w:t>
      </w:r>
    </w:p>
    <w:p>
      <w:pPr>
        <w:spacing w:after="0" w:line="19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any loans or advances to, or capital contributions in, any other Person, other than to, or in, ARYA or any of its Subsidiaries;</w:t>
      </w:r>
    </w:p>
    <w:p>
      <w:pPr>
        <w:spacing w:after="0" w:line="19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8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issue any Equity Securities or grant any additional options, warrants or stock appreciation rights with respect to its Equity Securities;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93" w:name="page94"/>
    <w:bookmarkEnd w:id="93"/>
    <w:p>
      <w:pPr>
        <w:jc w:val="both"/>
        <w:ind w:firstLine="1074"/>
        <w:spacing w:after="0" w:line="245" w:lineRule="auto"/>
        <w:tabs>
          <w:tab w:leader="none" w:pos="1809"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amend, modify or renew any ARYA Affiliated Party Transaction, or make any material payment to any ARYA Affiliated Party (other than compensation payments to employees in the ordinary course of business, consistent with past practice, or the Contracts set forth on </w:t>
      </w:r>
      <w:r>
        <w:rPr>
          <w:rFonts w:ascii="Times New Roman" w:cs="Times New Roman" w:eastAsia="Times New Roman" w:hAnsi="Times New Roman"/>
          <w:sz w:val="18"/>
          <w:szCs w:val="18"/>
          <w:u w:val="single" w:color="auto"/>
          <w:color w:val="auto"/>
        </w:rPr>
        <w:t>Schedule 4.12</w:t>
      </w:r>
      <w:r>
        <w:rPr>
          <w:rFonts w:ascii="Times New Roman" w:cs="Times New Roman" w:eastAsia="Times New Roman" w:hAnsi="Times New Roman"/>
          <w:sz w:val="18"/>
          <w:szCs w:val="18"/>
          <w:color w:val="auto"/>
        </w:rPr>
        <w:t xml:space="preserve"> of the ARYA Disclosure Schedules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(ii) enter into any Contract that would constitute an ARYA Affiliated Party Transaction;</w:t>
      </w:r>
    </w:p>
    <w:p>
      <w:pPr>
        <w:spacing w:after="0" w:line="163"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621"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engage in any activities or business, or incur any Liabilities, other than any activities, businesses or ARYA Liabilities (i) in connection with or incidental or related to Merger Sub’s organization, incorporation or formation, as applicable, or an ARYA Party’s continuing corporate (or similar) existence, (ii) that are either expressly permitted under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(including, for the avoidance of doubt, any activities, businesses or ARYA Liabilities expressly contemplated by, incurred in connection with the performance of any covenants or agreements hereunder or thereunder or the consummation of the transactions contemplated hereby or thereby), in accordance with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(iii) those that are administrative or ministerial in nature and less than $20,000 individually, or in the aggregate;</w:t>
      </w:r>
    </w:p>
    <w:p>
      <w:pPr>
        <w:spacing w:after="0" w:line="171"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27"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enter into, or amend or modify any material term of (in a manner adverse to any ARYA Party), terminate (excluding any expiration in accordance with its terms), or waive or release any material rights, claims or benefits under, any Contract of a type required to be listed on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ARYA Disclosure Schedules (or any Contract, that if existing on the date hereof, would have been required to be listed on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ARYA Disclosure Schedules);</w:t>
      </w:r>
    </w:p>
    <w:p>
      <w:pPr>
        <w:spacing w:after="0" w:line="166" w:lineRule="exact"/>
        <w:rPr>
          <w:rFonts w:ascii="Times New Roman" w:cs="Times New Roman" w:eastAsia="Times New Roman" w:hAnsi="Times New Roman"/>
          <w:sz w:val="18"/>
          <w:szCs w:val="18"/>
          <w:color w:val="010000"/>
        </w:rPr>
      </w:pPr>
    </w:p>
    <w:p>
      <w:pPr>
        <w:ind w:firstLine="1074"/>
        <w:spacing w:after="0" w:line="260" w:lineRule="auto"/>
        <w:tabs>
          <w:tab w:leader="none" w:pos="1643"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 adopt or amend any ARYA Benefit Plan, or enter into any employment contract or collective bargaining agreement or (ii) hire any person as an employee of ARYA or Merger Sub;</w:t>
      </w:r>
    </w:p>
    <w:p>
      <w:pPr>
        <w:spacing w:after="0" w:line="150"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754"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66" w:lineRule="exact"/>
        <w:rPr>
          <w:rFonts w:ascii="Times New Roman" w:cs="Times New Roman" w:eastAsia="Times New Roman" w:hAnsi="Times New Roman"/>
          <w:sz w:val="18"/>
          <w:szCs w:val="18"/>
          <w:color w:val="010000"/>
        </w:rPr>
      </w:pPr>
    </w:p>
    <w:p>
      <w:pPr>
        <w:ind w:left="1640" w:hanging="566"/>
        <w:spacing w:after="0"/>
        <w:tabs>
          <w:tab w:leader="none" w:pos="1640" w:val="left"/>
        </w:tabs>
        <w:numPr>
          <w:ilvl w:val="0"/>
          <w:numId w:val="8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change any ARYA Party’s methods of accounting in any material respect, other than changes that are made in accordance with PCAOB</w:t>
      </w:r>
    </w:p>
    <w:p>
      <w:pPr>
        <w:spacing w:after="0" w:line="24"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standards;</w:t>
      </w:r>
    </w:p>
    <w:p>
      <w:pPr>
        <w:spacing w:after="0" w:line="172" w:lineRule="exact"/>
        <w:rPr>
          <w:rFonts w:ascii="Times New Roman" w:cs="Times New Roman" w:eastAsia="Times New Roman" w:hAnsi="Times New Roman"/>
          <w:sz w:val="17"/>
          <w:szCs w:val="17"/>
          <w:color w:val="010000"/>
        </w:rPr>
      </w:pPr>
    </w:p>
    <w:p>
      <w:pPr>
        <w:ind w:left="1640" w:hanging="566"/>
        <w:spacing w:after="0"/>
        <w:tabs>
          <w:tab w:leader="none" w:pos="1640"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authorize, recommend, propose or announce an intention to adopt a plan of complete or partial liquidation or dissolution;</w:t>
      </w:r>
    </w:p>
    <w:p>
      <w:pPr>
        <w:spacing w:after="0" w:line="192" w:lineRule="exact"/>
        <w:rPr>
          <w:rFonts w:ascii="Times New Roman" w:cs="Times New Roman" w:eastAsia="Times New Roman" w:hAnsi="Times New Roman"/>
          <w:sz w:val="18"/>
          <w:szCs w:val="18"/>
          <w:color w:val="010000"/>
        </w:rPr>
      </w:pPr>
    </w:p>
    <w:p>
      <w:pPr>
        <w:ind w:firstLine="1074"/>
        <w:spacing w:after="0" w:line="260" w:lineRule="auto"/>
        <w:tabs>
          <w:tab w:leader="none" w:pos="1671"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w:t>
      </w:r>
    </w:p>
    <w:p>
      <w:pPr>
        <w:spacing w:after="0" w:line="150" w:lineRule="exact"/>
        <w:rPr>
          <w:rFonts w:ascii="Times New Roman" w:cs="Times New Roman" w:eastAsia="Times New Roman" w:hAnsi="Times New Roman"/>
          <w:sz w:val="18"/>
          <w:szCs w:val="18"/>
          <w:color w:val="010000"/>
        </w:rPr>
      </w:pPr>
    </w:p>
    <w:p>
      <w:pPr>
        <w:ind w:left="1600" w:hanging="526"/>
        <w:spacing w:after="0"/>
        <w:tabs>
          <w:tab w:leader="none" w:pos="1600"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make any ARYA Change of Control Payment that is not set forth on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of the ARYA Disclosure Schedules; or</w:t>
      </w:r>
    </w:p>
    <w:p>
      <w:pPr>
        <w:spacing w:after="0" w:line="192" w:lineRule="exact"/>
        <w:rPr>
          <w:rFonts w:ascii="Times New Roman" w:cs="Times New Roman" w:eastAsia="Times New Roman" w:hAnsi="Times New Roman"/>
          <w:sz w:val="18"/>
          <w:szCs w:val="18"/>
          <w:color w:val="010000"/>
        </w:rPr>
      </w:pPr>
    </w:p>
    <w:p>
      <w:pPr>
        <w:ind w:left="1700" w:hanging="626"/>
        <w:spacing w:after="0"/>
        <w:tabs>
          <w:tab w:leader="none" w:pos="1700"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enter into any Contract to take, or cause to be taken, any of the actions set forth in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4" w:name="page95"/>
    <w:bookmarkEnd w:id="94"/>
    <w:p>
      <w:pPr>
        <w:ind w:firstLine="532"/>
        <w:spacing w:after="0" w:line="259"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this Agreement to the contrary, but without limiting the terms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11, nothing set forth in this Agreement shall give the Company, directly or indirectly, the right to control or direct the operations of any ARYA Party</w:t>
      </w:r>
    </w:p>
    <w:p>
      <w:pPr>
        <w:spacing w:after="0" w:line="149"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010000"/>
        </w:rPr>
        <w:t>Section 5.12</w:t>
      </w:r>
      <w:r>
        <w:rPr>
          <w:sz w:val="20"/>
          <w:szCs w:val="20"/>
          <w:color w:val="auto"/>
        </w:rPr>
        <w:tab/>
      </w:r>
      <w:r>
        <w:rPr>
          <w:rFonts w:ascii="Times New Roman" w:cs="Times New Roman" w:eastAsia="Times New Roman" w:hAnsi="Times New Roman"/>
          <w:sz w:val="17"/>
          <w:szCs w:val="17"/>
          <w:b w:val="1"/>
          <w:bCs w:val="1"/>
          <w:u w:val="single" w:color="auto"/>
          <w:color w:val="auto"/>
        </w:rPr>
        <w:t>Nasdaq Listing; ARYA Public Filings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54" w:lineRule="auto"/>
        <w:tabs>
          <w:tab w:leader="none" w:pos="1717"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Nasdaq Listing</w:t>
      </w:r>
      <w:r>
        <w:rPr>
          <w:rFonts w:ascii="Times New Roman" w:cs="Times New Roman" w:eastAsia="Times New Roman" w:hAnsi="Times New Roman"/>
          <w:sz w:val="17"/>
          <w:szCs w:val="17"/>
          <w:color w:val="auto"/>
        </w:rPr>
        <w:t>. ARYA shall use its reasonable best efforts to cause (a) ARYA’s initial listing application with Nasdaq in connection with the transactions contemplated by this Agreement to be approved, (b) the ARYA Shares issuable in accordance with this Agreement, including the Domestication and the Merger, to be approved for listing on Nasdaq, subject to official notice of issuance thereof, and (c) to satisfy any of ARYA’s applicable initial and continuing listing requirements of Nasdaq, in each case as promptly as reasonably practicable after the date of this Agreement, and in any event prior to the Effective Time. The Company shall use reasonable best efforts to, and shall use reasonable best efforts to cause its Representatives to, cooperate with ARYA and its Representatives in connection with the foregoing provisions of this Section 5.12(a), as reasonably requested by ARYA.</w:t>
      </w:r>
    </w:p>
    <w:p>
      <w:pPr>
        <w:spacing w:after="0" w:line="156" w:lineRule="exact"/>
        <w:rPr>
          <w:rFonts w:ascii="Times New Roman" w:cs="Times New Roman" w:eastAsia="Times New Roman" w:hAnsi="Times New Roman"/>
          <w:sz w:val="17"/>
          <w:szCs w:val="17"/>
          <w:color w:val="010000"/>
        </w:rPr>
      </w:pPr>
    </w:p>
    <w:p>
      <w:pPr>
        <w:jc w:val="both"/>
        <w:ind w:firstLine="1074"/>
        <w:spacing w:after="0" w:line="239" w:lineRule="auto"/>
        <w:tabs>
          <w:tab w:leader="none" w:pos="1904"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ARYA Public Filings</w:t>
      </w:r>
      <w:r>
        <w:rPr>
          <w:rFonts w:ascii="Times New Roman" w:cs="Times New Roman" w:eastAsia="Times New Roman" w:hAnsi="Times New Roman"/>
          <w:sz w:val="18"/>
          <w:szCs w:val="18"/>
          <w:color w:val="auto"/>
        </w:rPr>
        <w:t>. From the date hereof through the Closing, ARYA shall (except, in the case of any reports to be filed or furnished in connection with the transactions contemplated by this Agreement or any Ancillary Document, the Company’s breach of its applicable covenants, agreements and obligations hereunder would result in the ARYA’s inability to make such filings) use reasonable best efforts to keep current and timely file all reports required to be filed or furnished with the SEC and otherwise comply in all material respects with its reporting obligations under applicable Securities Laws.</w:t>
      </w:r>
    </w:p>
    <w:p>
      <w:pPr>
        <w:spacing w:after="0" w:line="165"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b w:val="1"/>
          <w:bCs w:val="1"/>
          <w:color w:val="010000"/>
        </w:rPr>
        <w:t xml:space="preserve">Section 5.13 </w:t>
      </w:r>
      <w:r>
        <w:rPr>
          <w:rFonts w:ascii="Times New Roman" w:cs="Times New Roman" w:eastAsia="Times New Roman" w:hAnsi="Times New Roman"/>
          <w:sz w:val="18"/>
          <w:szCs w:val="18"/>
          <w:b w:val="1"/>
          <w:bCs w:val="1"/>
          <w:u w:val="single" w:color="auto"/>
          <w:color w:val="000000"/>
        </w:rPr>
        <w:t>Trust Account</w:t>
      </w:r>
      <w:r>
        <w:rPr>
          <w:rFonts w:ascii="Times New Roman" w:cs="Times New Roman" w:eastAsia="Times New Roman" w:hAnsi="Times New Roman"/>
          <w:sz w:val="18"/>
          <w:szCs w:val="18"/>
          <w:color w:val="000000"/>
        </w:rPr>
        <w:t>. Upon satisfaction or, to the extent permitted by applicable Law, waiver of the conditions set forth in Article 6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provision of notice thereof to the Trustee, (a) at the Closing, ARYA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ARYA pursuant to the ARYA Shareholder Redemption, (B) pay the amounts due to the underwriters of ARYA’s initial public offering for their deferred underwriting commissions as set forth in the Trust Agreement and (C) immediately thereafter, pay all remaining amounts then available in the Trust Account to ARYA in accordance with the Trust Agreement, and (b) thereafter, the Trust Account shall terminate, except as otherwise provided therein.</w:t>
      </w:r>
    </w:p>
    <w:p>
      <w:pPr>
        <w:spacing w:after="0" w:line="167"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010000"/>
        </w:rPr>
        <w:t>Section 5.14</w:t>
      </w:r>
      <w:r>
        <w:rPr>
          <w:sz w:val="20"/>
          <w:szCs w:val="20"/>
          <w:color w:val="auto"/>
        </w:rPr>
        <w:tab/>
      </w:r>
      <w:r>
        <w:rPr>
          <w:rFonts w:ascii="Times New Roman" w:cs="Times New Roman" w:eastAsia="Times New Roman" w:hAnsi="Times New Roman"/>
          <w:sz w:val="17"/>
          <w:szCs w:val="17"/>
          <w:b w:val="1"/>
          <w:bCs w:val="1"/>
          <w:u w:val="single" w:color="auto"/>
          <w:color w:val="auto"/>
        </w:rPr>
        <w:t>Company Shareholder Approval</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15" w:lineRule="auto"/>
        <w:tabs>
          <w:tab w:leader="none" w:pos="1550"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promptly as reasonably practicable (and in any event within five (5) Business Days) following the date on which the Registration Statement / Proxy Statement is declared effective under the Securities Act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date the Registration Statement / Proxy Statement is declared effective under the Securities Act, the “</w:t>
      </w:r>
      <w:r>
        <w:rPr>
          <w:rFonts w:ascii="Times New Roman" w:cs="Times New Roman" w:eastAsia="Times New Roman" w:hAnsi="Times New Roman"/>
          <w:sz w:val="18"/>
          <w:szCs w:val="18"/>
          <w:u w:val="single" w:color="auto"/>
          <w:color w:val="auto"/>
        </w:rPr>
        <w:t>Company Shareholder Written Consent Deadline</w:t>
      </w:r>
      <w:r>
        <w:rPr>
          <w:rFonts w:ascii="Times New Roman" w:cs="Times New Roman" w:eastAsia="Times New Roman" w:hAnsi="Times New Roman"/>
          <w:sz w:val="18"/>
          <w:szCs w:val="18"/>
          <w:color w:val="auto"/>
        </w:rPr>
        <w:t xml:space="preserve">”), the Company shall obtain and deliver to ARYA a true and correct copy of a written consent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adopting and approving this Agreement and the transactions contemplated hereby (including the Merger) from the Company Shareholders that hold at least a number of Company Shares equal to the Company Required Shareholder Approval (the “</w:t>
      </w:r>
      <w:r>
        <w:rPr>
          <w:rFonts w:ascii="Times New Roman" w:cs="Times New Roman" w:eastAsia="Times New Roman" w:hAnsi="Times New Roman"/>
          <w:sz w:val="18"/>
          <w:szCs w:val="18"/>
          <w:u w:val="single" w:color="auto"/>
          <w:color w:val="auto"/>
        </w:rPr>
        <w:t>Company Shareholder Written Consent</w:t>
      </w:r>
      <w:r>
        <w:rPr>
          <w:rFonts w:ascii="Times New Roman" w:cs="Times New Roman" w:eastAsia="Times New Roman" w:hAnsi="Times New Roman"/>
          <w:sz w:val="18"/>
          <w:szCs w:val="18"/>
          <w:color w:val="auto"/>
        </w:rPr>
        <w:t>”).</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5" w:name="page96"/>
    <w:bookmarkEnd w:id="95"/>
    <w:p>
      <w:pPr>
        <w:jc w:val="both"/>
        <w:ind w:firstLine="1074"/>
        <w:spacing w:after="0" w:line="236" w:lineRule="auto"/>
        <w:tabs>
          <w:tab w:leader="none" w:pos="1893" w:val="left"/>
        </w:tabs>
        <w:numPr>
          <w:ilvl w:val="0"/>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Promptly following the receipt of the Company Required Shareholder Approval, the Company shall prepare and deliver to each Company Shareholder who has not executed and delivered the Company Shareholder Written Consent an information statement, in form and substance required under the DGCL and otherwise reasonably satisfactory to ARYA, which information statement shall include (i) copies of this Agreement and the Registration Statement / Proxy Statement, (ii) a description of any dissenters’ rights of the Company Shareholders available under Section 262 of the DGCL and any other disclosure with respect to dissenters’ rights required by applicable Law and (iii) in accordance with the requirements of Section 228(e) of the DGCL, notice to any Company Shareholder who has not executed and delivered the Company Shareholder Written Consent of the corporate action by those Company Shareholders who did execute the Company Shareholder Written Consent.</w:t>
      </w:r>
    </w:p>
    <w:p>
      <w:pPr>
        <w:spacing w:after="0" w:line="171"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010000"/>
        </w:rPr>
        <w:t>Section 5.15</w:t>
      </w:r>
      <w:r>
        <w:rPr>
          <w:sz w:val="20"/>
          <w:szCs w:val="20"/>
          <w:color w:val="auto"/>
        </w:rPr>
        <w:tab/>
      </w:r>
      <w:r>
        <w:rPr>
          <w:rFonts w:ascii="Times New Roman" w:cs="Times New Roman" w:eastAsia="Times New Roman" w:hAnsi="Times New Roman"/>
          <w:sz w:val="18"/>
          <w:szCs w:val="18"/>
          <w:b w:val="1"/>
          <w:bCs w:val="1"/>
          <w:u w:val="single" w:color="auto"/>
          <w:color w:val="auto"/>
        </w:rPr>
        <w:t>Financing</w:t>
      </w:r>
      <w:r>
        <w:rPr>
          <w:rFonts w:ascii="Times New Roman" w:cs="Times New Roman" w:eastAsia="Times New Roman" w:hAnsi="Times New Roman"/>
          <w:sz w:val="18"/>
          <w:szCs w:val="18"/>
          <w:b w:val="1"/>
          <w:bCs w:val="1"/>
          <w:color w:val="auto"/>
        </w:rPr>
        <w:t>.</w:t>
      </w:r>
    </w:p>
    <w:p>
      <w:pPr>
        <w:spacing w:after="0" w:line="194" w:lineRule="exact"/>
        <w:rPr>
          <w:sz w:val="20"/>
          <w:szCs w:val="20"/>
          <w:color w:val="auto"/>
        </w:rPr>
      </w:pPr>
    </w:p>
    <w:p>
      <w:pPr>
        <w:jc w:val="both"/>
        <w:ind w:firstLine="1074"/>
        <w:spacing w:after="0" w:line="234" w:lineRule="auto"/>
        <w:tabs>
          <w:tab w:leader="none" w:pos="1761"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shall use its reasonable best efforts to (i) obtain the PIPE Financing, enforce the obligations of the PIPE Investors under the PIPE Subscription Agreements, and consummate the purchases contemplated by the PIPE Subscription Agreements on the terms and subject to the conditions set forth in the PIPE Subscription Agreements, (ii) satisfy all conditions to the PIPE Financing set forth in the PIPE Subscription Agreements that are within its control, and (iii) satisfy and comply with its obligations under the PIPE Subscription Agreements. The Company shall use its reasonable best efforts to, and shall use its reasonable best efforts to cause its Representatives to, cooperate with ARYA and its Representatives in connection with the matters specified in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If reasonably requested by the Company, ARYA shall, to the extent it has such rights under the PIPE Subscription Agreement, waive any breach of any representation, warranty, covenant or agreement of the PIPE Subscription Agreement by any PIPE Investor to the extent necessary to cause the satisfaction of the conditions to closing of the PIPE Financing set forth in the PIPE Subscription Agreements and solely for the purpose of consummating the Closing, provided that (i) any such waiver may be subject to, and conditioned upon, the Closing occurring and the substantially concurrent funding of such PIPE Financing, (ii) subject to, and condition upon, the Closing occurring substantially concurrent funding of the PIPE Financing, the Company also waives any such breach to the extent the Company is a third party beneficiary of the provision that was so breached (iii) any such waiver shall be subject to the rights of the placement agent, as applicable, under such PIPE Subscription Agreement with respect to such waiver.</w:t>
      </w:r>
    </w:p>
    <w:p>
      <w:pPr>
        <w:spacing w:after="0" w:line="174"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04"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shall not amend, modify or waive any provisions of any PIPE Subscription Agreement without the prior written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amendment, modification or waiver that is solely ministerial in nature or otherwise immaterial, and, in each case, that does not affect any economic or any other material term, shall not require the prior written consent, so long as ARYA has provided to the Company no less than two (2) Business Days written notice of such amendment, modification or waiver, it being understood, but without limiting the foregoing, that it shall be deemed material if any amendment, modification or waiver (i) reduces the amount of the PIPE Financing available under the PIPE Subscription Agreements or (ii) imposes new or additional conditions or otherwise expands, amends or modifies any of the conditions to the receipt of the PIPE Financing.</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96" w:name="page97"/>
    <w:bookmarkEnd w:id="96"/>
    <w:p>
      <w:pPr>
        <w:jc w:val="both"/>
        <w:ind w:firstLine="1074"/>
        <w:spacing w:after="0" w:line="235" w:lineRule="auto"/>
        <w:tabs>
          <w:tab w:leader="none" w:pos="1550" w:val="left"/>
        </w:tabs>
        <w:numPr>
          <w:ilvl w:val="0"/>
          <w:numId w:val="9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shall (i) promptly notify the Company upon having knowledge of any material breach or default under, or termination of, any PIPE Subscription Agreement (including any refusal or repudiation by any PIPE Investor with respect to its obligation and/or ability to provide the full financing contemplated by the applicable PIPE Subscription Agreement), (ii) prior to delivering any written notice (or any other material notice) to a PIPE Investor with respect to any PIPE Subscription Agreement, deliver such notice to the Company for its prior review and consent (which consent shall not be unreasonably withheld, conditioned or delayed), and (iii) promptly, and in any event, within two (2) Business Days following the Company’s reasonable request, deliver the Closing Notice (as defined in the PIPE Subscription Agreement) to the PIPE Investors if conditions to the delivery of such notice under the PIPE Subscription Agreement have been satisfied and all of the conditions to the Closing set forth in Article 6 have been satisfied or waived (other than those conditions that, by their nature, are to be satisfied at the Closing, but that would, as of such date, reasonably be expected to be satisfied if the Closing were to occur).</w:t>
      </w:r>
    </w:p>
    <w:p>
      <w:pPr>
        <w:spacing w:after="0" w:line="170" w:lineRule="exact"/>
        <w:rPr>
          <w:sz w:val="20"/>
          <w:szCs w:val="20"/>
          <w:color w:val="auto"/>
        </w:rPr>
      </w:pPr>
    </w:p>
    <w:p>
      <w:pPr>
        <w:ind w:left="54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010000"/>
        </w:rPr>
        <w:t>Section 5.16</w:t>
      </w:r>
      <w:r>
        <w:rPr>
          <w:sz w:val="20"/>
          <w:szCs w:val="20"/>
          <w:color w:val="auto"/>
        </w:rPr>
        <w:tab/>
      </w:r>
      <w:r>
        <w:rPr>
          <w:rFonts w:ascii="Times New Roman" w:cs="Times New Roman" w:eastAsia="Times New Roman" w:hAnsi="Times New Roman"/>
          <w:sz w:val="17"/>
          <w:szCs w:val="17"/>
          <w:b w:val="1"/>
          <w:bCs w:val="1"/>
          <w:u w:val="single" w:color="auto"/>
          <w:color w:val="auto"/>
        </w:rPr>
        <w:t>ARYA Indemnification; Directors’ and Officers’ Insurance</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4" w:lineRule="auto"/>
        <w:tabs>
          <w:tab w:leader="none" w:pos="1972"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Party agrees that (i) all rights to indemnification or exculpation existing as of the date of this Agreement and in effect immediately prior to the Effective Time (but, for the avoidance of doubt, following the Domestication) in favor of the directors and officers of each ARYA Party, as provided in the applicable ARYA Party’s Governing Documents or director and officer indemnification agreements, in substantially the form set forth in the ARYA SEC Reports,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perform and discharge, or cause to be performed and discharged, all obligations to provide such indemnity and exculpation during such six (6)-year period. To the maximum extent permitted by applicable Law, during such six (6)-year period, ARYA shall advance, or caused to be advanced, expenses in connection with such indemnification as provided in the applicable ARYA Party’s Governing Documents or other applicable agreements as in effect immediately prior to the Effective Time. The indemnification and liability limitation or exculpation provisions of the ARYA Parties’ Governing Documents shall not, during such six (6)-year period, be amended, repealed or otherwise modified following the Effective Time in any manner that would materially and adversely affect the rights thereunder of individuals who, as of immediately prior to the Effective Time, or at any time prior to such time, were directors or officers of any ARYA Party (the “</w:t>
      </w:r>
      <w:r>
        <w:rPr>
          <w:rFonts w:ascii="Times New Roman" w:cs="Times New Roman" w:eastAsia="Times New Roman" w:hAnsi="Times New Roman"/>
          <w:sz w:val="18"/>
          <w:szCs w:val="18"/>
          <w:u w:val="single" w:color="auto"/>
          <w:color w:val="auto"/>
        </w:rPr>
        <w:t>ARYA D&amp;O Persons</w:t>
      </w:r>
      <w:r>
        <w:rPr>
          <w:rFonts w:ascii="Times New Roman" w:cs="Times New Roman" w:eastAsia="Times New Roman" w:hAnsi="Times New Roman"/>
          <w:sz w:val="18"/>
          <w:szCs w:val="18"/>
          <w:color w:val="auto"/>
        </w:rPr>
        <w:t>”) entitled to be so indemnified, have their liability limited or be exculpated with respect to any matters occurring on or prior to the Effective Time and relating to the fact that such ARYA D&amp;O Person was a director or officer of any ARYA Party on or prior to the Effective Time, unless such amendment, repeal or other modification is required by applicable Law.</w:t>
      </w:r>
    </w:p>
    <w:p>
      <w:pPr>
        <w:spacing w:after="0" w:line="169"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04"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shall not have any obligation under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to any ARYA D&amp;O Person when and if a court of competent jurisdiction shall ultimately determine (and such determination shall have become final and non-appealable) that the indemnification of such ARYA D&amp;O Person in the manner contemplated hereby is prohibited by applicable Law.</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7" w:name="page98"/>
    <w:bookmarkEnd w:id="97"/>
    <w:p>
      <w:pPr>
        <w:jc w:val="both"/>
        <w:ind w:firstLine="1074"/>
        <w:spacing w:after="0" w:line="236" w:lineRule="auto"/>
        <w:tabs>
          <w:tab w:leader="none" w:pos="1872"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a period of six (6) years following the Effective Time, ARYA shall maintain, without any lapses in coverage, directors’ and officers’ liability insurance for the benefit of those Persons who are covered by any comparable insurance policies of the ARYA Parties in effect as of the date of this Agreement with respect to matters occurring on or prior to the Effective Time. Such insurance policies shall provide coverage on terms (with respect to coverage and amount) that are substantially the same as (and no less favorable, in the aggregate to the Persons covered thereby than) the coverage provided under ARYA’s directors’ and officers’ liability insurance policies in effect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ARYA shall not be obligated to pay annual premiums in excess of three hundred percent (300%) of the most recent annual premium paid by ARYA prior to the date of this Agreement and, in such event, ARYA shall purchase the maximum coverage available for three hundred percent (300%) of the most recent annual premium paid by ARYA prior to the date of this Agreement.</w:t>
      </w:r>
    </w:p>
    <w:p>
      <w:pPr>
        <w:spacing w:after="0" w:line="168" w:lineRule="exact"/>
        <w:rPr>
          <w:rFonts w:ascii="Times New Roman" w:cs="Times New Roman" w:eastAsia="Times New Roman" w:hAnsi="Times New Roman"/>
          <w:sz w:val="18"/>
          <w:szCs w:val="18"/>
          <w:color w:val="010000"/>
        </w:rPr>
      </w:pPr>
    </w:p>
    <w:p>
      <w:pPr>
        <w:jc w:val="both"/>
        <w:ind w:firstLine="1074"/>
        <w:spacing w:after="0" w:line="250" w:lineRule="auto"/>
        <w:tabs>
          <w:tab w:leader="none" w:pos="1801" w:val="left"/>
        </w:tabs>
        <w:numPr>
          <w:ilvl w:val="0"/>
          <w:numId w:val="9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ARYA shall obtain, at or prior to the Closing, and ARYA shall maintain, or cause to be maintained, in effect for a period of six (6) years following the Effective Time, without lapses in coverage, a “tail” policy providing directors’ and officers’ liability insurance coverage for the benefit of those Persons who are currently covered by any comparable insurance policies of ARYA in effect as of the date of this Agreement with respect to matters occurring on or prior to the Effective Time, which may be satisfied by an existing D&amp;O insurance policy of ARYA, providing the aforementioned coverage set forth in this </w:t>
      </w:r>
      <w:r>
        <w:rPr>
          <w:rFonts w:ascii="Times New Roman" w:cs="Times New Roman" w:eastAsia="Times New Roman" w:hAnsi="Times New Roman"/>
          <w:sz w:val="17"/>
          <w:szCs w:val="17"/>
          <w:u w:val="single" w:color="auto"/>
          <w:color w:val="auto"/>
        </w:rPr>
        <w:t>Section 5.16(d)</w:t>
      </w:r>
      <w:r>
        <w:rPr>
          <w:rFonts w:ascii="Times New Roman" w:cs="Times New Roman" w:eastAsia="Times New Roman" w:hAnsi="Times New Roman"/>
          <w:sz w:val="17"/>
          <w:szCs w:val="17"/>
          <w:color w:val="auto"/>
        </w:rPr>
        <w:t xml:space="preserve"> (including via a prepaid or previously acquired “tail” that automatically takes effect at the Closing). Such “tail” coverage shall provide coverage on terms (with respect to coverage and amount) that are substantially the same as (and no less favorable in the aggregate to the Persons covered thereby) the coverage provided under ARYA's directors’ and officers’ liability insurance policies as of the date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none of the Company, ARYA or any their respective Affiliates shall pay a premium for any “tail” policy, if any, in excess of three-hundred percent (300%) of the most recent annual premium paid by ARYA prior to the date of this Agreement and, in such event, ARYA or one of its Affiliates shall purchase the maximum coverage available for three-hundred (300%) of the most recent annual premium paid by ARYA prior to the date of this Agreement.</w:t>
      </w:r>
    </w:p>
    <w:p>
      <w:pPr>
        <w:spacing w:after="0" w:line="160" w:lineRule="exact"/>
        <w:rPr>
          <w:rFonts w:ascii="Times New Roman" w:cs="Times New Roman" w:eastAsia="Times New Roman" w:hAnsi="Times New Roman"/>
          <w:sz w:val="17"/>
          <w:szCs w:val="17"/>
          <w:color w:val="010000"/>
        </w:rPr>
      </w:pPr>
    </w:p>
    <w:p>
      <w:pPr>
        <w:jc w:val="both"/>
        <w:ind w:firstLine="1074"/>
        <w:spacing w:after="0" w:line="241" w:lineRule="auto"/>
        <w:tabs>
          <w:tab w:leader="none" w:pos="1694"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commercially reasonable efforts to cause the successors or assigns of ARYA to assume all of the obligations set forth in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w:t>
      </w:r>
    </w:p>
    <w:p>
      <w:pPr>
        <w:spacing w:after="0" w:line="166"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97" w:val="left"/>
        </w:tabs>
        <w:numPr>
          <w:ilvl w:val="0"/>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ARYA.</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98" w:name="page99"/>
    <w:bookmarkEnd w:id="98"/>
    <w:p>
      <w:pPr>
        <w:ind w:left="54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010000"/>
        </w:rPr>
        <w:t>Section 5.17</w:t>
      </w:r>
      <w:r>
        <w:rPr>
          <w:sz w:val="20"/>
          <w:szCs w:val="20"/>
          <w:color w:val="auto"/>
        </w:rPr>
        <w:tab/>
      </w:r>
      <w:r>
        <w:rPr>
          <w:rFonts w:ascii="Times New Roman" w:cs="Times New Roman" w:eastAsia="Times New Roman" w:hAnsi="Times New Roman"/>
          <w:sz w:val="17"/>
          <w:szCs w:val="17"/>
          <w:b w:val="1"/>
          <w:bCs w:val="1"/>
          <w:u w:val="single" w:color="auto"/>
          <w:color w:val="auto"/>
        </w:rPr>
        <w:t>Company Indemnification; Directors’ and Officers’ Insurance</w:t>
      </w:r>
      <w:r>
        <w:rPr>
          <w:rFonts w:ascii="Times New Roman" w:cs="Times New Roman" w:eastAsia="Times New Roman" w:hAnsi="Times New Roman"/>
          <w:sz w:val="17"/>
          <w:szCs w:val="17"/>
          <w:b w:val="1"/>
          <w:bCs w:val="1"/>
          <w:color w:val="auto"/>
        </w:rPr>
        <w:t>.</w:t>
      </w:r>
    </w:p>
    <w:p>
      <w:pPr>
        <w:spacing w:after="0" w:line="196" w:lineRule="exact"/>
        <w:rPr>
          <w:sz w:val="20"/>
          <w:szCs w:val="20"/>
          <w:color w:val="auto"/>
        </w:rPr>
      </w:pPr>
    </w:p>
    <w:p>
      <w:pPr>
        <w:jc w:val="both"/>
        <w:ind w:firstLine="1074"/>
        <w:spacing w:after="0" w:line="234" w:lineRule="auto"/>
        <w:tabs>
          <w:tab w:leader="none" w:pos="1761"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Each Party agrees that (i) all rights to indemnification or exculpation now existing as of the date of this Agreement and in effect immediately prior to the Effective Time in favor of the directors and officers of the Group Companies, as provided in the Group Companies’ Governing Documents or director and officer indemnification agreements set forth on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xml:space="preserve"> of the Company Disclosure Schedules, in substantially the form made available,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cause the applicable Group Companies to perform and discharge all obligations to provide such indemnity and exculpation during such six (6)-year period. To the maximum extent permitted by applicable Law, during such six (6)-year period, ARYA shall cause the applicable Group Companies to advance expenses in connection with such indemnification as provided in the Group Companies’ Governing Documents or other applicable agreements in effect as of immediately prior to the Effective Time. The indemnification and liability limitation or exculpation provisions of the Group Companies’ Governing Documents shall not, during such six (6)-year period, be amended, repealed or otherwise modified following the Effective Time in any manner that would materially and adversely affect the rights thereunder of individuals who, as of the Effective Time or at any time prior to the Effective Time, were directors or officers of the Group Companies (the “</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entitled to be so indemnified, have their liability limited or be exculpated with respect to any matters occurring prior to Closing and relating to the fact that such Company D&amp;O Person was a director or officer of any Group Company on or prior to the Effective Time, unless such amendment, repeal or other modification is required by applicable Law.</w:t>
      </w:r>
    </w:p>
    <w:p>
      <w:pPr>
        <w:spacing w:after="0" w:line="169"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38"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None of ARYA or the Group Companies shall have any obligation under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62" w:lineRule="exact"/>
        <w:rPr>
          <w:rFonts w:ascii="Times New Roman" w:cs="Times New Roman" w:eastAsia="Times New Roman" w:hAnsi="Times New Roman"/>
          <w:sz w:val="18"/>
          <w:szCs w:val="18"/>
          <w:color w:val="010000"/>
        </w:rPr>
      </w:pPr>
    </w:p>
    <w:p>
      <w:pPr>
        <w:jc w:val="both"/>
        <w:ind w:firstLine="1074"/>
        <w:spacing w:after="0" w:line="234" w:lineRule="auto"/>
        <w:tabs>
          <w:tab w:leader="none" w:pos="1694" w:val="left"/>
        </w:tabs>
        <w:numPr>
          <w:ilvl w:val="0"/>
          <w:numId w:val="9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Company shall purchase, at or prior to the Closing, and ARYA shall maintain, or cause to be maintained, in effect for a period of six (6) years following the Effective Time, without lapses in coverage, a “tail” policy policy providing directors’ and officers’ liability insurance coverage for the benefit of those Persons who are currently covered by any comparable insurance policies of the Group Companies in effect as of the date of this Agreement with respect to matters occurring on or prior to the Effective Time, which may be satisfied through the annual renewal of a D&amp;O insurance described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xml:space="preserve">, providing the aforementioned coverage set forth in this </w:t>
      </w:r>
      <w:r>
        <w:rPr>
          <w:rFonts w:ascii="Times New Roman" w:cs="Times New Roman" w:eastAsia="Times New Roman" w:hAnsi="Times New Roman"/>
          <w:sz w:val="18"/>
          <w:szCs w:val="18"/>
          <w:u w:val="single" w:color="auto"/>
          <w:color w:val="auto"/>
        </w:rPr>
        <w:t>Section 5.17(c)</w:t>
      </w:r>
      <w:r>
        <w:rPr>
          <w:rFonts w:ascii="Times New Roman" w:cs="Times New Roman" w:eastAsia="Times New Roman" w:hAnsi="Times New Roman"/>
          <w:sz w:val="18"/>
          <w:szCs w:val="18"/>
          <w:color w:val="auto"/>
        </w:rPr>
        <w:t xml:space="preserve">. Such “tail” coverage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Company, ARYA or any their respective Affiliates shall pay a premium for any “tail” policy, if any, in excess of three-hundred percent (300%) of the most recent annual premium paid by the Group Companies prior to the date of this Agreement and, in such event, the Company or one of its Affiliates shall purchase the maximum coverage available for three-hundred (300%) of the most recent annual premium paid by the Group Companies prior to the date of this Agreement.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99" w:name="page100"/>
    <w:bookmarkEnd w:id="99"/>
    <w:p>
      <w:pPr>
        <w:jc w:val="both"/>
        <w:ind w:firstLine="1074"/>
        <w:spacing w:after="0"/>
        <w:tabs>
          <w:tab w:leader="none" w:pos="1704"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its commercially reasonable efforts to cause the successors or assigns of ARYA to assume all of the obligations set forth in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805"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ARYA.</w:t>
      </w:r>
    </w:p>
    <w:p>
      <w:pPr>
        <w:spacing w:after="0" w:line="160"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5.18</w:t>
      </w:r>
      <w:r>
        <w:rPr>
          <w:sz w:val="20"/>
          <w:szCs w:val="20"/>
          <w:color w:val="auto"/>
        </w:rPr>
        <w:tab/>
      </w:r>
      <w:r>
        <w:rPr>
          <w:rFonts w:ascii="Times New Roman" w:cs="Times New Roman" w:eastAsia="Times New Roman" w:hAnsi="Times New Roman"/>
          <w:sz w:val="17"/>
          <w:szCs w:val="17"/>
          <w:b w:val="1"/>
          <w:bCs w:val="1"/>
          <w:u w:val="single" w:color="auto"/>
          <w:color w:val="auto"/>
        </w:rPr>
        <w:t>Post-Closing Directors and Officers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6" w:lineRule="auto"/>
        <w:tabs>
          <w:tab w:leader="none" w:pos="1728"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shall take all such action as may be necessary or reasonably appropriate such that effective as of the Effective Time: (i) the ARYA Board shall consist of nine (9) directors, which shall be divided into three (3) classes, designated Class I, II and III, with Class I consisting of three (3) directors, Class II consisting of three (3) directors and Class III consisting of three (3)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individual is not identified to serve as a director pursuant to </w:t>
      </w:r>
      <w:r>
        <w:rPr>
          <w:rFonts w:ascii="Times New Roman" w:cs="Times New Roman" w:eastAsia="Times New Roman" w:hAnsi="Times New Roman"/>
          <w:sz w:val="18"/>
          <w:szCs w:val="18"/>
          <w:u w:val="single" w:color="auto"/>
          <w:color w:val="auto"/>
        </w:rPr>
        <w:t>Section 5.18(d)</w:t>
      </w:r>
      <w:r>
        <w:rPr>
          <w:rFonts w:ascii="Times New Roman" w:cs="Times New Roman" w:eastAsia="Times New Roman" w:hAnsi="Times New Roman"/>
          <w:sz w:val="18"/>
          <w:szCs w:val="18"/>
          <w:color w:val="auto"/>
        </w:rPr>
        <w:t xml:space="preserve">, then one director seat shall be vacant following the Effective Time until a director is appointed or elected to fill such vacant directorship in accordance with the Governing Documents of ARYA; (ii) the members of the ARYA Board are the individuals determined in accordance with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5.18(d)</w:t>
      </w:r>
      <w:r>
        <w:rPr>
          <w:rFonts w:ascii="Times New Roman" w:cs="Times New Roman" w:eastAsia="Times New Roman" w:hAnsi="Times New Roman"/>
          <w:sz w:val="18"/>
          <w:szCs w:val="18"/>
          <w:color w:val="auto"/>
        </w:rPr>
        <w:t xml:space="preserve">; (iii) the members of the compensation committee, audit committee and nominating committee of the ARYA Board are the individuals determined in accordance with </w:t>
      </w:r>
      <w:r>
        <w:rPr>
          <w:rFonts w:ascii="Times New Roman" w:cs="Times New Roman" w:eastAsia="Times New Roman" w:hAnsi="Times New Roman"/>
          <w:sz w:val="18"/>
          <w:szCs w:val="18"/>
          <w:u w:val="single" w:color="auto"/>
          <w:color w:val="auto"/>
        </w:rPr>
        <w:t>Section 5.18(e)</w:t>
      </w:r>
      <w:r>
        <w:rPr>
          <w:rFonts w:ascii="Times New Roman" w:cs="Times New Roman" w:eastAsia="Times New Roman" w:hAnsi="Times New Roman"/>
          <w:sz w:val="18"/>
          <w:szCs w:val="18"/>
          <w:color w:val="auto"/>
        </w:rPr>
        <w:t>; and (iv) the officers of ARYA (the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xml:space="preserve">”) are the individuals determined in accordance with </w:t>
      </w:r>
      <w:r>
        <w:rPr>
          <w:rFonts w:ascii="Times New Roman" w:cs="Times New Roman" w:eastAsia="Times New Roman" w:hAnsi="Times New Roman"/>
          <w:sz w:val="18"/>
          <w:szCs w:val="18"/>
          <w:u w:val="single" w:color="auto"/>
          <w:color w:val="auto"/>
        </w:rPr>
        <w:t>Section 5.18(f)</w:t>
      </w:r>
      <w:r>
        <w:rPr>
          <w:rFonts w:ascii="Times New Roman" w:cs="Times New Roman" w:eastAsia="Times New Roman" w:hAnsi="Times New Roman"/>
          <w:sz w:val="18"/>
          <w:szCs w:val="18"/>
          <w:color w:val="auto"/>
        </w:rPr>
        <w:t>.</w:t>
      </w:r>
    </w:p>
    <w:p>
      <w:pPr>
        <w:spacing w:after="0" w:line="168"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38"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individual identified on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 xml:space="preserve"> of the ARYA Disclosure Schedules shall be a director on the ARYA Board immediately after the Effective Time, with such individual being in the class of directors set forth opposite his or her name (the “</w:t>
      </w:r>
      <w:r>
        <w:rPr>
          <w:rFonts w:ascii="Times New Roman" w:cs="Times New Roman" w:eastAsia="Times New Roman" w:hAnsi="Times New Roman"/>
          <w:sz w:val="18"/>
          <w:szCs w:val="18"/>
          <w:u w:val="single" w:color="auto"/>
          <w:color w:val="auto"/>
        </w:rPr>
        <w:t>ARYA Designee</w:t>
      </w:r>
      <w:r>
        <w:rPr>
          <w:rFonts w:ascii="Times New Roman" w:cs="Times New Roman" w:eastAsia="Times New Roman" w:hAnsi="Times New Roman"/>
          <w:sz w:val="18"/>
          <w:szCs w:val="18"/>
          <w:color w:val="auto"/>
        </w:rPr>
        <w:t xml:space="preserve">”). Prior to the time at which the Registration Statement / Proxy Statement is declared effective under the Securities Act, the ARYA Sponsor may, by giving the Company and ARYA written notice, replace the ARYA Designee with any individual and, upon the ARYA Sponsor so giving notice of the replacement of the ARYA Designee, </w:t>
      </w:r>
      <w:r>
        <w:rPr>
          <w:rFonts w:ascii="Times New Roman" w:cs="Times New Roman" w:eastAsia="Times New Roman" w:hAnsi="Times New Roman"/>
          <w:sz w:val="18"/>
          <w:szCs w:val="18"/>
          <w:u w:val="single" w:color="auto"/>
          <w:color w:val="auto"/>
        </w:rPr>
        <w:t>Section 5.18(b)</w:t>
      </w:r>
      <w:r>
        <w:rPr>
          <w:rFonts w:ascii="Times New Roman" w:cs="Times New Roman" w:eastAsia="Times New Roman" w:hAnsi="Times New Roman"/>
          <w:sz w:val="18"/>
          <w:szCs w:val="18"/>
          <w:color w:val="auto"/>
        </w:rPr>
        <w:t xml:space="preserve"> of the ARYA Disclosure Schedules shall automatically be deemed amended to include such replacement individual as the ARYA Designee in lieu of, and to serve in the same class of directors as, the individual so replaced.</w:t>
      </w:r>
    </w:p>
    <w:p>
      <w:pPr>
        <w:spacing w:after="0" w:line="171" w:lineRule="exact"/>
        <w:rPr>
          <w:rFonts w:ascii="Times New Roman" w:cs="Times New Roman" w:eastAsia="Times New Roman" w:hAnsi="Times New Roman"/>
          <w:sz w:val="18"/>
          <w:szCs w:val="18"/>
          <w:color w:val="010000"/>
        </w:rPr>
      </w:pPr>
    </w:p>
    <w:p>
      <w:pPr>
        <w:jc w:val="both"/>
        <w:ind w:firstLine="1074"/>
        <w:spacing w:after="0" w:line="234" w:lineRule="auto"/>
        <w:tabs>
          <w:tab w:leader="none" w:pos="1761"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seven (7) individuals identified on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of the Company Disclosure Schedules shall be directors on the ARYA Board immediately after the Effective Time, with each such individual being in the class of directors set forth opposite his or her name (each,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xml:space="preserve">”). Prior to the time at which the Registration Statement / Proxy Statement is declared effective under the Securities Act, (i) the Company may, by giving ARYA and the ARYA Sponsor written notice, replace any Company Designee with any other individual that is a member of the Company Board or is a Company Board observer, in either case, as of the date of this Agreement and, upon the Company so giving notice of the replacement of such Company Designee,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of the Company Disclosure Schedules shall automatically be deemed amended to include such replacement individual as a Company Designee in lieu of, and to serve in the same class of directors as, the individual so replaced or (ii) the Company may, with the prior written consent of ARYA and the ARYA Sponsor (such consent not to be unreasonably withheld, conditioned or delayed by either ARYA or the ARYA Sponsor), replace any Company Designee with any other individual and, if ARYA and the ARYA Sponsor each provides its written consent to the replacement of any such Company Designee pursuant to this clause (ii), then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of the Company Disclosure Schedules shall automatically be deemed amended to include such replacement individual as a Company Designee in lieu of, and to serve in the same class of directors as, the individual so replaced. Notwithstanding the foregoing or anything to the contrary herein, unless otherwise agreed in writing by ARYA and the ARYA Sponsor, in no event shall there be less than four (4) Company Designees that qualify as “independent directors” (as defined in Nasdaq rule 5605(a)(2)) (whether as a result of the replacement of any Company Designee as contemplated by this </w:t>
      </w:r>
      <w:r>
        <w:rPr>
          <w:rFonts w:ascii="Times New Roman" w:cs="Times New Roman" w:eastAsia="Times New Roman" w:hAnsi="Times New Roman"/>
          <w:sz w:val="18"/>
          <w:szCs w:val="18"/>
          <w:u w:val="single" w:color="auto"/>
          <w:color w:val="auto"/>
        </w:rPr>
        <w:t>Section 5.18(c)</w:t>
      </w:r>
      <w:r>
        <w:rPr>
          <w:rFonts w:ascii="Times New Roman" w:cs="Times New Roman" w:eastAsia="Times New Roman" w:hAnsi="Times New Roman"/>
          <w:sz w:val="18"/>
          <w:szCs w:val="18"/>
          <w:color w:val="auto"/>
        </w:rPr>
        <w:t xml:space="preserve"> or otherwise).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0" w:name="page101"/>
    <w:bookmarkEnd w:id="100"/>
    <w:p>
      <w:pPr>
        <w:jc w:val="both"/>
        <w:ind w:firstLine="1074"/>
        <w:spacing w:after="0" w:line="245" w:lineRule="auto"/>
        <w:tabs>
          <w:tab w:leader="none" w:pos="1793"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the time at which the Registration Statement / Proxy Statement is declared effective under the Securities Act, the Company may identify one individual that qualifies as an “independent director” under the listing rules of Nasdaq and is reasonably acceptable to the ARYA Sponsor to serve as a Class III director of the ARYA Board immediately after the Effective Time.</w:t>
      </w:r>
    </w:p>
    <w:p>
      <w:pPr>
        <w:spacing w:after="0" w:line="163"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83"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Prior to the time at which the Registration Statement / Proxy Statement is declared effective under the Securities Act, the Company shall designate each director that will serve on the compensation committee, the audit committee and the nominating committee of the ARYA Board immediately after the Effective Time, subject to applicable listing rules of Nasdaq and applicable Federal Securities Laws.</w:t>
      </w:r>
    </w:p>
    <w:p>
      <w:pPr>
        <w:spacing w:after="0" w:line="16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52"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individuals identified on </w:t>
      </w:r>
      <w:r>
        <w:rPr>
          <w:rFonts w:ascii="Times New Roman" w:cs="Times New Roman" w:eastAsia="Times New Roman" w:hAnsi="Times New Roman"/>
          <w:sz w:val="18"/>
          <w:szCs w:val="18"/>
          <w:u w:val="single" w:color="auto"/>
          <w:color w:val="auto"/>
        </w:rPr>
        <w:t>Section 5.18(f)</w:t>
      </w:r>
      <w:r>
        <w:rPr>
          <w:rFonts w:ascii="Times New Roman" w:cs="Times New Roman" w:eastAsia="Times New Roman" w:hAnsi="Times New Roman"/>
          <w:sz w:val="18"/>
          <w:szCs w:val="18"/>
          <w:color w:val="auto"/>
        </w:rPr>
        <w:t xml:space="preserve"> of the Company Disclosure Schedules shall be Officers immediately after the Effective Time, with each such individual holding the title set forth opposite his or her name. In the event that any such individual identified on </w:t>
      </w:r>
      <w:r>
        <w:rPr>
          <w:rFonts w:ascii="Times New Roman" w:cs="Times New Roman" w:eastAsia="Times New Roman" w:hAnsi="Times New Roman"/>
          <w:sz w:val="18"/>
          <w:szCs w:val="18"/>
          <w:u w:val="single" w:color="auto"/>
          <w:color w:val="auto"/>
        </w:rPr>
        <w:t>Section 5.18(f)</w:t>
      </w:r>
      <w:r>
        <w:rPr>
          <w:rFonts w:ascii="Times New Roman" w:cs="Times New Roman" w:eastAsia="Times New Roman" w:hAnsi="Times New Roman"/>
          <w:sz w:val="18"/>
          <w:szCs w:val="18"/>
          <w:color w:val="auto"/>
        </w:rPr>
        <w:t xml:space="preserve"> of the Company Disclosure Schedules is unwilling or unable (whether due to death, disability, termination of service, or otherwise) to serve as an Officer, then, prior to the time at which the Registration Statement / Proxy Statement is declared effective under the Securities Act, the Company may, with the prior written consent of ARYA Sponsor (such consent not to be unreasonably withheld, conditioned or delayed), replace such individual with another individual to serve as such Officer and, if the ARYA Sponsor provides its consent to the replacement of such Officer, then </w:t>
      </w:r>
      <w:r>
        <w:rPr>
          <w:rFonts w:ascii="Times New Roman" w:cs="Times New Roman" w:eastAsia="Times New Roman" w:hAnsi="Times New Roman"/>
          <w:sz w:val="18"/>
          <w:szCs w:val="18"/>
          <w:u w:val="single" w:color="auto"/>
          <w:color w:val="auto"/>
        </w:rPr>
        <w:t>Section 5.18(f)</w:t>
      </w:r>
      <w:r>
        <w:rPr>
          <w:rFonts w:ascii="Times New Roman" w:cs="Times New Roman" w:eastAsia="Times New Roman" w:hAnsi="Times New Roman"/>
          <w:sz w:val="18"/>
          <w:szCs w:val="18"/>
          <w:color w:val="auto"/>
        </w:rPr>
        <w:t xml:space="preserve"> of the Company Disclosure Schedules shall automatically be deemed amended to include such replacement individual as an Officer in lieu of, and to serve with the same title as, the individual so replaced.</w:t>
      </w:r>
    </w:p>
    <w:p>
      <w:pPr>
        <w:spacing w:after="0" w:line="168"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682" w:val="left"/>
        </w:tabs>
        <w:numPr>
          <w:ilvl w:val="0"/>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obligations of ARYA pursuant to </w:t>
      </w:r>
      <w:r>
        <w:rPr>
          <w:rFonts w:ascii="Times New Roman" w:cs="Times New Roman" w:eastAsia="Times New Roman" w:hAnsi="Times New Roman"/>
          <w:sz w:val="18"/>
          <w:szCs w:val="18"/>
          <w:u w:val="single" w:color="auto"/>
          <w:color w:val="auto"/>
        </w:rPr>
        <w:t>Section 5.18(a)</w:t>
      </w:r>
      <w:r>
        <w:rPr>
          <w:rFonts w:ascii="Times New Roman" w:cs="Times New Roman" w:eastAsia="Times New Roman" w:hAnsi="Times New Roman"/>
          <w:sz w:val="18"/>
          <w:szCs w:val="18"/>
          <w:color w:val="auto"/>
        </w:rPr>
        <w:t xml:space="preserve"> shall include ARYA causing the removal or resignation of the applicable officers and directors of ARYA prior to or at the Effective Time for purposes of effectuating the agreements therein, to the extent such removal or resignation has not otherwise occurred prior to the Effective Time.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1" w:name="page102"/>
    <w:bookmarkEnd w:id="101"/>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5.19</w:t>
      </w:r>
      <w:r>
        <w:rPr>
          <w:sz w:val="20"/>
          <w:szCs w:val="20"/>
          <w:color w:val="auto"/>
        </w:rPr>
        <w:tab/>
      </w:r>
      <w:r>
        <w:rPr>
          <w:rFonts w:ascii="Times New Roman" w:cs="Times New Roman" w:eastAsia="Times New Roman" w:hAnsi="Times New Roman"/>
          <w:sz w:val="17"/>
          <w:szCs w:val="17"/>
          <w:b w:val="1"/>
          <w:bCs w:val="1"/>
          <w:u w:val="single" w:color="auto"/>
          <w:color w:val="auto"/>
        </w:rPr>
        <w:t>PCAOB Financials</w:t>
      </w:r>
      <w:r>
        <w:rPr>
          <w:rFonts w:ascii="Times New Roman" w:cs="Times New Roman" w:eastAsia="Times New Roman" w:hAnsi="Times New Roman"/>
          <w:sz w:val="17"/>
          <w:szCs w:val="17"/>
          <w:b w:val="1"/>
          <w:bCs w:val="1"/>
          <w:color w:val="auto"/>
        </w:rPr>
        <w:t>.</w:t>
      </w:r>
    </w:p>
    <w:p>
      <w:pPr>
        <w:spacing w:after="0" w:line="195" w:lineRule="exact"/>
        <w:rPr>
          <w:sz w:val="20"/>
          <w:szCs w:val="20"/>
          <w:color w:val="auto"/>
        </w:rPr>
      </w:pPr>
    </w:p>
    <w:p>
      <w:pPr>
        <w:jc w:val="both"/>
        <w:ind w:firstLine="1074"/>
        <w:spacing w:after="0" w:line="233" w:lineRule="auto"/>
        <w:tabs>
          <w:tab w:leader="none" w:pos="1717"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deliver to ARYA, (i) as promptly as reasonably practicable following the date of this Agreement, the audited consolidated balance sheets of the Company as of December 31, 2019 and December 31, 2020 and the related audited consolidated statements of operations and comprehensive loss, convertible preferred stock and stockholders’ deficit and cash flows of the Company for the years then ended (the financial statements described in this clause (i), the “</w:t>
      </w:r>
      <w:r>
        <w:rPr>
          <w:rFonts w:ascii="Times New Roman" w:cs="Times New Roman" w:eastAsia="Times New Roman" w:hAnsi="Times New Roman"/>
          <w:sz w:val="18"/>
          <w:szCs w:val="18"/>
          <w:u w:val="single" w:color="auto"/>
          <w:color w:val="auto"/>
        </w:rPr>
        <w:t>Closing Company Audited Financial Statements</w:t>
      </w:r>
      <w:r>
        <w:rPr>
          <w:rFonts w:ascii="Times New Roman" w:cs="Times New Roman" w:eastAsia="Times New Roman" w:hAnsi="Times New Roman"/>
          <w:sz w:val="18"/>
          <w:szCs w:val="18"/>
          <w:color w:val="auto"/>
        </w:rPr>
        <w:t>”), and (ii) as promptly as reasonably practicable following the date of the applicable period, any other audited or unaudited consolidated balance sheets and the related unaudited consolidated statements of operations and comprehensive loss, and stockholders’ deficit and cash flows of the Group Companies as of and for a year-to-date period ended as of the end of any other different fiscal quarter (and as of and for the same period from the previous fiscal year) or fiscal year (and as of and for the prior fiscal quarter), as applicable that as of such date is required to be included in the Registration Statement / Proxy Statement (the financial statements described in this clause (ii), the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Company Financial Statements</w:t>
      </w:r>
      <w:r>
        <w:rPr>
          <w:rFonts w:ascii="Times New Roman" w:cs="Times New Roman" w:eastAsia="Times New Roman" w:hAnsi="Times New Roman"/>
          <w:sz w:val="18"/>
          <w:szCs w:val="18"/>
          <w:color w:val="auto"/>
        </w:rPr>
        <w:t>”, and collectively with the Closing Company Audited Financial Statements, the “</w:t>
      </w:r>
      <w:r>
        <w:rPr>
          <w:rFonts w:ascii="Times New Roman" w:cs="Times New Roman" w:eastAsia="Times New Roman" w:hAnsi="Times New Roman"/>
          <w:sz w:val="18"/>
          <w:szCs w:val="18"/>
          <w:u w:val="single" w:color="auto"/>
          <w:color w:val="auto"/>
        </w:rPr>
        <w:t>Closing Company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The Company shall cause the Closing Company Financial Statements (A) to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(B) in the case of any audited financial statements, to be audited in accordance with the standards of the PCAOB and to contain a report of the Company’s auditor and (C) to comply in all material respects with the applicable accounting requirements and with the rules and regulations of the SEC, the Exchange Act and the Securities Act in effect as of the respective dates of delivery (including Regulation S-X or Regulation S-K, as applicable).</w:t>
      </w:r>
    </w:p>
    <w:p>
      <w:pPr>
        <w:spacing w:after="0" w:line="179"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738"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use its reasonable best efforts (i) to assist, upon advance written notice, during normal business hours and in a manner such as to not unreasonably interfere with the normal operation of the Group Companies, ARYA in causing to be prepared in a timely manner any other financial information or statements (including customary pro forma financial statements) that are required to be included in the Registration Statement / Proxy Statement and any other filings to be made by ARYA with the SEC in connection with the transactions contemplated by this Agreement or any Ancillary Document and (ii) to obtain the consents of its auditors with respect thereto as may be required by applicable Law or requested by the SEC.</w:t>
      </w:r>
    </w:p>
    <w:p>
      <w:pPr>
        <w:spacing w:after="0" w:line="165"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5.20 </w:t>
      </w:r>
      <w:r>
        <w:rPr>
          <w:rFonts w:ascii="Times New Roman" w:cs="Times New Roman" w:eastAsia="Times New Roman" w:hAnsi="Times New Roman"/>
          <w:sz w:val="18"/>
          <w:szCs w:val="18"/>
          <w:b w:val="1"/>
          <w:bCs w:val="1"/>
          <w:u w:val="single" w:color="auto"/>
          <w:color w:val="000000"/>
        </w:rPr>
        <w:t>ARYA Incentive Equity Plan; ARYA Employee Stock Purchase Plan</w:t>
      </w:r>
      <w:r>
        <w:rPr>
          <w:rFonts w:ascii="Times New Roman" w:cs="Times New Roman" w:eastAsia="Times New Roman" w:hAnsi="Times New Roman"/>
          <w:sz w:val="18"/>
          <w:szCs w:val="18"/>
          <w:color w:val="000000"/>
        </w:rPr>
        <w:t>. Prior to the ARYA Shareholders Meeting, the ARYA Board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approve and adopt (a) the equity incentive plan, in substantially the form attached as Exhibit H and with any changes or modifications thereto as the Company and ARYA may mutually agree (such agreement not to be unreasonably withheld, conditioned or delayed by either the Company or ARYA, as applicable) (the “ARYA Incentive Equity Plan”), in the manner prescribed under applicable Laws, effective as of immediately prior to the Closing, reserving initially 16,182,600 ARYA Shares for grant thereunder plus such additional ARYA Shares as may become available for issuance in accordance with the terms set forth in the ARYA Incentive Equity Plan, and (b) an employee stock purchase plan, in substantially the form attached as Exhibit I and with any changes or modifications thereto as the Company and ARYA may mutually agree (such agreement not to be unreasonably withheld, conditioned or delayed by either the Company or ARYA, as applicable) (the “ARYA Employee Stock Purchase Plan”), in the manner prescribed under applicable Laws, effective as of immediately prior to the Closing, reserving initially 1,244,900 ARYA Shares for grant thereunder plus such additional ARYA Shares as may become available for issuance in accordance with the terms set forth in the ARYA Employee Stock Purchase Plan.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02" w:name="page103"/>
    <w:bookmarkEnd w:id="102"/>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5.21 </w:t>
      </w:r>
      <w:r>
        <w:rPr>
          <w:rFonts w:ascii="Times New Roman" w:cs="Times New Roman" w:eastAsia="Times New Roman" w:hAnsi="Times New Roman"/>
          <w:sz w:val="18"/>
          <w:szCs w:val="18"/>
          <w:b w:val="1"/>
          <w:bCs w:val="1"/>
          <w:u w:val="single" w:color="auto"/>
          <w:color w:val="000000"/>
        </w:rPr>
        <w:t>FIRPTA Certificates</w:t>
      </w:r>
      <w:r>
        <w:rPr>
          <w:rFonts w:ascii="Times New Roman" w:cs="Times New Roman" w:eastAsia="Times New Roman" w:hAnsi="Times New Roman"/>
          <w:sz w:val="18"/>
          <w:szCs w:val="18"/>
          <w:color w:val="000000"/>
        </w:rPr>
        <w:t>. At or prior to the Closing, the Company shall deliver, or cause to be delivered, to ARYA a certificate, duly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executed by the Company, complying with Treasury Regulations Section 1.1445-2(c)(3), together with evidence that the Company has provided notice to the Internal Revenue Service in accordance with the provisions of Treasury Regulations Section 1.897-2(h)(2), in each case, in a form and substance reasonably acceptable to ARYA.</w:t>
      </w:r>
    </w:p>
    <w:p>
      <w:pPr>
        <w:spacing w:after="0" w:line="164"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5.22</w:t>
      </w:r>
      <w:r>
        <w:rPr>
          <w:sz w:val="20"/>
          <w:szCs w:val="20"/>
          <w:color w:val="auto"/>
        </w:rPr>
        <w:tab/>
      </w:r>
      <w:r>
        <w:rPr>
          <w:rFonts w:ascii="Times New Roman" w:cs="Times New Roman" w:eastAsia="Times New Roman" w:hAnsi="Times New Roman"/>
          <w:sz w:val="17"/>
          <w:szCs w:val="17"/>
          <w:b w:val="1"/>
          <w:bCs w:val="1"/>
          <w:u w:val="single" w:color="auto"/>
          <w:color w:val="auto"/>
        </w:rPr>
        <w:t>Employee Benefits Matters</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33" w:lineRule="auto"/>
        <w:tabs>
          <w:tab w:leader="none" w:pos="1728"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Following the Effective Time, ARYA shall, or shall cause the Company (as the surviving corporation on and after the Effective Time) and each of its subsidiaries, as applicable, to provide the employees of the Company who remain employed immediately after the Effective Time (the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credit for purposes of eligibility to participate, vesting and determining the level of benefits, as applicable, under any employee benefit plan, program or arrangement established or maintained by the Company (as the surviving corporation on and after the Effective Time) or any of its subsidiaries (including, without limitation, any employee benefit plan as defined in Section 3(3) of ERISA and any vacation or other paid time-off program or policy) for service accrued or deemed accrued prior to the Effective Time with any Group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crediting of service shall not operate to duplicate any benefit or compensation or the funding of any such benefit or compensation. In addition, ARYA shall use commercially reasonable efforts to (i) cause to be waived any eligibility waiting periods, any evidence of insurability requirements and the application of any pre-existing condition limitations under each of the employee benefit plans established or maintained by the Company (as the surviving corporation on and after the Effective Time) or any of its subsidiaries that cover the Continuing Employees or their dependents to the extent such eligibility waiting periods, evidence of insurability requirements and pre-existing condition limitations would not have been applicable to such Continuing Employees under the terms of the corresponding group health plans of the Company immediately prior to the Closing Date, and (ii) cause any eligible expenses incurred by any Continuing Employee and his or her covered dependents, during the portion of the plan year in which the Closing occurs, under those health and welfare benefit plans in which such Continuing Employee participated immediately prior to the Closing Date to be taken into account under those health and welfare benefit plans in which such Continuing Employee participates subsequent to the Closing Date for purposes of satisfying all deductible, coinsurance, and maximum out-of-pocket requirements applicable to such Continuing Employee and his or her covered dependents for the applicable plan year. Following the Closing, the Company (as the surviving corporation) will honor all accrued but unused vacation and other paid time off of the Continuing Employees that existed immediately prior to the Closing.</w:t>
      </w:r>
    </w:p>
    <w:p>
      <w:pPr>
        <w:spacing w:after="0" w:line="176"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649"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are solely for the benefit of the parties to the Agreement, and nothing contained in this Agreement, express or implied, shall confer upon any Continuing Employee or legal representative or beneficiary or dependent thereof, or any other person, any claims, rights or remedies of any nature or kind whatsoever under or by reason of this Agreement, whether as a third-party beneficiary or otherwise, including, without limitation, any right to employment or other service or continued employment or other service for any specified period or to any particular terms or condition of employment or other service, or level of compensation or benefits. Nothing contained in this Agreement, express or implied, shall constitute an amendment or modification of any employee benefit plan of the Company or shall require the Company, ARYA, the Company (as the surviving corporation) and each of its subsidiaries to continue any Employee Benefit Plan or other benefit or compensation plan, program, policy, agreement or arrangement, or following the Closing prevent or limit their amendment, modification or termination of any benefit or compensation plan, program, policy, agreement or arrangement.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3" w:name="page104"/>
    <w:bookmarkEnd w:id="103"/>
    <w:p>
      <w:pPr>
        <w:ind w:firstLine="532"/>
        <w:spacing w:after="0" w:line="264" w:lineRule="auto"/>
        <w:rPr>
          <w:sz w:val="20"/>
          <w:szCs w:val="20"/>
          <w:color w:val="auto"/>
        </w:rPr>
      </w:pPr>
      <w:r>
        <w:rPr>
          <w:rFonts w:ascii="Times New Roman" w:cs="Times New Roman" w:eastAsia="Times New Roman" w:hAnsi="Times New Roman"/>
          <w:sz w:val="18"/>
          <w:szCs w:val="18"/>
          <w:b w:val="1"/>
          <w:bCs w:val="1"/>
          <w:color w:val="010000"/>
        </w:rPr>
        <w:t xml:space="preserve">Section 5.23 </w:t>
      </w:r>
      <w:r>
        <w:rPr>
          <w:rFonts w:ascii="Times New Roman" w:cs="Times New Roman" w:eastAsia="Times New Roman" w:hAnsi="Times New Roman"/>
          <w:sz w:val="18"/>
          <w:szCs w:val="18"/>
          <w:b w:val="1"/>
          <w:bCs w:val="1"/>
          <w:u w:val="single" w:color="auto"/>
          <w:color w:val="000000"/>
        </w:rPr>
        <w:t>Bylaws</w:t>
      </w:r>
      <w:r>
        <w:rPr>
          <w:rFonts w:ascii="Times New Roman" w:cs="Times New Roman" w:eastAsia="Times New Roman" w:hAnsi="Times New Roman"/>
          <w:sz w:val="18"/>
          <w:szCs w:val="18"/>
          <w:color w:val="000000"/>
        </w:rPr>
        <w:t>. Prior to the occurrence of the Effective Time, ARYA shall adopt, or cause to be adopted, the ARYA Bylaws in accordance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with applicable Law.</w:t>
      </w:r>
    </w:p>
    <w:p>
      <w:pPr>
        <w:spacing w:after="0" w:line="145" w:lineRule="exact"/>
        <w:rPr>
          <w:sz w:val="20"/>
          <w:szCs w:val="20"/>
          <w:color w:val="auto"/>
        </w:rPr>
      </w:pPr>
    </w:p>
    <w:p>
      <w:pPr>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5.24 </w:t>
      </w:r>
      <w:r>
        <w:rPr>
          <w:rFonts w:ascii="Times New Roman" w:cs="Times New Roman" w:eastAsia="Times New Roman" w:hAnsi="Times New Roman"/>
          <w:sz w:val="18"/>
          <w:szCs w:val="18"/>
          <w:b w:val="1"/>
          <w:bCs w:val="1"/>
          <w:u w:val="single" w:color="auto"/>
          <w:color w:val="000000"/>
        </w:rPr>
        <w:t>Company Change of Name</w:t>
      </w:r>
      <w:r>
        <w:rPr>
          <w:rFonts w:ascii="Times New Roman" w:cs="Times New Roman" w:eastAsia="Times New Roman" w:hAnsi="Times New Roman"/>
          <w:sz w:val="18"/>
          <w:szCs w:val="18"/>
          <w:color w:val="000000"/>
        </w:rPr>
        <w:t>. At least two Business Days prior to the Closing Date, the Company shall cause its name to be changed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to “Nautilus Subsidiary, Inc.” (or such other name as may be mutually agreed by ARYA and the Company) and provide evidence of the same to ARYA.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6</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TRANSACTIONS CONTEMPLATED BY THIS AGREEMENT</w:t>
      </w:r>
    </w:p>
    <w:p>
      <w:pPr>
        <w:spacing w:after="0" w:line="170" w:lineRule="exact"/>
        <w:rPr>
          <w:sz w:val="20"/>
          <w:szCs w:val="20"/>
          <w:color w:val="auto"/>
        </w:rPr>
      </w:pPr>
    </w:p>
    <w:p>
      <w:pPr>
        <w:ind w:left="54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010000"/>
        </w:rPr>
        <w:t>Section 6.1</w:t>
      </w:r>
      <w:r>
        <w:rPr>
          <w:sz w:val="20"/>
          <w:szCs w:val="20"/>
          <w:color w:val="auto"/>
        </w:rPr>
        <w:tab/>
      </w:r>
      <w:r>
        <w:rPr>
          <w:rFonts w:ascii="Times New Roman" w:cs="Times New Roman" w:eastAsia="Times New Roman" w:hAnsi="Times New Roman"/>
          <w:sz w:val="18"/>
          <w:szCs w:val="18"/>
          <w:b w:val="1"/>
          <w:bCs w:val="1"/>
          <w:u w:val="single" w:color="auto"/>
          <w:color w:val="auto"/>
        </w:rPr>
        <w:t>Conditions to the Obligations of the Parties</w:t>
      </w:r>
      <w:r>
        <w:rPr>
          <w:rFonts w:ascii="Times New Roman" w:cs="Times New Roman" w:eastAsia="Times New Roman" w:hAnsi="Times New Roman"/>
          <w:sz w:val="18"/>
          <w:szCs w:val="18"/>
          <w:color w:val="auto"/>
        </w:rPr>
        <w:t>. The obligations of the Parties to consummate the transactions contemplated by this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if permitted by applicable Law, written waiver by all of the Parties, of the following conditions:</w:t>
      </w:r>
    </w:p>
    <w:p>
      <w:pPr>
        <w:spacing w:after="0" w:line="172" w:lineRule="exact"/>
        <w:rPr>
          <w:sz w:val="20"/>
          <w:szCs w:val="20"/>
          <w:color w:val="auto"/>
        </w:rPr>
      </w:pPr>
    </w:p>
    <w:p>
      <w:pPr>
        <w:ind w:right="20" w:firstLine="1074"/>
        <w:spacing w:after="0" w:line="260" w:lineRule="auto"/>
        <w:tabs>
          <w:tab w:leader="none" w:pos="1628"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applicable waiting period under the HSR Act relating to the transactions contemplated by this Agreement shall have expired, been terminated or obtained (or deemed, by applicable Law, to have been obtained), as applicable;</w:t>
      </w:r>
    </w:p>
    <w:p>
      <w:pPr>
        <w:spacing w:after="0" w:line="150" w:lineRule="exact"/>
        <w:rPr>
          <w:rFonts w:ascii="Times New Roman" w:cs="Times New Roman" w:eastAsia="Times New Roman" w:hAnsi="Times New Roman"/>
          <w:sz w:val="18"/>
          <w:szCs w:val="18"/>
          <w:color w:val="010000"/>
        </w:rPr>
      </w:pPr>
    </w:p>
    <w:p>
      <w:pPr>
        <w:ind w:firstLine="1074"/>
        <w:spacing w:after="0" w:line="260" w:lineRule="auto"/>
        <w:tabs>
          <w:tab w:leader="none" w:pos="1638"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Order, Law or other legal restraint or prohibition issued by any court of competent jurisdiction or other Governmental Entity of competent jurisdiction enjoining or prohibiting the consummation of the Domestication or the Merger(the “</w:t>
      </w:r>
      <w:r>
        <w:rPr>
          <w:rFonts w:ascii="Times New Roman" w:cs="Times New Roman" w:eastAsia="Times New Roman" w:hAnsi="Times New Roman"/>
          <w:sz w:val="18"/>
          <w:szCs w:val="18"/>
          <w:u w:val="single" w:color="auto"/>
          <w:color w:val="auto"/>
        </w:rPr>
        <w:t>Closing Transactions</w:t>
      </w:r>
      <w:r>
        <w:rPr>
          <w:rFonts w:ascii="Times New Roman" w:cs="Times New Roman" w:eastAsia="Times New Roman" w:hAnsi="Times New Roman"/>
          <w:sz w:val="18"/>
          <w:szCs w:val="18"/>
          <w:color w:val="auto"/>
        </w:rPr>
        <w:t>”) shall be in effect;</w:t>
      </w:r>
    </w:p>
    <w:p>
      <w:pPr>
        <w:spacing w:after="0" w:line="150" w:lineRule="exact"/>
        <w:rPr>
          <w:rFonts w:ascii="Times New Roman" w:cs="Times New Roman" w:eastAsia="Times New Roman" w:hAnsi="Times New Roman"/>
          <w:sz w:val="18"/>
          <w:szCs w:val="18"/>
          <w:color w:val="010000"/>
        </w:rPr>
      </w:pPr>
    </w:p>
    <w:p>
      <w:pPr>
        <w:jc w:val="both"/>
        <w:ind w:right="20" w:firstLine="1074"/>
        <w:spacing w:after="0" w:line="246" w:lineRule="auto"/>
        <w:tabs>
          <w:tab w:leader="none" w:pos="1717"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spacing w:after="0" w:line="16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Required Shareholder Approval shall have been obtained;</w:t>
      </w:r>
    </w:p>
    <w:p>
      <w:pPr>
        <w:spacing w:after="0" w:line="19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Required ARYA Shareholder Approval shall have been obtained;</w:t>
      </w:r>
    </w:p>
    <w:p>
      <w:pPr>
        <w:spacing w:after="0" w:line="192"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708" w:val="left"/>
        </w:tabs>
        <w:numPr>
          <w:ilvl w:val="0"/>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ARYA’s initial listing application with Nasdaq in connection with the transactions contemplated by this Agreement shall have been conditionally approved and, immediately following the Effective Time, ARYA shall, after giving effect to the ARYA Shareholder Redemption, satisfy any applicable initial and continuing listing requirements of Nasdaq, and ARYA shall not have received any notice of non-compliance therewith that has not been cured prior to, or would not be cured at or immediately following, the Effective Time, and the ARYA Shares (including the ARYA Shares to be issued hereunder) shall have been approved for listing on Nasdaq; and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04" w:name="page105"/>
    <w:bookmarkEnd w:id="104"/>
    <w:p>
      <w:pPr>
        <w:jc w:val="both"/>
        <w:ind w:firstLine="1074"/>
        <w:spacing w:after="0" w:line="245" w:lineRule="auto"/>
        <w:tabs>
          <w:tab w:leader="none" w:pos="1627" w:val="left"/>
        </w:tabs>
        <w:numPr>
          <w:ilvl w:val="0"/>
          <w:numId w:val="1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after giving effect to the transactions contemplated hereby (including after giving effect to the PIPE Financing and after giving effect to the ARYA Shareholder Redemption), ARYA shall have at least $5,000,001 of net tangible assets (as determined in accordance with Rule 3a51-1(g)(1) of the Exchange Act) immediately after the Effective Time.</w:t>
      </w:r>
    </w:p>
    <w:p>
      <w:pPr>
        <w:spacing w:after="0" w:line="16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6.2 </w:t>
      </w:r>
      <w:r>
        <w:rPr>
          <w:rFonts w:ascii="Times New Roman" w:cs="Times New Roman" w:eastAsia="Times New Roman" w:hAnsi="Times New Roman"/>
          <w:sz w:val="18"/>
          <w:szCs w:val="18"/>
          <w:b w:val="1"/>
          <w:bCs w:val="1"/>
          <w:u w:val="single" w:color="auto"/>
          <w:color w:val="000000"/>
        </w:rPr>
        <w:t>Other Conditions to the Obligations of the ARYA Parties</w:t>
      </w:r>
      <w:r>
        <w:rPr>
          <w:rFonts w:ascii="Times New Roman" w:cs="Times New Roman" w:eastAsia="Times New Roman" w:hAnsi="Times New Roman"/>
          <w:sz w:val="18"/>
          <w:szCs w:val="18"/>
          <w:color w:val="000000"/>
        </w:rPr>
        <w:t>. The obligations of the ARYA Parties to consummate the transactions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contemplated by this Agreement are subject to the satisfaction or, if permitted by applicable Law, written waiver by ARYA (on behalf of itself and the other ARYA Parties) of the following further conditions:</w:t>
      </w:r>
    </w:p>
    <w:p>
      <w:pPr>
        <w:spacing w:after="0" w:line="162" w:lineRule="exact"/>
        <w:rPr>
          <w:sz w:val="20"/>
          <w:szCs w:val="20"/>
          <w:color w:val="auto"/>
        </w:rPr>
      </w:pPr>
    </w:p>
    <w:p>
      <w:pPr>
        <w:jc w:val="both"/>
        <w:ind w:firstLine="1074"/>
        <w:spacing w:after="0" w:line="234" w:lineRule="auto"/>
        <w:tabs>
          <w:tab w:leader="none" w:pos="1717"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 the Company Fundamental Representations (other than the representations and warranties set forth in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shall be true and correct (without giving effect to any limitation as to “materiality” or “Company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set forth in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clause (ii) shall be deemed to be satisfied if no Company Material Adverse Effect is continuing and (iii) the representations and warranties of the of the Company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(other than the Company Fundamental Representations) shall be true and correct (without giving effect to any limitation as to “materiality” or “Company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71" w:lineRule="exact"/>
        <w:rPr>
          <w:rFonts w:ascii="Times New Roman" w:cs="Times New Roman" w:eastAsia="Times New Roman" w:hAnsi="Times New Roman"/>
          <w:sz w:val="18"/>
          <w:szCs w:val="18"/>
          <w:color w:val="010000"/>
        </w:rPr>
      </w:pPr>
    </w:p>
    <w:p>
      <w:pPr>
        <w:ind w:firstLine="1074"/>
        <w:spacing w:after="0" w:line="260" w:lineRule="auto"/>
        <w:tabs>
          <w:tab w:leader="none" w:pos="1671"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have performed and complied in all material respects with the covenants and agreements required to be performed or complied with by the Company under this Agreement at or prior to the Closing;</w:t>
      </w:r>
    </w:p>
    <w:p>
      <w:pPr>
        <w:spacing w:after="0" w:line="150" w:lineRule="exact"/>
        <w:rPr>
          <w:rFonts w:ascii="Times New Roman" w:cs="Times New Roman" w:eastAsia="Times New Roman" w:hAnsi="Times New Roman"/>
          <w:sz w:val="18"/>
          <w:szCs w:val="18"/>
          <w:color w:val="010000"/>
        </w:rPr>
      </w:pPr>
    </w:p>
    <w:p>
      <w:pPr>
        <w:ind w:left="1680" w:hanging="606"/>
        <w:spacing w:after="0"/>
        <w:tabs>
          <w:tab w:leader="none" w:pos="1680"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the date of this Agreement, no Company Material Adverse Effect has occurred that is continuing;</w:t>
      </w:r>
    </w:p>
    <w:p>
      <w:pPr>
        <w:spacing w:after="0" w:line="192" w:lineRule="exact"/>
        <w:rPr>
          <w:rFonts w:ascii="Times New Roman" w:cs="Times New Roman" w:eastAsia="Times New Roman" w:hAnsi="Times New Roman"/>
          <w:sz w:val="18"/>
          <w:szCs w:val="18"/>
          <w:color w:val="010000"/>
        </w:rPr>
      </w:pPr>
    </w:p>
    <w:p>
      <w:pPr>
        <w:ind w:left="1640" w:hanging="566"/>
        <w:spacing w:after="0"/>
        <w:tabs>
          <w:tab w:leader="none" w:pos="1640"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or prior to the Closing, the Company shall have delivered, or caused to be delivered, to ARYA the following documents: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5" w:name="page106"/>
    <w:bookmarkEnd w:id="105"/>
    <w:p>
      <w:pPr>
        <w:ind w:left="1080" w:firstLine="526"/>
        <w:spacing w:after="0" w:line="289" w:lineRule="auto"/>
        <w:tabs>
          <w:tab w:leader="none" w:pos="2091" w:val="left"/>
        </w:tabs>
        <w:numPr>
          <w:ilvl w:val="0"/>
          <w:numId w:val="10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 certificate duly executed by an authorized officer of the Company, dated as of the Closing Date, to the effect that the conditions specified in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6.2(c)</w:t>
      </w:r>
      <w:r>
        <w:rPr>
          <w:rFonts w:ascii="Times New Roman" w:cs="Times New Roman" w:eastAsia="Times New Roman" w:hAnsi="Times New Roman"/>
          <w:sz w:val="17"/>
          <w:szCs w:val="17"/>
          <w:color w:val="auto"/>
        </w:rPr>
        <w:t xml:space="preserve"> are satisfied, in a form and substance reasonably satisfactory to ARYA; and</w:t>
      </w:r>
    </w:p>
    <w:p>
      <w:pPr>
        <w:spacing w:after="0" w:line="127" w:lineRule="exact"/>
        <w:rPr>
          <w:rFonts w:ascii="Times New Roman" w:cs="Times New Roman" w:eastAsia="Times New Roman" w:hAnsi="Times New Roman"/>
          <w:sz w:val="17"/>
          <w:szCs w:val="17"/>
          <w:color w:val="010000"/>
        </w:rPr>
      </w:pPr>
    </w:p>
    <w:p>
      <w:pPr>
        <w:ind w:left="1080" w:right="20" w:firstLine="526"/>
        <w:spacing w:after="0" w:line="260" w:lineRule="auto"/>
        <w:tabs>
          <w:tab w:leader="none" w:pos="2162"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Investor Rights Agreement duly executed by the Company Shareholders set forth on </w:t>
      </w:r>
      <w:r>
        <w:rPr>
          <w:rFonts w:ascii="Times New Roman" w:cs="Times New Roman" w:eastAsia="Times New Roman" w:hAnsi="Times New Roman"/>
          <w:sz w:val="18"/>
          <w:szCs w:val="18"/>
          <w:u w:val="single" w:color="auto"/>
          <w:color w:val="auto"/>
        </w:rPr>
        <w:t>Section 6.2(d)(ii)</w:t>
      </w:r>
      <w:r>
        <w:rPr>
          <w:rFonts w:ascii="Times New Roman" w:cs="Times New Roman" w:eastAsia="Times New Roman" w:hAnsi="Times New Roman"/>
          <w:sz w:val="18"/>
          <w:szCs w:val="18"/>
          <w:color w:val="auto"/>
        </w:rPr>
        <w:t xml:space="preserve"> of the Company Disclosure Schedules.</w:t>
      </w:r>
    </w:p>
    <w:p>
      <w:pPr>
        <w:spacing w:after="0" w:line="149" w:lineRule="exact"/>
        <w:rPr>
          <w:sz w:val="20"/>
          <w:szCs w:val="20"/>
          <w:color w:val="auto"/>
        </w:rPr>
      </w:pPr>
    </w:p>
    <w:p>
      <w:pPr>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6.3 </w:t>
      </w:r>
      <w:r>
        <w:rPr>
          <w:rFonts w:ascii="Times New Roman" w:cs="Times New Roman" w:eastAsia="Times New Roman" w:hAnsi="Times New Roman"/>
          <w:sz w:val="18"/>
          <w:szCs w:val="18"/>
          <w:b w:val="1"/>
          <w:bCs w:val="1"/>
          <w:u w:val="single" w:color="auto"/>
          <w:color w:val="000000"/>
        </w:rPr>
        <w:t>Other Conditions to the Obligations of the Company</w:t>
      </w:r>
      <w:r>
        <w:rPr>
          <w:rFonts w:ascii="Times New Roman" w:cs="Times New Roman" w:eastAsia="Times New Roman" w:hAnsi="Times New Roman"/>
          <w:sz w:val="18"/>
          <w:szCs w:val="18"/>
          <w:color w:val="000000"/>
        </w:rPr>
        <w:t>. The obligations of the Company to consummate the transactions contemplated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by this Agreement are subject to the satisfaction or, if permitted by applicable Law, written waiver by the Company of the following further conditions:</w:t>
      </w:r>
    </w:p>
    <w:p>
      <w:pPr>
        <w:spacing w:after="0" w:line="147" w:lineRule="exact"/>
        <w:rPr>
          <w:sz w:val="20"/>
          <w:szCs w:val="20"/>
          <w:color w:val="auto"/>
        </w:rPr>
      </w:pPr>
    </w:p>
    <w:p>
      <w:pPr>
        <w:jc w:val="both"/>
        <w:ind w:firstLine="1074"/>
        <w:spacing w:after="0" w:line="249" w:lineRule="auto"/>
        <w:tabs>
          <w:tab w:leader="none" w:pos="1617" w:val="left"/>
        </w:tabs>
        <w:numPr>
          <w:ilvl w:val="0"/>
          <w:numId w:val="10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(i) the ARYA Fundamental Representations (other than the representations and warranties set forth in </w:t>
      </w:r>
      <w:r>
        <w:rPr>
          <w:rFonts w:ascii="Times New Roman" w:cs="Times New Roman" w:eastAsia="Times New Roman" w:hAnsi="Times New Roman"/>
          <w:sz w:val="17"/>
          <w:szCs w:val="17"/>
          <w:u w:val="single" w:color="auto"/>
          <w:color w:val="auto"/>
        </w:rPr>
        <w:t>Section 4.8(a)</w:t>
      </w:r>
      <w:r>
        <w:rPr>
          <w:rFonts w:ascii="Times New Roman" w:cs="Times New Roman" w:eastAsia="Times New Roman" w:hAnsi="Times New Roman"/>
          <w:sz w:val="17"/>
          <w:szCs w:val="17"/>
          <w:color w:val="auto"/>
        </w:rPr>
        <w:t xml:space="preserve">) shall be true and correct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ARYA Parties set forth in </w:t>
      </w:r>
      <w:r>
        <w:rPr>
          <w:rFonts w:ascii="Times New Roman" w:cs="Times New Roman" w:eastAsia="Times New Roman" w:hAnsi="Times New Roman"/>
          <w:sz w:val="17"/>
          <w:szCs w:val="17"/>
          <w:u w:val="single" w:color="auto"/>
          <w:color w:val="auto"/>
        </w:rPr>
        <w:t>Section 4.8(a)</w:t>
      </w:r>
      <w:r>
        <w:rPr>
          <w:rFonts w:ascii="Times New Roman" w:cs="Times New Roman" w:eastAsia="Times New Roman" w:hAnsi="Times New Roman"/>
          <w:sz w:val="17"/>
          <w:szCs w:val="17"/>
          <w:color w:val="auto"/>
        </w:rPr>
        <w:t xml:space="preserve"> 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this clause (ii) shall be deemed to be satisfied if no ARYA Material Adverse Effect is continuing, and (iii) the representations and warranties of the ARYA Parties (other than the ARYA Fundamental Representations) contained in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of this Agreement shall be true and correct (without giving effect to any limitation as to “materiality” or “ARYA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ARYA Material Adverse Effect;</w:t>
      </w:r>
    </w:p>
    <w:p>
      <w:pPr>
        <w:spacing w:after="0" w:line="162" w:lineRule="exact"/>
        <w:rPr>
          <w:rFonts w:ascii="Times New Roman" w:cs="Times New Roman" w:eastAsia="Times New Roman" w:hAnsi="Times New Roman"/>
          <w:sz w:val="17"/>
          <w:szCs w:val="17"/>
          <w:color w:val="010000"/>
        </w:rPr>
      </w:pPr>
    </w:p>
    <w:p>
      <w:pPr>
        <w:ind w:firstLine="1074"/>
        <w:spacing w:after="0" w:line="260" w:lineRule="auto"/>
        <w:tabs>
          <w:tab w:leader="none" w:pos="1849"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ARYA Parties shall have performed and complied in all material respects with the covenants and agreements required to be performed or complied with by them under this Agreement at or prior to the Closing;</w:t>
      </w:r>
    </w:p>
    <w:p>
      <w:pPr>
        <w:spacing w:after="0" w:line="150"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since the date of this Agreement, no ARYA Material Adverse Effect has occurred that is continuing;</w:t>
      </w:r>
    </w:p>
    <w:p>
      <w:pPr>
        <w:spacing w:after="0" w:line="19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Aggregate Transaction Proceeds shall be equal to or greater than $250,000,000;</w:t>
      </w:r>
    </w:p>
    <w:p>
      <w:pPr>
        <w:spacing w:after="0" w:line="192" w:lineRule="exact"/>
        <w:rPr>
          <w:rFonts w:ascii="Times New Roman" w:cs="Times New Roman" w:eastAsia="Times New Roman" w:hAnsi="Times New Roman"/>
          <w:sz w:val="18"/>
          <w:szCs w:val="18"/>
          <w:color w:val="010000"/>
        </w:rPr>
      </w:pPr>
    </w:p>
    <w:p>
      <w:pPr>
        <w:ind w:firstLine="1074"/>
        <w:spacing w:after="0" w:line="260" w:lineRule="auto"/>
        <w:tabs>
          <w:tab w:leader="none" w:pos="1794" w:val="left"/>
        </w:tabs>
        <w:numPr>
          <w:ilvl w:val="0"/>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as of immediately following the Effective Time, the ARYA Board shall consist of the number of directors, and be comprised of the individuals, determined pursuant to </w:t>
      </w:r>
      <w:r>
        <w:rPr>
          <w:rFonts w:ascii="Times New Roman" w:cs="Times New Roman" w:eastAsia="Times New Roman" w:hAnsi="Times New Roman"/>
          <w:sz w:val="18"/>
          <w:szCs w:val="18"/>
          <w:u w:val="single" w:color="auto"/>
          <w:color w:val="auto"/>
        </w:rPr>
        <w:t>Section 5.18(a)(i)-(ii)</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6" w:name="page107"/>
    <w:bookmarkEnd w:id="106"/>
    <w:p>
      <w:pPr>
        <w:ind w:firstLine="1074"/>
        <w:spacing w:after="0" w:line="259" w:lineRule="auto"/>
        <w:tabs>
          <w:tab w:leader="none" w:pos="1897"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ARYA Sponsor and the Other Class B Shareholders shall have complied in all material respects with their covenants and agreements required to be performed or complied with by them under the Sponsor Letter Agreement at or prior to the Closing;</w:t>
      </w:r>
    </w:p>
    <w:p>
      <w:pPr>
        <w:spacing w:after="0" w:line="151"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671"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Domestication shall have been consummated on the Closing Date prior to the Effective Time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a time-stamped copy of the certificate issued by the Secretary of State of the State of Delaware in relation thereto shall have been delivered to the Company; and</w:t>
      </w:r>
    </w:p>
    <w:p>
      <w:pPr>
        <w:spacing w:after="0" w:line="162" w:lineRule="exact"/>
        <w:rPr>
          <w:rFonts w:ascii="Times New Roman" w:cs="Times New Roman" w:eastAsia="Times New Roman" w:hAnsi="Times New Roman"/>
          <w:sz w:val="18"/>
          <w:szCs w:val="18"/>
          <w:color w:val="010000"/>
        </w:rPr>
      </w:pPr>
    </w:p>
    <w:p>
      <w:pPr>
        <w:ind w:left="1720" w:hanging="646"/>
        <w:spacing w:after="0"/>
        <w:tabs>
          <w:tab w:leader="none" w:pos="1720"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or prior to the Closing, ARYA shall have delivered, or caused to be delivered, the following documents:</w:t>
      </w:r>
    </w:p>
    <w:p>
      <w:pPr>
        <w:spacing w:after="0" w:line="192" w:lineRule="exact"/>
        <w:rPr>
          <w:rFonts w:ascii="Times New Roman" w:cs="Times New Roman" w:eastAsia="Times New Roman" w:hAnsi="Times New Roman"/>
          <w:sz w:val="18"/>
          <w:szCs w:val="18"/>
          <w:color w:val="010000"/>
        </w:rPr>
      </w:pPr>
    </w:p>
    <w:p>
      <w:pPr>
        <w:jc w:val="both"/>
        <w:ind w:left="1080" w:firstLine="526"/>
        <w:spacing w:after="0" w:line="246" w:lineRule="auto"/>
        <w:tabs>
          <w:tab w:leader="none" w:pos="2257" w:val="left"/>
        </w:tabs>
        <w:numPr>
          <w:ilvl w:val="1"/>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certificate duly executed by an authorized officer of ARYA, dated as of the Closing Date, to the effect that the conditions specified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are satisfied, in a form and substance reasonably satisfactory to the Company; and</w:t>
      </w:r>
    </w:p>
    <w:p>
      <w:pPr>
        <w:spacing w:after="0" w:line="162" w:lineRule="exact"/>
        <w:rPr>
          <w:rFonts w:ascii="Times New Roman" w:cs="Times New Roman" w:eastAsia="Times New Roman" w:hAnsi="Times New Roman"/>
          <w:sz w:val="18"/>
          <w:szCs w:val="18"/>
          <w:color w:val="010000"/>
        </w:rPr>
      </w:pPr>
    </w:p>
    <w:p>
      <w:pPr>
        <w:ind w:left="2140" w:hanging="534"/>
        <w:spacing w:after="0"/>
        <w:tabs>
          <w:tab w:leader="none" w:pos="2140" w:val="left"/>
        </w:tabs>
        <w:numPr>
          <w:ilvl w:val="1"/>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Rights Agreement duly executed by ARYA and the Perceptive Shareholders.</w:t>
      </w:r>
    </w:p>
    <w:p>
      <w:pPr>
        <w:spacing w:after="0" w:line="190"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6.4 </w:t>
      </w:r>
      <w:r>
        <w:rPr>
          <w:rFonts w:ascii="Times New Roman" w:cs="Times New Roman" w:eastAsia="Times New Roman" w:hAnsi="Times New Roman"/>
          <w:sz w:val="18"/>
          <w:szCs w:val="18"/>
          <w:b w:val="1"/>
          <w:bCs w:val="1"/>
          <w:u w:val="single" w:color="auto"/>
          <w:color w:val="000000"/>
        </w:rPr>
        <w:t>Frustration of Closing Conditions</w:t>
      </w:r>
      <w:r>
        <w:rPr>
          <w:rFonts w:ascii="Times New Roman" w:cs="Times New Roman" w:eastAsia="Times New Roman" w:hAnsi="Times New Roman"/>
          <w:sz w:val="18"/>
          <w:szCs w:val="18"/>
          <w:color w:val="000000"/>
        </w:rPr>
        <w:t>. The Company may not rely on the failure of any condition set forth in this Article 6 to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satisfied if such failure was proximately caused by the Company’s breach of its obligations under this Agreement, including a breach of its obligations to use reasonable best efforts to cause the Closing to occur as required by Section 5.2. None of the ARYA Parties may rely on the failure of any condition set forth in this Article 6 to be satisfied if such failure was proximately caused by an ARYA Party’s breach of its obligations under this Agreement, including a breach of its obligations to use reasonable best efforts to cause the Closing to occur as required by Section 5.2.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7</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70"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7.1 </w:t>
      </w:r>
      <w:r>
        <w:rPr>
          <w:rFonts w:ascii="Times New Roman" w:cs="Times New Roman" w:eastAsia="Times New Roman" w:hAnsi="Times New Roman"/>
          <w:sz w:val="18"/>
          <w:szCs w:val="18"/>
          <w:b w:val="1"/>
          <w:bCs w:val="1"/>
          <w:u w:val="single" w:color="auto"/>
          <w:color w:val="000000"/>
        </w:rPr>
        <w:t>Termination</w:t>
      </w:r>
      <w:r>
        <w:rPr>
          <w:rFonts w:ascii="Times New Roman" w:cs="Times New Roman" w:eastAsia="Times New Roman" w:hAnsi="Times New Roman"/>
          <w:sz w:val="18"/>
          <w:szCs w:val="18"/>
          <w:color w:val="000000"/>
        </w:rPr>
        <w:t>. This Agreement may be terminated, and the transactions contemplated by this Agreement may be abandoned at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time prior to the Closing:</w:t>
      </w:r>
    </w:p>
    <w:p>
      <w:pPr>
        <w:spacing w:after="0" w:line="147" w:lineRule="exact"/>
        <w:rPr>
          <w:sz w:val="20"/>
          <w:szCs w:val="20"/>
          <w:color w:val="auto"/>
        </w:rPr>
      </w:pPr>
    </w:p>
    <w:p>
      <w:pPr>
        <w:ind w:left="1720" w:hanging="646"/>
        <w:spacing w:after="0"/>
        <w:tabs>
          <w:tab w:leader="none" w:pos="1720"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mutual written consent of ARYA and the Company;</w:t>
      </w:r>
    </w:p>
    <w:p>
      <w:pPr>
        <w:spacing w:after="0" w:line="19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693"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by ARYA, if any of the representations or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shall not be true and correct or if the Company has failed to perform any covenant or agreement on the part of the Company set forth in this Agreement (including an obligation to consummate the Closing) such that the condition to Closing set forth in either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ARYA,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ARYA Parties is then in breach of this Agreement so as to prevent the condition to Closing set forth in either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from being satisfied and the Perceptive PIPE Investor is not then in breach of the PIPE Subscription Agreement so as to prevent the condition to the Closing set forth in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from being satisfied;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7" w:name="page108"/>
    <w:bookmarkEnd w:id="107"/>
    <w:p>
      <w:pPr>
        <w:jc w:val="both"/>
        <w:ind w:left="-20" w:firstLine="1074"/>
        <w:spacing w:after="0" w:line="235" w:lineRule="auto"/>
        <w:tabs>
          <w:tab w:leader="none" w:pos="1752"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by the Company, if any of the representations or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not be true and correct or if any ARYA Party has failed to perform any covenant or agreement on the part of such applicable ARYA Party set forth in this Agreement (including an obligation to consummate the Closing) such that the condition to Closing set forth in either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ARYA by the Company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 is not then in breach of this Agreement so as to prevent the condition to Closing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from being satisfied and none of the Company PIPE Investors is then in breach of the PIPE Subscription Agreement (after taking into account any cure by a Company Related Substituted Party in accordance with clauses (A) through (C) of </w:t>
      </w:r>
      <w:r>
        <w:rPr>
          <w:rFonts w:ascii="Times New Roman" w:cs="Times New Roman" w:eastAsia="Times New Roman" w:hAnsi="Times New Roman"/>
          <w:sz w:val="18"/>
          <w:szCs w:val="18"/>
          <w:u w:val="single" w:color="auto"/>
          <w:color w:val="auto"/>
        </w:rPr>
        <w:t>Section 7.11(d)</w:t>
      </w:r>
      <w:r>
        <w:rPr>
          <w:rFonts w:ascii="Times New Roman" w:cs="Times New Roman" w:eastAsia="Times New Roman" w:hAnsi="Times New Roman"/>
          <w:sz w:val="18"/>
          <w:szCs w:val="18"/>
          <w:color w:val="auto"/>
        </w:rPr>
        <w:t xml:space="preserve">) so as to prevent the condition to the Closing set forth in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from being satisfied;</w:t>
      </w:r>
    </w:p>
    <w:p>
      <w:pPr>
        <w:spacing w:after="0" w:line="172" w:lineRule="exact"/>
        <w:rPr>
          <w:rFonts w:ascii="Times New Roman" w:cs="Times New Roman" w:eastAsia="Times New Roman" w:hAnsi="Times New Roman"/>
          <w:sz w:val="18"/>
          <w:szCs w:val="18"/>
          <w:color w:val="010000"/>
        </w:rPr>
      </w:pPr>
    </w:p>
    <w:p>
      <w:pPr>
        <w:jc w:val="both"/>
        <w:ind w:left="-20" w:firstLine="1074"/>
        <w:spacing w:after="0" w:line="247" w:lineRule="auto"/>
        <w:tabs>
          <w:tab w:leader="none" w:pos="1618" w:val="left"/>
        </w:tabs>
        <w:numPr>
          <w:ilvl w:val="0"/>
          <w:numId w:val="10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by either ARYA or the Company, if the transactions contemplated by this Agreement shall not have been consummated on or prior to 11:59 P.M. (pacific time) August 6, 2021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right to terminate this Agreement pursuant to this </w:t>
      </w:r>
      <w:r>
        <w:rPr>
          <w:rFonts w:ascii="Times New Roman" w:cs="Times New Roman" w:eastAsia="Times New Roman" w:hAnsi="Times New Roman"/>
          <w:sz w:val="17"/>
          <w:szCs w:val="17"/>
          <w:u w:val="single" w:color="auto"/>
          <w:color w:val="auto"/>
        </w:rPr>
        <w:t>Section 7.1(d)</w:t>
      </w:r>
      <w:r>
        <w:rPr>
          <w:rFonts w:ascii="Times New Roman" w:cs="Times New Roman" w:eastAsia="Times New Roman" w:hAnsi="Times New Roman"/>
          <w:sz w:val="17"/>
          <w:szCs w:val="17"/>
          <w:color w:val="auto"/>
        </w:rPr>
        <w:t xml:space="preserve"> shall not be available to ARYA if any ARYA Party’s, or any of their respective Affiliates’ breach of any of its covenants or obligations under this Agreement or any Ancillary Document to which it is a party, or if the Perceptive PIPE Investor’s breach of any of the covenants or obligations under a PIPE Subscription Agreement, in any case, shall have proximately caused (either individually or when taken together) the failure to consummate the transactions contemplated by this Agreement on or before the Termination Date, and (ii) the right to terminate this Agreement pursuant to this </w:t>
      </w:r>
      <w:r>
        <w:rPr>
          <w:rFonts w:ascii="Times New Roman" w:cs="Times New Roman" w:eastAsia="Times New Roman" w:hAnsi="Times New Roman"/>
          <w:sz w:val="17"/>
          <w:szCs w:val="17"/>
          <w:u w:val="single" w:color="auto"/>
          <w:color w:val="auto"/>
        </w:rPr>
        <w:t>Section 7.1(d)</w:t>
      </w:r>
      <w:r>
        <w:rPr>
          <w:rFonts w:ascii="Times New Roman" w:cs="Times New Roman" w:eastAsia="Times New Roman" w:hAnsi="Times New Roman"/>
          <w:sz w:val="17"/>
          <w:szCs w:val="17"/>
          <w:color w:val="auto"/>
        </w:rPr>
        <w:t xml:space="preserve"> shall not be available to the Company if the Company’s breach of any its covenants or obligations under this Agreement or any Ancillary Document to which it is a party, any Company Shareholder’s breach of any of his, her or its covenants or obligations under the Transaction Support Agreement, or any Company PIPE Investor’s breach of any of the covenants or obligations under a PIPE Subscription Agreement (each, a “</w:t>
      </w:r>
      <w:r>
        <w:rPr>
          <w:rFonts w:ascii="Times New Roman" w:cs="Times New Roman" w:eastAsia="Times New Roman" w:hAnsi="Times New Roman"/>
          <w:sz w:val="17"/>
          <w:szCs w:val="17"/>
          <w:u w:val="single" w:color="auto"/>
          <w:color w:val="auto"/>
        </w:rPr>
        <w:t>Company Related Breaching Party</w:t>
      </w:r>
      <w:r>
        <w:rPr>
          <w:rFonts w:ascii="Times New Roman" w:cs="Times New Roman" w:eastAsia="Times New Roman" w:hAnsi="Times New Roman"/>
          <w:sz w:val="17"/>
          <w:szCs w:val="17"/>
          <w:color w:val="auto"/>
        </w:rPr>
        <w:t xml:space="preserve">”), in any case, shall have proximately caused (either individually or when taken together) the failure to consummate the transactions contemplated by this Agreement on or before the Termination Date (it being understood that (A) the Company and the Company Shareholders shall be permitted to arrange for substitute PIPE Investors to invest in a new PIPE Subscription Agreement, substantially in the form of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the portion of the PIPE Financing Amount previously committed to be invested by the Company Related Breaching Party (each such investor, a “</w:t>
      </w:r>
      <w:r>
        <w:rPr>
          <w:rFonts w:ascii="Times New Roman" w:cs="Times New Roman" w:eastAsia="Times New Roman" w:hAnsi="Times New Roman"/>
          <w:sz w:val="17"/>
          <w:szCs w:val="17"/>
          <w:u w:val="single" w:color="auto"/>
          <w:color w:val="auto"/>
        </w:rPr>
        <w:t>Company Related Substituted Party</w:t>
      </w:r>
      <w:r>
        <w:rPr>
          <w:rFonts w:ascii="Times New Roman" w:cs="Times New Roman" w:eastAsia="Times New Roman" w:hAnsi="Times New Roman"/>
          <w:sz w:val="17"/>
          <w:szCs w:val="17"/>
          <w:color w:val="auto"/>
        </w:rPr>
        <w:t xml:space="preserve">”), (B) subject to a Company Related Substituted Party being capable of making the representations and warranties as an Investor under the PIPE Subscription Agreement and satisfying the covenants and agreements thereafter, ARYA shall enter into a in a new PIPE Subscription Agreement, substantially in the form of </w:t>
      </w:r>
      <w:r>
        <w:rPr>
          <w:rFonts w:ascii="Times New Roman" w:cs="Times New Roman" w:eastAsia="Times New Roman" w:hAnsi="Times New Roman"/>
          <w:sz w:val="17"/>
          <w:szCs w:val="17"/>
          <w:u w:val="single" w:color="auto"/>
          <w:color w:val="auto"/>
        </w:rPr>
        <w:t>Exhibit A-2</w:t>
      </w:r>
      <w:r>
        <w:rPr>
          <w:rFonts w:ascii="Times New Roman" w:cs="Times New Roman" w:eastAsia="Times New Roman" w:hAnsi="Times New Roman"/>
          <w:sz w:val="17"/>
          <w:szCs w:val="17"/>
          <w:color w:val="auto"/>
        </w:rPr>
        <w:t xml:space="preserve"> with each Company Substituted Party reflecting the portion of the PIPE Financing Amount such Company Related Substituted Party is committing to invest (the “</w:t>
      </w:r>
      <w:r>
        <w:rPr>
          <w:rFonts w:ascii="Times New Roman" w:cs="Times New Roman" w:eastAsia="Times New Roman" w:hAnsi="Times New Roman"/>
          <w:sz w:val="17"/>
          <w:szCs w:val="17"/>
          <w:u w:val="single" w:color="auto"/>
          <w:color w:val="auto"/>
        </w:rPr>
        <w:t>Substituted PIPE Investment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xml:space="preserve">”) and (C) to the extent that the Company Related Substituted Parties have entered into the PIPE Subscription Agreement and agreed to invest some or all of the PIPE Financing Amount committed to be invested by the Company Related Breaching Party and the Company Related Substituted Parties are, and continue to be in compliance with the terms of their PIPE Subscription Agreements (including when required to fund their applicable portion of the PIPE Financing Agreement, the funding of such applicable portion of the PIPE Financing Agreement), then the Company Related Breaching Party’s breach of the PIPE Subscription Agreement shall be disregarded solely for purposes of this clause (ii) and/or the proviso in </w:t>
      </w:r>
      <w:r>
        <w:rPr>
          <w:rFonts w:ascii="Times New Roman" w:cs="Times New Roman" w:eastAsia="Times New Roman" w:hAnsi="Times New Roman"/>
          <w:sz w:val="17"/>
          <w:szCs w:val="17"/>
          <w:u w:val="single" w:color="auto"/>
          <w:color w:val="auto"/>
        </w:rPr>
        <w:t>Section 7.1(c)</w:t>
      </w:r>
      <w:r>
        <w:rPr>
          <w:rFonts w:ascii="Times New Roman" w:cs="Times New Roman" w:eastAsia="Times New Roman" w:hAnsi="Times New Roman"/>
          <w:sz w:val="17"/>
          <w:szCs w:val="17"/>
          <w:color w:val="auto"/>
        </w:rPr>
        <w:t>, as applicable, and without limiting any rights or remedies with respect to the applicable Company Related Breaching Party under the applicable PIPE Subscription Agreement);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157085"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108" w:name="page109"/>
    <w:bookmarkEnd w:id="108"/>
    <w:p>
      <w:pPr>
        <w:ind w:right="20" w:firstLine="1074"/>
        <w:spacing w:after="0" w:line="259" w:lineRule="auto"/>
        <w:tabs>
          <w:tab w:leader="none" w:pos="1850"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either ARYA or the Company, if any Governmental Entity of competent jurisdiction shall have issued an Order permanently enjoining or prohibiting any of the Closing Transactions and such Order shall have become final and nonappealable;</w:t>
      </w:r>
    </w:p>
    <w:p>
      <w:pPr>
        <w:spacing w:after="0" w:line="151" w:lineRule="exact"/>
        <w:rPr>
          <w:rFonts w:ascii="Times New Roman" w:cs="Times New Roman" w:eastAsia="Times New Roman" w:hAnsi="Times New Roman"/>
          <w:sz w:val="18"/>
          <w:szCs w:val="18"/>
          <w:color w:val="010000"/>
        </w:rPr>
      </w:pPr>
    </w:p>
    <w:p>
      <w:pPr>
        <w:ind w:firstLine="1074"/>
        <w:spacing w:after="0" w:line="260" w:lineRule="auto"/>
        <w:tabs>
          <w:tab w:leader="none" w:pos="1642"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either ARYA or the Company, if the ARYA Shareholders Meeting has been held (including following any adjournment thereof), has concluded, ARYA’s shareholders have duly voted and the Required ARYA Shareholder Approval was not obtained; or</w:t>
      </w:r>
    </w:p>
    <w:p>
      <w:pPr>
        <w:spacing w:after="0" w:line="150"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849"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by ARYA, if the Company has not delivered, or cause to be delivered, to ARYA written consents of the Company Shareholders sufficient to constitute the Company Shareholder Written Consent on or prior to the date that constitutes the Company Shareholder Written Consent Deadline;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termination rights under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shall expire and ARYA shall not be entitled to terminate this Agreement pursuant to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if the Company Required Shareholder Approval has been obtained and delivered to ARYA prior to the time that this Agreement is terminated pursuant to this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7.2 </w:t>
      </w:r>
      <w:r>
        <w:rPr>
          <w:rFonts w:ascii="Times New Roman" w:cs="Times New Roman" w:eastAsia="Times New Roman" w:hAnsi="Times New Roman"/>
          <w:sz w:val="18"/>
          <w:szCs w:val="18"/>
          <w:b w:val="1"/>
          <w:bCs w:val="1"/>
          <w:u w:val="single" w:color="auto"/>
          <w:color w:val="000000"/>
        </w:rPr>
        <w:t>Effect of Termination</w:t>
      </w:r>
      <w:r>
        <w:rPr>
          <w:rFonts w:ascii="Times New Roman" w:cs="Times New Roman" w:eastAsia="Times New Roman" w:hAnsi="Times New Roman"/>
          <w:sz w:val="18"/>
          <w:szCs w:val="18"/>
          <w:color w:val="000000"/>
        </w:rPr>
        <w:t>. Except for a termination pursuant to Section 7.1(a), any termination of this Agreement pursuant to Section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7.1 will be effective (subject to the cure periods (if any) provided above) immediately upon the delivery of a valid written notice of the terminating Party to each of the other Parties hereto. In the event of the termination of this Agreement pursuant to Section 7.1, (a) this entire Agreement shall forthwith become void (and there shall be no Liability or obligation on the part of the Parties and their respective Representatives) with the exception of Section 5.3(a), this Section 7.2, Article 8 and Article 1 (to the extent, with respect to Article 1,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their respective terms. Notwithstanding the foregoing or anything to the contrary herein, the termination of this Agreement pursuant to Section 7.1 shall not affect (i) any Liability on the part of any Party for any Willful Breach of any covenant or agreement set forth in this Agreement prior to such termination or Fraud or (ii) any Person’s Liability under any PIPE Subscription Agreement, any Confidentiality Agreement, any Transaction Support Agreement, or the Sponsor Letter Agreement to which he, she or it is a party to the extent arising from a claim against such Person by another Person party to such agreement on the terms and subject to the conditions thereunder.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010000"/>
        </w:rPr>
        <w:t>ARTICLE 8</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70"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8.1 </w:t>
      </w:r>
      <w:r>
        <w:rPr>
          <w:rFonts w:ascii="Times New Roman" w:cs="Times New Roman" w:eastAsia="Times New Roman" w:hAnsi="Times New Roman"/>
          <w:sz w:val="18"/>
          <w:szCs w:val="18"/>
          <w:b w:val="1"/>
          <w:bCs w:val="1"/>
          <w:u w:val="single" w:color="auto"/>
          <w:color w:val="000000"/>
        </w:rPr>
        <w:t>Non-Survival</w:t>
      </w:r>
      <w:r>
        <w:rPr>
          <w:rFonts w:ascii="Times New Roman" w:cs="Times New Roman" w:eastAsia="Times New Roman" w:hAnsi="Times New Roman"/>
          <w:sz w:val="18"/>
          <w:szCs w:val="18"/>
          <w:color w:val="000000"/>
        </w:rPr>
        <w:t>. The representations and warranties, and each of the agreements and covenants (to the extent such agreement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64"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8.2 </w:t>
      </w:r>
      <w:r>
        <w:rPr>
          <w:rFonts w:ascii="Times New Roman" w:cs="Times New Roman" w:eastAsia="Times New Roman" w:hAnsi="Times New Roman"/>
          <w:sz w:val="18"/>
          <w:szCs w:val="18"/>
          <w:b w:val="1"/>
          <w:bCs w:val="1"/>
          <w:u w:val="single" w:color="auto"/>
          <w:color w:val="000000"/>
        </w:rPr>
        <w:t>Entire Agreement; Assignment</w:t>
      </w:r>
      <w:r>
        <w:rPr>
          <w:rFonts w:ascii="Times New Roman" w:cs="Times New Roman" w:eastAsia="Times New Roman" w:hAnsi="Times New Roman"/>
          <w:sz w:val="18"/>
          <w:szCs w:val="18"/>
          <w:color w:val="000000"/>
        </w:rPr>
        <w:t>. This Agreement (together with the Ancillary Documents) constitutes the entire agreement among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ARYA and the Company; provided, however, that to the extent any such assignment following the Closing relates to the ARYA Sponsor Specified Provisions, the assigning Party shall continue to be bound by its obligations under such provisions. Any attempted assignment of this Agreement not in accordance with the terms of this Section 8.2 shall be void.</w:t>
      </w:r>
    </w:p>
    <w:p>
      <w:pPr>
        <w:spacing w:after="0" w:line="166"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7"/>
          <w:szCs w:val="17"/>
          <w:b w:val="1"/>
          <w:bCs w:val="1"/>
          <w:color w:val="010000"/>
        </w:rPr>
        <w:t xml:space="preserve">Section 8.3 </w:t>
      </w:r>
      <w:r>
        <w:rPr>
          <w:rFonts w:ascii="Times New Roman" w:cs="Times New Roman" w:eastAsia="Times New Roman" w:hAnsi="Times New Roman"/>
          <w:sz w:val="17"/>
          <w:szCs w:val="17"/>
          <w:b w:val="1"/>
          <w:bCs w:val="1"/>
          <w:u w:val="single" w:color="auto"/>
          <w:color w:val="000000"/>
        </w:rPr>
        <w:t>Amendment</w:t>
      </w:r>
      <w:r>
        <w:rPr>
          <w:rFonts w:ascii="Times New Roman" w:cs="Times New Roman" w:eastAsia="Times New Roman" w:hAnsi="Times New Roman"/>
          <w:sz w:val="17"/>
          <w:szCs w:val="17"/>
          <w:color w:val="000000"/>
        </w:rPr>
        <w:t>. This Agreement may be amended or modified only by a written agreement executed and delivered by ARYA and the</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 xml:space="preserve">Company; provided, however, that any such amendment or modification following the Closing with respect to the ARYA Sponsor Specified Provisions shall also require the written consent of the ARYA Sponsor. This Agreement may not be modified or amended except as provided in the immediately preceding sentence and any purported amendment by any Party or Parties effected in a manner which does not comply with this Section 8.3 shall be void, </w:t>
      </w:r>
      <w:r>
        <w:rPr>
          <w:rFonts w:ascii="Times New Roman" w:cs="Times New Roman" w:eastAsia="Times New Roman" w:hAnsi="Times New Roman"/>
          <w:sz w:val="17"/>
          <w:szCs w:val="17"/>
          <w:i w:val="1"/>
          <w:iCs w:val="1"/>
          <w:color w:val="000000"/>
        </w:rPr>
        <w:t>ab initio</w:t>
      </w:r>
      <w:r>
        <w:rPr>
          <w:rFonts w:ascii="Times New Roman" w:cs="Times New Roman" w:eastAsia="Times New Roman" w:hAnsi="Times New Roman"/>
          <w:sz w:val="17"/>
          <w:szCs w:val="17"/>
          <w:color w:val="000000"/>
        </w:rPr>
        <w:t>.</w:t>
      </w:r>
    </w:p>
    <w:p>
      <w:pPr>
        <w:spacing w:after="0" w:line="151"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8.4 </w:t>
      </w:r>
      <w:r>
        <w:rPr>
          <w:rFonts w:ascii="Times New Roman" w:cs="Times New Roman" w:eastAsia="Times New Roman" w:hAnsi="Times New Roman"/>
          <w:sz w:val="18"/>
          <w:szCs w:val="18"/>
          <w:b w:val="1"/>
          <w:bCs w:val="1"/>
          <w:u w:val="single" w:color="auto"/>
          <w:color w:val="000000"/>
        </w:rPr>
        <w:t>Notices</w:t>
      </w:r>
      <w:r>
        <w:rPr>
          <w:rFonts w:ascii="Times New Roman" w:cs="Times New Roman" w:eastAsia="Times New Roman" w:hAnsi="Times New Roman"/>
          <w:sz w:val="18"/>
          <w:szCs w:val="18"/>
          <w:color w:val="000000"/>
        </w:rPr>
        <w:t>. All notices, requests, claims, demands and other communications hereunder shall be in writing and shall be given (and shall</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be deemed to have been duly given) by delivery in person, by e-mail (having obtained electronic delivery confirmation thereof (</w:t>
      </w:r>
      <w:r>
        <w:rPr>
          <w:rFonts w:ascii="Times New Roman" w:cs="Times New Roman" w:eastAsia="Times New Roman" w:hAnsi="Times New Roman"/>
          <w:sz w:val="18"/>
          <w:szCs w:val="18"/>
          <w:i w:val="1"/>
          <w:iCs w:val="1"/>
          <w:color w:val="000000"/>
        </w:rPr>
        <w:t>i.e.,</w:t>
      </w:r>
      <w:r>
        <w:rPr>
          <w:rFonts w:ascii="Times New Roman" w:cs="Times New Roman" w:eastAsia="Times New Roman" w:hAnsi="Times New Roman"/>
          <w:sz w:val="18"/>
          <w:szCs w:val="18"/>
          <w:color w:val="000000"/>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74" w:lineRule="exact"/>
        <w:rPr>
          <w:sz w:val="20"/>
          <w:szCs w:val="20"/>
          <w:color w:val="auto"/>
        </w:rPr>
      </w:pPr>
    </w:p>
    <w:p>
      <w:pPr>
        <w:ind w:left="1600" w:hanging="526"/>
        <w:spacing w:after="0"/>
        <w:tabs>
          <w:tab w:leader="none" w:pos="1600" w:val="left"/>
        </w:tabs>
        <w:numPr>
          <w:ilvl w:val="0"/>
          <w:numId w:val="109"/>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If to any ARYA Party, to:</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0" w:name="page111"/>
    <w:bookmarkEnd w:id="110"/>
    <w:p>
      <w:pPr>
        <w:ind w:left="1600"/>
        <w:spacing w:after="0"/>
        <w:rPr>
          <w:sz w:val="20"/>
          <w:szCs w:val="20"/>
          <w:color w:val="auto"/>
        </w:rPr>
      </w:pPr>
      <w:r>
        <w:rPr>
          <w:rFonts w:ascii="Times New Roman" w:cs="Times New Roman" w:eastAsia="Times New Roman" w:hAnsi="Times New Roman"/>
          <w:sz w:val="18"/>
          <w:szCs w:val="18"/>
          <w:color w:val="auto"/>
        </w:rPr>
        <w:t>c/o ARYA Science Acquisition Corp III</w:t>
      </w:r>
    </w:p>
    <w:p>
      <w:pPr>
        <w:spacing w:after="0" w:line="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51 Astor Place, 10th Floor</w:t>
      </w:r>
    </w:p>
    <w:p>
      <w:pPr>
        <w:ind w:left="1600"/>
        <w:spacing w:after="0" w:line="236" w:lineRule="auto"/>
        <w:rPr>
          <w:sz w:val="20"/>
          <w:szCs w:val="20"/>
          <w:color w:val="auto"/>
        </w:rPr>
      </w:pPr>
      <w:r>
        <w:rPr>
          <w:rFonts w:ascii="Times New Roman" w:cs="Times New Roman" w:eastAsia="Times New Roman" w:hAnsi="Times New Roman"/>
          <w:sz w:val="18"/>
          <w:szCs w:val="18"/>
          <w:color w:val="auto"/>
        </w:rPr>
        <w:t>New York, NY 10003</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Michael Altman</w:t>
      </w:r>
    </w:p>
    <w:p>
      <w:pPr>
        <w:ind w:left="2680"/>
        <w:spacing w:after="0" w:line="237" w:lineRule="auto"/>
        <w:rPr>
          <w:sz w:val="20"/>
          <w:szCs w:val="20"/>
          <w:color w:val="auto"/>
        </w:rPr>
      </w:pPr>
      <w:r>
        <w:rPr>
          <w:rFonts w:ascii="Times New Roman" w:cs="Times New Roman" w:eastAsia="Times New Roman" w:hAnsi="Times New Roman"/>
          <w:sz w:val="18"/>
          <w:szCs w:val="18"/>
          <w:color w:val="auto"/>
        </w:rPr>
        <w:t>Konstantin Poukalov</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4"/>
          <w:szCs w:val="14"/>
          <w:color w:val="auto"/>
        </w:rPr>
        <w:t>Michael@perceptivelife.com</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Konstantin@perceptivelife.com</w:t>
      </w:r>
    </w:p>
    <w:p>
      <w:pPr>
        <w:spacing w:after="0" w:line="17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u w:val="single" w:color="auto"/>
          <w:color w:val="auto"/>
        </w:rPr>
        <w:t>with a copy (which shall not constitute notice) to</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601 Lexington Avenue</w:t>
      </w:r>
    </w:p>
    <w:p>
      <w:pPr>
        <w:ind w:left="1600"/>
        <w:spacing w:after="0" w:line="236" w:lineRule="auto"/>
        <w:rPr>
          <w:sz w:val="20"/>
          <w:szCs w:val="20"/>
          <w:color w:val="auto"/>
        </w:rPr>
      </w:pPr>
      <w:r>
        <w:rPr>
          <w:rFonts w:ascii="Times New Roman" w:cs="Times New Roman" w:eastAsia="Times New Roman" w:hAnsi="Times New Roman"/>
          <w:sz w:val="18"/>
          <w:szCs w:val="18"/>
          <w:color w:val="auto"/>
        </w:rPr>
        <w:t>New York, NY 10022</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Jonathan L. Davis, P.C.</w:t>
      </w:r>
    </w:p>
    <w:p>
      <w:pPr>
        <w:ind w:left="2680"/>
        <w:spacing w:after="0" w:line="237" w:lineRule="auto"/>
        <w:rPr>
          <w:sz w:val="20"/>
          <w:szCs w:val="20"/>
          <w:color w:val="auto"/>
        </w:rPr>
      </w:pPr>
      <w:r>
        <w:rPr>
          <w:rFonts w:ascii="Times New Roman" w:cs="Times New Roman" w:eastAsia="Times New Roman" w:hAnsi="Times New Roman"/>
          <w:sz w:val="18"/>
          <w:szCs w:val="18"/>
          <w:color w:val="auto"/>
        </w:rPr>
        <w:t>Ryan Brissette</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4"/>
          <w:szCs w:val="14"/>
          <w:color w:val="auto"/>
        </w:rPr>
        <w:t>jonathan.davis@kirkland.com</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ryan.brissette@kirkland.com</w:t>
      </w:r>
    </w:p>
    <w:p>
      <w:pPr>
        <w:spacing w:after="0" w:line="181" w:lineRule="exact"/>
        <w:rPr>
          <w:sz w:val="20"/>
          <w:szCs w:val="20"/>
          <w:color w:val="auto"/>
        </w:rPr>
      </w:pPr>
    </w:p>
    <w:p>
      <w:pPr>
        <w:ind w:left="1600" w:hanging="526"/>
        <w:spacing w:after="0"/>
        <w:tabs>
          <w:tab w:leader="none" w:pos="1600" w:val="left"/>
        </w:tabs>
        <w:numPr>
          <w:ilvl w:val="0"/>
          <w:numId w:val="110"/>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If to the Company, to:</w:t>
      </w:r>
    </w:p>
    <w:p>
      <w:pPr>
        <w:spacing w:after="0" w:line="19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Nautilus Biotechnology, Inc.</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PO Box 22027</w:t>
      </w:r>
    </w:p>
    <w:p>
      <w:pPr>
        <w:ind w:left="1600"/>
        <w:spacing w:after="0" w:line="231" w:lineRule="auto"/>
        <w:rPr>
          <w:sz w:val="20"/>
          <w:szCs w:val="20"/>
          <w:color w:val="auto"/>
        </w:rPr>
      </w:pPr>
      <w:r>
        <w:rPr>
          <w:rFonts w:ascii="Times New Roman" w:cs="Times New Roman" w:eastAsia="Times New Roman" w:hAnsi="Times New Roman"/>
          <w:sz w:val="18"/>
          <w:szCs w:val="18"/>
          <w:color w:val="auto"/>
        </w:rPr>
        <w:t>Seattle, WA 98122</w:t>
      </w:r>
    </w:p>
    <w:p>
      <w:pPr>
        <w:ind w:left="1600"/>
        <w:spacing w:after="0" w:line="232" w:lineRule="auto"/>
        <w:rPr>
          <w:sz w:val="20"/>
          <w:szCs w:val="20"/>
          <w:color w:val="auto"/>
        </w:rPr>
      </w:pPr>
      <w:r>
        <w:rPr>
          <w:rFonts w:ascii="Times New Roman" w:cs="Times New Roman" w:eastAsia="Times New Roman" w:hAnsi="Times New Roman"/>
          <w:sz w:val="18"/>
          <w:szCs w:val="18"/>
          <w:color w:val="auto"/>
        </w:rPr>
        <w:t>Attention: Sujal Patel, Chief Executive Officer</w:t>
      </w:r>
    </w:p>
    <w:p>
      <w:pPr>
        <w:ind w:left="1600"/>
        <w:spacing w:after="0"/>
        <w:rPr>
          <w:sz w:val="20"/>
          <w:szCs w:val="20"/>
          <w:color w:val="auto"/>
        </w:rPr>
      </w:pPr>
      <w:r>
        <w:rPr>
          <w:rFonts w:ascii="Times New Roman" w:cs="Times New Roman" w:eastAsia="Times New Roman" w:hAnsi="Times New Roman"/>
          <w:sz w:val="18"/>
          <w:szCs w:val="18"/>
          <w:color w:val="auto"/>
        </w:rPr>
        <w:t>Email: smpatel@nautilus.bio</w:t>
      </w:r>
    </w:p>
    <w:p>
      <w:pPr>
        <w:spacing w:after="0" w:line="17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u w:val="single" w:color="auto"/>
          <w:color w:val="auto"/>
        </w:rPr>
        <w:t>with a copy (which shall not constitute notice) to</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650 Page Mill Road</w:t>
      </w:r>
    </w:p>
    <w:p>
      <w:pPr>
        <w:ind w:left="1600"/>
        <w:spacing w:after="0"/>
        <w:rPr>
          <w:sz w:val="20"/>
          <w:szCs w:val="20"/>
          <w:color w:val="auto"/>
        </w:rPr>
      </w:pPr>
      <w:r>
        <w:rPr>
          <w:rFonts w:ascii="Times New Roman" w:cs="Times New Roman" w:eastAsia="Times New Roman" w:hAnsi="Times New Roman"/>
          <w:sz w:val="18"/>
          <w:szCs w:val="18"/>
          <w:color w:val="auto"/>
        </w:rPr>
        <w:t>Palo Alto, CA 94304</w:t>
      </w:r>
    </w:p>
    <w:p>
      <w:pPr>
        <w:sectPr>
          <w:pgSz w:w="11900" w:h="16838" w:orient="portrait"/>
          <w:cols w:equalWidth="0" w:num="1">
            <w:col w:w="11260"/>
          </w:cols>
          <w:pgMar w:left="300" w:top="118" w:right="339" w:bottom="1440" w:gutter="0" w:footer="0" w:header="0"/>
        </w:sectPr>
      </w:pP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Attention:</w:t>
      </w:r>
    </w:p>
    <w:p>
      <w:pPr>
        <w:spacing w:after="0" w:line="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5"/>
          <w:szCs w:val="15"/>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Robert Kornegay</w:t>
      </w:r>
    </w:p>
    <w:p>
      <w:pPr>
        <w:spacing w:after="0"/>
        <w:rPr>
          <w:sz w:val="20"/>
          <w:szCs w:val="20"/>
          <w:color w:val="auto"/>
        </w:rPr>
      </w:pPr>
      <w:r>
        <w:rPr>
          <w:rFonts w:ascii="Times New Roman" w:cs="Times New Roman" w:eastAsia="Times New Roman" w:hAnsi="Times New Roman"/>
          <w:sz w:val="14"/>
          <w:szCs w:val="14"/>
          <w:color w:val="auto"/>
        </w:rPr>
        <w:t>rkornegay@wsgr.com</w:t>
      </w:r>
    </w:p>
    <w:p>
      <w:pPr>
        <w:spacing w:after="0" w:line="193" w:lineRule="exact"/>
        <w:rPr>
          <w:sz w:val="20"/>
          <w:szCs w:val="20"/>
          <w:color w:val="auto"/>
        </w:rPr>
      </w:pPr>
    </w:p>
    <w:p>
      <w:pPr>
        <w:sectPr>
          <w:pgSz w:w="11900" w:h="16838" w:orient="portrait"/>
          <w:cols w:equalWidth="0" w:num="2">
            <w:col w:w="2200" w:space="480"/>
            <w:col w:w="8580"/>
          </w:cols>
          <w:pgMar w:left="300" w:top="118"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One Market Plaza, Spear Tower, Suite 3300</w:t>
      </w:r>
    </w:p>
    <w:p>
      <w:pPr>
        <w:ind w:left="1600"/>
        <w:spacing w:after="0" w:line="236" w:lineRule="auto"/>
        <w:rPr>
          <w:sz w:val="20"/>
          <w:szCs w:val="20"/>
          <w:color w:val="auto"/>
        </w:rPr>
      </w:pPr>
      <w:r>
        <w:rPr>
          <w:rFonts w:ascii="Times New Roman" w:cs="Times New Roman" w:eastAsia="Times New Roman" w:hAnsi="Times New Roman"/>
          <w:sz w:val="18"/>
          <w:szCs w:val="18"/>
          <w:color w:val="auto"/>
        </w:rPr>
        <w:t>San Francisco, CA 94105</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Robert T. Ishii</w:t>
      </w:r>
    </w:p>
    <w:p>
      <w:pPr>
        <w:ind w:left="2680"/>
        <w:spacing w:after="0" w:line="237" w:lineRule="auto"/>
        <w:rPr>
          <w:sz w:val="20"/>
          <w:szCs w:val="20"/>
          <w:color w:val="auto"/>
        </w:rPr>
      </w:pPr>
      <w:r>
        <w:rPr>
          <w:rFonts w:ascii="Times New Roman" w:cs="Times New Roman" w:eastAsia="Times New Roman" w:hAnsi="Times New Roman"/>
          <w:sz w:val="18"/>
          <w:szCs w:val="18"/>
          <w:color w:val="auto"/>
        </w:rPr>
        <w:t>Brian Keyes</w:t>
      </w:r>
    </w:p>
    <w:p>
      <w:pPr>
        <w:ind w:left="1600"/>
        <w:spacing w:after="0"/>
        <w:tabs>
          <w:tab w:leader="none" w:pos="266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4"/>
          <w:szCs w:val="14"/>
          <w:color w:val="auto"/>
        </w:rPr>
        <w:t>rishii@wsgr.com</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bkeyes@wsgr.com</w:t>
      </w:r>
    </w:p>
    <w:p>
      <w:pPr>
        <w:spacing w:after="0" w:line="17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or to such other address as the Party to whom notice is given may have furnished following the date of this Agreement and prior to such notice to the others in writing in the manner set forth above.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type w:val="continuous"/>
        </w:sectPr>
      </w:pPr>
    </w:p>
    <w:bookmarkStart w:id="111" w:name="page112"/>
    <w:bookmarkEnd w:id="111"/>
    <w:p>
      <w:pPr>
        <w:jc w:val="both"/>
        <w:ind w:firstLine="532"/>
        <w:spacing w:after="0" w:line="269" w:lineRule="auto"/>
        <w:rPr>
          <w:sz w:val="20"/>
          <w:szCs w:val="20"/>
          <w:color w:val="auto"/>
        </w:rPr>
      </w:pPr>
      <w:r>
        <w:rPr>
          <w:rFonts w:ascii="Times New Roman" w:cs="Times New Roman" w:eastAsia="Times New Roman" w:hAnsi="Times New Roman"/>
          <w:sz w:val="17"/>
          <w:szCs w:val="17"/>
          <w:b w:val="1"/>
          <w:bCs w:val="1"/>
          <w:color w:val="010000"/>
        </w:rPr>
        <w:t xml:space="preserve">Section 8.5 </w:t>
      </w:r>
      <w:r>
        <w:rPr>
          <w:rFonts w:ascii="Times New Roman" w:cs="Times New Roman" w:eastAsia="Times New Roman" w:hAnsi="Times New Roman"/>
          <w:sz w:val="17"/>
          <w:szCs w:val="17"/>
          <w:b w:val="1"/>
          <w:bCs w:val="1"/>
          <w:u w:val="single" w:color="auto"/>
          <w:color w:val="000000"/>
        </w:rPr>
        <w:t>Governing Law</w:t>
      </w:r>
      <w:r>
        <w:rPr>
          <w:rFonts w:ascii="Times New Roman" w:cs="Times New Roman" w:eastAsia="Times New Roman" w:hAnsi="Times New Roman"/>
          <w:sz w:val="17"/>
          <w:szCs w:val="17"/>
          <w:color w:val="000000"/>
        </w:rPr>
        <w:t>. This Agreement shall be governed by and construed in accordance with the laws of the State of Delaware, without</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giving effect to any choice of law or conflict of law provision or rule (whether of the State of Delaware or any other jurisdiction) that would cause the application of the law of any jurisdiction other than the State of Delaware (except that the laws of the Cayman Islands shall also apply to the Domestication).</w:t>
      </w:r>
    </w:p>
    <w:p>
      <w:pPr>
        <w:spacing w:after="0" w:line="143"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8.6 </w:t>
      </w:r>
      <w:r>
        <w:rPr>
          <w:rFonts w:ascii="Times New Roman" w:cs="Times New Roman" w:eastAsia="Times New Roman" w:hAnsi="Times New Roman"/>
          <w:sz w:val="18"/>
          <w:szCs w:val="18"/>
          <w:b w:val="1"/>
          <w:bCs w:val="1"/>
          <w:u w:val="single" w:color="auto"/>
          <w:color w:val="000000"/>
        </w:rPr>
        <w:t>Fees and Expenses</w:t>
      </w:r>
      <w:r>
        <w:rPr>
          <w:rFonts w:ascii="Times New Roman" w:cs="Times New Roman" w:eastAsia="Times New Roman" w:hAnsi="Times New Roman"/>
          <w:sz w:val="18"/>
          <w:szCs w:val="18"/>
          <w:color w:val="000000"/>
        </w:rPr>
        <w:t>. Except as otherwise set forth in this Agreement, all fees and expenses incurred in connection with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the Ancillary Documents and the transactions contemplated hereby and thereby, including the fees and disbursements of counsel, financial advisors and accountants, shall be paid by the Party incurring such fees or expenses; provided that, for the avoidance of doubt, if this Agreement is terminated in accordance with its terms, the Company shall pay, or cause to be paid, all Unpaid Company Expenses and ARYA shall pay, or cause to be paid, all Unpaid ARYA Expenses.</w:t>
      </w:r>
    </w:p>
    <w:p>
      <w:pPr>
        <w:spacing w:after="0" w:line="167" w:lineRule="exact"/>
        <w:rPr>
          <w:sz w:val="20"/>
          <w:szCs w:val="20"/>
          <w:color w:val="auto"/>
        </w:rPr>
      </w:pPr>
    </w:p>
    <w:p>
      <w:pPr>
        <w:jc w:val="both"/>
        <w:ind w:firstLine="532"/>
        <w:spacing w:after="0" w:line="233" w:lineRule="auto"/>
        <w:rPr>
          <w:sz w:val="20"/>
          <w:szCs w:val="20"/>
          <w:color w:val="auto"/>
        </w:rPr>
      </w:pPr>
      <w:r>
        <w:rPr>
          <w:rFonts w:ascii="Times New Roman" w:cs="Times New Roman" w:eastAsia="Times New Roman" w:hAnsi="Times New Roman"/>
          <w:sz w:val="18"/>
          <w:szCs w:val="18"/>
          <w:b w:val="1"/>
          <w:bCs w:val="1"/>
          <w:color w:val="010000"/>
        </w:rPr>
        <w:t xml:space="preserve">Section 8.7 </w:t>
      </w:r>
      <w:r>
        <w:rPr>
          <w:rFonts w:ascii="Times New Roman" w:cs="Times New Roman" w:eastAsia="Times New Roman" w:hAnsi="Times New Roman"/>
          <w:sz w:val="18"/>
          <w:szCs w:val="18"/>
          <w:b w:val="1"/>
          <w:bCs w:val="1"/>
          <w:u w:val="single" w:color="auto"/>
          <w:color w:val="000000"/>
        </w:rPr>
        <w:t>Construction; Interpretation</w:t>
      </w:r>
      <w:r>
        <w:rPr>
          <w:rFonts w:ascii="Times New Roman" w:cs="Times New Roman" w:eastAsia="Times New Roman" w:hAnsi="Times New Roman"/>
          <w:sz w:val="18"/>
          <w:szCs w:val="18"/>
          <w:color w:val="000000"/>
        </w:rPr>
        <w:t>. The term “this Agreement” means this Business Combination Agreement together with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Schedules 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“made available” (regardless of whether capitalized or not) shall mean, when used with reference to documents or other materials required to be provided or made available to ARYA, any documents or other materials posted to the electronic data room located at sharepoint.com under the project name “Project Mako” as of 5:00 p.m., Eastern Time, at least one (1) day prior to the date of this Agreement;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2" w:name="page113"/>
    <w:bookmarkEnd w:id="112"/>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8.8 </w:t>
      </w:r>
      <w:r>
        <w:rPr>
          <w:rFonts w:ascii="Times New Roman" w:cs="Times New Roman" w:eastAsia="Times New Roman" w:hAnsi="Times New Roman"/>
          <w:sz w:val="18"/>
          <w:szCs w:val="18"/>
          <w:b w:val="1"/>
          <w:bCs w:val="1"/>
          <w:u w:val="single" w:color="auto"/>
          <w:color w:val="000000"/>
        </w:rPr>
        <w:t>Exhibits and Schedules</w:t>
      </w:r>
      <w:r>
        <w:rPr>
          <w:rFonts w:ascii="Times New Roman" w:cs="Times New Roman" w:eastAsia="Times New Roman" w:hAnsi="Times New Roman"/>
          <w:sz w:val="18"/>
          <w:szCs w:val="18"/>
          <w:color w:val="000000"/>
        </w:rPr>
        <w:t>. All Exhibits and Schedules, or documents expressly incorporated into this Agreement, are hereby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ARYA Disclosure Schedules corresponding to any Section or subsection of Article 3 (in the case of the Company Disclosure Schedules) or Article 4 (in the case of the ARYA Disclosure Schedules), respectively, shall be deemed to have been disclosed with respect to every other section and subsection of Article 3 (in the case of the Company Disclosure Schedules) or Article 4 (in the case of the ARYA Disclosure Schedules), respectively, where the relevance of such disclosure to such other Section or subsection is reasonably apparent on the face of the disclosure. The information and disclosures set forth in the Schedules that correspond to the section or subsections of Article 3 or Article 4 may not be limited to matters required to be disclosed in the Schedules, and any such additional information or disclosure is for informational purposes only and does not necessarily include other matters of a similar nature.</w:t>
      </w:r>
    </w:p>
    <w:p>
      <w:pPr>
        <w:spacing w:after="0" w:line="171"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8.9 </w:t>
      </w:r>
      <w:r>
        <w:rPr>
          <w:rFonts w:ascii="Times New Roman" w:cs="Times New Roman" w:eastAsia="Times New Roman" w:hAnsi="Times New Roman"/>
          <w:sz w:val="18"/>
          <w:szCs w:val="18"/>
          <w:b w:val="1"/>
          <w:bCs w:val="1"/>
          <w:u w:val="single" w:color="auto"/>
          <w:color w:val="000000"/>
        </w:rPr>
        <w:t>Parties in Interest</w:t>
      </w:r>
      <w:r>
        <w:rPr>
          <w:rFonts w:ascii="Times New Roman" w:cs="Times New Roman" w:eastAsia="Times New Roman" w:hAnsi="Times New Roman"/>
          <w:sz w:val="18"/>
          <w:szCs w:val="18"/>
          <w:color w:val="000000"/>
        </w:rPr>
        <w:t>. This Agreement shall be binding upon and inure solely to the benefit of each Party and its successors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permitted assigns and, except as provided in Section 5.16, Section 5.17, the last sentence of this Section 8.9 and Section 8.13, nothing in this Agreement, express or implied, is intended to or shall confer upon any other Person any rights, benefits or remedies of any nature whatsoever under or by reason of this Agreement. The ARYA Sponsor shall be an express third-party beneficiary of Section 5.16, Section 8.2, Section 8.3, this Section 8.9, Section 8.13 and Section 8.14 (collectively, the “ARYA Sponsor Specified Provisions”).</w:t>
      </w:r>
    </w:p>
    <w:p>
      <w:pPr>
        <w:spacing w:after="0" w:line="167"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b w:val="1"/>
          <w:bCs w:val="1"/>
          <w:color w:val="010000"/>
        </w:rPr>
        <w:t xml:space="preserve">Section 8.10 </w:t>
      </w:r>
      <w:r>
        <w:rPr>
          <w:rFonts w:ascii="Times New Roman" w:cs="Times New Roman" w:eastAsia="Times New Roman" w:hAnsi="Times New Roman"/>
          <w:sz w:val="18"/>
          <w:szCs w:val="18"/>
          <w:b w:val="1"/>
          <w:bCs w:val="1"/>
          <w:u w:val="single" w:color="auto"/>
          <w:color w:val="000000"/>
        </w:rPr>
        <w:t>Severability</w:t>
      </w:r>
      <w:r>
        <w:rPr>
          <w:rFonts w:ascii="Times New Roman" w:cs="Times New Roman" w:eastAsia="Times New Roman" w:hAnsi="Times New Roman"/>
          <w:sz w:val="18"/>
          <w:szCs w:val="18"/>
          <w:color w:val="000000"/>
        </w:rPr>
        <w:t>. Whenever possible, each provision of this Agreement will be interpreted in such a manner as to be effective and valid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67"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8.11 </w:t>
      </w:r>
      <w:r>
        <w:rPr>
          <w:rFonts w:ascii="Times New Roman" w:cs="Times New Roman" w:eastAsia="Times New Roman" w:hAnsi="Times New Roman"/>
          <w:sz w:val="18"/>
          <w:szCs w:val="18"/>
          <w:b w:val="1"/>
          <w:bCs w:val="1"/>
          <w:u w:val="single" w:color="auto"/>
          <w:color w:val="000000"/>
        </w:rPr>
        <w:t>Counterparts; Electronic Signatures</w:t>
      </w:r>
      <w:r>
        <w:rPr>
          <w:rFonts w:ascii="Times New Roman" w:cs="Times New Roman" w:eastAsia="Times New Roman" w:hAnsi="Times New Roman"/>
          <w:sz w:val="18"/>
          <w:szCs w:val="18"/>
          <w:color w:val="000000"/>
        </w:rPr>
        <w:t>. This Agreement and each Ancillary Document (including any of the closing deliverables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spacing w:after="0" w:line="167"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b w:val="1"/>
          <w:bCs w:val="1"/>
          <w:color w:val="010000"/>
        </w:rPr>
        <w:t xml:space="preserve">Section 8.12 </w:t>
      </w:r>
      <w:r>
        <w:rPr>
          <w:rFonts w:ascii="Times New Roman" w:cs="Times New Roman" w:eastAsia="Times New Roman" w:hAnsi="Times New Roman"/>
          <w:sz w:val="18"/>
          <w:szCs w:val="18"/>
          <w:b w:val="1"/>
          <w:bCs w:val="1"/>
          <w:u w:val="single" w:color="auto"/>
          <w:color w:val="000000"/>
        </w:rPr>
        <w:t>Knowledge of Company; Knowledge of ARYA</w:t>
      </w:r>
      <w:r>
        <w:rPr>
          <w:rFonts w:ascii="Times New Roman" w:cs="Times New Roman" w:eastAsia="Times New Roman" w:hAnsi="Times New Roman"/>
          <w:sz w:val="18"/>
          <w:szCs w:val="18"/>
          <w:color w:val="000000"/>
        </w:rPr>
        <w:t>. For all purposes of this Agreement, the phrase “to the Company’s knowledge”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“known by the Company” and any derivations thereof shall mean as of the applicable date, the actual knowledge of the individuals set forth on Section 8.12(a) of the Company Disclosure Schedules, assuming reasonable due inquiry and investigation of his or her direct reports. For all purposes of this Agreement, the phrase “to ARYA’s knowledge” and “to the knowledge of ARYA” and any derivations thereof shall mean as of the applicable date, the actual knowledge of the individuals set forth on Section 8.12(b) of the ARYA Disclosure Schedules, assuming reasonable due inquiry and investigation of his or her direct reports. For the avoidance of doubt, none of the individuals set forth on Section 8.12(a) of the Company Disclosure Schedules or Section 8.12(b) of the ARYA Disclosure Schedules shall have any personal Liability or obligations regarding such knowledge.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3" w:name="page114"/>
    <w:bookmarkEnd w:id="113"/>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8.13 </w:t>
      </w:r>
      <w:r>
        <w:rPr>
          <w:rFonts w:ascii="Times New Roman" w:cs="Times New Roman" w:eastAsia="Times New Roman" w:hAnsi="Times New Roman"/>
          <w:sz w:val="18"/>
          <w:szCs w:val="18"/>
          <w:b w:val="1"/>
          <w:bCs w:val="1"/>
          <w:u w:val="single" w:color="auto"/>
          <w:color w:val="000000"/>
        </w:rPr>
        <w:t>No Recourse</w:t>
      </w:r>
      <w:r>
        <w:rPr>
          <w:rFonts w:ascii="Times New Roman" w:cs="Times New Roman" w:eastAsia="Times New Roman" w:hAnsi="Times New Roman"/>
          <w:sz w:val="18"/>
          <w:szCs w:val="18"/>
          <w:color w:val="000000"/>
        </w:rPr>
        <w:t>. Without limiting any rights of any party against any other party to an Ancillary Document to the extent on the terms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subject to the conditions thereunder or the Liabilities of any party to an Ancillary Document to the extent arising from a claim against such party by another party to such agreement on the terms and subject to the conditions thereunder, this Agreement may only be enforced against, and any claim or cause of action based upon, arising out of, or related to this Agreement or the transactions contemplated hereby may only be brought by and against, the Parties, and then only with respect to the specific covenants, agreements, obligations, representations and warranties set forth herein with respect to such Party. Without limiting any rights of any party against another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except for the Parties (and then only to the extent of the specific covenants, agreements, obligations, representations and warranties undertaken by such named party in this Agreement), (a) no past, present or future director, officer, employee, incorporator, member, partner, stockholder, Affiliate, agent, attorney, advisor or representative or Affiliate of any named party to this Agreement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ARYA or Merger Sub under this Agreement of or for any claim based on, arising out of, or related to this Agreement or the transactions contemplated hereby.</w:t>
      </w:r>
    </w:p>
    <w:p>
      <w:pPr>
        <w:spacing w:after="0" w:line="171"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8.14 </w:t>
      </w:r>
      <w:r>
        <w:rPr>
          <w:rFonts w:ascii="Times New Roman" w:cs="Times New Roman" w:eastAsia="Times New Roman" w:hAnsi="Times New Roman"/>
          <w:sz w:val="18"/>
          <w:szCs w:val="18"/>
          <w:b w:val="1"/>
          <w:bCs w:val="1"/>
          <w:u w:val="single" w:color="auto"/>
          <w:color w:val="000000"/>
        </w:rPr>
        <w:t>Extension; Waiver</w:t>
      </w:r>
      <w:r>
        <w:rPr>
          <w:rFonts w:ascii="Times New Roman" w:cs="Times New Roman" w:eastAsia="Times New Roman" w:hAnsi="Times New Roman"/>
          <w:sz w:val="18"/>
          <w:szCs w:val="18"/>
          <w:color w:val="000000"/>
        </w:rPr>
        <w:t>. The Company may (a) extend the time for the performance of any of the obligations or other acts of the ARYA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Parties set forth herein, (b) waive any inaccuracies in the representations and warranties of the ARYA Parties set forth herein or (c) waive compliance by the ARYA Parties with any of the agreements or conditions set forth herein. ARYA may (i) extend the time for the performance of any of the obligations or other acts of the Company set forth herein, (ii) waive any inaccuracies in the representations and warranties of the Company set forth herein or (iii) waive compliance by the Company with any of the agreements or conditions set forth herein. Notwithstanding the foregoing or anything to the contrary in this Agreement, any extension or waiver following the Closing with respect ARYA Sponsor Specified Provisions shall also require the written consent of the ARYA Sponsor.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4" w:name="page115"/>
    <w:bookmarkEnd w:id="114"/>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8.15 </w:t>
      </w:r>
      <w:r>
        <w:rPr>
          <w:rFonts w:ascii="Times New Roman" w:cs="Times New Roman" w:eastAsia="Times New Roman" w:hAnsi="Times New Roman"/>
          <w:sz w:val="18"/>
          <w:szCs w:val="18"/>
          <w:b w:val="1"/>
          <w:bCs w:val="1"/>
          <w:u w:val="single" w:color="auto"/>
          <w:color w:val="000000"/>
        </w:rPr>
        <w:t>Waiver of Jury Trial</w:t>
      </w:r>
      <w:r>
        <w:rPr>
          <w:rFonts w:ascii="Times New Roman" w:cs="Times New Roman" w:eastAsia="Times New Roman" w:hAnsi="Times New Roman"/>
          <w:sz w:val="18"/>
          <w:szCs w:val="18"/>
          <w:color w:val="000000"/>
        </w:rPr>
        <w:t>. THE PARTIES EACH HEREBY WAIVES, TO THE FULLEST EXTENT PERMITTED BY LAW,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RIGHT TO TRIAL BY JURY OF ANY PROCEEDING, CLAIM, DEMAND, ACTION, OR CAUSE OF ACTION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8.15.</w:t>
      </w:r>
    </w:p>
    <w:p>
      <w:pPr>
        <w:spacing w:after="0" w:line="169" w:lineRule="exact"/>
        <w:rPr>
          <w:sz w:val="20"/>
          <w:szCs w:val="20"/>
          <w:color w:val="auto"/>
        </w:rPr>
      </w:pPr>
    </w:p>
    <w:p>
      <w:pPr>
        <w:jc w:val="both"/>
        <w:ind w:firstLine="532"/>
        <w:spacing w:after="0" w:line="233" w:lineRule="auto"/>
        <w:rPr>
          <w:sz w:val="20"/>
          <w:szCs w:val="20"/>
          <w:color w:val="auto"/>
        </w:rPr>
      </w:pPr>
      <w:r>
        <w:rPr>
          <w:rFonts w:ascii="Times New Roman" w:cs="Times New Roman" w:eastAsia="Times New Roman" w:hAnsi="Times New Roman"/>
          <w:sz w:val="18"/>
          <w:szCs w:val="18"/>
          <w:b w:val="1"/>
          <w:bCs w:val="1"/>
          <w:color w:val="010000"/>
        </w:rPr>
        <w:t xml:space="preserve">Section 8.16 </w:t>
      </w:r>
      <w:r>
        <w:rPr>
          <w:rFonts w:ascii="Times New Roman" w:cs="Times New Roman" w:eastAsia="Times New Roman" w:hAnsi="Times New Roman"/>
          <w:sz w:val="18"/>
          <w:szCs w:val="18"/>
          <w:b w:val="1"/>
          <w:bCs w:val="1"/>
          <w:u w:val="single" w:color="auto"/>
          <w:color w:val="000000"/>
        </w:rPr>
        <w:t>Submission to Jurisdiction</w:t>
      </w:r>
      <w:r>
        <w:rPr>
          <w:rFonts w:ascii="Times New Roman" w:cs="Times New Roman" w:eastAsia="Times New Roman" w:hAnsi="Times New Roman"/>
          <w:sz w:val="18"/>
          <w:szCs w:val="18"/>
          <w:color w:val="000000"/>
        </w:rPr>
        <w:t>. Each of the Parties irrevocably and unconditionally submits to the exclusive jurisdiction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Section 8.16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Section 8.4 shall be effective service of process for any such Proceeding, claim, demand, action or cause of action.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5" w:name="page116"/>
    <w:bookmarkEnd w:id="115"/>
    <w:p>
      <w:pPr>
        <w:jc w:val="both"/>
        <w:ind w:firstLine="532"/>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8.17 </w:t>
      </w:r>
      <w:r>
        <w:rPr>
          <w:rFonts w:ascii="Times New Roman" w:cs="Times New Roman" w:eastAsia="Times New Roman" w:hAnsi="Times New Roman"/>
          <w:sz w:val="18"/>
          <w:szCs w:val="18"/>
          <w:b w:val="1"/>
          <w:bCs w:val="1"/>
          <w:u w:val="single" w:color="auto"/>
          <w:color w:val="000000"/>
        </w:rPr>
        <w:t>Remedies</w:t>
      </w:r>
      <w:r>
        <w:rPr>
          <w:rFonts w:ascii="Times New Roman" w:cs="Times New Roman" w:eastAsia="Times New Roman" w:hAnsi="Times New Roman"/>
          <w:sz w:val="18"/>
          <w:szCs w:val="18"/>
          <w:color w:val="000000"/>
        </w:rPr>
        <w:t>. Except as otherwise expressly provided herein, any and all remedies provided herein will be deemed cumulative with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68"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010000"/>
        </w:rPr>
        <w:t>Section 8.18</w:t>
      </w:r>
      <w:r>
        <w:rPr>
          <w:sz w:val="20"/>
          <w:szCs w:val="20"/>
          <w:color w:val="auto"/>
        </w:rPr>
        <w:tab/>
      </w:r>
      <w:r>
        <w:rPr>
          <w:rFonts w:ascii="Times New Roman" w:cs="Times New Roman" w:eastAsia="Times New Roman" w:hAnsi="Times New Roman"/>
          <w:sz w:val="17"/>
          <w:szCs w:val="17"/>
          <w:b w:val="1"/>
          <w:bCs w:val="1"/>
          <w:u w:val="single" w:color="auto"/>
          <w:color w:val="auto"/>
        </w:rPr>
        <w:t>Trust Account Waiver</w:t>
      </w:r>
      <w:r>
        <w:rPr>
          <w:rFonts w:ascii="Times New Roman" w:cs="Times New Roman" w:eastAsia="Times New Roman" w:hAnsi="Times New Roman"/>
          <w:sz w:val="17"/>
          <w:szCs w:val="17"/>
          <w:b w:val="1"/>
          <w:bCs w:val="1"/>
          <w:color w:val="auto"/>
        </w:rPr>
        <w:t>.</w:t>
      </w:r>
    </w:p>
    <w:p>
      <w:pPr>
        <w:spacing w:after="0" w:line="194" w:lineRule="exact"/>
        <w:rPr>
          <w:sz w:val="20"/>
          <w:szCs w:val="20"/>
          <w:color w:val="auto"/>
        </w:rPr>
      </w:pPr>
    </w:p>
    <w:p>
      <w:pPr>
        <w:jc w:val="both"/>
        <w:ind w:firstLine="1074"/>
        <w:spacing w:after="0" w:line="247" w:lineRule="auto"/>
        <w:tabs>
          <w:tab w:leader="none" w:pos="1506" w:val="left"/>
        </w:tabs>
        <w:numPr>
          <w:ilvl w:val="0"/>
          <w:numId w:val="11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Reference is made to the final prospectus of ARYA, filed with the SEC (File No. 333-2399860, on August 10, 2020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For purposes of this Agreement, “Trust Account” means the trust account established by ARYA with the proceeds from its initial public offering (the “IPO”) and concurrent private placement pursuant to the Trust Agreement in accordance with the Prospectus. The Company acknowledges and agrees and understands that ARYA has established the Trust Account containing the proceeds of its IPO and the overallotment shares acquired by ARYA’s underwriters in connection therewith and from certain private placements occurring simultaneously with the IPO (including interest accrued from time to time thereon) for the benefit of ARYA’s public shareholders (including overallotment shares acquired by ARYA’s underwriters, the “</w:t>
      </w:r>
      <w:r>
        <w:rPr>
          <w:rFonts w:ascii="Times New Roman" w:cs="Times New Roman" w:eastAsia="Times New Roman" w:hAnsi="Times New Roman"/>
          <w:sz w:val="17"/>
          <w:szCs w:val="17"/>
          <w:u w:val="single" w:color="auto"/>
          <w:color w:val="auto"/>
        </w:rPr>
        <w:t>Public Shareholders</w:t>
      </w:r>
      <w:r>
        <w:rPr>
          <w:rFonts w:ascii="Times New Roman" w:cs="Times New Roman" w:eastAsia="Times New Roman" w:hAnsi="Times New Roman"/>
          <w:sz w:val="17"/>
          <w:szCs w:val="17"/>
          <w:color w:val="auto"/>
        </w:rPr>
        <w:t xml:space="preserve">”), and ARYA may disburse monies from the Trust Account only in the express circumstances described in the Prospectus. For and in consideration of ARYA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(but without limiting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8.18(b)</w:t>
      </w:r>
      <w:r>
        <w:rPr>
          <w:rFonts w:ascii="Times New Roman" w:cs="Times New Roman" w:eastAsia="Times New Roman" w:hAnsi="Times New Roman"/>
          <w:sz w:val="17"/>
          <w:szCs w:val="17"/>
          <w:color w:val="auto"/>
        </w:rPr>
        <w:t>), none of the Company, or any of its respective Representatives does now or shall at any time hereafter have any right, title, interest or claim of any kind in or to any monies in the Trust Account, or make any claim against the Trust Account (including any distributions therefrom to the Public Shareholders or in respect of deferred underwriting commissions from the IPO), regardless of whether such claim arises as a result of, in connection with or relating in any way to, this Agreement or any proposed or actual business relationship between ARYA or any of its Representatives, on the one hand, and, the Company, or any of its respective Representatives, on the other hand,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7"/>
          <w:szCs w:val="17"/>
          <w:u w:val="single" w:color="auto"/>
          <w:color w:val="auto"/>
        </w:rPr>
        <w:t>Trust Account Released Claims</w:t>
      </w:r>
      <w:r>
        <w:rPr>
          <w:rFonts w:ascii="Times New Roman" w:cs="Times New Roman" w:eastAsia="Times New Roman" w:hAnsi="Times New Roman"/>
          <w:sz w:val="17"/>
          <w:szCs w:val="17"/>
          <w:color w:val="auto"/>
        </w:rPr>
        <w:t>”). The Company, on its own behalf and on behalf of its Representatives, hereby irrevocably waives any Trust Account Released Claims that it or any of its Representatives may have against the Trust Account (including any distributions therefrom to the Public Shareholders or in respect of deferred underwriting commissions from the IPO) now or in the future as a result of, or arising out of, any negotiations, or Contracts with ARYA or its Representatives and will not seek recourse against the Trust Account (including any distributions therefrom to the Public Shareholders or in respect of deferred underwriting commissions from the IPO) for any reason whatsoever (including for an alleged breach of any agreement with ARYA or its Affiliates).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16" w:name="page117"/>
    <w:bookmarkEnd w:id="116"/>
    <w:p>
      <w:pPr>
        <w:jc w:val="both"/>
        <w:ind w:left="-20" w:firstLine="1074"/>
        <w:spacing w:after="0" w:line="250" w:lineRule="auto"/>
        <w:tabs>
          <w:tab w:leader="none" w:pos="1529" w:val="left"/>
        </w:tabs>
        <w:numPr>
          <w:ilvl w:val="0"/>
          <w:numId w:val="11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u w:val="single" w:color="auto"/>
          <w:color w:val="auto"/>
        </w:rPr>
        <w:t>Section 8.18(a)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8.18(a)</w:t>
      </w:r>
      <w:r>
        <w:rPr>
          <w:rFonts w:ascii="Times New Roman" w:cs="Times New Roman" w:eastAsia="Times New Roman" w:hAnsi="Times New Roman"/>
          <w:sz w:val="17"/>
          <w:szCs w:val="17"/>
          <w:color w:val="auto"/>
        </w:rPr>
        <w:t xml:space="preserve"> shall not serve to limit or prohibit (and the Trust Account Released Claims shall not include) the Company’s right to pursue a claim against (i) any ARYA Party under, and on the terms and subject to the conditions in, this Agreement or under, and on the terms and subject to the conditions in, any Ancillary Document to which it and an ARYA Party is a party or (ii) any other party to an Ancillary Document to which it is a party under, and on the terms and subject to the conditions in, such Ancillary Document, in the case of either clause (i) or (ii), for legal relief against monies or other assets held outside the Trust Account or for specific performance or other equitable relief to the extent not prohibited by this Agreement or such Ancillary Document (including a claim for each ARYA Party to specifically perform its obligations under this Agreement pursuant to </w:t>
      </w:r>
      <w:r>
        <w:rPr>
          <w:rFonts w:ascii="Times New Roman" w:cs="Times New Roman" w:eastAsia="Times New Roman" w:hAnsi="Times New Roman"/>
          <w:sz w:val="17"/>
          <w:szCs w:val="17"/>
          <w:u w:val="single" w:color="auto"/>
          <w:color w:val="auto"/>
        </w:rPr>
        <w:t>Section 8.17</w:t>
      </w:r>
      <w:r>
        <w:rPr>
          <w:rFonts w:ascii="Times New Roman" w:cs="Times New Roman" w:eastAsia="Times New Roman" w:hAnsi="Times New Roman"/>
          <w:sz w:val="17"/>
          <w:szCs w:val="17"/>
          <w:color w:val="auto"/>
        </w:rPr>
        <w:t xml:space="preserve">). If the terms of the Confidentiality Agreement or any Ancillary Document conflicts with the terms of this </w:t>
      </w:r>
      <w:r>
        <w:rPr>
          <w:rFonts w:ascii="Times New Roman" w:cs="Times New Roman" w:eastAsia="Times New Roman" w:hAnsi="Times New Roman"/>
          <w:sz w:val="17"/>
          <w:szCs w:val="17"/>
          <w:u w:val="single" w:color="auto"/>
          <w:color w:val="auto"/>
        </w:rPr>
        <w:t>Section 8.18(b)</w:t>
      </w:r>
      <w:r>
        <w:rPr>
          <w:rFonts w:ascii="Times New Roman" w:cs="Times New Roman" w:eastAsia="Times New Roman" w:hAnsi="Times New Roman"/>
          <w:sz w:val="17"/>
          <w:szCs w:val="17"/>
          <w:color w:val="auto"/>
        </w:rPr>
        <w:t xml:space="preserve">, the terms of this </w:t>
      </w:r>
      <w:r>
        <w:rPr>
          <w:rFonts w:ascii="Times New Roman" w:cs="Times New Roman" w:eastAsia="Times New Roman" w:hAnsi="Times New Roman"/>
          <w:sz w:val="17"/>
          <w:szCs w:val="17"/>
          <w:u w:val="single" w:color="auto"/>
          <w:color w:val="auto"/>
        </w:rPr>
        <w:t>Section 8.18(b)</w:t>
      </w:r>
      <w:r>
        <w:rPr>
          <w:rFonts w:ascii="Times New Roman" w:cs="Times New Roman" w:eastAsia="Times New Roman" w:hAnsi="Times New Roman"/>
          <w:sz w:val="17"/>
          <w:szCs w:val="17"/>
          <w:color w:val="auto"/>
        </w:rPr>
        <w:t xml:space="preserve"> shall govern and control to the extent of such conflict. The Parties acknowledge and agree that this </w:t>
      </w:r>
      <w:r>
        <w:rPr>
          <w:rFonts w:ascii="Times New Roman" w:cs="Times New Roman" w:eastAsia="Times New Roman" w:hAnsi="Times New Roman"/>
          <w:sz w:val="17"/>
          <w:szCs w:val="17"/>
          <w:u w:val="single" w:color="auto"/>
          <w:color w:val="auto"/>
        </w:rPr>
        <w:t>Section 8.18</w:t>
      </w:r>
      <w:r>
        <w:rPr>
          <w:rFonts w:ascii="Times New Roman" w:cs="Times New Roman" w:eastAsia="Times New Roman" w:hAnsi="Times New Roman"/>
          <w:sz w:val="17"/>
          <w:szCs w:val="17"/>
          <w:color w:val="auto"/>
        </w:rPr>
        <w:t xml:space="preserve"> supersedes and replaces Section 7(h) of the Confidentiality Agreement in its entirety and Section 7(h) of the Confidentiality Agreement will no longer be of any force or effect.</w:t>
      </w:r>
    </w:p>
    <w:p>
      <w:pPr>
        <w:spacing w:after="0" w:line="363" w:lineRule="exact"/>
        <w:rPr>
          <w:sz w:val="20"/>
          <w:szCs w:val="20"/>
          <w:color w:val="auto"/>
        </w:rPr>
      </w:pPr>
    </w:p>
    <w:p>
      <w:pPr>
        <w:jc w:val="center"/>
        <w:ind w:right="20"/>
        <w:spacing w:after="0"/>
        <w:tabs>
          <w:tab w:leader="none" w:pos="200" w:val="left"/>
          <w:tab w:leader="none" w:pos="200" w:val="left"/>
          <w:tab w:leader="none" w:pos="220" w:val="left"/>
          <w:tab w:leader="none" w:pos="200" w:val="left"/>
        </w:tabs>
        <w:rPr>
          <w:sz w:val="20"/>
          <w:szCs w:val="20"/>
          <w:color w:val="auto"/>
        </w:rPr>
      </w:pPr>
      <w:r>
        <w:rPr>
          <w:rFonts w:ascii="Times New Roman" w:cs="Times New Roman" w:eastAsia="Times New Roman" w:hAnsi="Times New Roman"/>
          <w:sz w:val="18"/>
          <w:szCs w:val="18"/>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157085"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7" w:name="page118"/>
    <w:bookmarkEnd w:id="117"/>
    <w:p>
      <w:pPr>
        <w:ind w:firstLine="532"/>
        <w:spacing w:after="0" w:line="264"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Business Combination Agreement to be duly executed on its behalf as of the day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first above written.</w:t>
      </w:r>
    </w:p>
    <w:p>
      <w:pPr>
        <w:spacing w:after="0" w:line="3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b w:val="1"/>
          <w:bCs w:val="1"/>
          <w:color w:val="auto"/>
        </w:rPr>
        <w:t>ARYA SCIENCES ACQUISITION CORP III</w:t>
      </w:r>
    </w:p>
    <w:p>
      <w:pPr>
        <w:spacing w:after="0" w:line="362" w:lineRule="exact"/>
        <w:rPr>
          <w:sz w:val="20"/>
          <w:szCs w:val="20"/>
          <w:color w:val="auto"/>
        </w:rPr>
      </w:pPr>
    </w:p>
    <w:tbl>
      <w:tblPr>
        <w:tblLayout w:type="fixed"/>
        <w:tblInd w:w="5660" w:type="dxa"/>
        <w:tblCellMar>
          <w:top w:w="0" w:type="dxa"/>
          <w:left w:w="0" w:type="dxa"/>
          <w:bottom w:w="0" w:type="dxa"/>
          <w:right w:w="0" w:type="dxa"/>
        </w:tblCellMar>
      </w:tblPr>
      <w:tr>
        <w:trPr>
          <w:trHeight w:val="194"/>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Michael Altman</w:t>
            </w: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Michael Altman</w:t>
            </w:r>
          </w:p>
        </w:tc>
      </w:tr>
      <w:tr>
        <w:trPr>
          <w:trHeight w:val="19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532"/>
        </w:trPr>
        <w:tc>
          <w:tcPr>
            <w:tcW w:w="5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MAKO MERGER SUB, INC.</w:t>
            </w:r>
          </w:p>
        </w:tc>
      </w:tr>
      <w:tr>
        <w:trPr>
          <w:trHeight w:val="535"/>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Michael Altman</w:t>
            </w: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Michael Altman</w:t>
            </w:r>
          </w:p>
        </w:tc>
      </w:tr>
      <w:tr>
        <w:trPr>
          <w:trHeight w:val="19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Vice President</w:t>
            </w:r>
          </w:p>
        </w:tc>
      </w:tr>
    </w:tbl>
    <w:p>
      <w:pPr>
        <w:spacing w:after="0" w:line="3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b w:val="1"/>
          <w:bCs w:val="1"/>
          <w:color w:val="auto"/>
        </w:rPr>
        <w:t>NAUTILUS BIOTECHNOLOGY, INC.</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00" w:type="dxa"/>
            <w:vAlign w:val="bottom"/>
          </w:tcPr>
          <w:p>
            <w:pPr>
              <w:ind w:left="5660"/>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Sujal Patel</w:t>
            </w:r>
          </w:p>
        </w:tc>
      </w:tr>
      <w:tr>
        <w:trPr>
          <w:trHeight w:val="163"/>
        </w:trPr>
        <w:tc>
          <w:tcPr>
            <w:tcW w:w="6200" w:type="dxa"/>
            <w:vAlign w:val="bottom"/>
          </w:tcPr>
          <w:p>
            <w:pPr>
              <w:ind w:left="5660"/>
              <w:spacing w:after="0" w:line="163"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Sujal Patel</w:t>
            </w:r>
          </w:p>
        </w:tc>
      </w:tr>
      <w:tr>
        <w:trPr>
          <w:trHeight w:val="192"/>
        </w:trPr>
        <w:tc>
          <w:tcPr>
            <w:tcW w:w="6200" w:type="dxa"/>
            <w:vAlign w:val="bottom"/>
          </w:tcPr>
          <w:p>
            <w:pPr>
              <w:ind w:left="5660"/>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524"/>
        </w:trPr>
        <w:tc>
          <w:tcPr>
            <w:tcW w:w="62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4" w:right="319" w:bottom="1440" w:gutter="0" w:footer="0" w:header="0"/>
        </w:sectPr>
      </w:pPr>
    </w:p>
    <w:bookmarkStart w:id="118" w:name="page119"/>
    <w:bookmarkEnd w:id="118"/>
    <w:p>
      <w:pPr>
        <w:jc w:val="center"/>
        <w:ind w:right="-1131"/>
        <w:spacing w:after="0"/>
        <w:rPr>
          <w:sz w:val="20"/>
          <w:szCs w:val="20"/>
          <w:color w:val="auto"/>
        </w:rPr>
      </w:pPr>
      <w:r>
        <w:rPr>
          <w:rFonts w:ascii="Times New Roman" w:cs="Times New Roman" w:eastAsia="Times New Roman" w:hAnsi="Times New Roman"/>
          <w:sz w:val="18"/>
          <w:szCs w:val="18"/>
          <w:b w:val="1"/>
          <w:bCs w:val="1"/>
          <w:u w:val="single" w:color="auto"/>
          <w:color w:val="auto"/>
        </w:rPr>
        <w:t>ANNEX A-1</w:t>
      </w:r>
    </w:p>
    <w:p>
      <w:pPr>
        <w:spacing w:after="0" w:line="16" w:lineRule="exact"/>
        <w:rPr>
          <w:sz w:val="20"/>
          <w:szCs w:val="20"/>
          <w:color w:val="auto"/>
        </w:rPr>
      </w:pPr>
    </w:p>
    <w:p>
      <w:pPr>
        <w:jc w:val="center"/>
        <w:ind w:right="-1131"/>
        <w:spacing w:after="0"/>
        <w:rPr>
          <w:sz w:val="20"/>
          <w:szCs w:val="20"/>
          <w:color w:val="auto"/>
        </w:rPr>
      </w:pPr>
      <w:r>
        <w:rPr>
          <w:rFonts w:ascii="Times New Roman" w:cs="Times New Roman" w:eastAsia="Times New Roman" w:hAnsi="Times New Roman"/>
          <w:sz w:val="17"/>
          <w:szCs w:val="17"/>
          <w:b w:val="1"/>
          <w:bCs w:val="1"/>
          <w:u w:val="single" w:color="auto"/>
          <w:color w:val="auto"/>
        </w:rPr>
        <w:t>List of Company PIPE Investors</w:t>
      </w:r>
    </w:p>
    <w:p>
      <w:pPr>
        <w:spacing w:after="0" w:line="192" w:lineRule="exact"/>
        <w:rPr>
          <w:sz w:val="20"/>
          <w:szCs w:val="20"/>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Hand Capital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VCVC V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Vulcan Capital Holdings Columbia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Madrona Venture Group VI-A,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Madrona Venture Group VI,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Matthew Posard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WS Investment Company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Andreessen Horowitz LSV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7157085"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0"/>
          </w:cols>
          <w:pgMar w:left="309" w:top="114" w:right="1440" w:bottom="1440" w:gutter="0" w:footer="0" w:header="0"/>
        </w:sectPr>
      </w:pPr>
    </w:p>
    <w:bookmarkStart w:id="119" w:name="page120"/>
    <w:bookmarkEnd w:id="119"/>
    <w:p>
      <w:pPr>
        <w:jc w:val="center"/>
        <w:ind w:right="-1111"/>
        <w:spacing w:after="0"/>
        <w:rPr>
          <w:sz w:val="20"/>
          <w:szCs w:val="20"/>
          <w:color w:val="auto"/>
        </w:rPr>
      </w:pPr>
      <w:r>
        <w:rPr>
          <w:rFonts w:ascii="Times New Roman" w:cs="Times New Roman" w:eastAsia="Times New Roman" w:hAnsi="Times New Roman"/>
          <w:sz w:val="18"/>
          <w:szCs w:val="18"/>
          <w:b w:val="1"/>
          <w:bCs w:val="1"/>
          <w:u w:val="single" w:color="auto"/>
          <w:color w:val="auto"/>
        </w:rPr>
        <w:t>ANNEX A-2</w:t>
      </w:r>
    </w:p>
    <w:p>
      <w:pPr>
        <w:spacing w:after="0" w:line="16" w:lineRule="exact"/>
        <w:rPr>
          <w:sz w:val="20"/>
          <w:szCs w:val="20"/>
          <w:color w:val="auto"/>
        </w:rPr>
      </w:pPr>
    </w:p>
    <w:p>
      <w:pPr>
        <w:jc w:val="center"/>
        <w:ind w:right="-1111"/>
        <w:spacing w:after="0"/>
        <w:rPr>
          <w:sz w:val="20"/>
          <w:szCs w:val="20"/>
          <w:color w:val="auto"/>
        </w:rPr>
      </w:pPr>
      <w:r>
        <w:rPr>
          <w:rFonts w:ascii="Times New Roman" w:cs="Times New Roman" w:eastAsia="Times New Roman" w:hAnsi="Times New Roman"/>
          <w:sz w:val="17"/>
          <w:szCs w:val="17"/>
          <w:b w:val="1"/>
          <w:bCs w:val="1"/>
          <w:u w:val="single" w:color="auto"/>
          <w:color w:val="auto"/>
        </w:rPr>
        <w:t>List of Third Party PIPE Investors</w:t>
      </w:r>
    </w:p>
    <w:p>
      <w:pPr>
        <w:spacing w:after="0" w:line="192" w:lineRule="exact"/>
        <w:rPr>
          <w:sz w:val="20"/>
          <w:szCs w:val="20"/>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Bain Capital Life Sciences Fund II,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BCIP Life Sciences Associates,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SILVER CREEK CS SAV, L.L.C., (Nantahala Capital Management,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NCP QR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BLACKWELL PARTNERS LLC - SERIES A (Nantahala Capital Management,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NANTAHALA CAPITAL PARTNERS II LIMITED PARTNERSHIP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NANTAHALA CAPITAL PARTNERS LIMITED PARTNERSHIP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NCP RFM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NANTAHALA CAPITAL PARTNERS SI,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Sphera Biotech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Sphera Global Healthcare Master Fund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ORBIMED GENESIS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ORBIMED PARTNERS MASTER FUND LIMITED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FRANKLIN STRATEGIC SERIES – FRANKLIN BIOTECHNOLOGY DISCOVERY FUND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FRANKLIN TEMPLETON INVESTMENT FUNDS – FRANKLIN BIOTECHNOLOGY DISCOVERY FUND</w:t>
      </w:r>
    </w:p>
    <w:p>
      <w:pPr>
        <w:spacing w:after="0" w:line="216" w:lineRule="exact"/>
        <w:rPr>
          <w:rFonts w:ascii="Times New Roman" w:cs="Times New Roman" w:eastAsia="Times New Roman" w:hAnsi="Times New Roman"/>
          <w:sz w:val="14"/>
          <w:szCs w:val="14"/>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Avidity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Avidity Capital Fund II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RTW Master Fund, Ltd.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RTW Innovation Master Fund, Ltd.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RTW Venture Fund Limited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Alyeska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Logos Global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 CAPITAL HEALTHCARE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Casdin Partners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Averill Master Fund, Ltd.</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AVMI Investments, Inc.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Alexandria Venture Investments, LLC</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Ally Bridge MedAlpha Master Fund L.P.</w:t>
      </w:r>
    </w:p>
    <w:p>
      <w:pPr>
        <w:spacing w:after="0" w:line="204" w:lineRule="exact"/>
        <w:rPr>
          <w:rFonts w:ascii="Times New Roman" w:cs="Times New Roman" w:eastAsia="Times New Roman" w:hAnsi="Times New Roman"/>
          <w:sz w:val="15"/>
          <w:szCs w:val="15"/>
          <w:color w:val="auto"/>
        </w:rPr>
      </w:pPr>
    </w:p>
    <w:p>
      <w:pPr>
        <w:ind w:left="271" w:hanging="271"/>
        <w:spacing w:after="0"/>
        <w:tabs>
          <w:tab w:leader="none" w:pos="27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Decheng Capital Global Healthcare Fund (Master),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7157085"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0"/>
          </w:cols>
          <w:pgMar w:left="309" w:top="114"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ARYA Sciences Acquisition Corp III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rPr>
          <w:sz w:val="20"/>
          <w:szCs w:val="20"/>
          <w:color w:val="auto"/>
        </w:rPr>
      </w:pPr>
      <w:r>
        <w:rPr>
          <w:rFonts w:ascii="Times New Roman" w:cs="Times New Roman" w:eastAsia="Times New Roman" w:hAnsi="Times New Roman"/>
          <w:sz w:val="18"/>
          <w:szCs w:val="18"/>
          <w:color w:val="auto"/>
        </w:rPr>
        <w:t>New York, New York 10002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being entered into as of the date set forth on the signature page hereto, by and between ARYA Sciences Acquisition Corp III, a Cayman Islands exempted company (“</w:t>
      </w:r>
      <w:r>
        <w:rPr>
          <w:rFonts w:ascii="Times New Roman" w:cs="Times New Roman" w:eastAsia="Times New Roman" w:hAnsi="Times New Roman"/>
          <w:sz w:val="18"/>
          <w:szCs w:val="18"/>
          <w:u w:val="single" w:color="auto"/>
          <w:color w:val="auto"/>
        </w:rPr>
        <w:t>ARYA</w:t>
      </w:r>
      <w:r>
        <w:rPr>
          <w:rFonts w:ascii="Times New Roman" w:cs="Times New Roman" w:eastAsia="Times New Roman" w:hAnsi="Times New Roman"/>
          <w:sz w:val="18"/>
          <w:szCs w:val="18"/>
          <w:color w:val="auto"/>
        </w:rPr>
        <w:t>”), which shall be domesticated as a Delaware corporation prior to the closing of the Transaction (as defined herein), and the undersigned subscriber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in connection with the Business Combination Agreement, dated as of the date hereof (as may be amended, supplemented or otherwise modified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ARYA, Mako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Nautilus Biotechnology,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In connection with the Transaction, ARYA is seeking commitments from interested investors to purchase, following the Domestication (as defined below) and prior to the closing of the Transaction, shares of ARYA’s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 private placement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On or about the date of this Subscription Agreement, ARYA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the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aggregate purchase price to be paid by the Investor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spacing w:after="0" w:line="151" w:lineRule="exact"/>
        <w:rPr>
          <w:sz w:val="20"/>
          <w:szCs w:val="20"/>
          <w:color w:val="auto"/>
        </w:rPr>
      </w:pPr>
    </w:p>
    <w:p>
      <w:pPr>
        <w:jc w:val="both"/>
        <w:ind w:firstLine="541"/>
        <w:spacing w:after="0" w:line="252" w:lineRule="auto"/>
        <w:tabs>
          <w:tab w:leader="none" w:pos="130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Subscription</w:t>
      </w:r>
      <w:r>
        <w:rPr>
          <w:rFonts w:ascii="Times New Roman" w:cs="Times New Roman" w:eastAsia="Times New Roman" w:hAnsi="Times New Roman"/>
          <w:sz w:val="17"/>
          <w:szCs w:val="17"/>
          <w:color w:val="auto"/>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spacing w:after="0" w:line="160" w:lineRule="exact"/>
        <w:rPr>
          <w:rFonts w:ascii="Times New Roman" w:cs="Times New Roman" w:eastAsia="Times New Roman" w:hAnsi="Times New Roman"/>
          <w:sz w:val="17"/>
          <w:szCs w:val="17"/>
          <w:color w:val="auto"/>
        </w:rPr>
      </w:pPr>
    </w:p>
    <w:p>
      <w:pPr>
        <w:jc w:val="both"/>
        <w:ind w:firstLine="541"/>
        <w:spacing w:after="0" w:line="234" w:lineRule="auto"/>
        <w:tabs>
          <w:tab w:leader="none" w:pos="11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purchase and issuance of the Shares contemplated hereby (the “Closing”) is contingent upon the substantially concurrent consummation of the Transaction. The Closing shall occur on the date of, and immediately prior to, the effectiveness of the Transaction (the date the Closing so occurs, the “Closing Date”). Upon delivery of written notice from (or on behalf of) ARYA to the Investor (the “Closing Notice”),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 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216535</wp:posOffset>
            </wp:positionV>
            <wp:extent cx="7157085"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21" w:name="page122"/>
    <w:bookmarkEnd w:id="121"/>
    <w:p>
      <w:pPr>
        <w:ind w:left="579" w:hanging="579"/>
        <w:spacing w:after="0"/>
        <w:tabs>
          <w:tab w:leader="none" w:pos="57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541" w:right="20" w:firstLine="1074"/>
        <w:spacing w:after="0" w:line="260" w:lineRule="auto"/>
        <w:tabs>
          <w:tab w:leader="none" w:pos="1332"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the parties hereto to consummate the sale, purchase and issuance of the Shares pursuant to this Subscription Agreement is subject to the following conditions:</w:t>
      </w:r>
    </w:p>
    <w:p>
      <w:pPr>
        <w:spacing w:after="0" w:line="150" w:lineRule="exact"/>
        <w:rPr>
          <w:rFonts w:ascii="Times New Roman" w:cs="Times New Roman" w:eastAsia="Times New Roman" w:hAnsi="Times New Roman"/>
          <w:sz w:val="18"/>
          <w:szCs w:val="18"/>
          <w:color w:val="010000"/>
        </w:rPr>
      </w:pPr>
    </w:p>
    <w:p>
      <w:pPr>
        <w:jc w:val="both"/>
        <w:ind w:left="539" w:firstLine="526"/>
        <w:spacing w:after="0" w:line="267" w:lineRule="auto"/>
        <w:tabs>
          <w:tab w:leader="none" w:pos="1771" w:val="left"/>
        </w:tabs>
        <w:numPr>
          <w:ilvl w:val="2"/>
          <w:numId w:val="1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46" w:lineRule="exact"/>
        <w:rPr>
          <w:rFonts w:ascii="Times New Roman" w:cs="Times New Roman" w:eastAsia="Times New Roman" w:hAnsi="Times New Roman"/>
          <w:sz w:val="17"/>
          <w:szCs w:val="17"/>
          <w:color w:val="010000"/>
        </w:rPr>
      </w:pPr>
    </w:p>
    <w:p>
      <w:pPr>
        <w:jc w:val="both"/>
        <w:ind w:left="539" w:firstLine="526"/>
        <w:spacing w:after="0" w:line="250" w:lineRule="auto"/>
        <w:tabs>
          <w:tab w:leader="none" w:pos="1828" w:val="left"/>
        </w:tabs>
        <w:numPr>
          <w:ilvl w:val="2"/>
          <w:numId w:val="1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w:t>
      </w:r>
    </w:p>
    <w:p>
      <w:pPr>
        <w:ind w:left="539"/>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(B) the closing of the Transaction shall be scheduled to occur concurrently with or on the same date as the Closing.</w:t>
      </w:r>
    </w:p>
    <w:p>
      <w:pPr>
        <w:spacing w:after="0" w:line="172" w:lineRule="exact"/>
        <w:rPr>
          <w:rFonts w:ascii="Times New Roman" w:cs="Times New Roman" w:eastAsia="Times New Roman" w:hAnsi="Times New Roman"/>
          <w:sz w:val="17"/>
          <w:szCs w:val="17"/>
          <w:color w:val="010000"/>
        </w:rPr>
      </w:pPr>
    </w:p>
    <w:p>
      <w:pPr>
        <w:jc w:val="both"/>
        <w:ind w:left="-541" w:firstLine="1074"/>
        <w:spacing w:after="0" w:line="237" w:lineRule="auto"/>
        <w:tabs>
          <w:tab w:leader="none" w:pos="1104" w:val="left"/>
        </w:tabs>
        <w:numPr>
          <w:ilvl w:val="1"/>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spacing w:after="0" w:line="171" w:lineRule="exact"/>
        <w:rPr>
          <w:rFonts w:ascii="Times New Roman" w:cs="Times New Roman" w:eastAsia="Times New Roman" w:hAnsi="Times New Roman"/>
          <w:sz w:val="18"/>
          <w:szCs w:val="18"/>
          <w:color w:val="010000"/>
        </w:rPr>
      </w:pPr>
    </w:p>
    <w:p>
      <w:pPr>
        <w:jc w:val="both"/>
        <w:ind w:left="-541" w:firstLine="1074"/>
        <w:spacing w:after="0" w:line="248" w:lineRule="auto"/>
        <w:tabs>
          <w:tab w:leader="none" w:pos="1172" w:val="left"/>
        </w:tabs>
        <w:numPr>
          <w:ilvl w:val="1"/>
          <w:numId w:val="11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if this condition would otherwise fail to be satisfied as a result of a failure of one or more of the representations and warranties of ARYA contained in this Agreement to be true and correct and the facts underlying such failure to be true and correct would also cause one or more of the representations of ARYA under the Transaction Agreement to fail to be true and correct, then this condition shall nevertheless be deemed satisfied if the Company waives the failure of such representation to be true and correct under the Transaction Agreement and all other conditions to closing hereunder have been satisfied);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213995</wp:posOffset>
            </wp:positionV>
            <wp:extent cx="7157085"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22" w:name="page123"/>
    <w:bookmarkEnd w:id="122"/>
    <w:p>
      <w:pPr>
        <w:ind w:left="-541" w:firstLine="541"/>
        <w:spacing w:after="0" w:line="259" w:lineRule="auto"/>
        <w:tabs>
          <w:tab w:leader="none" w:pos="60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51"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ARYA Representations and Warranties</w:t>
      </w:r>
      <w:r>
        <w:rPr>
          <w:rFonts w:ascii="Times New Roman" w:cs="Times New Roman" w:eastAsia="Times New Roman" w:hAnsi="Times New Roman"/>
          <w:sz w:val="18"/>
          <w:szCs w:val="18"/>
          <w:color w:val="auto"/>
        </w:rPr>
        <w:t>. ARYA represents and warrants to the Investor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60" w:lineRule="auto"/>
        <w:tabs>
          <w:tab w:leader="none" w:pos="1124" w:val="left"/>
        </w:tabs>
        <w:numPr>
          <w:ilvl w:val="1"/>
          <w:numId w:val="11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spacing w:after="0" w:line="151" w:lineRule="exact"/>
        <w:rPr>
          <w:rFonts w:ascii="Times New Roman" w:cs="Times New Roman" w:eastAsia="Times New Roman" w:hAnsi="Times New Roman"/>
          <w:sz w:val="17"/>
          <w:szCs w:val="17"/>
          <w:color w:val="010000"/>
        </w:rPr>
      </w:pPr>
    </w:p>
    <w:p>
      <w:pPr>
        <w:jc w:val="both"/>
        <w:ind w:left="-541" w:firstLine="1074"/>
        <w:spacing w:after="0" w:line="241" w:lineRule="auto"/>
        <w:tabs>
          <w:tab w:leader="none" w:pos="1112" w:val="left"/>
        </w:tabs>
        <w:numPr>
          <w:ilvl w:val="1"/>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339" w:val="left"/>
        </w:tabs>
        <w:numPr>
          <w:ilvl w:val="1"/>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34" w:lineRule="auto"/>
        <w:tabs>
          <w:tab w:leader="none" w:pos="1191" w:val="left"/>
        </w:tabs>
        <w:numPr>
          <w:ilvl w:val="1"/>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materially affect the validity of the Shares or the legal authority of ARYA to comply in all material respects with the terms of this Subscription Agreement; (ii) result in any violation of the provisions of the organizational documents of ARYA; or (iii) 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spacing w:after="0" w:line="176" w:lineRule="exact"/>
        <w:rPr>
          <w:rFonts w:ascii="Times New Roman" w:cs="Times New Roman" w:eastAsia="Times New Roman" w:hAnsi="Times New Roman"/>
          <w:sz w:val="18"/>
          <w:szCs w:val="18"/>
          <w:color w:val="010000"/>
        </w:rPr>
      </w:pPr>
    </w:p>
    <w:p>
      <w:pPr>
        <w:jc w:val="both"/>
        <w:ind w:left="-541" w:firstLine="1074"/>
        <w:spacing w:after="0" w:line="235" w:lineRule="auto"/>
        <w:tabs>
          <w:tab w:leader="none" w:pos="1241" w:val="left"/>
        </w:tabs>
        <w:numPr>
          <w:ilvl w:val="1"/>
          <w:numId w:val="1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their respective dates, all reports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required to be filed by ARYA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213995</wp:posOffset>
            </wp:positionV>
            <wp:extent cx="7157085"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23" w:name="page124"/>
    <w:bookmarkEnd w:id="123"/>
    <w:p>
      <w:pPr>
        <w:jc w:val="both"/>
        <w:ind w:left="-1074" w:firstLine="1074"/>
        <w:spacing w:after="0" w:line="236" w:lineRule="auto"/>
        <w:tabs>
          <w:tab w:leader="none" w:pos="607"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 advantageous to any such Other Investor than the Investor hereunder, and such Other Subscription Agreements have not been amended or modified in any material respect following the date of this Subscription Agreement.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7" w:lineRule="auto"/>
        <w:tabs>
          <w:tab w:leader="none" w:pos="666"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4" w:lineRule="auto"/>
        <w:tabs>
          <w:tab w:leader="none" w:pos="614"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Subscription Agreement, the authorized capital stock of ARYA consists of 479,000,000 Class A ordinary shares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20,000,000 Class B ordinary shares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spacing w:after="0" w:line="176"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605"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Times New Roman" w:cs="Times New Roman" w:eastAsia="Times New Roman" w:hAnsi="Times New Roman"/>
          <w:sz w:val="18"/>
          <w:szCs w:val="18"/>
          <w:u w:val="single" w:color="auto"/>
          <w:color w:val="auto"/>
        </w:rPr>
        <w:t>Delaware Common Shares</w:t>
      </w:r>
      <w:r>
        <w:rPr>
          <w:rFonts w:ascii="Times New Roman" w:cs="Times New Roman" w:eastAsia="Times New Roman" w:hAnsi="Times New Roman"/>
          <w:sz w:val="18"/>
          <w:szCs w:val="18"/>
          <w:color w:val="auto"/>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spacing w:after="0" w:line="172"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34"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66"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748"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212090</wp:posOffset>
            </wp:positionV>
            <wp:extent cx="7157085"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24" w:name="page125"/>
    <w:bookmarkEnd w:id="124"/>
    <w:p>
      <w:pPr>
        <w:jc w:val="both"/>
        <w:ind w:left="-541" w:firstLine="1074"/>
        <w:spacing w:after="0" w:line="245" w:lineRule="auto"/>
        <w:tabs>
          <w:tab w:leader="none" w:pos="1088"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spacing w:after="0" w:line="163" w:lineRule="exact"/>
        <w:rPr>
          <w:rFonts w:ascii="Times New Roman" w:cs="Times New Roman" w:eastAsia="Times New Roman" w:hAnsi="Times New Roman"/>
          <w:sz w:val="18"/>
          <w:szCs w:val="18"/>
          <w:color w:val="010000"/>
        </w:rPr>
      </w:pPr>
    </w:p>
    <w:p>
      <w:pPr>
        <w:jc w:val="both"/>
        <w:ind w:left="-541" w:firstLine="1074"/>
        <w:spacing w:after="0" w:line="236" w:lineRule="auto"/>
        <w:tabs>
          <w:tab w:leader="none" w:pos="1310" w:val="left"/>
        </w:tabs>
        <w:numPr>
          <w:ilvl w:val="1"/>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ARYA with any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spacing w:after="0" w:line="172" w:lineRule="exact"/>
        <w:rPr>
          <w:rFonts w:ascii="Times New Roman" w:cs="Times New Roman" w:eastAsia="Times New Roman" w:hAnsi="Times New Roman"/>
          <w:sz w:val="18"/>
          <w:szCs w:val="18"/>
          <w:color w:val="010000"/>
        </w:rPr>
      </w:pPr>
    </w:p>
    <w:p>
      <w:pPr>
        <w:ind w:left="579" w:hanging="579"/>
        <w:spacing w:after="0"/>
        <w:tabs>
          <w:tab w:leader="none" w:pos="57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ARYA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36" w:lineRule="auto"/>
        <w:tabs>
          <w:tab w:leader="none" w:pos="1180" w:val="left"/>
        </w:tabs>
        <w:numPr>
          <w:ilvl w:val="1"/>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72" w:lineRule="exact"/>
        <w:rPr>
          <w:rFonts w:ascii="Times New Roman" w:cs="Times New Roman" w:eastAsia="Times New Roman" w:hAnsi="Times New Roman"/>
          <w:sz w:val="18"/>
          <w:szCs w:val="18"/>
          <w:color w:val="010000"/>
        </w:rPr>
      </w:pPr>
    </w:p>
    <w:p>
      <w:pPr>
        <w:jc w:val="both"/>
        <w:ind w:left="-541" w:firstLine="1074"/>
        <w:spacing w:after="0" w:line="249" w:lineRule="auto"/>
        <w:tabs>
          <w:tab w:leader="none" w:pos="1179" w:val="left"/>
        </w:tabs>
        <w:numPr>
          <w:ilvl w:val="1"/>
          <w:numId w:val="12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spacing w:after="0" w:line="165" w:lineRule="exact"/>
        <w:rPr>
          <w:rFonts w:ascii="Times New Roman" w:cs="Times New Roman" w:eastAsia="Times New Roman" w:hAnsi="Times New Roman"/>
          <w:sz w:val="17"/>
          <w:szCs w:val="17"/>
          <w:color w:val="010000"/>
        </w:rPr>
      </w:pPr>
    </w:p>
    <w:p>
      <w:pPr>
        <w:jc w:val="both"/>
        <w:ind w:left="-541" w:firstLine="1074"/>
        <w:spacing w:after="0" w:line="239" w:lineRule="auto"/>
        <w:tabs>
          <w:tab w:leader="none" w:pos="1139" w:val="left"/>
        </w:tabs>
        <w:numPr>
          <w:ilvl w:val="1"/>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spacing w:after="0" w:line="167" w:lineRule="exact"/>
        <w:rPr>
          <w:rFonts w:ascii="Times New Roman" w:cs="Times New Roman" w:eastAsia="Times New Roman" w:hAnsi="Times New Roman"/>
          <w:sz w:val="18"/>
          <w:szCs w:val="18"/>
          <w:color w:val="010000"/>
        </w:rPr>
      </w:pPr>
    </w:p>
    <w:p>
      <w:pPr>
        <w:jc w:val="both"/>
        <w:ind w:left="-541" w:firstLine="1074"/>
        <w:spacing w:after="0" w:line="246" w:lineRule="auto"/>
        <w:tabs>
          <w:tab w:leader="none" w:pos="1147" w:val="left"/>
        </w:tabs>
        <w:numPr>
          <w:ilvl w:val="1"/>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208915</wp:posOffset>
            </wp:positionV>
            <wp:extent cx="7157085" cy="13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25" w:name="page126"/>
    <w:bookmarkEnd w:id="125"/>
    <w:p>
      <w:pPr>
        <w:jc w:val="both"/>
        <w:ind w:left="-9" w:firstLine="1074"/>
        <w:spacing w:after="0" w:line="237" w:lineRule="auto"/>
        <w:tabs>
          <w:tab w:leader="none" w:pos="1761" w:val="left"/>
        </w:tabs>
        <w:numPr>
          <w:ilvl w:val="1"/>
          <w:numId w:val="1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without 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170" w:lineRule="exact"/>
        <w:rPr>
          <w:rFonts w:ascii="Times New Roman" w:cs="Times New Roman" w:eastAsia="Times New Roman" w:hAnsi="Times New Roman"/>
          <w:sz w:val="18"/>
          <w:szCs w:val="18"/>
          <w:color w:val="010000"/>
        </w:rPr>
      </w:pPr>
    </w:p>
    <w:p>
      <w:pPr>
        <w:jc w:val="both"/>
        <w:ind w:left="-9" w:firstLine="1074"/>
        <w:spacing w:after="0" w:line="251" w:lineRule="auto"/>
        <w:tabs>
          <w:tab w:leader="none" w:pos="1790" w:val="left"/>
        </w:tabs>
        <w:numPr>
          <w:ilvl w:val="1"/>
          <w:numId w:val="12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became aware of this offering of the Shares solely by means of direct contact between the Investor and ARYA, the Company or a representative of ARYA or the Company, and the Shares were 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w:t>
      </w:r>
    </w:p>
    <w:p>
      <w:pPr>
        <w:jc w:val="both"/>
        <w:ind w:left="-9" w:firstLine="9"/>
        <w:spacing w:after="0" w:line="234" w:lineRule="auto"/>
        <w:tabs>
          <w:tab w:leader="none" w:pos="2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spacing w:after="0" w:line="168" w:lineRule="exact"/>
        <w:rPr>
          <w:rFonts w:ascii="Times New Roman" w:cs="Times New Roman" w:eastAsia="Times New Roman" w:hAnsi="Times New Roman"/>
          <w:sz w:val="18"/>
          <w:szCs w:val="18"/>
          <w:color w:val="auto"/>
        </w:rPr>
      </w:pPr>
    </w:p>
    <w:p>
      <w:pPr>
        <w:jc w:val="both"/>
        <w:ind w:left="-9" w:firstLine="1074"/>
        <w:spacing w:after="0" w:line="241" w:lineRule="auto"/>
        <w:tabs>
          <w:tab w:leader="none" w:pos="1829"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66" w:lineRule="exact"/>
        <w:rPr>
          <w:rFonts w:ascii="Times New Roman" w:cs="Times New Roman" w:eastAsia="Times New Roman" w:hAnsi="Times New Roman"/>
          <w:sz w:val="18"/>
          <w:szCs w:val="18"/>
          <w:color w:val="010000"/>
        </w:rPr>
      </w:pPr>
    </w:p>
    <w:p>
      <w:pPr>
        <w:jc w:val="both"/>
        <w:ind w:left="-9" w:firstLine="1074"/>
        <w:spacing w:after="0" w:line="246" w:lineRule="auto"/>
        <w:tabs>
          <w:tab w:leader="none" w:pos="1730"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spacing w:after="0" w:line="162" w:lineRule="exact"/>
        <w:rPr>
          <w:rFonts w:ascii="Times New Roman" w:cs="Times New Roman" w:eastAsia="Times New Roman" w:hAnsi="Times New Roman"/>
          <w:sz w:val="18"/>
          <w:szCs w:val="18"/>
          <w:color w:val="010000"/>
        </w:rPr>
      </w:pPr>
    </w:p>
    <w:p>
      <w:pPr>
        <w:jc w:val="both"/>
        <w:ind w:left="-9" w:firstLine="1074"/>
        <w:spacing w:after="0" w:line="239" w:lineRule="auto"/>
        <w:tabs>
          <w:tab w:leader="none" w:pos="1758"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spacing w:after="0" w:line="167" w:lineRule="exact"/>
        <w:rPr>
          <w:rFonts w:ascii="Times New Roman" w:cs="Times New Roman" w:eastAsia="Times New Roman" w:hAnsi="Times New Roman"/>
          <w:sz w:val="18"/>
          <w:szCs w:val="18"/>
          <w:color w:val="010000"/>
        </w:rPr>
      </w:pPr>
    </w:p>
    <w:p>
      <w:pPr>
        <w:ind w:left="-9" w:firstLine="1074"/>
        <w:spacing w:after="0" w:line="260" w:lineRule="auto"/>
        <w:tabs>
          <w:tab w:leader="none" w:pos="1715"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no federal or state agency has passed upon or endorsed the merits of the offering of the Shares or made any findings or determination as to the fairness of this investment.</w:t>
      </w:r>
    </w:p>
    <w:p>
      <w:pPr>
        <w:spacing w:after="0" w:line="150" w:lineRule="exact"/>
        <w:rPr>
          <w:rFonts w:ascii="Times New Roman" w:cs="Times New Roman" w:eastAsia="Times New Roman" w:hAnsi="Times New Roman"/>
          <w:sz w:val="18"/>
          <w:szCs w:val="18"/>
          <w:color w:val="010000"/>
        </w:rPr>
      </w:pPr>
    </w:p>
    <w:p>
      <w:pPr>
        <w:ind w:left="-9" w:firstLine="1074"/>
        <w:spacing w:after="0" w:line="260" w:lineRule="auto"/>
        <w:tabs>
          <w:tab w:leader="none" w:pos="1687"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150" w:lineRule="exact"/>
        <w:rPr>
          <w:rFonts w:ascii="Times New Roman" w:cs="Times New Roman" w:eastAsia="Times New Roman" w:hAnsi="Times New Roman"/>
          <w:sz w:val="18"/>
          <w:szCs w:val="18"/>
          <w:color w:val="010000"/>
        </w:rPr>
      </w:pPr>
    </w:p>
    <w:p>
      <w:pPr>
        <w:jc w:val="both"/>
        <w:ind w:left="-9" w:firstLine="1074"/>
        <w:spacing w:after="0" w:line="235" w:lineRule="auto"/>
        <w:tabs>
          <w:tab w:leader="none" w:pos="1690" w:val="left"/>
        </w:tabs>
        <w:numPr>
          <w:ilvl w:val="1"/>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213995</wp:posOffset>
            </wp:positionV>
            <wp:extent cx="7157085"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126" w:name="page127"/>
    <w:bookmarkEnd w:id="126"/>
    <w:p>
      <w:pPr>
        <w:jc w:val="both"/>
        <w:ind w:left="-1074" w:firstLine="1074"/>
        <w:spacing w:after="0" w:line="234" w:lineRule="auto"/>
        <w:tabs>
          <w:tab w:leader="none" w:pos="693"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spacing w:after="0" w:line="175" w:lineRule="exact"/>
        <w:rPr>
          <w:rFonts w:ascii="Times New Roman" w:cs="Times New Roman" w:eastAsia="Times New Roman" w:hAnsi="Times New Roman"/>
          <w:sz w:val="18"/>
          <w:szCs w:val="18"/>
          <w:color w:val="010000"/>
        </w:rPr>
      </w:pPr>
    </w:p>
    <w:p>
      <w:pPr>
        <w:ind w:left="-1074" w:firstLine="1074"/>
        <w:spacing w:after="0" w:line="260" w:lineRule="auto"/>
        <w:tabs>
          <w:tab w:leader="none" w:pos="565"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no disclosure or offering document has been prepared by Jefferies LLC, Goldman Sachs &amp; Co. LLC or any of their respective affiliates (collectively,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in connection with the offer and sale of the Shares.</w:t>
      </w:r>
    </w:p>
    <w:p>
      <w:pPr>
        <w:spacing w:after="0" w:line="150"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69"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spacing w:after="0" w:line="166" w:lineRule="exact"/>
        <w:rPr>
          <w:rFonts w:ascii="Times New Roman" w:cs="Times New Roman" w:eastAsia="Times New Roman" w:hAnsi="Times New Roman"/>
          <w:sz w:val="18"/>
          <w:szCs w:val="18"/>
          <w:color w:val="010000"/>
        </w:rPr>
      </w:pPr>
    </w:p>
    <w:p>
      <w:pPr>
        <w:ind w:left="-1074" w:firstLine="1074"/>
        <w:spacing w:after="0" w:line="260" w:lineRule="auto"/>
        <w:tabs>
          <w:tab w:leader="none" w:pos="698"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in connection with the issue and purchase of the Shares, neither Placement Agent has acted as the Investor’s financial advisor or fiduciary.</w:t>
      </w:r>
    </w:p>
    <w:p>
      <w:pPr>
        <w:spacing w:after="0" w:line="150" w:lineRule="exact"/>
        <w:rPr>
          <w:rFonts w:ascii="Times New Roman" w:cs="Times New Roman" w:eastAsia="Times New Roman" w:hAnsi="Times New Roman"/>
          <w:sz w:val="18"/>
          <w:szCs w:val="18"/>
          <w:color w:val="010000"/>
        </w:rPr>
      </w:pPr>
    </w:p>
    <w:p>
      <w:pPr>
        <w:ind w:left="-1074" w:firstLine="1074"/>
        <w:spacing w:after="0" w:line="290" w:lineRule="auto"/>
        <w:tabs>
          <w:tab w:leader="none" w:pos="600" w:val="left"/>
        </w:tabs>
        <w:numPr>
          <w:ilvl w:val="0"/>
          <w:numId w:val="12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spacing w:after="0" w:line="126" w:lineRule="exact"/>
        <w:rPr>
          <w:rFonts w:ascii="Times New Roman" w:cs="Times New Roman" w:eastAsia="Times New Roman" w:hAnsi="Times New Roman"/>
          <w:sz w:val="17"/>
          <w:szCs w:val="17"/>
          <w:color w:val="010000"/>
        </w:rPr>
      </w:pPr>
    </w:p>
    <w:p>
      <w:pPr>
        <w:jc w:val="both"/>
        <w:ind w:left="-1074" w:firstLine="1074"/>
        <w:spacing w:after="0" w:line="237" w:lineRule="auto"/>
        <w:tabs>
          <w:tab w:leader="none" w:pos="583"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5" w:lineRule="auto"/>
        <w:tabs>
          <w:tab w:leader="none" w:pos="720" w:val="left"/>
        </w:tabs>
        <w:numPr>
          <w:ilvl w:val="0"/>
          <w:numId w:val="12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is not a “foreign person” or a “foreign entity,” as defined in Section 721 of the Defense Production Act of 1950, as amended, including, without limitation, all implementing regulations thereof (the “DPA”). The Investor is not controlled by a “foreign person,” as defined in the DPA. The Investor does not permit any foreign person affiliated with the Investor, whether affiliated as a limited partner or otherwise, to obtain through the Investor any of the following with respect to ARYA or the Company: (i) access to any “material nonpublic technical information” (as defined in the DPA) in the possession of ARYA or the Company; (ii) membership or observer rights on the board of directors or equivalent governing body of ARYA or the Company or the right to nominate an individual to a position on the board of directors or equivalent governing body of ARYA or the Company; (iii) any involvement, other than through the voting of shares, in the substantive decision-making of ARYA or the Company regarding (x) the use, development, acquisition, or release of any “critical technology” (as defined in the DPA), (y) the use, development, acquisition, safekeeping, or release of “sensitive personal data” (as defined in the DPA) of U.S. citizens maintained or collected by ARYA or the Company, or (z) the management, operation, manufacture, or supply of “covered investment critical infrastructure” (as defined in the DPA); or (iv) “control” (as defined in the DPA) of ARYA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213995</wp:posOffset>
            </wp:positionV>
            <wp:extent cx="7157085" cy="13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27" w:name="page128"/>
    <w:bookmarkEnd w:id="127"/>
    <w:p>
      <w:pPr>
        <w:jc w:val="both"/>
        <w:ind w:firstLine="541"/>
        <w:spacing w:after="0" w:line="259" w:lineRule="auto"/>
        <w:tabs>
          <w:tab w:leader="none" w:pos="1187"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The Investor and ARYA hereby acknowledge and agree that all of the Shares acquired by the Investor hereunder shall in all respects be subject to the terms and conditions of the Amended and Restated Registration Rights and Lock-Up Agreement (as defined in the Transaction Agreement) and, for all purposes of the Amended and Restated Registration Rights and Lock-Up Agreement, shall constitute Registrable Securities (as defined in the Amended and Restated Registration Rights and Lock-Up Agreement), and Investor shall be a party to such agreement as a “Perceptive Holder.”</w:t>
      </w:r>
    </w:p>
    <w:p>
      <w:pPr>
        <w:spacing w:after="0" w:line="153" w:lineRule="exact"/>
        <w:rPr>
          <w:rFonts w:ascii="Times New Roman" w:cs="Times New Roman" w:eastAsia="Times New Roman" w:hAnsi="Times New Roman"/>
          <w:sz w:val="17"/>
          <w:szCs w:val="17"/>
          <w:color w:val="auto"/>
        </w:rPr>
      </w:pPr>
    </w:p>
    <w:p>
      <w:pPr>
        <w:jc w:val="both"/>
        <w:ind w:firstLine="541"/>
        <w:spacing w:after="0" w:line="247" w:lineRule="auto"/>
        <w:tabs>
          <w:tab w:leader="none" w:pos="1154"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“Outside Date”), if the Closing has not occurred by the Outside Date (provided, that the right to terminate this Subscription Agreement pursuant to this clause (c) shall not be available to the Investor if (i)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or (ii) prior to termination of the Transaction Agreement, ARYA’s breach of any of its obligations under this Subscription Agreement shall have proximately caused the failure of the consummation of the Transaction on or before the Outside Date) (the termination events described in clauses</w:t>
      </w:r>
    </w:p>
    <w:p>
      <w:pPr>
        <w:spacing w:after="0" w:line="3" w:lineRule="exact"/>
        <w:rPr>
          <w:rFonts w:ascii="Times New Roman" w:cs="Times New Roman" w:eastAsia="Times New Roman" w:hAnsi="Times New Roman"/>
          <w:sz w:val="17"/>
          <w:szCs w:val="17"/>
          <w:color w:val="auto"/>
        </w:rPr>
      </w:pPr>
    </w:p>
    <w:p>
      <w:pPr>
        <w:jc w:val="both"/>
        <w:spacing w:after="0" w:line="23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 above, collectively, the “Termination Events”); provided 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spacing w:after="0" w:line="172" w:lineRule="exact"/>
        <w:rPr>
          <w:rFonts w:ascii="Times New Roman" w:cs="Times New Roman" w:eastAsia="Times New Roman" w:hAnsi="Times New Roman"/>
          <w:sz w:val="17"/>
          <w:szCs w:val="17"/>
          <w:color w:val="auto"/>
        </w:rPr>
      </w:pPr>
    </w:p>
    <w:p>
      <w:pPr>
        <w:jc w:val="both"/>
        <w:ind w:firstLine="541"/>
        <w:spacing w:after="0" w:line="233" w:lineRule="auto"/>
        <w:tabs>
          <w:tab w:leader="none" w:pos="119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“Final Prospectus”) available at www.sec.gov, substantially all of ARYA’s assets consist of the cash proceeds of ARYA’s initial public offering and private placement of its securities, and substantially all of those proceeds have been deposited in a trust account (the “Trust Account”)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 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219710</wp:posOffset>
            </wp:positionV>
            <wp:extent cx="7157085"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28" w:name="page129"/>
    <w:bookmarkEnd w:id="128"/>
    <w:p>
      <w:pPr>
        <w:ind w:left="1200" w:hanging="659"/>
        <w:spacing w:after="0"/>
        <w:tabs>
          <w:tab w:leader="none" w:pos="12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firstLine="1074"/>
        <w:spacing w:after="0" w:line="260" w:lineRule="auto"/>
        <w:tabs>
          <w:tab w:leader="none" w:pos="1901"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w:t>
      </w:r>
    </w:p>
    <w:p>
      <w:pPr>
        <w:spacing w:after="0" w:line="150"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32"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spacing w:after="0" w:line="166"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983"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w:t>
      </w:r>
    </w:p>
    <w:p>
      <w:pPr>
        <w:spacing w:after="0" w:line="172"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742"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69"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748"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spacing w:after="0" w:line="167" w:lineRule="exact"/>
        <w:rPr>
          <w:rFonts w:ascii="Times New Roman" w:cs="Times New Roman" w:eastAsia="Times New Roman" w:hAnsi="Times New Roman"/>
          <w:sz w:val="18"/>
          <w:szCs w:val="18"/>
          <w:color w:val="010000"/>
        </w:rPr>
      </w:pPr>
    </w:p>
    <w:p>
      <w:pPr>
        <w:ind w:left="1780" w:hanging="706"/>
        <w:spacing w:after="0"/>
        <w:tabs>
          <w:tab w:leader="none" w:pos="1780"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w:t>
      </w:r>
    </w:p>
    <w:p>
      <w:pPr>
        <w:spacing w:after="0" w:line="12"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Closing.</w:t>
      </w:r>
    </w:p>
    <w:p>
      <w:pPr>
        <w:spacing w:after="0" w:line="17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95" w:val="left"/>
        </w:tabs>
        <w:numPr>
          <w:ilvl w:val="1"/>
          <w:numId w:val="1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7157085" cy="13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29" w:name="page130"/>
    <w:bookmarkEnd w:id="129"/>
    <w:p>
      <w:pPr>
        <w:jc w:val="both"/>
        <w:ind w:left="-1074" w:firstLine="1074"/>
        <w:spacing w:after="0" w:line="237" w:lineRule="auto"/>
        <w:tabs>
          <w:tab w:leader="none" w:pos="645"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170"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91"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66" w:lineRule="exact"/>
        <w:rPr>
          <w:rFonts w:ascii="Times New Roman" w:cs="Times New Roman" w:eastAsia="Times New Roman" w:hAnsi="Times New Roman"/>
          <w:sz w:val="18"/>
          <w:szCs w:val="18"/>
          <w:color w:val="010000"/>
        </w:rPr>
      </w:pPr>
    </w:p>
    <w:p>
      <w:pPr>
        <w:jc w:val="both"/>
        <w:ind w:left="-1074" w:firstLine="1074"/>
        <w:spacing w:after="0" w:line="246" w:lineRule="auto"/>
        <w:tabs>
          <w:tab w:leader="none" w:pos="717"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62" w:lineRule="exact"/>
        <w:rPr>
          <w:rFonts w:ascii="Times New Roman" w:cs="Times New Roman" w:eastAsia="Times New Roman" w:hAnsi="Times New Roman"/>
          <w:sz w:val="18"/>
          <w:szCs w:val="18"/>
          <w:color w:val="010000"/>
        </w:rPr>
      </w:pPr>
    </w:p>
    <w:p>
      <w:pPr>
        <w:jc w:val="both"/>
        <w:ind w:left="-1074" w:firstLine="1074"/>
        <w:spacing w:after="0" w:line="246" w:lineRule="auto"/>
        <w:tabs>
          <w:tab w:leader="none" w:pos="659"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2"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548"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spacing w:after="0" w:line="172" w:lineRule="exact"/>
        <w:rPr>
          <w:rFonts w:ascii="Times New Roman" w:cs="Times New Roman" w:eastAsia="Times New Roman" w:hAnsi="Times New Roman"/>
          <w:sz w:val="18"/>
          <w:szCs w:val="18"/>
          <w:color w:val="010000"/>
        </w:rPr>
      </w:pPr>
    </w:p>
    <w:p>
      <w:pPr>
        <w:jc w:val="both"/>
        <w:ind w:left="-1074" w:firstLine="1074"/>
        <w:spacing w:after="0" w:line="239" w:lineRule="auto"/>
        <w:tabs>
          <w:tab w:leader="none" w:pos="763" w:val="left"/>
        </w:tabs>
        <w:numPr>
          <w:ilvl w:val="0"/>
          <w:numId w:val="12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212090</wp:posOffset>
            </wp:positionV>
            <wp:extent cx="7157085"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30" w:name="page131"/>
    <w:bookmarkEnd w:id="130"/>
    <w:p>
      <w:pPr>
        <w:jc w:val="both"/>
        <w:ind w:firstLine="1074"/>
        <w:spacing w:after="0" w:line="247" w:lineRule="auto"/>
        <w:tabs>
          <w:tab w:leader="none" w:pos="1692" w:val="left"/>
        </w:tabs>
        <w:numPr>
          <w:ilvl w:val="0"/>
          <w:numId w:val="12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 (OR,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 OF THIS SUBSCRIPTION AGREEMENT OR IN SUCH OTHER MANNER AS MAY BE PERMITTED BY LAW SHALL BE VALID AND SUFFICIENT SERVICE THEREOF.</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w:t>
      </w:r>
    </w:p>
    <w:p>
      <w:pPr>
        <w:spacing w:after="0" w:line="170" w:lineRule="exact"/>
        <w:rPr>
          <w:sz w:val="20"/>
          <w:szCs w:val="20"/>
          <w:color w:val="auto"/>
        </w:rPr>
      </w:pPr>
    </w:p>
    <w:p>
      <w:pPr>
        <w:jc w:val="both"/>
        <w:ind w:firstLine="541"/>
        <w:spacing w:after="0" w:line="233" w:lineRule="auto"/>
        <w:tabs>
          <w:tab w:leader="none" w:pos="14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xml:space="preserve"> 12. The Investor acknowledges that it is not relying upon, and has not relied upon,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 partner, member, manager, direct or indirect equityholder or affiliate of ARYA, the Company, any Placement Agent or any of ARYA’s, the Company’s or any Placement Agent’s controlled affiliates or any family member of the foregoing.</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229235</wp:posOffset>
            </wp:positionV>
            <wp:extent cx="7157085"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31" w:name="page132"/>
    <w:bookmarkEnd w:id="131"/>
    <w:p>
      <w:pPr>
        <w:ind w:firstLine="532"/>
        <w:spacing w:after="0" w:line="264"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set forth below.</w:t>
      </w:r>
    </w:p>
    <w:p>
      <w:pPr>
        <w:sectPr>
          <w:pgSz w:w="11900" w:h="16838" w:orient="portrait"/>
          <w:cols w:equalWidth="0" w:num="1">
            <w:col w:w="11280"/>
          </w:cols>
          <w:pgMar w:left="300" w:top="114" w:right="31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Investor: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State/Country of Formation or Domicile:</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By: ___________________________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_________________________</w:t>
      </w:r>
    </w:p>
    <w:p>
      <w:pPr>
        <w:sectPr>
          <w:pgSz w:w="11900" w:h="16838" w:orient="portrait"/>
          <w:cols w:equalWidth="0" w:num="1">
            <w:col w:w="11280"/>
          </w:cols>
          <w:pgMar w:left="300" w:top="114" w:right="31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in which Shares are to be registered (if different):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________, 2021</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Investor’s EIN:</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Business Address-Street: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_________________________</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Mailing Address-Street (if different):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___________________________</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182"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Number of Shares subscribed for:</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Aggregate Subscription Amount: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 Per Share: $10.00</w:t>
      </w:r>
    </w:p>
    <w:p>
      <w:pPr>
        <w:spacing w:after="0" w:line="186"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ARYA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7157085" cy="13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type w:val="continuous"/>
        </w:sectPr>
      </w:pPr>
    </w:p>
    <w:bookmarkStart w:id="132" w:name="page133"/>
    <w:bookmarkEnd w:id="132"/>
    <w:p>
      <w:pPr>
        <w:ind w:left="540"/>
        <w:spacing w:after="0"/>
        <w:rPr>
          <w:sz w:val="20"/>
          <w:szCs w:val="20"/>
          <w:color w:val="auto"/>
        </w:rPr>
      </w:pPr>
      <w:r>
        <w:rPr>
          <w:rFonts w:ascii="Times New Roman" w:cs="Times New Roman" w:eastAsia="Times New Roman" w:hAnsi="Times New Roman"/>
          <w:sz w:val="18"/>
          <w:szCs w:val="18"/>
          <w:color w:val="auto"/>
        </w:rPr>
        <w:t>IN WITNESS WHEREOF, ARYA has accepted this Subscription Agreement as of the date set forth below.</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ARYA SCIENCES ACQUISITION CORP III</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4084320</wp:posOffset>
            </wp:positionH>
            <wp:positionV relativeFrom="paragraph">
              <wp:posOffset>12700</wp:posOffset>
            </wp:positionV>
            <wp:extent cx="3078480" cy="13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78480" cy="1397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Name:</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227965</wp:posOffset>
            </wp:positionV>
            <wp:extent cx="7157085"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03" w:lineRule="exact"/>
        <w:rPr>
          <w:sz w:val="20"/>
          <w:szCs w:val="20"/>
          <w:color w:val="auto"/>
        </w:rPr>
      </w:pPr>
    </w:p>
    <w:p>
      <w:pPr>
        <w:ind w:left="460" w:right="7760" w:hanging="451"/>
        <w:spacing w:after="0" w:line="543" w:lineRule="auto"/>
        <w:tabs>
          <w:tab w:leader="none" w:pos="4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INSTITUTIONAL BUYER STATUS (Please check the applicable subparagraphs):</w:t>
      </w:r>
    </w:p>
    <w:p>
      <w:pPr>
        <w:spacing w:after="0" w:line="28" w:lineRule="exact"/>
        <w:rPr>
          <w:rFonts w:ascii="Times New Roman" w:cs="Times New Roman" w:eastAsia="Times New Roman" w:hAnsi="Times New Roman"/>
          <w:sz w:val="14"/>
          <w:szCs w:val="14"/>
          <w:color w:val="auto"/>
        </w:rPr>
      </w:pPr>
    </w:p>
    <w:p>
      <w:pPr>
        <w:ind w:left="620" w:hanging="249"/>
        <w:spacing w:after="0"/>
        <w:tabs>
          <w:tab w:leader="none" w:pos="620" w:val="left"/>
        </w:tabs>
        <w:numPr>
          <w:ilvl w:val="1"/>
          <w:numId w:val="1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00" w:lineRule="exact"/>
        <w:rPr>
          <w:rFonts w:ascii="MS PGothic" w:cs="MS PGothic" w:eastAsia="MS PGothic" w:hAnsi="MS PGothic"/>
          <w:sz w:val="18"/>
          <w:szCs w:val="18"/>
          <w:color w:val="auto"/>
        </w:rPr>
      </w:pPr>
    </w:p>
    <w:p>
      <w:pPr>
        <w:ind w:left="460" w:right="7380" w:hanging="451"/>
        <w:spacing w:after="0" w:line="454" w:lineRule="auto"/>
        <w:tabs>
          <w:tab w:leader="none" w:pos="4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INSTITUTIONAL ACCREDITED INVESTOR STATUS (Please check the applicable subparagraphs):</w:t>
      </w:r>
    </w:p>
    <w:p>
      <w:pPr>
        <w:ind w:left="920" w:right="140" w:hanging="456"/>
        <w:spacing w:after="0" w:line="190" w:lineRule="exact"/>
        <w:tabs>
          <w:tab w:leader="none" w:pos="920" w:val="left"/>
        </w:tabs>
        <w:numPr>
          <w:ilvl w:val="2"/>
          <w:numId w:val="129"/>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85" w:lineRule="exact"/>
        <w:rPr>
          <w:rFonts w:ascii="Times New Roman" w:cs="Times New Roman" w:eastAsia="Times New Roman" w:hAnsi="Times New Roman"/>
          <w:sz w:val="15"/>
          <w:szCs w:val="15"/>
          <w:color w:val="auto"/>
        </w:rPr>
      </w:pPr>
    </w:p>
    <w:p>
      <w:pPr>
        <w:ind w:left="920" w:hanging="456"/>
        <w:spacing w:after="0" w:line="173" w:lineRule="exact"/>
        <w:tabs>
          <w:tab w:leader="none" w:pos="920" w:val="left"/>
        </w:tabs>
        <w:numPr>
          <w:ilvl w:val="2"/>
          <w:numId w:val="129"/>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not a natural person.</w:t>
      </w:r>
    </w:p>
    <w:p>
      <w:pPr>
        <w:spacing w:after="0" w:line="2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78" w:lineRule="exact"/>
        <w:rPr>
          <w:sz w:val="20"/>
          <w:szCs w:val="20"/>
          <w:color w:val="auto"/>
        </w:rPr>
      </w:pPr>
    </w:p>
    <w:p>
      <w:pPr>
        <w:ind w:left="380" w:right="620" w:hanging="9"/>
        <w:spacing w:after="0" w:line="260" w:lineRule="auto"/>
        <w:tabs>
          <w:tab w:leader="none" w:pos="614"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380" w:right="220" w:hanging="9"/>
        <w:spacing w:after="0" w:line="260" w:lineRule="auto"/>
        <w:tabs>
          <w:tab w:leader="none" w:pos="614"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380" w:right="740" w:hanging="9"/>
        <w:spacing w:after="0" w:line="260" w:lineRule="auto"/>
        <w:tabs>
          <w:tab w:leader="none" w:pos="614"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380" w:right="500" w:hanging="9"/>
        <w:spacing w:after="0" w:line="260" w:lineRule="auto"/>
        <w:tabs>
          <w:tab w:leader="none" w:pos="614"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600" w:hanging="229"/>
        <w:spacing w:after="0"/>
        <w:tabs>
          <w:tab w:leader="none" w:pos="60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203" w:lineRule="exact"/>
        <w:rPr>
          <w:rFonts w:ascii="MS PGothic" w:cs="MS PGothic" w:eastAsia="MS PGothic" w:hAnsi="MS PGothic"/>
          <w:sz w:val="18"/>
          <w:szCs w:val="18"/>
          <w:color w:val="auto"/>
        </w:rPr>
      </w:pPr>
    </w:p>
    <w:p>
      <w:pPr>
        <w:ind w:left="600" w:hanging="229"/>
        <w:spacing w:after="0"/>
        <w:tabs>
          <w:tab w:leader="none" w:pos="600" w:val="left"/>
        </w:tabs>
        <w:numPr>
          <w:ilvl w:val="0"/>
          <w:numId w:val="1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215265</wp:posOffset>
            </wp:positionV>
            <wp:extent cx="7157085"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ARYA Sciences Acquisition Corp III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rPr>
          <w:sz w:val="20"/>
          <w:szCs w:val="20"/>
          <w:color w:val="auto"/>
        </w:rPr>
      </w:pPr>
      <w:r>
        <w:rPr>
          <w:rFonts w:ascii="Times New Roman" w:cs="Times New Roman" w:eastAsia="Times New Roman" w:hAnsi="Times New Roman"/>
          <w:sz w:val="18"/>
          <w:szCs w:val="18"/>
          <w:color w:val="auto"/>
        </w:rPr>
        <w:t>New York, New York 10002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being entered into as of the date set forth on the signature page hereto, by and between ARYA Sciences Acquisition Corp III, a Cayman Islands exempted company (“</w:t>
      </w:r>
      <w:r>
        <w:rPr>
          <w:rFonts w:ascii="Times New Roman" w:cs="Times New Roman" w:eastAsia="Times New Roman" w:hAnsi="Times New Roman"/>
          <w:sz w:val="18"/>
          <w:szCs w:val="18"/>
          <w:u w:val="single" w:color="auto"/>
          <w:color w:val="auto"/>
        </w:rPr>
        <w:t>ARYA</w:t>
      </w:r>
      <w:r>
        <w:rPr>
          <w:rFonts w:ascii="Times New Roman" w:cs="Times New Roman" w:eastAsia="Times New Roman" w:hAnsi="Times New Roman"/>
          <w:sz w:val="18"/>
          <w:szCs w:val="18"/>
          <w:color w:val="auto"/>
        </w:rPr>
        <w:t>”), which shall be domesticated as a Delaware corporation prior to the closing of the Transaction (as defined herein), and the undersigned subscriber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in connection with the Business Combination Agreement, dated as of the date hereof (as may be amended, supplemented or otherwise modified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ARYA, Mako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Nautilus Biotechnology,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In connection with the Transaction, ARYA is seeking commitments from interested investors to purchase, following the Domestication (as defined below) and prior to the closing of the Transaction, shares of ARYA’s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 private placement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On or about the date of this Subscription Agreement, ARYA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the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aggregate purchase price to be paid by the Investor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spacing w:after="0" w:line="151" w:lineRule="exact"/>
        <w:rPr>
          <w:sz w:val="20"/>
          <w:szCs w:val="20"/>
          <w:color w:val="auto"/>
        </w:rPr>
      </w:pPr>
    </w:p>
    <w:p>
      <w:pPr>
        <w:jc w:val="both"/>
        <w:ind w:firstLine="541"/>
        <w:spacing w:after="0" w:line="252" w:lineRule="auto"/>
        <w:tabs>
          <w:tab w:leader="none" w:pos="1309"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Subscription</w:t>
      </w:r>
      <w:r>
        <w:rPr>
          <w:rFonts w:ascii="Times New Roman" w:cs="Times New Roman" w:eastAsia="Times New Roman" w:hAnsi="Times New Roman"/>
          <w:sz w:val="17"/>
          <w:szCs w:val="17"/>
          <w:color w:val="auto"/>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spacing w:after="0" w:line="160" w:lineRule="exact"/>
        <w:rPr>
          <w:rFonts w:ascii="Times New Roman" w:cs="Times New Roman" w:eastAsia="Times New Roman" w:hAnsi="Times New Roman"/>
          <w:sz w:val="17"/>
          <w:szCs w:val="17"/>
          <w:color w:val="auto"/>
        </w:rPr>
      </w:pPr>
    </w:p>
    <w:p>
      <w:pPr>
        <w:jc w:val="both"/>
        <w:ind w:firstLine="541"/>
        <w:spacing w:after="0" w:line="234" w:lineRule="auto"/>
        <w:tabs>
          <w:tab w:leader="none" w:pos="11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purchase and issuance of the Shares contemplated hereby (the “Closing”) is contingent upon the substantially concurrent consummation of the Transaction. The Closing shall occur on the date of, and immediately prior to, the effectiveness of the Transaction (the date the Closing so occurs, the “Closing Date”). Upon delivery of written notice from (or on behalf of) ARYA to the Investor (the “Closing Notice”),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 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498475</wp:posOffset>
            </wp:positionV>
            <wp:extent cx="7157085"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35" w:name="page136"/>
    <w:bookmarkEnd w:id="135"/>
    <w:p>
      <w:pPr>
        <w:ind w:left="579" w:hanging="579"/>
        <w:spacing w:after="0"/>
        <w:tabs>
          <w:tab w:leader="none" w:pos="57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541" w:right="20" w:firstLine="1074"/>
        <w:spacing w:after="0" w:line="260" w:lineRule="auto"/>
        <w:tabs>
          <w:tab w:leader="none" w:pos="1332" w:val="left"/>
        </w:tabs>
        <w:numPr>
          <w:ilvl w:val="1"/>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the parties hereto to consummate the sale, purchase and issuance of the Shares pursuant to this Subscription Agreement is subject to the following conditions:</w:t>
      </w:r>
    </w:p>
    <w:p>
      <w:pPr>
        <w:spacing w:after="0" w:line="150" w:lineRule="exact"/>
        <w:rPr>
          <w:rFonts w:ascii="Times New Roman" w:cs="Times New Roman" w:eastAsia="Times New Roman" w:hAnsi="Times New Roman"/>
          <w:sz w:val="18"/>
          <w:szCs w:val="18"/>
          <w:color w:val="010000"/>
        </w:rPr>
      </w:pPr>
    </w:p>
    <w:p>
      <w:pPr>
        <w:jc w:val="both"/>
        <w:ind w:left="539" w:firstLine="526"/>
        <w:spacing w:after="0" w:line="267" w:lineRule="auto"/>
        <w:tabs>
          <w:tab w:leader="none" w:pos="1770" w:val="left"/>
        </w:tabs>
        <w:numPr>
          <w:ilvl w:val="2"/>
          <w:numId w:val="13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46" w:lineRule="exact"/>
        <w:rPr>
          <w:rFonts w:ascii="Times New Roman" w:cs="Times New Roman" w:eastAsia="Times New Roman" w:hAnsi="Times New Roman"/>
          <w:sz w:val="17"/>
          <w:szCs w:val="17"/>
          <w:color w:val="010000"/>
        </w:rPr>
      </w:pPr>
    </w:p>
    <w:p>
      <w:pPr>
        <w:jc w:val="both"/>
        <w:ind w:left="539" w:firstLine="526"/>
        <w:spacing w:after="0" w:line="250" w:lineRule="auto"/>
        <w:tabs>
          <w:tab w:leader="none" w:pos="1828" w:val="left"/>
        </w:tabs>
        <w:numPr>
          <w:ilvl w:val="2"/>
          <w:numId w:val="13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w:t>
      </w:r>
    </w:p>
    <w:p>
      <w:pPr>
        <w:ind w:left="539"/>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(B) the closing of the Transaction shall be scheduled to occur concurrently with or on the same date as the Closing.</w:t>
      </w:r>
    </w:p>
    <w:p>
      <w:pPr>
        <w:spacing w:after="0" w:line="172" w:lineRule="exact"/>
        <w:rPr>
          <w:rFonts w:ascii="Times New Roman" w:cs="Times New Roman" w:eastAsia="Times New Roman" w:hAnsi="Times New Roman"/>
          <w:sz w:val="17"/>
          <w:szCs w:val="17"/>
          <w:color w:val="010000"/>
        </w:rPr>
      </w:pPr>
    </w:p>
    <w:p>
      <w:pPr>
        <w:jc w:val="both"/>
        <w:ind w:left="-541" w:firstLine="1074"/>
        <w:spacing w:after="0" w:line="237" w:lineRule="auto"/>
        <w:tabs>
          <w:tab w:leader="none" w:pos="1104" w:val="left"/>
        </w:tabs>
        <w:numPr>
          <w:ilvl w:val="1"/>
          <w:numId w:val="13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spacing w:after="0" w:line="171" w:lineRule="exact"/>
        <w:rPr>
          <w:rFonts w:ascii="Times New Roman" w:cs="Times New Roman" w:eastAsia="Times New Roman" w:hAnsi="Times New Roman"/>
          <w:sz w:val="18"/>
          <w:szCs w:val="18"/>
          <w:color w:val="010000"/>
        </w:rPr>
      </w:pPr>
    </w:p>
    <w:p>
      <w:pPr>
        <w:jc w:val="both"/>
        <w:ind w:left="-541" w:firstLine="1074"/>
        <w:spacing w:after="0" w:line="250" w:lineRule="auto"/>
        <w:tabs>
          <w:tab w:leader="none" w:pos="1172" w:val="left"/>
        </w:tabs>
        <w:numPr>
          <w:ilvl w:val="1"/>
          <w:numId w:val="13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492125</wp:posOffset>
            </wp:positionV>
            <wp:extent cx="7157085" cy="13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36" w:name="page137"/>
    <w:bookmarkEnd w:id="136"/>
    <w:p>
      <w:pPr>
        <w:ind w:left="-541" w:firstLine="541"/>
        <w:spacing w:after="0" w:line="259" w:lineRule="auto"/>
        <w:tabs>
          <w:tab w:leader="none" w:pos="60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51"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ARYA Representations and Warranties</w:t>
      </w:r>
      <w:r>
        <w:rPr>
          <w:rFonts w:ascii="Times New Roman" w:cs="Times New Roman" w:eastAsia="Times New Roman" w:hAnsi="Times New Roman"/>
          <w:sz w:val="18"/>
          <w:szCs w:val="18"/>
          <w:color w:val="auto"/>
        </w:rPr>
        <w:t>. ARYA represents and warrants to the Investor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60" w:lineRule="auto"/>
        <w:tabs>
          <w:tab w:leader="none" w:pos="1124" w:val="left"/>
        </w:tabs>
        <w:numPr>
          <w:ilvl w:val="1"/>
          <w:numId w:val="13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spacing w:after="0" w:line="151" w:lineRule="exact"/>
        <w:rPr>
          <w:rFonts w:ascii="Times New Roman" w:cs="Times New Roman" w:eastAsia="Times New Roman" w:hAnsi="Times New Roman"/>
          <w:sz w:val="17"/>
          <w:szCs w:val="17"/>
          <w:color w:val="010000"/>
        </w:rPr>
      </w:pPr>
    </w:p>
    <w:p>
      <w:pPr>
        <w:jc w:val="both"/>
        <w:ind w:left="-541" w:firstLine="1074"/>
        <w:spacing w:after="0" w:line="241" w:lineRule="auto"/>
        <w:tabs>
          <w:tab w:leader="none" w:pos="1112"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339"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34" w:lineRule="auto"/>
        <w:tabs>
          <w:tab w:leader="none" w:pos="1191"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materially affect the validity of the Shares or the legal authority of ARYA to comply in all material respects with the terms of this Subscription Agreement; (ii) result in any violation of the provisions of the organizational documents of ARYA; or (iii) 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spacing w:after="0" w:line="176" w:lineRule="exact"/>
        <w:rPr>
          <w:rFonts w:ascii="Times New Roman" w:cs="Times New Roman" w:eastAsia="Times New Roman" w:hAnsi="Times New Roman"/>
          <w:sz w:val="18"/>
          <w:szCs w:val="18"/>
          <w:color w:val="010000"/>
        </w:rPr>
      </w:pPr>
    </w:p>
    <w:p>
      <w:pPr>
        <w:jc w:val="both"/>
        <w:ind w:left="-541" w:firstLine="1074"/>
        <w:spacing w:after="0" w:line="235" w:lineRule="auto"/>
        <w:tabs>
          <w:tab w:leader="none" w:pos="1241" w:val="left"/>
        </w:tabs>
        <w:numPr>
          <w:ilvl w:val="1"/>
          <w:numId w:val="13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their respective dates, all reports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required to be filed by ARYA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495300</wp:posOffset>
            </wp:positionV>
            <wp:extent cx="7157085"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37" w:name="page138"/>
    <w:bookmarkEnd w:id="137"/>
    <w:p>
      <w:pPr>
        <w:jc w:val="both"/>
        <w:ind w:left="-1074" w:firstLine="1074"/>
        <w:spacing w:after="0" w:line="236" w:lineRule="auto"/>
        <w:tabs>
          <w:tab w:leader="none" w:pos="607"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 advantageous to any such Other Investor than the Investor hereunder, and such Other Subscription Agreements have not been amended or modified in any material respect following the date of this Subscription Agreement.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7" w:lineRule="auto"/>
        <w:tabs>
          <w:tab w:leader="none" w:pos="666"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4" w:lineRule="auto"/>
        <w:tabs>
          <w:tab w:leader="none" w:pos="614"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Subscription Agreement, the authorized capital stock of ARYA consists of 479,000,000 Class A ordinary shares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20,000,000 Class B ordinary shares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spacing w:after="0" w:line="176"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605"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Times New Roman" w:cs="Times New Roman" w:eastAsia="Times New Roman" w:hAnsi="Times New Roman"/>
          <w:sz w:val="18"/>
          <w:szCs w:val="18"/>
          <w:u w:val="single" w:color="auto"/>
          <w:color w:val="auto"/>
        </w:rPr>
        <w:t>Delaware Common Shares</w:t>
      </w:r>
      <w:r>
        <w:rPr>
          <w:rFonts w:ascii="Times New Roman" w:cs="Times New Roman" w:eastAsia="Times New Roman" w:hAnsi="Times New Roman"/>
          <w:sz w:val="18"/>
          <w:szCs w:val="18"/>
          <w:color w:val="auto"/>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spacing w:after="0" w:line="172"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34"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66"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748" w:val="left"/>
        </w:tabs>
        <w:numPr>
          <w:ilvl w:val="0"/>
          <w:numId w:val="1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494030</wp:posOffset>
            </wp:positionV>
            <wp:extent cx="7157085" cy="139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38" w:name="page139"/>
    <w:bookmarkEnd w:id="138"/>
    <w:p>
      <w:pPr>
        <w:jc w:val="both"/>
        <w:ind w:left="-541" w:firstLine="1074"/>
        <w:spacing w:after="0" w:line="245" w:lineRule="auto"/>
        <w:tabs>
          <w:tab w:leader="none" w:pos="1088" w:val="left"/>
        </w:tabs>
        <w:numPr>
          <w:ilvl w:val="1"/>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spacing w:after="0" w:line="163" w:lineRule="exact"/>
        <w:rPr>
          <w:rFonts w:ascii="Times New Roman" w:cs="Times New Roman" w:eastAsia="Times New Roman" w:hAnsi="Times New Roman"/>
          <w:sz w:val="18"/>
          <w:szCs w:val="18"/>
          <w:color w:val="010000"/>
        </w:rPr>
      </w:pPr>
    </w:p>
    <w:p>
      <w:pPr>
        <w:jc w:val="both"/>
        <w:ind w:left="-541" w:firstLine="1074"/>
        <w:spacing w:after="0" w:line="236" w:lineRule="auto"/>
        <w:tabs>
          <w:tab w:leader="none" w:pos="1310" w:val="left"/>
        </w:tabs>
        <w:numPr>
          <w:ilvl w:val="1"/>
          <w:numId w:val="1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ARYA with any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spacing w:after="0" w:line="172" w:lineRule="exact"/>
        <w:rPr>
          <w:rFonts w:ascii="Times New Roman" w:cs="Times New Roman" w:eastAsia="Times New Roman" w:hAnsi="Times New Roman"/>
          <w:sz w:val="18"/>
          <w:szCs w:val="18"/>
          <w:color w:val="010000"/>
        </w:rPr>
      </w:pPr>
    </w:p>
    <w:p>
      <w:pPr>
        <w:ind w:left="579" w:hanging="579"/>
        <w:spacing w:after="0"/>
        <w:tabs>
          <w:tab w:leader="none" w:pos="57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ARYA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36" w:lineRule="auto"/>
        <w:tabs>
          <w:tab w:leader="none" w:pos="1180"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72" w:lineRule="exact"/>
        <w:rPr>
          <w:rFonts w:ascii="Times New Roman" w:cs="Times New Roman" w:eastAsia="Times New Roman" w:hAnsi="Times New Roman"/>
          <w:sz w:val="18"/>
          <w:szCs w:val="18"/>
          <w:color w:val="010000"/>
        </w:rPr>
      </w:pPr>
    </w:p>
    <w:p>
      <w:pPr>
        <w:jc w:val="both"/>
        <w:ind w:left="-541" w:firstLine="1074"/>
        <w:spacing w:after="0" w:line="249" w:lineRule="auto"/>
        <w:tabs>
          <w:tab w:leader="none" w:pos="1179" w:val="left"/>
        </w:tabs>
        <w:numPr>
          <w:ilvl w:val="1"/>
          <w:numId w:val="13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spacing w:after="0" w:line="165" w:lineRule="exact"/>
        <w:rPr>
          <w:rFonts w:ascii="Times New Roman" w:cs="Times New Roman" w:eastAsia="Times New Roman" w:hAnsi="Times New Roman"/>
          <w:sz w:val="17"/>
          <w:szCs w:val="17"/>
          <w:color w:val="010000"/>
        </w:rPr>
      </w:pPr>
    </w:p>
    <w:p>
      <w:pPr>
        <w:jc w:val="both"/>
        <w:ind w:left="-541" w:firstLine="1074"/>
        <w:spacing w:after="0" w:line="239" w:lineRule="auto"/>
        <w:tabs>
          <w:tab w:leader="none" w:pos="1139"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spacing w:after="0" w:line="167" w:lineRule="exact"/>
        <w:rPr>
          <w:rFonts w:ascii="Times New Roman" w:cs="Times New Roman" w:eastAsia="Times New Roman" w:hAnsi="Times New Roman"/>
          <w:sz w:val="18"/>
          <w:szCs w:val="18"/>
          <w:color w:val="010000"/>
        </w:rPr>
      </w:pPr>
    </w:p>
    <w:p>
      <w:pPr>
        <w:jc w:val="both"/>
        <w:ind w:left="-541" w:firstLine="1074"/>
        <w:spacing w:after="0" w:line="246" w:lineRule="auto"/>
        <w:tabs>
          <w:tab w:leader="none" w:pos="1147"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62" w:lineRule="exact"/>
        <w:rPr>
          <w:rFonts w:ascii="Times New Roman" w:cs="Times New Roman" w:eastAsia="Times New Roman" w:hAnsi="Times New Roman"/>
          <w:sz w:val="18"/>
          <w:szCs w:val="18"/>
          <w:color w:val="010000"/>
        </w:rPr>
      </w:pPr>
    </w:p>
    <w:p>
      <w:pPr>
        <w:jc w:val="both"/>
        <w:ind w:left="-541" w:firstLine="1074"/>
        <w:spacing w:after="0" w:line="237" w:lineRule="auto"/>
        <w:tabs>
          <w:tab w:leader="none" w:pos="1229"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without 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214630</wp:posOffset>
            </wp:positionV>
            <wp:extent cx="7157085" cy="13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39" w:name="page140"/>
    <w:bookmarkEnd w:id="139"/>
    <w:p>
      <w:pPr>
        <w:jc w:val="both"/>
        <w:ind w:left="-9" w:firstLine="1074"/>
        <w:spacing w:after="0" w:line="251" w:lineRule="auto"/>
        <w:tabs>
          <w:tab w:leader="none" w:pos="1790" w:val="left"/>
        </w:tabs>
        <w:numPr>
          <w:ilvl w:val="1"/>
          <w:numId w:val="13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became aware of this offering of the Shares solely by means of direct contact between the Investor and ARYA, the Company or a representative of ARYA or the Company, and the Shares were 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w:t>
      </w:r>
    </w:p>
    <w:p>
      <w:pPr>
        <w:jc w:val="both"/>
        <w:ind w:left="-9" w:firstLine="9"/>
        <w:spacing w:after="0" w:line="234" w:lineRule="auto"/>
        <w:tabs>
          <w:tab w:leader="none" w:pos="2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spacing w:after="0" w:line="168" w:lineRule="exact"/>
        <w:rPr>
          <w:rFonts w:ascii="Times New Roman" w:cs="Times New Roman" w:eastAsia="Times New Roman" w:hAnsi="Times New Roman"/>
          <w:sz w:val="18"/>
          <w:szCs w:val="18"/>
          <w:color w:val="auto"/>
        </w:rPr>
      </w:pPr>
    </w:p>
    <w:p>
      <w:pPr>
        <w:jc w:val="both"/>
        <w:ind w:left="-9" w:firstLine="1074"/>
        <w:spacing w:after="0" w:line="241" w:lineRule="auto"/>
        <w:tabs>
          <w:tab w:leader="none" w:pos="1829"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66" w:lineRule="exact"/>
        <w:rPr>
          <w:rFonts w:ascii="Times New Roman" w:cs="Times New Roman" w:eastAsia="Times New Roman" w:hAnsi="Times New Roman"/>
          <w:sz w:val="18"/>
          <w:szCs w:val="18"/>
          <w:color w:val="010000"/>
        </w:rPr>
      </w:pPr>
    </w:p>
    <w:p>
      <w:pPr>
        <w:jc w:val="both"/>
        <w:ind w:left="-9" w:firstLine="1074"/>
        <w:spacing w:after="0" w:line="246" w:lineRule="auto"/>
        <w:tabs>
          <w:tab w:leader="none" w:pos="1730"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spacing w:after="0" w:line="162" w:lineRule="exact"/>
        <w:rPr>
          <w:rFonts w:ascii="Times New Roman" w:cs="Times New Roman" w:eastAsia="Times New Roman" w:hAnsi="Times New Roman"/>
          <w:sz w:val="18"/>
          <w:szCs w:val="18"/>
          <w:color w:val="010000"/>
        </w:rPr>
      </w:pPr>
    </w:p>
    <w:p>
      <w:pPr>
        <w:jc w:val="both"/>
        <w:ind w:left="-9" w:firstLine="1074"/>
        <w:spacing w:after="0" w:line="239" w:lineRule="auto"/>
        <w:tabs>
          <w:tab w:leader="none" w:pos="1758"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spacing w:after="0" w:line="167" w:lineRule="exact"/>
        <w:rPr>
          <w:rFonts w:ascii="Times New Roman" w:cs="Times New Roman" w:eastAsia="Times New Roman" w:hAnsi="Times New Roman"/>
          <w:sz w:val="18"/>
          <w:szCs w:val="18"/>
          <w:color w:val="010000"/>
        </w:rPr>
      </w:pPr>
    </w:p>
    <w:p>
      <w:pPr>
        <w:ind w:left="-9" w:firstLine="1074"/>
        <w:spacing w:after="0" w:line="260" w:lineRule="auto"/>
        <w:tabs>
          <w:tab w:leader="none" w:pos="1715"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no federal or state agency has passed upon or endorsed the merits of the offering of the Shares or made any findings or determination as to the fairness of this investment.</w:t>
      </w:r>
    </w:p>
    <w:p>
      <w:pPr>
        <w:spacing w:after="0" w:line="150" w:lineRule="exact"/>
        <w:rPr>
          <w:rFonts w:ascii="Times New Roman" w:cs="Times New Roman" w:eastAsia="Times New Roman" w:hAnsi="Times New Roman"/>
          <w:sz w:val="18"/>
          <w:szCs w:val="18"/>
          <w:color w:val="010000"/>
        </w:rPr>
      </w:pPr>
    </w:p>
    <w:p>
      <w:pPr>
        <w:ind w:left="-9" w:firstLine="1074"/>
        <w:spacing w:after="0" w:line="260" w:lineRule="auto"/>
        <w:tabs>
          <w:tab w:leader="none" w:pos="1687"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150" w:lineRule="exact"/>
        <w:rPr>
          <w:rFonts w:ascii="Times New Roman" w:cs="Times New Roman" w:eastAsia="Times New Roman" w:hAnsi="Times New Roman"/>
          <w:sz w:val="18"/>
          <w:szCs w:val="18"/>
          <w:color w:val="010000"/>
        </w:rPr>
      </w:pPr>
    </w:p>
    <w:p>
      <w:pPr>
        <w:jc w:val="both"/>
        <w:ind w:left="-9" w:firstLine="1074"/>
        <w:spacing w:after="0" w:line="235" w:lineRule="auto"/>
        <w:tabs>
          <w:tab w:leader="none" w:pos="1690" w:val="left"/>
        </w:tabs>
        <w:numPr>
          <w:ilvl w:val="1"/>
          <w:numId w:val="13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213995</wp:posOffset>
            </wp:positionV>
            <wp:extent cx="7157085"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140" w:name="page141"/>
    <w:bookmarkEnd w:id="140"/>
    <w:p>
      <w:pPr>
        <w:jc w:val="both"/>
        <w:ind w:left="-1074" w:firstLine="1074"/>
        <w:spacing w:after="0" w:line="234" w:lineRule="auto"/>
        <w:tabs>
          <w:tab w:leader="none" w:pos="693"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spacing w:after="0" w:line="175" w:lineRule="exact"/>
        <w:rPr>
          <w:rFonts w:ascii="Times New Roman" w:cs="Times New Roman" w:eastAsia="Times New Roman" w:hAnsi="Times New Roman"/>
          <w:sz w:val="18"/>
          <w:szCs w:val="18"/>
          <w:color w:val="010000"/>
        </w:rPr>
      </w:pPr>
    </w:p>
    <w:p>
      <w:pPr>
        <w:ind w:left="-1074" w:firstLine="1074"/>
        <w:spacing w:after="0" w:line="260" w:lineRule="auto"/>
        <w:tabs>
          <w:tab w:leader="none" w:pos="565"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no disclosure or offering document has been prepared by Jefferies LLC, Goldman Sachs &amp; Co. LLC or any of their respective affiliates (collectively,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in connection with the offer and sale of the Shares.</w:t>
      </w:r>
    </w:p>
    <w:p>
      <w:pPr>
        <w:spacing w:after="0" w:line="150"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69"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spacing w:after="0" w:line="166" w:lineRule="exact"/>
        <w:rPr>
          <w:rFonts w:ascii="Times New Roman" w:cs="Times New Roman" w:eastAsia="Times New Roman" w:hAnsi="Times New Roman"/>
          <w:sz w:val="18"/>
          <w:szCs w:val="18"/>
          <w:color w:val="010000"/>
        </w:rPr>
      </w:pPr>
    </w:p>
    <w:p>
      <w:pPr>
        <w:ind w:left="-1074" w:firstLine="1074"/>
        <w:spacing w:after="0" w:line="260" w:lineRule="auto"/>
        <w:tabs>
          <w:tab w:leader="none" w:pos="698"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in connection with the issue and purchase of the Shares, neither Placement Agent has acted as the Investor’s financial advisor or fiduciary.</w:t>
      </w:r>
    </w:p>
    <w:p>
      <w:pPr>
        <w:spacing w:after="0" w:line="150" w:lineRule="exact"/>
        <w:rPr>
          <w:rFonts w:ascii="Times New Roman" w:cs="Times New Roman" w:eastAsia="Times New Roman" w:hAnsi="Times New Roman"/>
          <w:sz w:val="18"/>
          <w:szCs w:val="18"/>
          <w:color w:val="010000"/>
        </w:rPr>
      </w:pPr>
    </w:p>
    <w:p>
      <w:pPr>
        <w:ind w:left="-1074" w:firstLine="1074"/>
        <w:spacing w:after="0" w:line="290" w:lineRule="auto"/>
        <w:tabs>
          <w:tab w:leader="none" w:pos="600" w:val="left"/>
        </w:tabs>
        <w:numPr>
          <w:ilvl w:val="0"/>
          <w:numId w:val="13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spacing w:after="0" w:line="126" w:lineRule="exact"/>
        <w:rPr>
          <w:rFonts w:ascii="Times New Roman" w:cs="Times New Roman" w:eastAsia="Times New Roman" w:hAnsi="Times New Roman"/>
          <w:sz w:val="17"/>
          <w:szCs w:val="17"/>
          <w:color w:val="010000"/>
        </w:rPr>
      </w:pPr>
    </w:p>
    <w:p>
      <w:pPr>
        <w:jc w:val="both"/>
        <w:ind w:left="-1074" w:firstLine="1074"/>
        <w:spacing w:after="0" w:line="237" w:lineRule="auto"/>
        <w:tabs>
          <w:tab w:leader="none" w:pos="583" w:val="left"/>
        </w:tabs>
        <w:numPr>
          <w:ilvl w:val="0"/>
          <w:numId w:val="1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214630</wp:posOffset>
            </wp:positionV>
            <wp:extent cx="7157085" cy="13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41" w:name="page142"/>
    <w:bookmarkEnd w:id="141"/>
    <w:p>
      <w:pPr>
        <w:ind w:left="1160" w:hanging="619"/>
        <w:spacing w:after="0"/>
        <w:tabs>
          <w:tab w:leader="none" w:pos="11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w:t>
      </w:r>
    </w:p>
    <w:p>
      <w:pPr>
        <w:spacing w:after="0" w:line="191" w:lineRule="exact"/>
        <w:rPr>
          <w:rFonts w:ascii="Times New Roman" w:cs="Times New Roman" w:eastAsia="Times New Roman" w:hAnsi="Times New Roman"/>
          <w:sz w:val="18"/>
          <w:szCs w:val="18"/>
          <w:color w:val="auto"/>
        </w:rPr>
      </w:pPr>
    </w:p>
    <w:p>
      <w:pPr>
        <w:jc w:val="both"/>
        <w:ind w:firstLine="1074"/>
        <w:spacing w:after="0" w:line="251" w:lineRule="auto"/>
        <w:tabs>
          <w:tab w:leader="none" w:pos="1639" w:val="left"/>
        </w:tabs>
        <w:numPr>
          <w:ilvl w:val="2"/>
          <w:numId w:val="14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the event that the Shares are not registered in connection with the consummation of the Transaction, ARYA agrees that, within forty-five (45) calendar days after the consummation of the Transaction (the “Filing Date”), it will file with the SEC (at its sole cost and expense) a registration statement registering the resale of the Shares (the “Registration Statement”), and it shall use its commercially reasonable efforts to have the Registration Statement declared effective as soon as practicable after the filing thereof but no later than the earlier of (i) ninety (90) calendar days (or one hundred-twenty</w:t>
      </w:r>
    </w:p>
    <w:p>
      <w:pPr>
        <w:jc w:val="both"/>
        <w:ind w:firstLine="9"/>
        <w:spacing w:after="0" w:line="232" w:lineRule="auto"/>
        <w:tabs>
          <w:tab w:leader="none" w:pos="43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if the SEC notifies ARYA that it will “review” the Registration Statement) following the Filing Date and (ii) ten (10) Business Days after ARYA is notified (orally or in writing, whichever is earlier) by the SEC that the Registration Statement will not be “reviewed” or will not be subject to further review. ARYA agrees to cause such Registration Statement, or another shelf registration statement that includes the Shares to be sold pursuant to this Subscription Agreement, to remain effective until the earliest of (i) the fourth anniversary of the Closing, (ii) the date on which the Investor ceases to hold any Shares issued pursuant to this Subscription Agreement, or (iii) on the first date on which the Investor is able to sell all of its Shares issued pursuant to this Subscription Agreement (or shares received in exchange therefor) under Rule 144 of the Securities Act within 90 days without limitation as to the amount of such securities that may be sold and without the requirement for ARYA to be in compliance with the current public information required under Rule 144(c)(i) (or Rule 144(i)(2), if applicable). Notwithstanding the foregoing, if the Commission prevents the Company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 shall be reduced pro rata among all such selling stockholders. In no event shall the undersigned be identified as a statutory underwriter in the Registration Statement unless in response to a comment or request from the staff of the Commission or another regulatory agency; provided, however, that if the Commission requests that the undersigned be identified as a statutory underwriter in the Registration Statement, the undersigned will have an opportunity to withdraw from the Registration Statement. The Investor agrees to disclose its ownership to ARYA upon request to assist it in making the determination described above. For as long as the Registration Statement shall remain effective pursuant to this Section 7(a), ARYA will use commercially reasonably efforts to (1) qualify the Shares for listing on the Stock Exchange and (2) update or amend the Registration Statement as necessary to include the Shares. For as long as the Investor holds the Shares, ARYA will use commercially reasonable efforts to file all reports, and provide all customary and reasonable cooperation, necessary to enable the Investor to resell the Shares pursuant to the Registration Statement or Rule 144 of the Securities Act (when Rule 144 of the Securities Act becomes available to the Investor), as applicable. The Investor acknowledges and agrees that ARYA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that (i) ARYA shall not so suspend the use of a registration statement for a period of more than ninety (90) consecutive days or more than a total of one hundred and eighty (180) calendar days, in each case in any three hundred and sixty (360) day period and (ii) ARYA shall use commercially reasonably efforts to make such registration statement available for the sale by the undersigned of such securities as soon as practicable thereafter. ARYA’s obligations to include the Shares issued pursuant to this Subscription Agreement (or shares issued in exchange therefor) for resale in the Registration Statement are contingent upon the Investor furnishing in writing to ARYA such information regarding the Investor, the securities of ARYA held by the Investor and the intended method of disposition of such Shares, which shall be limited to non-underwritten public offerings, as shall be reasonably requested by ARYA to effect the registration of such Shares, and shall execute such documents in connection with such registration as ARYA may reasonably request that are customary of a selling stockholder in similar situations.</w:t>
      </w:r>
    </w:p>
    <w:p>
      <w:pPr>
        <w:spacing w:after="0" w:line="167" w:lineRule="exact"/>
        <w:rPr>
          <w:rFonts w:ascii="Times New Roman" w:cs="Times New Roman" w:eastAsia="Times New Roman" w:hAnsi="Times New Roman"/>
          <w:sz w:val="18"/>
          <w:szCs w:val="18"/>
          <w:color w:val="auto"/>
        </w:rPr>
      </w:pPr>
    </w:p>
    <w:p>
      <w:pPr>
        <w:jc w:val="both"/>
        <w:ind w:firstLine="1074"/>
        <w:spacing w:after="0" w:line="247" w:lineRule="auto"/>
        <w:tabs>
          <w:tab w:leader="none" w:pos="1687" w:val="left"/>
        </w:tabs>
        <w:numPr>
          <w:ilvl w:val="2"/>
          <w:numId w:val="14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At its expense, ARYA shall advise the Investor within two (2) Business Days: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ARYA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ARYA (which notice shall not contain any material non-public information regarding ARYA) of the happening any event contemplated in clauses (ii) through</w:t>
      </w:r>
    </w:p>
    <w:p>
      <w:pPr>
        <w:spacing w:after="0" w:line="6" w:lineRule="exact"/>
        <w:rPr>
          <w:rFonts w:ascii="Times New Roman" w:cs="Times New Roman" w:eastAsia="Times New Roman" w:hAnsi="Times New Roman"/>
          <w:sz w:val="17"/>
          <w:szCs w:val="17"/>
          <w:color w:val="010000"/>
        </w:rPr>
      </w:pPr>
    </w:p>
    <w:p>
      <w:pPr>
        <w:jc w:val="both"/>
        <w:spacing w:after="0" w:line="246" w:lineRule="auto"/>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(v) above during the period that the Registration Statement is effective or if as a result of the occurrence of such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ARYA agrees to promptly prepare) that corrects the misstatement(s) or omission(s) referred to above and receives notice that any post-effective amendment has become effective or unless otherwise notified by ARYA that it may resume such offers and sales, and (2) it will maintain the confidentiality of any information included in such written notice delivered by ARYA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ARYA shall use its commercially reasonable efforts to obtain the withdrawal of any order suspending the effectiveness of any Registration Statement as soon as reasonably practicable. Upon the occurrence of any event contemplated in clauses (ii) through (v) above, except for such times as ARYA is permitted hereunder to suspend, and has suspended, the use of a prospectus forming part of a Registration Statement, ARYA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7157085" cy="139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2" w:name="page143"/>
    <w:bookmarkEnd w:id="142"/>
    <w:p>
      <w:pPr>
        <w:ind w:left="566" w:hanging="566"/>
        <w:spacing w:after="0"/>
        <w:tabs>
          <w:tab w:leader="none" w:pos="566" w:val="left"/>
        </w:tabs>
        <w:numPr>
          <w:ilvl w:val="0"/>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Indemnification.</w:t>
      </w:r>
    </w:p>
    <w:p>
      <w:pPr>
        <w:spacing w:after="0" w:line="191" w:lineRule="exact"/>
        <w:rPr>
          <w:rFonts w:ascii="Times New Roman" w:cs="Times New Roman" w:eastAsia="Times New Roman" w:hAnsi="Times New Roman"/>
          <w:sz w:val="18"/>
          <w:szCs w:val="18"/>
          <w:color w:val="010000"/>
        </w:rPr>
      </w:pPr>
    </w:p>
    <w:p>
      <w:pPr>
        <w:jc w:val="both"/>
        <w:ind w:left="6" w:firstLine="526"/>
        <w:spacing w:after="0" w:line="236" w:lineRule="auto"/>
        <w:tabs>
          <w:tab w:leader="none" w:pos="1422" w:val="left"/>
        </w:tabs>
        <w:numPr>
          <w:ilvl w:val="1"/>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agrees to indemnify and hold harmless, to the extent permitted by law, the Investor, its directors, and officers, employees, and agents, and each person who controls the Investor (within the meaning of the Securities Act or the Exchange Act) from and against any and all losses, claims, damages, liabilities and expenses (including, without limitation, reasonable attorneys’ fees) caused by any untrue or alleged untrue statement of material fact contained in any Registration Statement, prospectus included in any Registration Statement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ARYA by or on behalf of the Investor expressly for use therein.</w:t>
      </w:r>
    </w:p>
    <w:p>
      <w:pPr>
        <w:spacing w:after="0" w:line="172" w:lineRule="exact"/>
        <w:rPr>
          <w:rFonts w:ascii="Times New Roman" w:cs="Times New Roman" w:eastAsia="Times New Roman" w:hAnsi="Times New Roman"/>
          <w:sz w:val="18"/>
          <w:szCs w:val="18"/>
          <w:color w:val="010000"/>
        </w:rPr>
      </w:pPr>
    </w:p>
    <w:p>
      <w:pPr>
        <w:jc w:val="both"/>
        <w:ind w:left="6" w:firstLine="526"/>
        <w:spacing w:after="0" w:line="235" w:lineRule="auto"/>
        <w:tabs>
          <w:tab w:leader="none" w:pos="1277" w:val="left"/>
        </w:tabs>
        <w:numPr>
          <w:ilvl w:val="1"/>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agrees, severally and not jointly with any other person that is a party to the Other Subscription Agreements, to indemnify and hold harmless ARYA, its directors and officers and agents and each person who controls ARYA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In no event shall the liability of the Investor be greater in amount than the dollar amount of the net proceeds received by such Investor upon the sale of the Shares purchased pursuant to this Subscription Agreement giving rise to such indemnification obligation.</w:t>
      </w:r>
    </w:p>
    <w:p>
      <w:pPr>
        <w:spacing w:after="0" w:line="172" w:lineRule="exact"/>
        <w:rPr>
          <w:rFonts w:ascii="Times New Roman" w:cs="Times New Roman" w:eastAsia="Times New Roman" w:hAnsi="Times New Roman"/>
          <w:sz w:val="18"/>
          <w:szCs w:val="18"/>
          <w:color w:val="010000"/>
        </w:rPr>
      </w:pPr>
    </w:p>
    <w:p>
      <w:pPr>
        <w:jc w:val="both"/>
        <w:ind w:left="6" w:firstLine="526"/>
        <w:spacing w:after="0" w:line="234" w:lineRule="auto"/>
        <w:tabs>
          <w:tab w:leader="none" w:pos="1247" w:val="left"/>
        </w:tabs>
        <w:numPr>
          <w:ilvl w:val="1"/>
          <w:numId w:val="14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216535</wp:posOffset>
            </wp:positionV>
            <wp:extent cx="7157085"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143" w:name="page144"/>
    <w:bookmarkEnd w:id="143"/>
    <w:p>
      <w:pPr>
        <w:jc w:val="both"/>
        <w:ind w:left="539" w:firstLine="526"/>
        <w:spacing w:after="0" w:line="245" w:lineRule="auto"/>
        <w:tabs>
          <w:tab w:leader="none" w:pos="1870" w:val="left"/>
        </w:tabs>
        <w:numPr>
          <w:ilvl w:val="1"/>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spacing w:after="0" w:line="163" w:lineRule="exact"/>
        <w:rPr>
          <w:rFonts w:ascii="Times New Roman" w:cs="Times New Roman" w:eastAsia="Times New Roman" w:hAnsi="Times New Roman"/>
          <w:sz w:val="18"/>
          <w:szCs w:val="18"/>
          <w:color w:val="010000"/>
        </w:rPr>
      </w:pPr>
    </w:p>
    <w:p>
      <w:pPr>
        <w:jc w:val="both"/>
        <w:ind w:left="539" w:firstLine="526"/>
        <w:spacing w:after="0" w:line="234" w:lineRule="auto"/>
        <w:tabs>
          <w:tab w:leader="none" w:pos="1897" w:val="left"/>
        </w:tabs>
        <w:numPr>
          <w:ilvl w:val="1"/>
          <w:numId w:val="1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indemnification provided under this Section 7(c)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7(c) from any person who was not guilty of such fraudulent misrepresentation. In no event shall the liability of the Investor pursuant to this Section 7(c)(v) be greater in amount than the dollar amount of the net proceeds received by such Investor upon the sale of the Shares purchased pursuant to this Subscription Agreement giving rise to such indemnification obligation, and such obligations of the Investor shall be several and not joint.</w:t>
      </w:r>
    </w:p>
    <w:p>
      <w:pPr>
        <w:spacing w:after="0" w:line="167" w:lineRule="exact"/>
        <w:rPr>
          <w:rFonts w:ascii="Times New Roman" w:cs="Times New Roman" w:eastAsia="Times New Roman" w:hAnsi="Times New Roman"/>
          <w:sz w:val="18"/>
          <w:szCs w:val="18"/>
          <w:color w:val="010000"/>
        </w:rPr>
      </w:pPr>
    </w:p>
    <w:p>
      <w:pPr>
        <w:jc w:val="both"/>
        <w:ind w:left="-541" w:firstLine="541"/>
        <w:spacing w:after="0" w:line="234" w:lineRule="auto"/>
        <w:tabs>
          <w:tab w:leader="none" w:pos="61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“Outside Date”), if the Closing has not occurred by the Outside Date (provided, that the right to terminate this Subscription Agreement pursuant to this clause (c) shall not be available to the Investor if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(the termination events described in clauses (a)–(c) above, collectively, the “Termination Events”); provided 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212725</wp:posOffset>
            </wp:positionV>
            <wp:extent cx="7157085"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44" w:name="page145"/>
    <w:bookmarkEnd w:id="144"/>
    <w:p>
      <w:pPr>
        <w:jc w:val="both"/>
        <w:ind w:left="-541" w:firstLine="541"/>
        <w:spacing w:after="0" w:line="233" w:lineRule="auto"/>
        <w:tabs>
          <w:tab w:leader="none" w:pos="65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“Final Prospectus”) available at www.sec.gov, substantially all of ARYA’s assets consist of the cash proceeds of ARYA’s initial public offering and private placement of its securities, and substantially all of those proceeds have been deposited in a trust account (the “Trust Account”)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 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spacing w:after="0" w:line="178" w:lineRule="exact"/>
        <w:rPr>
          <w:rFonts w:ascii="Times New Roman" w:cs="Times New Roman" w:eastAsia="Times New Roman" w:hAnsi="Times New Roman"/>
          <w:sz w:val="18"/>
          <w:szCs w:val="18"/>
          <w:color w:val="auto"/>
        </w:rPr>
      </w:pPr>
    </w:p>
    <w:p>
      <w:pPr>
        <w:ind w:left="659" w:hanging="659"/>
        <w:spacing w:after="0"/>
        <w:tabs>
          <w:tab w:leader="none" w:pos="6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541" w:firstLine="1074"/>
        <w:spacing w:after="0" w:line="260" w:lineRule="auto"/>
        <w:tabs>
          <w:tab w:leader="none" w:pos="1360"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w:t>
      </w:r>
    </w:p>
    <w:p>
      <w:pPr>
        <w:spacing w:after="0" w:line="150"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091"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36" w:lineRule="auto"/>
        <w:tabs>
          <w:tab w:leader="none" w:pos="1441"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w:t>
      </w:r>
    </w:p>
    <w:p>
      <w:pPr>
        <w:spacing w:after="0" w:line="172" w:lineRule="exact"/>
        <w:rPr>
          <w:rFonts w:ascii="Times New Roman" w:cs="Times New Roman" w:eastAsia="Times New Roman" w:hAnsi="Times New Roman"/>
          <w:sz w:val="18"/>
          <w:szCs w:val="18"/>
          <w:color w:val="010000"/>
        </w:rPr>
      </w:pPr>
    </w:p>
    <w:p>
      <w:pPr>
        <w:jc w:val="both"/>
        <w:ind w:left="-541" w:firstLine="1074"/>
        <w:spacing w:after="0" w:line="235" w:lineRule="auto"/>
        <w:tabs>
          <w:tab w:leader="none" w:pos="1201" w:val="left"/>
        </w:tabs>
        <w:numPr>
          <w:ilvl w:val="1"/>
          <w:numId w:val="1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213995</wp:posOffset>
            </wp:positionV>
            <wp:extent cx="7157085" cy="13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45" w:name="page146"/>
    <w:bookmarkEnd w:id="145"/>
    <w:p>
      <w:pPr>
        <w:jc w:val="both"/>
        <w:ind w:firstLine="1074"/>
        <w:spacing w:after="0" w:line="238" w:lineRule="auto"/>
        <w:tabs>
          <w:tab w:leader="none" w:pos="1748"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spacing w:after="0" w:line="170" w:lineRule="exact"/>
        <w:rPr>
          <w:rFonts w:ascii="Times New Roman" w:cs="Times New Roman" w:eastAsia="Times New Roman" w:hAnsi="Times New Roman"/>
          <w:sz w:val="18"/>
          <w:szCs w:val="18"/>
          <w:color w:val="010000"/>
        </w:rPr>
      </w:pPr>
    </w:p>
    <w:p>
      <w:pPr>
        <w:ind w:left="1780" w:hanging="706"/>
        <w:spacing w:after="0"/>
        <w:tabs>
          <w:tab w:leader="none" w:pos="1780"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w:t>
      </w:r>
    </w:p>
    <w:p>
      <w:pPr>
        <w:spacing w:after="0" w:line="12"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Closing.</w:t>
      </w:r>
    </w:p>
    <w:p>
      <w:pPr>
        <w:spacing w:after="0" w:line="17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95"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68"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18"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171" w:lineRule="exact"/>
        <w:rPr>
          <w:rFonts w:ascii="Times New Roman" w:cs="Times New Roman" w:eastAsia="Times New Roman" w:hAnsi="Times New Roman"/>
          <w:sz w:val="18"/>
          <w:szCs w:val="18"/>
          <w:color w:val="010000"/>
        </w:rPr>
      </w:pPr>
    </w:p>
    <w:p>
      <w:pPr>
        <w:jc w:val="both"/>
        <w:ind w:firstLine="1074"/>
        <w:spacing w:after="0" w:line="241" w:lineRule="auto"/>
        <w:tabs>
          <w:tab w:leader="none" w:pos="1665"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66"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91"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62" w:lineRule="exact"/>
        <w:rPr>
          <w:rFonts w:ascii="Times New Roman" w:cs="Times New Roman" w:eastAsia="Times New Roman" w:hAnsi="Times New Roman"/>
          <w:sz w:val="18"/>
          <w:szCs w:val="18"/>
          <w:color w:val="010000"/>
        </w:rPr>
      </w:pPr>
    </w:p>
    <w:p>
      <w:pPr>
        <w:jc w:val="both"/>
        <w:ind w:firstLine="1074"/>
        <w:spacing w:after="0" w:line="246" w:lineRule="auto"/>
        <w:tabs>
          <w:tab w:leader="none" w:pos="1733"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622" w:val="left"/>
        </w:tabs>
        <w:numPr>
          <w:ilvl w:val="0"/>
          <w:numId w:val="14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215900</wp:posOffset>
            </wp:positionV>
            <wp:extent cx="7157085"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6" w:name="page147"/>
    <w:bookmarkEnd w:id="146"/>
    <w:p>
      <w:pPr>
        <w:jc w:val="both"/>
        <w:ind w:firstLine="1074"/>
        <w:spacing w:after="0" w:line="238" w:lineRule="auto"/>
        <w:tabs>
          <w:tab w:leader="none" w:pos="1836" w:val="left"/>
        </w:tabs>
        <w:numPr>
          <w:ilvl w:val="0"/>
          <w:numId w:val="14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spacing w:after="0" w:line="170" w:lineRule="exact"/>
        <w:rPr>
          <w:rFonts w:ascii="Times New Roman" w:cs="Times New Roman" w:eastAsia="Times New Roman" w:hAnsi="Times New Roman"/>
          <w:sz w:val="18"/>
          <w:szCs w:val="18"/>
          <w:color w:val="010000"/>
        </w:rPr>
      </w:pPr>
    </w:p>
    <w:p>
      <w:pPr>
        <w:jc w:val="both"/>
        <w:ind w:firstLine="1074"/>
        <w:spacing w:after="0" w:line="247" w:lineRule="auto"/>
        <w:tabs>
          <w:tab w:leader="none" w:pos="1692" w:val="left"/>
        </w:tabs>
        <w:numPr>
          <w:ilvl w:val="0"/>
          <w:numId w:val="14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 (OR,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 OF THIS SUBSCRIPTION AGREEMENT OR IN SUCH OTHER MANNER AS MAY BE PERMITTED BY LAW SHALL BE VALID AND SUFFICIENT SERVICE THEREOF.</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213995</wp:posOffset>
            </wp:positionV>
            <wp:extent cx="7157085" cy="139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7" w:name="page148"/>
    <w:bookmarkEnd w:id="147"/>
    <w:p>
      <w:pPr>
        <w:jc w:val="both"/>
        <w:ind w:firstLine="541"/>
        <w:spacing w:after="0" w:line="233" w:lineRule="auto"/>
        <w:tabs>
          <w:tab w:leader="none" w:pos="14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xml:space="preserve"> 12. The Investor acknowledges that it is not relying upon, and has not relied upon,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 partner, member, manager, direct or indirect equityholder or affiliate of ARYA, the Company, any Placement Agent or any of ARYA’s, the Company’s or any Placement Agent’s controlled affiliates or any family member of the foregoing.</w:t>
      </w:r>
    </w:p>
    <w:p>
      <w:pPr>
        <w:spacing w:after="0" w:line="176" w:lineRule="exact"/>
        <w:rPr>
          <w:sz w:val="20"/>
          <w:szCs w:val="20"/>
          <w:color w:val="auto"/>
        </w:rPr>
      </w:pPr>
    </w:p>
    <w:p>
      <w:pPr>
        <w:jc w:val="both"/>
        <w:ind w:firstLine="541"/>
        <w:spacing w:after="0" w:line="234" w:lineRule="auto"/>
        <w:tabs>
          <w:tab w:leader="none" w:pos="149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ARYA shall, by 9:00 a.m., New York City time, on the first (1st) business day immediately following the date of this Subscription Agreement, issue one or more press releases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all material terms of the transactions contemplated hereby and by the Other Subscription Agreements, the Transaction and any other material, nonpublic information that ARYA has provided to the Investor at any time prior to the filing of the Disclosure Document. Upon the issuance of the Disclosure Document, to the actual knowledge of ARYA, the Investor shall not be in possession of any material, non-public information received from ARYA or any of its officers, directors, or employees or agents, and the Investor shall no longer be subject to any confidentiality or similar obligations under any current agreement, whether written or oral with ARYA or any of its affiliates, relating to the transactions contemplated by this Subscription Agreement. Notwithstanding anything in this Subscription Agreement to the contrary, ARYA shall not (i) publicly disclose the name of the Investor or any of its affiliates or advisers or include the name of the Investor or any of its affiliates or advisers in any press release without the prior written consent of the Investor except as required by the federal securities law or pursuant to other routine proceedings of regulatory authorities, or to the extent such disclosure is required by law, at the request of the staff of the SEC or regulatory agency or under the regulations of the Stock Exchange, in which case ARYA will provide Investor with prior written notice (including by e-mail) of such disclosure under this clause (i), or (ii) to the extent such announcements or other communications contain only information previously disclosed in a public statement, press release or other communication that was approved by the Investor in accordance with this Section 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229235</wp:posOffset>
            </wp:positionV>
            <wp:extent cx="7157085"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8" w:name="page149"/>
    <w:bookmarkEnd w:id="148"/>
    <w:p>
      <w:pPr>
        <w:ind w:firstLine="532"/>
        <w:spacing w:after="0" w:line="264"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set forth below.</w:t>
      </w:r>
    </w:p>
    <w:p>
      <w:pPr>
        <w:sectPr>
          <w:pgSz w:w="11900" w:h="16838" w:orient="portrait"/>
          <w:cols w:equalWidth="0" w:num="1">
            <w:col w:w="11280"/>
          </w:cols>
          <w:pgMar w:left="300" w:top="114" w:right="31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Investor: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State/Country of Formation or Domicile:</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By: __________________________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__________________________</w:t>
      </w:r>
    </w:p>
    <w:p>
      <w:pPr>
        <w:sectPr>
          <w:pgSz w:w="11900" w:h="16838" w:orient="portrait"/>
          <w:cols w:equalWidth="0" w:num="1">
            <w:col w:w="11280"/>
          </w:cols>
          <w:pgMar w:left="300" w:top="114" w:right="31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in which Shares are to be registered (if different):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________, 2021</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Investor’s EIN:</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Business Address-Street: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__________________________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Mailing Address-Street (if different):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__________________________</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182"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Number of Shares subscribed for:</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Aggregate Subscription Amount: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 Per Share: $10.00</w:t>
      </w:r>
    </w:p>
    <w:p>
      <w:pPr>
        <w:spacing w:after="0" w:line="186"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ARYA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7157085" cy="13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type w:val="continuous"/>
        </w:sectPr>
      </w:pPr>
    </w:p>
    <w:bookmarkStart w:id="149" w:name="page150"/>
    <w:bookmarkEnd w:id="149"/>
    <w:p>
      <w:pPr>
        <w:ind w:left="540"/>
        <w:spacing w:after="0"/>
        <w:rPr>
          <w:sz w:val="20"/>
          <w:szCs w:val="20"/>
          <w:color w:val="auto"/>
        </w:rPr>
      </w:pPr>
      <w:r>
        <w:rPr>
          <w:rFonts w:ascii="Times New Roman" w:cs="Times New Roman" w:eastAsia="Times New Roman" w:hAnsi="Times New Roman"/>
          <w:sz w:val="18"/>
          <w:szCs w:val="18"/>
          <w:color w:val="auto"/>
        </w:rPr>
        <w:t>IN WITNESS WHEREOF, ARYA has accepted this Subscription Agreement as of the date set forth below.</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ARYA SCIENCES ACQUISITION CORP III</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4084320</wp:posOffset>
            </wp:positionH>
            <wp:positionV relativeFrom="paragraph">
              <wp:posOffset>12700</wp:posOffset>
            </wp:positionV>
            <wp:extent cx="3078480"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078480" cy="1397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Name:</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227965</wp:posOffset>
            </wp:positionV>
            <wp:extent cx="7157085" cy="13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03" w:lineRule="exact"/>
        <w:rPr>
          <w:sz w:val="20"/>
          <w:szCs w:val="20"/>
          <w:color w:val="auto"/>
        </w:rPr>
      </w:pPr>
    </w:p>
    <w:p>
      <w:pPr>
        <w:ind w:left="460" w:right="7760" w:hanging="451"/>
        <w:spacing w:after="0" w:line="543" w:lineRule="auto"/>
        <w:tabs>
          <w:tab w:leader="none" w:pos="4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INSTITUTIONAL BUYER STATUS (Please check the applicable subparagraphs):</w:t>
      </w:r>
    </w:p>
    <w:p>
      <w:pPr>
        <w:spacing w:after="0" w:line="28" w:lineRule="exact"/>
        <w:rPr>
          <w:rFonts w:ascii="Times New Roman" w:cs="Times New Roman" w:eastAsia="Times New Roman" w:hAnsi="Times New Roman"/>
          <w:sz w:val="14"/>
          <w:szCs w:val="14"/>
          <w:color w:val="auto"/>
        </w:rPr>
      </w:pPr>
    </w:p>
    <w:p>
      <w:pPr>
        <w:ind w:left="620" w:hanging="249"/>
        <w:spacing w:after="0"/>
        <w:tabs>
          <w:tab w:leader="none" w:pos="620" w:val="left"/>
        </w:tabs>
        <w:numPr>
          <w:ilvl w:val="1"/>
          <w:numId w:val="1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00" w:lineRule="exact"/>
        <w:rPr>
          <w:rFonts w:ascii="MS PGothic" w:cs="MS PGothic" w:eastAsia="MS PGothic" w:hAnsi="MS PGothic"/>
          <w:sz w:val="18"/>
          <w:szCs w:val="18"/>
          <w:color w:val="auto"/>
        </w:rPr>
      </w:pPr>
    </w:p>
    <w:p>
      <w:pPr>
        <w:ind w:left="460" w:right="7380" w:hanging="451"/>
        <w:spacing w:after="0" w:line="454" w:lineRule="auto"/>
        <w:tabs>
          <w:tab w:leader="none" w:pos="46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INSTITUTIONAL ACCREDITED INVESTOR STATUS (Please check the applicable subparagraphs):</w:t>
      </w:r>
    </w:p>
    <w:p>
      <w:pPr>
        <w:ind w:left="920" w:right="140" w:hanging="456"/>
        <w:spacing w:after="0" w:line="190" w:lineRule="exact"/>
        <w:tabs>
          <w:tab w:leader="none" w:pos="920" w:val="left"/>
        </w:tabs>
        <w:numPr>
          <w:ilvl w:val="2"/>
          <w:numId w:val="150"/>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85" w:lineRule="exact"/>
        <w:rPr>
          <w:rFonts w:ascii="Times New Roman" w:cs="Times New Roman" w:eastAsia="Times New Roman" w:hAnsi="Times New Roman"/>
          <w:sz w:val="15"/>
          <w:szCs w:val="15"/>
          <w:color w:val="auto"/>
        </w:rPr>
      </w:pPr>
    </w:p>
    <w:p>
      <w:pPr>
        <w:ind w:left="920" w:hanging="456"/>
        <w:spacing w:after="0" w:line="173" w:lineRule="exact"/>
        <w:tabs>
          <w:tab w:leader="none" w:pos="920" w:val="left"/>
        </w:tabs>
        <w:numPr>
          <w:ilvl w:val="2"/>
          <w:numId w:val="150"/>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not a natural person</w:t>
      </w:r>
    </w:p>
    <w:p>
      <w:pPr>
        <w:spacing w:after="0" w:line="14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78" w:lineRule="exact"/>
        <w:rPr>
          <w:sz w:val="20"/>
          <w:szCs w:val="20"/>
          <w:color w:val="auto"/>
        </w:rPr>
      </w:pPr>
    </w:p>
    <w:p>
      <w:pPr>
        <w:ind w:left="380" w:right="620" w:hanging="9"/>
        <w:spacing w:after="0" w:line="260" w:lineRule="auto"/>
        <w:tabs>
          <w:tab w:leader="none" w:pos="614"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380" w:right="220" w:hanging="9"/>
        <w:spacing w:after="0" w:line="260" w:lineRule="auto"/>
        <w:tabs>
          <w:tab w:leader="none" w:pos="614"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380" w:right="740" w:hanging="9"/>
        <w:spacing w:after="0" w:line="260" w:lineRule="auto"/>
        <w:tabs>
          <w:tab w:leader="none" w:pos="614"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380" w:right="500" w:hanging="9"/>
        <w:spacing w:after="0" w:line="260" w:lineRule="auto"/>
        <w:tabs>
          <w:tab w:leader="none" w:pos="614"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600" w:hanging="229"/>
        <w:spacing w:after="0"/>
        <w:tabs>
          <w:tab w:leader="none" w:pos="600"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203" w:lineRule="exact"/>
        <w:rPr>
          <w:rFonts w:ascii="MS PGothic" w:cs="MS PGothic" w:eastAsia="MS PGothic" w:hAnsi="MS PGothic"/>
          <w:sz w:val="18"/>
          <w:szCs w:val="18"/>
          <w:color w:val="auto"/>
        </w:rPr>
      </w:pPr>
    </w:p>
    <w:p>
      <w:pPr>
        <w:ind w:left="600" w:hanging="229"/>
        <w:spacing w:after="0"/>
        <w:tabs>
          <w:tab w:leader="none" w:pos="600" w:val="left"/>
        </w:tabs>
        <w:numPr>
          <w:ilvl w:val="0"/>
          <w:numId w:val="1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215265</wp:posOffset>
            </wp:positionV>
            <wp:extent cx="7157085"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FINAL FORM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TRANSACTION SUPPORT AGREEMENT</w:t>
      </w:r>
    </w:p>
    <w:p>
      <w:pPr>
        <w:spacing w:after="0" w:line="192" w:lineRule="exact"/>
        <w:rPr>
          <w:sz w:val="20"/>
          <w:szCs w:val="20"/>
          <w:color w:val="auto"/>
        </w:rPr>
      </w:pPr>
    </w:p>
    <w:p>
      <w:pPr>
        <w:jc w:val="both"/>
        <w:ind w:firstLine="622"/>
        <w:spacing w:after="0" w:line="24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TRANSACTION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February [●], 2021, by and among ARYA Sciences Acquisition Corp III, a Cayman Islands exempted company (“</w:t>
      </w:r>
      <w:r>
        <w:rPr>
          <w:rFonts w:ascii="Times New Roman" w:cs="Times New Roman" w:eastAsia="Times New Roman" w:hAnsi="Times New Roman"/>
          <w:sz w:val="18"/>
          <w:szCs w:val="18"/>
          <w:u w:val="single" w:color="auto"/>
          <w:color w:val="auto"/>
        </w:rPr>
        <w:t>ARYA</w:t>
      </w:r>
      <w:r>
        <w:rPr>
          <w:rFonts w:ascii="Times New Roman" w:cs="Times New Roman" w:eastAsia="Times New Roman" w:hAnsi="Times New Roman"/>
          <w:sz w:val="18"/>
          <w:szCs w:val="18"/>
          <w:color w:val="auto"/>
        </w:rPr>
        <w:t>”), and [●], a [●] (the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Each of ARYA and the Shareholder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them in the Business Combination Agreement (defined below).</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92"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February 7, 2021, ARYA, Mako Merger Sub, Inc., a Delaware corporation and wholly owned subsidiary of ARYA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Nautilus Biotechnology,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that certain Business Combination Agreement (as amended or modified from time to time in accordance with its terms,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ARYA, and each Company Share (including the Subject Company Shares (as defined below)) will be converted into the right to receive ARYA Shares, in each case, on the terms and subject to the conditions set forth in the Business Combination Agreement;</w:t>
      </w:r>
    </w:p>
    <w:p>
      <w:pPr>
        <w:spacing w:after="0" w:line="166"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Shareholder is the record and beneficial owner of the number and class or series (as applicable) of issued and outstanding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 together with any other Company Shares that the Shareholder acquires record and beneficial ownership after the date hereof, collectively, the “</w:t>
      </w:r>
      <w:r>
        <w:rPr>
          <w:rFonts w:ascii="Times New Roman" w:cs="Times New Roman" w:eastAsia="Times New Roman" w:hAnsi="Times New Roman"/>
          <w:sz w:val="18"/>
          <w:szCs w:val="18"/>
          <w:u w:val="single" w:color="auto"/>
          <w:color w:val="auto"/>
        </w:rPr>
        <w:t>Subject Company Shares</w:t>
      </w:r>
      <w:r>
        <w:rPr>
          <w:rFonts w:ascii="Times New Roman" w:cs="Times New Roman" w:eastAsia="Times New Roman" w:hAnsi="Times New Roman"/>
          <w:sz w:val="18"/>
          <w:szCs w:val="18"/>
          <w:color w:val="auto"/>
        </w:rPr>
        <w:t>”); and</w:t>
      </w:r>
    </w:p>
    <w:p>
      <w:pPr>
        <w:spacing w:after="0" w:line="160" w:lineRule="exact"/>
        <w:rPr>
          <w:sz w:val="20"/>
          <w:szCs w:val="20"/>
          <w:color w:val="auto"/>
        </w:rPr>
      </w:pPr>
    </w:p>
    <w:p>
      <w:pPr>
        <w:jc w:val="both"/>
        <w:ind w:firstLine="532"/>
        <w:spacing w:after="0" w:line="26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consideration for the benefits to be received by the Shareholder under the terms of the Business Combination Agreement and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inducement to ARYA and the other ARYA Parties agreeing to enter into and consummate the transactions contemplated by the Business Combination Agreement, the Shareholder agrees to enter into this Agreement and to be bound by the agreements, covenants and obligations contained in this Agreement.</w:t>
      </w:r>
    </w:p>
    <w:p>
      <w:pPr>
        <w:spacing w:after="0" w:line="144"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each intending to be legally bound, hereby agree as follows: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94" w:lineRule="exact"/>
        <w:rPr>
          <w:sz w:val="20"/>
          <w:szCs w:val="20"/>
          <w:color w:val="auto"/>
        </w:rPr>
      </w:pPr>
    </w:p>
    <w:p>
      <w:pPr>
        <w:ind w:left="1260" w:hanging="719"/>
        <w:spacing w:after="0"/>
        <w:tabs>
          <w:tab w:leader="none" w:pos="12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Shareholder Consent and Related Matters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41"/>
        <w:spacing w:after="0" w:line="233" w:lineRule="auto"/>
        <w:tabs>
          <w:tab w:leader="none" w:pos="13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reasonably practicable (and in any event within five (5) Business Days) following the date on which the Registration Statement / Proxy Statement is declared effective under the Securities Act, the Shareholder, in its, his or her capacity as a stockholder of the Company, shall duly execute and deliver to the Company and ARYA the Company Shareholder Written Consent under which it, he, or she shall irrevocably and unconditionally consent with respect to the Subject Company Shares to the adoption and approval of the Business Combination Agreement and the transactions contemplated thereby (including the Merger). Without limiting the generality of the foregoing, prior to the Closing the Shareholder shall vote (or cause to be voted) the Subject Company Shares in favor of and/or consent to any such other matters, actions or proposals necessary or reasonably requested by the Company or ARYA for consummation of the Merger or the other transactions contemplated by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in this Agreement shall preclude the Shareholder from exercising full power and authority to vote the Subject Company Shares in Shareholder’s sole discretion for or against, and the proxy granted pursuant to this Agreement shall not cover, any proposal submitted to a vote of the stockholders of the Company (1) that decreases the amount or changes the form of the consideration payable to Shareholder or (2) that imposes any material restrictions or additional conditions on the consummation of the Merger or the payment of the ARYA Shares to the Shareholder, in the case of either clause (1) or (2), not contemplated by the Business Combination Agreement or the Ancillary Documents (clauses (1) and (2), collectively, the “</w:t>
      </w:r>
      <w:r>
        <w:rPr>
          <w:rFonts w:ascii="Times New Roman" w:cs="Times New Roman" w:eastAsia="Times New Roman" w:hAnsi="Times New Roman"/>
          <w:sz w:val="18"/>
          <w:szCs w:val="18"/>
          <w:u w:val="single" w:color="auto"/>
          <w:color w:val="auto"/>
        </w:rPr>
        <w:t>Excluded Voting Matters</w:t>
      </w:r>
      <w:r>
        <w:rPr>
          <w:rFonts w:ascii="Times New Roman" w:cs="Times New Roman" w:eastAsia="Times New Roman" w:hAnsi="Times New Roman"/>
          <w:sz w:val="18"/>
          <w:szCs w:val="18"/>
          <w:color w:val="auto"/>
        </w:rPr>
        <w:t>”). Without limiting the generality of the foregoing, prior to the Closing, the Shareholder shall vote (or cause to be voted) the Subject Company Shares against and withhold consent with respect to (A) any Company Acquisition Proposal or (B) any other matter, action or proposal that would reasonably be expected to result in (x) a breach of any of the Company’s covenants, agreements or obligations under the Business Combination Agreement or (y) any of the conditions to the Closing set forth in Sections 6.1 or 6.2 of the Business Combination Agreement not being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219710</wp:posOffset>
            </wp:positionV>
            <wp:extent cx="7157085"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52" w:name="page153"/>
    <w:bookmarkEnd w:id="152"/>
    <w:p>
      <w:pPr>
        <w:jc w:val="both"/>
        <w:ind w:left="-541" w:firstLine="1074"/>
        <w:spacing w:after="0" w:line="251" w:lineRule="auto"/>
        <w:tabs>
          <w:tab w:leader="none" w:pos="1227"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any other rights or remedies of ARYA, the Shareholder hereby irrevocably appoints ARYA or any officer of ARYA designated by ARYA as the Shareholder’s agent, attorney-in-fact and proxy (with full power of substitution and resubstitution), for and in the name, place and stead of the Shareholder, (i) to attend on behalf of the Shareholder any meeting of the Company Shareholders with respect to the matters described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1(a)</w:t>
      </w:r>
      <w:r>
        <w:rPr>
          <w:rFonts w:ascii="Times New Roman" w:cs="Times New Roman" w:eastAsia="Times New Roman" w:hAnsi="Times New Roman"/>
          <w:sz w:val="17"/>
          <w:szCs w:val="17"/>
          <w:color w:val="auto"/>
        </w:rPr>
        <w:t xml:space="preserve">, (ii) to include the Subject Company Shares in any computation for purposes of establishing a quorum at any such meeting of the Company Shareholders and (iii) to vote (or cause to be voted), or deliver a written consent (or withhold consent) with respect to, the Subject Company Shares on the matters specified in, and in accordance and consistent with (and for the avoidance of doubt excluding the Excluded Voting Matters),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xml:space="preserve"> in connection with any meeting of the Company Shareholders or any action by written consent by the Company Shareholders (including the Company Shareholder Written Consent), in each case, in the event that the Shareholder fails to perform or otherwise comply with the covenants, agreements or obligations set forth in </w:t>
      </w:r>
      <w:r>
        <w:rPr>
          <w:rFonts w:ascii="Times New Roman" w:cs="Times New Roman" w:eastAsia="Times New Roman" w:hAnsi="Times New Roman"/>
          <w:sz w:val="17"/>
          <w:szCs w:val="17"/>
          <w:u w:val="single" w:color="auto"/>
          <w:color w:val="auto"/>
        </w:rPr>
        <w:t>Section 1(a).</w:t>
      </w:r>
    </w:p>
    <w:p>
      <w:pPr>
        <w:spacing w:after="0" w:line="160" w:lineRule="exact"/>
        <w:rPr>
          <w:rFonts w:ascii="Times New Roman" w:cs="Times New Roman" w:eastAsia="Times New Roman" w:hAnsi="Times New Roman"/>
          <w:sz w:val="17"/>
          <w:szCs w:val="17"/>
          <w:color w:val="auto"/>
        </w:rPr>
      </w:pPr>
    </w:p>
    <w:p>
      <w:pPr>
        <w:jc w:val="both"/>
        <w:ind w:left="-541" w:firstLine="1074"/>
        <w:spacing w:after="0" w:line="234" w:lineRule="auto"/>
        <w:tabs>
          <w:tab w:leader="none" w:pos="122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the Shareholder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ARYA entering into the Business Combination Agreement and agreeing to consummate the transactions contemplated thereby. The proxy granted by the Shareholder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the Shareholder and shall revoke any and all prior proxies granted by the Shareholder with respect to the Subject Company Shares, other than that certain proxy in Section 3.4 of the Amended and Restated Voting Agreement, dated as of April 8, 2020, by and among the Company and certain stockholders party thereto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xml:space="preserve">”) that is applicable to a “Change of Control Transaction” (as defined therein) and not, for the avoidance of doubt, the transactions contemplated by the Business Combination Agreement or the Ancillary Documents.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Shares and a vote or consent by the Shareholder of the Subject Company Shares (or any other Person with the power to vote or provide consent with respect to the Subject Company Shares)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for those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541" w:firstLine="541"/>
        <w:spacing w:after="0" w:line="239" w:lineRule="auto"/>
        <w:tabs>
          <w:tab w:leader="none" w:pos="66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agrees that he, she or it shall (i) be bound by and subject to (A) Sections 5.3(a) (Confidentiality and Access to Information) and 5.4(a) (Public Announcements) of the Business Combination Agreement to the same extent as such provisions apply to the parties to the Business Combination Agreement, as if the Shareholder is directly party thereto, and (B) Section 8.18 (Trust Account Waiver) of the Business Combination Agreement to the same extent as such provisions apply to the Company, as if the Shareholder is directly party thereto and (ii) not, directly or indirectly, take any action that the Company is prohibited from taking pursuant to Section 5.6(a) of the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212090</wp:posOffset>
            </wp:positionV>
            <wp:extent cx="7157085" cy="13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53" w:name="page154"/>
    <w:bookmarkEnd w:id="153"/>
    <w:p>
      <w:pPr>
        <w:jc w:val="both"/>
        <w:ind w:left="-541" w:firstLine="541"/>
        <w:spacing w:after="0" w:line="256" w:lineRule="auto"/>
        <w:tabs>
          <w:tab w:leader="none" w:pos="669"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 acknowledges and agrees that ARYA and the other ARYA Parties are entering into the Business Combination Agreement in reliance upon the Shareholder entering into this Agreement and agreeing to be bound by, and perform, or otherwise comply with, as applicable, the agreements, covenants and obligations contained in this Agreement and but for the Shareholder entering into this Agreement and agreeing to be bound by, and perform, or otherwise comply with, as applicable, the agreements, covenants and obligations contained in this Agreement, ARYA and the other ARYA Parties would not have entered into or agreed to consummate the transactions contemplated by the Business Combination Agreement or the Ancillary Documents.</w:t>
      </w:r>
    </w:p>
    <w:p>
      <w:pPr>
        <w:spacing w:after="0" w:line="155" w:lineRule="exact"/>
        <w:rPr>
          <w:sz w:val="20"/>
          <w:szCs w:val="20"/>
          <w:color w:val="auto"/>
        </w:rPr>
      </w:pPr>
    </w:p>
    <w:p>
      <w:pPr>
        <w:ind w:left="579" w:hanging="579"/>
        <w:spacing w:after="0"/>
        <w:tabs>
          <w:tab w:leader="none" w:pos="57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Representations and Warranties</w:t>
      </w:r>
      <w:r>
        <w:rPr>
          <w:rFonts w:ascii="Times New Roman" w:cs="Times New Roman" w:eastAsia="Times New Roman" w:hAnsi="Times New Roman"/>
          <w:sz w:val="18"/>
          <w:szCs w:val="18"/>
          <w:color w:val="auto"/>
        </w:rPr>
        <w:t>. The Shareholder represents and warrants to ARYA as follows:</w:t>
      </w:r>
    </w:p>
    <w:p>
      <w:pPr>
        <w:spacing w:after="0" w:line="192" w:lineRule="exact"/>
        <w:rPr>
          <w:sz w:val="20"/>
          <w:szCs w:val="20"/>
          <w:color w:val="auto"/>
        </w:rPr>
      </w:pPr>
    </w:p>
    <w:p>
      <w:pPr>
        <w:jc w:val="both"/>
        <w:ind w:left="-541" w:firstLine="541"/>
        <w:spacing w:after="0" w:line="246" w:lineRule="auto"/>
        <w:tabs>
          <w:tab w:leader="none" w:pos="6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Shareholder is an entity, the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62" w:lineRule="exact"/>
        <w:rPr>
          <w:rFonts w:ascii="Times New Roman" w:cs="Times New Roman" w:eastAsia="Times New Roman" w:hAnsi="Times New Roman"/>
          <w:sz w:val="18"/>
          <w:szCs w:val="18"/>
          <w:color w:val="auto"/>
        </w:rPr>
      </w:pPr>
    </w:p>
    <w:p>
      <w:pPr>
        <w:jc w:val="both"/>
        <w:ind w:left="-541" w:firstLine="541"/>
        <w:spacing w:after="0" w:line="236" w:lineRule="auto"/>
        <w:tabs>
          <w:tab w:leader="none" w:pos="84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has the requisite corporate, limited liability company or other similar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similar) action on the part of the Shareholder. This Agreement has been duly and validly executed and delivered by the Shareholder and constitutes a valid, legal and binding agreement of the Shareholder (assuming that this Agreement is duly authorized, executed and delivered by ARYA), enforceable against the Shareholder in accordance with its terms (subject to applicable bankruptcy, insolvency, reorganization, moratorium or other Laws affecting generally the enforcement of creditors’ rights and subject to general principles of equity).</w:t>
      </w:r>
    </w:p>
    <w:p>
      <w:pPr>
        <w:spacing w:after="0" w:line="168" w:lineRule="exact"/>
        <w:rPr>
          <w:rFonts w:ascii="Times New Roman" w:cs="Times New Roman" w:eastAsia="Times New Roman" w:hAnsi="Times New Roman"/>
          <w:sz w:val="18"/>
          <w:szCs w:val="18"/>
          <w:color w:val="auto"/>
        </w:rPr>
      </w:pPr>
    </w:p>
    <w:p>
      <w:pPr>
        <w:jc w:val="both"/>
        <w:ind w:left="-541" w:firstLine="541"/>
        <w:spacing w:after="0" w:line="237" w:lineRule="auto"/>
        <w:tabs>
          <w:tab w:leader="none" w:pos="73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the Shareholder to perform, or otherwise comply with, any of his, her or its covenants, agreements or obligations hereunder in any material respect.</w:t>
      </w:r>
    </w:p>
    <w:p>
      <w:pPr>
        <w:spacing w:after="0" w:line="171" w:lineRule="exact"/>
        <w:rPr>
          <w:rFonts w:ascii="Times New Roman" w:cs="Times New Roman" w:eastAsia="Times New Roman" w:hAnsi="Times New Roman"/>
          <w:sz w:val="18"/>
          <w:szCs w:val="18"/>
          <w:color w:val="auto"/>
        </w:rPr>
      </w:pPr>
    </w:p>
    <w:p>
      <w:pPr>
        <w:jc w:val="both"/>
        <w:ind w:left="-541" w:firstLine="541"/>
        <w:spacing w:after="0" w:line="235" w:lineRule="auto"/>
        <w:tabs>
          <w:tab w:leader="none" w:pos="85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or delivery of this Agreement by the Shareholder, the performance by the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to the extent Shareholder is in an entity,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result in the creation of any Lien upon the Subject Company Shares,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as would not adversely affect the ability of the Shareholder to perform, or otherwise comply with, any of his, her or its covenants, agreements or obligations hereunder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213995</wp:posOffset>
            </wp:positionV>
            <wp:extent cx="7157085"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54" w:name="page155"/>
    <w:bookmarkEnd w:id="154"/>
    <w:p>
      <w:pPr>
        <w:jc w:val="both"/>
        <w:ind w:left="-541" w:firstLine="541"/>
        <w:spacing w:after="0" w:line="234" w:lineRule="auto"/>
        <w:tabs>
          <w:tab w:leader="none" w:pos="68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Shareholder is the record and beneficial owner of the Owned Shares and has valid, good and marketable title to the Owned Shares, free and clear of all Liens (other than transfer restrictions under applicable Securities Law or under the Company Shareholders Agreement). Except for the Equity Securities of the Company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together with any other Equity Securities of the Company that the Shareholder acquires record or beneficial ownership after the date hereof that is either permitted pursuant to or acquired in accordance with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of the Business Combination Agreement, the Shareholder does not own, beneficially or of record, any Equity Securities of any Group Company or have the right to acquire any Equity Securities of any Group Company. Except as contemplated in Section 3.4 of the Voting Agreement with respect to a “Change of Control Transaction” (as defined therein), which does not, for the avoidance of doubt, apply to the transactions contemplated by the Business Combination Agreement or the Ancillary Documents, the Shareholder has the sole right to vote (and provide consent in respect of, as applicable) the Owned Shares and, except for this Agreement, the Business Combination Agreement and the Company Shareholders Agreement, the Shareholder is not party to or bound by (i) any option, warrant, purchase right, or other Contract that could (either alone or in connection with one or more events, developments or events (including the satisfaction or waiver of any conditions precedent)) require the Shareholder to Transfer any of the Subject Company Shares or (ii) any voting trust, proxy or other Contract with respect to the voting or Transfer of any of the Subject Company Shares that would adversely affect the ability of the Shareholder to perform, or otherwise comply with, any of his, her or its covenants, agreements or obligations hereunder in any material respect.</w:t>
      </w:r>
    </w:p>
    <w:p>
      <w:pPr>
        <w:spacing w:after="0" w:line="171" w:lineRule="exact"/>
        <w:rPr>
          <w:rFonts w:ascii="Times New Roman" w:cs="Times New Roman" w:eastAsia="Times New Roman" w:hAnsi="Times New Roman"/>
          <w:sz w:val="18"/>
          <w:szCs w:val="18"/>
          <w:color w:val="auto"/>
        </w:rPr>
      </w:pPr>
    </w:p>
    <w:p>
      <w:pPr>
        <w:jc w:val="both"/>
        <w:ind w:left="-541" w:firstLine="541"/>
        <w:spacing w:after="0" w:line="246" w:lineRule="auto"/>
        <w:tabs>
          <w:tab w:leader="none" w:pos="6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Shareholder’s knowledge, threatened in writing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spacing w:after="0" w:line="162" w:lineRule="exact"/>
        <w:rPr>
          <w:rFonts w:ascii="Times New Roman" w:cs="Times New Roman" w:eastAsia="Times New Roman" w:hAnsi="Times New Roman"/>
          <w:sz w:val="18"/>
          <w:szCs w:val="18"/>
          <w:color w:val="auto"/>
        </w:rPr>
      </w:pPr>
    </w:p>
    <w:p>
      <w:pPr>
        <w:jc w:val="both"/>
        <w:ind w:left="-541" w:firstLine="541"/>
        <w:spacing w:after="0" w:line="236" w:lineRule="auto"/>
        <w:tabs>
          <w:tab w:leader="none" w:pos="67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ARYA Parties and the transactions contemplated by this Agreement, the Business Combination Agreement and the other Ancillary Documents to which he, she or it is or will be a party and (ii) he, she or it has been furnished with or given access to such documents and information about the ARYA Parties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72" w:lineRule="exact"/>
        <w:rPr>
          <w:rFonts w:ascii="Times New Roman" w:cs="Times New Roman" w:eastAsia="Times New Roman" w:hAnsi="Times New Roman"/>
          <w:sz w:val="18"/>
          <w:szCs w:val="18"/>
          <w:color w:val="auto"/>
        </w:rPr>
      </w:pPr>
    </w:p>
    <w:p>
      <w:pPr>
        <w:jc w:val="both"/>
        <w:ind w:left="-541" w:firstLine="541"/>
        <w:spacing w:after="0" w:line="251" w:lineRule="auto"/>
        <w:tabs>
          <w:tab w:leader="none" w:pos="76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entering into this Agreement and the other Ancillary Documents to which he, she or it is or will be a party, the Shareholder has relied solely on his, her or its own investigation and analysis and the representations and warranties expressly set forth in the Ancillary Documents to which he, she or it is or will be a party and no other representations or warranties of any ARYA Party (including, for the avoidance of doubt, none of the representations or warranties of any ARYA Party set forth in the Business Combination Agreement or any other Ancillary Document) or any other Person, either express or implied, and the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ARYA Parties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208915</wp:posOffset>
            </wp:positionV>
            <wp:extent cx="7157085"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55" w:name="page156"/>
    <w:bookmarkEnd w:id="155"/>
    <w:p>
      <w:pPr>
        <w:jc w:val="both"/>
        <w:ind w:firstLine="541"/>
        <w:spacing w:after="0" w:line="248" w:lineRule="auto"/>
        <w:tabs>
          <w:tab w:leader="none" w:pos="1209"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Subject Company Shares</w:t>
      </w:r>
      <w:r>
        <w:rPr>
          <w:rFonts w:ascii="Times New Roman" w:cs="Times New Roman" w:eastAsia="Times New Roman" w:hAnsi="Times New Roman"/>
          <w:sz w:val="17"/>
          <w:szCs w:val="17"/>
          <w:color w:val="auto"/>
        </w:rPr>
        <w:t xml:space="preserve">. Except as expressly contemplated by the Business Combination Agreement or with the prior written consent of ARYA (such consent to be given or withheld in its sole discretion), from and after the date hereof, the Shareholder agrees not to (a) Transfer any of the Subject Company Shares, (b) enter into (i) any option, warrant, purchase right, or other Contract that could (either alone or in connection with one or more events, developments or events (including the satisfaction or waiver of any conditions precedent)) require the Shareholder to Transfer the Subject Company Shares or (ii) any voting trust, proxy or other Contract with respect to the voting or Transfer of the Subject Company Shares, or (c) enter into any Contract to take, or cause to be taken, any of the actions set forth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foregoing shall not apply to any Transfer (A) to any Affiliates of the Shareholder; (B) in the case of an individual, by gift to a member of one of the individual’s immediate family, to a trust, the beneficiary of which is a member of the individual’s immediate family or an Affiliate of such person; (C) in the case of an individual, by virtue of laws of descent and distribution upon death of the individual; and (D) in the case of an individual, pursuant to a qualified domestic relations order;; and (E ) by virtue of the Shareholder’s organizational documents upon liquidation or dissolution of the Shareholder;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Shareholder shall, and shall cause any transferee of any Transfer of the type set forth in clauses (A) through (D), to enter into a written agreement in form and substance reasonably satisfactory to ARYA, agreeing to be bound by this Agreement (which will include, for the avoidance of doubt, all of the covenants, agreements and obligations of the Shareholder hereunder and the making of all the representations and warranties of the Shareholder set forth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with respect to such transferee and his, her or its Subject Company Shares received upon such Transfer, as applicable) prior and as a condition to the occurrence of such Transfer. For purposes of this Agreement,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w:t>
      </w:r>
    </w:p>
    <w:p>
      <w:pPr>
        <w:spacing w:after="0" w:line="192" w:lineRule="exact"/>
        <w:rPr>
          <w:rFonts w:ascii="Times New Roman" w:cs="Times New Roman" w:eastAsia="Times New Roman" w:hAnsi="Times New Roman"/>
          <w:sz w:val="17"/>
          <w:szCs w:val="17"/>
          <w:color w:val="auto"/>
        </w:rPr>
      </w:pPr>
    </w:p>
    <w:p>
      <w:pPr>
        <w:ind w:left="1160" w:hanging="619"/>
        <w:spacing w:after="0"/>
        <w:tabs>
          <w:tab w:leader="none" w:pos="116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xml:space="preserve">. This Agreement (including the proxy granted pursuant to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shall automatically terminate, without any notice or other action by any Party, and be</w:t>
      </w:r>
    </w:p>
    <w:p>
      <w:pPr>
        <w:spacing w:after="0" w:line="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 w:cs="Times New Roman" w:eastAsia="Times New Roman" w:hAnsi="Times New Roman"/>
          <w:sz w:val="14"/>
          <w:szCs w:val="14"/>
          <w:u w:val="single" w:color="auto"/>
          <w:color w:val="auto"/>
        </w:rPr>
        <w:t>Section 5(b)</w:t>
      </w:r>
      <w:r>
        <w:rPr>
          <w:rFonts w:ascii="Times New Roman" w:cs="Times New Roman" w:eastAsia="Times New Roman" w:hAnsi="Times New Roman"/>
          <w:sz w:val="14"/>
          <w:szCs w:val="14"/>
          <w:color w:val="auto"/>
        </w:rPr>
        <w:t xml:space="preserve"> shall not affect any Liability on the part of any Party for a Willful Breach of any covenant or agreement set forth in this Agreement prior to such termination or Fraud, (ii) </w:t>
      </w:r>
      <w:r>
        <w:rPr>
          <w:rFonts w:ascii="Times New Roman" w:cs="Times New Roman" w:eastAsia="Times New Roman" w:hAnsi="Times New Roman"/>
          <w:sz w:val="14"/>
          <w:szCs w:val="14"/>
          <w:u w:val="single" w:color="auto"/>
          <w:color w:val="auto"/>
        </w:rPr>
        <w:t>Section 2(a)(i)(A)</w:t>
      </w:r>
      <w:r>
        <w:rPr>
          <w:rFonts w:ascii="Times New Roman" w:cs="Times New Roman" w:eastAsia="Times New Roman" w:hAnsi="Times New Roman"/>
          <w:sz w:val="14"/>
          <w:szCs w:val="14"/>
          <w:color w:val="auto"/>
        </w:rPr>
        <w:t xml:space="preserve"> (solely to the extent that it relates to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(Confidentiality and Access to Information) of the Business Combination Agreement) and the representations and warranties set forth in </w:t>
      </w:r>
      <w:r>
        <w:rPr>
          <w:rFonts w:ascii="Times New Roman" w:cs="Times New Roman" w:eastAsia="Times New Roman" w:hAnsi="Times New Roman"/>
          <w:sz w:val="14"/>
          <w:szCs w:val="14"/>
          <w:u w:val="single" w:color="auto"/>
          <w:color w:val="auto"/>
        </w:rPr>
        <w:t>Sections 3(g)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(h)</w:t>
      </w:r>
      <w:r>
        <w:rPr>
          <w:rFonts w:ascii="Times New Roman" w:cs="Times New Roman" w:eastAsia="Times New Roman" w:hAnsi="Times New Roman"/>
          <w:sz w:val="14"/>
          <w:szCs w:val="14"/>
          <w:color w:val="auto"/>
        </w:rPr>
        <w:t xml:space="preserve"> shall each survive the termination of this Agreement, (iii) </w:t>
      </w:r>
      <w:r>
        <w:rPr>
          <w:rFonts w:ascii="Times New Roman" w:cs="Times New Roman" w:eastAsia="Times New Roman" w:hAnsi="Times New Roman"/>
          <w:sz w:val="14"/>
          <w:szCs w:val="14"/>
          <w:u w:val="single" w:color="auto"/>
          <w:color w:val="auto"/>
        </w:rPr>
        <w:t>Section 2(a)(i)(A)</w:t>
      </w:r>
      <w:r>
        <w:rPr>
          <w:rFonts w:ascii="Times New Roman" w:cs="Times New Roman" w:eastAsia="Times New Roman" w:hAnsi="Times New Roman"/>
          <w:sz w:val="14"/>
          <w:szCs w:val="14"/>
          <w:color w:val="auto"/>
        </w:rPr>
        <w:t xml:space="preserve"> (solely to the extent that it relates to </w:t>
      </w:r>
      <w:r>
        <w:rPr>
          <w:rFonts w:ascii="Times New Roman" w:cs="Times New Roman" w:eastAsia="Times New Roman" w:hAnsi="Times New Roman"/>
          <w:sz w:val="14"/>
          <w:szCs w:val="14"/>
          <w:u w:val="single" w:color="auto"/>
          <w:color w:val="auto"/>
        </w:rPr>
        <w:t>Section 5.4(a)</w:t>
      </w:r>
      <w:r>
        <w:rPr>
          <w:rFonts w:ascii="Times New Roman" w:cs="Times New Roman" w:eastAsia="Times New Roman" w:hAnsi="Times New Roman"/>
          <w:sz w:val="14"/>
          <w:szCs w:val="14"/>
          <w:color w:val="auto"/>
        </w:rPr>
        <w:t xml:space="preserve"> (Public Announcements) of the Business Combination Agreement) and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 xml:space="preserve"> shall each survive the termination of this Agreement pursuant to </w:t>
      </w:r>
      <w:r>
        <w:rPr>
          <w:rFonts w:ascii="Times New Roman" w:cs="Times New Roman" w:eastAsia="Times New Roman" w:hAnsi="Times New Roman"/>
          <w:sz w:val="14"/>
          <w:szCs w:val="14"/>
          <w:u w:val="single" w:color="auto"/>
          <w:color w:val="auto"/>
        </w:rPr>
        <w:t>Section 5(a)</w:t>
      </w:r>
      <w:r>
        <w:rPr>
          <w:rFonts w:ascii="Times New Roman" w:cs="Times New Roman" w:eastAsia="Times New Roman" w:hAnsi="Times New Roman"/>
          <w:sz w:val="14"/>
          <w:szCs w:val="14"/>
          <w:color w:val="auto"/>
        </w:rPr>
        <w:t xml:space="preserve">, (iv) </w:t>
      </w:r>
      <w:r>
        <w:rPr>
          <w:rFonts w:ascii="Times New Roman" w:cs="Times New Roman" w:eastAsia="Times New Roman" w:hAnsi="Times New Roman"/>
          <w:sz w:val="14"/>
          <w:szCs w:val="14"/>
          <w:u w:val="single" w:color="auto"/>
          <w:color w:val="auto"/>
        </w:rPr>
        <w:t>Section 2(a)(i)(B)</w:t>
      </w:r>
      <w:r>
        <w:rPr>
          <w:rFonts w:ascii="Times New Roman" w:cs="Times New Roman" w:eastAsia="Times New Roman" w:hAnsi="Times New Roman"/>
          <w:sz w:val="14"/>
          <w:szCs w:val="14"/>
          <w:color w:val="auto"/>
        </w:rPr>
        <w:t xml:space="preserve"> (solely to the extent that it relates to </w:t>
      </w:r>
      <w:r>
        <w:rPr>
          <w:rFonts w:ascii="Times New Roman" w:cs="Times New Roman" w:eastAsia="Times New Roman" w:hAnsi="Times New Roman"/>
          <w:sz w:val="14"/>
          <w:szCs w:val="14"/>
          <w:u w:val="single" w:color="auto"/>
          <w:color w:val="auto"/>
        </w:rPr>
        <w:t>Section 8.18</w:t>
      </w:r>
      <w:r>
        <w:rPr>
          <w:rFonts w:ascii="Times New Roman" w:cs="Times New Roman" w:eastAsia="Times New Roman" w:hAnsi="Times New Roman"/>
          <w:sz w:val="14"/>
          <w:szCs w:val="14"/>
          <w:color w:val="auto"/>
        </w:rPr>
        <w:t xml:space="preserve"> (Trust Account Waiver) of the Business Combination Agreement) shall survive the termination of this Agreement pursuant to </w:t>
      </w:r>
      <w:r>
        <w:rPr>
          <w:rFonts w:ascii="Times New Roman" w:cs="Times New Roman" w:eastAsia="Times New Roman" w:hAnsi="Times New Roman"/>
          <w:sz w:val="14"/>
          <w:szCs w:val="14"/>
          <w:u w:val="single" w:color="auto"/>
          <w:color w:val="auto"/>
        </w:rPr>
        <w:t>Section 5(b)</w:t>
      </w:r>
      <w:r>
        <w:rPr>
          <w:rFonts w:ascii="Times New Roman" w:cs="Times New Roman" w:eastAsia="Times New Roman" w:hAnsi="Times New Roman"/>
          <w:sz w:val="14"/>
          <w:szCs w:val="14"/>
          <w:color w:val="auto"/>
        </w:rPr>
        <w:t xml:space="preserve"> and (A)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Sections 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15</w:t>
      </w:r>
      <w:r>
        <w:rPr>
          <w:rFonts w:ascii="Times New Roman" w:cs="Times New Roman" w:eastAsia="Times New Roman" w:hAnsi="Times New Roman"/>
          <w:sz w:val="14"/>
          <w:szCs w:val="14"/>
          <w:color w:val="auto"/>
        </w:rPr>
        <w:t xml:space="preserve"> and (B) </w:t>
      </w:r>
      <w:r>
        <w:rPr>
          <w:rFonts w:ascii="Times New Roman" w:cs="Times New Roman" w:eastAsia="Times New Roman" w:hAnsi="Times New Roman"/>
          <w:sz w:val="14"/>
          <w:szCs w:val="14"/>
          <w:u w:val="single" w:color="auto"/>
          <w:color w:val="auto"/>
        </w:rPr>
        <w:t>Sections 8</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Sections 12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Sections 17</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22</w:t>
      </w:r>
      <w:r>
        <w:rPr>
          <w:rFonts w:ascii="Times New Roman" w:cs="Times New Roman" w:eastAsia="Times New Roman" w:hAnsi="Times New Roman"/>
          <w:sz w:val="14"/>
          <w:szCs w:val="14"/>
          <w:color w:val="auto"/>
        </w:rPr>
        <w:t xml:space="preserve"> (to the extent related to any of the provisions that survive the termination of this Agreement) shall survive any termination of this Agreement. . For purposes of this Agreement, (x) “</w:t>
      </w:r>
      <w:r>
        <w:rPr>
          <w:rFonts w:ascii="Times New Roman" w:cs="Times New Roman" w:eastAsia="Times New Roman" w:hAnsi="Times New Roman"/>
          <w:sz w:val="14"/>
          <w:szCs w:val="14"/>
          <w:u w:val="single" w:color="auto"/>
          <w:color w:val="auto"/>
        </w:rPr>
        <w:t>Willful Breach</w:t>
      </w:r>
      <w:r>
        <w:rPr>
          <w:rFonts w:ascii="Times New Roman" w:cs="Times New Roman" w:eastAsia="Times New Roman" w:hAnsi="Times New Roman"/>
          <w:sz w:val="14"/>
          <w:szCs w:val="14"/>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Times New Roman" w:cs="Times New Roman" w:eastAsia="Times New Roman" w:hAnsi="Times New Roman"/>
          <w:sz w:val="14"/>
          <w:szCs w:val="14"/>
          <w:u w:val="single" w:color="auto"/>
          <w:color w:val="auto"/>
        </w:rPr>
        <w:t>Fraud</w:t>
      </w:r>
      <w:r>
        <w:rPr>
          <w:rFonts w:ascii="Times New Roman" w:cs="Times New Roman" w:eastAsia="Times New Roman" w:hAnsi="Times New Roman"/>
          <w:sz w:val="14"/>
          <w:szCs w:val="14"/>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209550</wp:posOffset>
            </wp:positionV>
            <wp:extent cx="7157085" cy="13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6" w:name="page157"/>
    <w:bookmarkEnd w:id="156"/>
    <w:p>
      <w:pPr>
        <w:jc w:val="both"/>
        <w:ind w:left="-541" w:firstLine="541"/>
        <w:spacing w:after="0" w:line="237" w:lineRule="auto"/>
        <w:tabs>
          <w:tab w:leader="none" w:pos="71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the Shareholder makes no agreement or understanding herein in any capacity other than in such Shareholder’s capacity as a record holder and beneficial owner of the Subject Company Shares, and not in such Shareholder’s capacity as a director, officer or employee of any Group Company or in such Shareholder’s capacity as a trustee or fiduciary of any Company Equity Plan, as applicable and (b) nothing herein will be construed to limit or affect any action or inaction by such Shareholder or any representative of such Shareholder serving as a member of the board of directors of any Group Company or as an officer, employee or fiduciary of any Group Company, in each case, acting in such person’s capacity as a director, officer, employee or fiduciary of such Group Company.</w:t>
      </w:r>
    </w:p>
    <w:p>
      <w:pPr>
        <w:spacing w:after="0" w:line="170" w:lineRule="exact"/>
        <w:rPr>
          <w:rFonts w:ascii="Times New Roman" w:cs="Times New Roman" w:eastAsia="Times New Roman" w:hAnsi="Times New Roman"/>
          <w:sz w:val="18"/>
          <w:szCs w:val="18"/>
          <w:color w:val="auto"/>
        </w:rPr>
      </w:pPr>
    </w:p>
    <w:p>
      <w:pPr>
        <w:jc w:val="both"/>
        <w:ind w:left="-541" w:firstLine="541"/>
        <w:spacing w:after="0" w:line="234" w:lineRule="auto"/>
        <w:tabs>
          <w:tab w:leader="none" w:pos="57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the Company or any Company Affiliated Party (other than the Shareholder named as a party hereto, on the terms and subject to the conditions set forth herein) or any ARYA Affiliated Party, and (b) none of the Company, any Company Affiliated Party (other than the Shareholder named as a party hereto, on the terms and subject to the conditions set forth herein) or any ARYA Affiliated Party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or for any actual or alleged inaccuracies, misstatements or omissions with respect to any information or materials of any kind furnished in connection with this Agreement, the negotiation hereof or the transactions contemplated hereby, except, in each case,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217805</wp:posOffset>
            </wp:positionV>
            <wp:extent cx="7157085" cy="13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57" w:name="page158"/>
    <w:bookmarkEnd w:id="157"/>
    <w:p>
      <w:pPr>
        <w:spacing w:after="0" w:line="247" w:lineRule="auto"/>
        <w:framePr w:w="1940" w:h="664" w:wrap="auto" w:vAnchor="page" w:hAnchor="page" w:x="3080" w:y="2072"/>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Altman Konstantin Poukalov altman@perceptivelife.com konstantin@perceptivelife.com</w:t>
      </w:r>
    </w:p>
    <w:p>
      <w:pPr>
        <w:jc w:val="both"/>
        <w:ind w:firstLine="541"/>
        <w:spacing w:after="0"/>
        <w:tabs>
          <w:tab w:leader="none" w:pos="125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applicable, as follows:</w:t>
      </w:r>
    </w:p>
    <w:p>
      <w:pPr>
        <w:spacing w:after="0" w:line="170" w:lineRule="exact"/>
        <w:rPr>
          <w:rFonts w:ascii="Times New Roman" w:cs="Times New Roman" w:eastAsia="Times New Roman" w:hAnsi="Times New Roman"/>
          <w:sz w:val="14"/>
          <w:szCs w:val="14"/>
          <w:color w:val="auto"/>
        </w:rPr>
      </w:pPr>
    </w:p>
    <w:p>
      <w:pPr>
        <w:ind w:left="540"/>
        <w:spacing w:after="0"/>
        <w:rPr>
          <w:sz w:val="20"/>
          <w:szCs w:val="20"/>
          <w:color w:val="auto"/>
        </w:rPr>
      </w:pPr>
      <w:r>
        <w:rPr>
          <w:rFonts w:ascii="Times New Roman" w:cs="Times New Roman" w:eastAsia="Times New Roman" w:hAnsi="Times New Roman"/>
          <w:sz w:val="18"/>
          <w:szCs w:val="18"/>
          <w:color w:val="auto"/>
        </w:rPr>
        <w:t>If to ARYA, to:</w:t>
      </w:r>
    </w:p>
    <w:p>
      <w:pPr>
        <w:spacing w:after="0" w:line="201"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c/o ARYA Science Acquisition Corp.</w:t>
      </w:r>
    </w:p>
    <w:p>
      <w:pPr>
        <w:spacing w:after="0" w:line="19"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51 Astor Place, 10th Floor</w:t>
      </w:r>
    </w:p>
    <w:p>
      <w:pPr>
        <w:spacing w:after="0" w:line="5" w:lineRule="exact"/>
        <w:rPr>
          <w:rFonts w:ascii="Times New Roman" w:cs="Times New Roman" w:eastAsia="Times New Roman" w:hAnsi="Times New Roman"/>
          <w:sz w:val="14"/>
          <w:szCs w:val="14"/>
          <w:color w:val="auto"/>
        </w:rPr>
      </w:pPr>
    </w:p>
    <w:p>
      <w:pPr>
        <w:ind w:left="1340" w:right="8640"/>
        <w:spacing w:after="0" w:line="253" w:lineRule="auto"/>
        <w:rPr>
          <w:sz w:val="20"/>
          <w:szCs w:val="20"/>
          <w:color w:val="auto"/>
        </w:rPr>
      </w:pPr>
      <w:r>
        <w:rPr>
          <w:rFonts w:ascii="Times New Roman" w:cs="Times New Roman" w:eastAsia="Times New Roman" w:hAnsi="Times New Roman"/>
          <w:sz w:val="15"/>
          <w:szCs w:val="15"/>
          <w:color w:val="auto"/>
        </w:rPr>
        <w:t>New York, NY 10003 Attention:</w:t>
      </w:r>
    </w:p>
    <w:p>
      <w:pPr>
        <w:spacing w:after="0" w:line="155"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Email:</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29" w:lineRule="exact"/>
        <w:rPr>
          <w:rFonts w:ascii="Times New Roman" w:cs="Times New Roman" w:eastAsia="Times New Roman" w:hAnsi="Times New Roman"/>
          <w:sz w:val="14"/>
          <w:szCs w:val="14"/>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1"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19"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601 Lexington Avenue</w:t>
      </w:r>
    </w:p>
    <w:p>
      <w:pPr>
        <w:spacing w:after="0" w:line="5"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6"/>
          <w:szCs w:val="16"/>
          <w:color w:val="auto"/>
        </w:rPr>
        <w:t>New York, NY 10022</w:t>
      </w:r>
    </w:p>
    <w:tbl>
      <w:tblPr>
        <w:tblLayout w:type="fixed"/>
        <w:tblInd w:w="0" w:type="dxa"/>
        <w:tblCellMar>
          <w:top w:w="0" w:type="dxa"/>
          <w:left w:w="0" w:type="dxa"/>
          <w:bottom w:w="0" w:type="dxa"/>
          <w:right w:w="0" w:type="dxa"/>
        </w:tblCellMar>
      </w:tblPr>
      <w:tr>
        <w:trPr>
          <w:trHeight w:val="168"/>
        </w:trPr>
        <w:tc>
          <w:tcPr>
            <w:tcW w:w="2380" w:type="dxa"/>
            <w:vAlign w:val="bottom"/>
          </w:tcPr>
          <w:p>
            <w:pPr>
              <w:ind w:left="1340"/>
              <w:spacing w:after="0" w:line="168" w:lineRule="exact"/>
              <w:rPr>
                <w:sz w:val="20"/>
                <w:szCs w:val="20"/>
                <w:color w:val="auto"/>
              </w:rPr>
            </w:pPr>
            <w:r>
              <w:rPr>
                <w:rFonts w:ascii="Times New Roman" w:cs="Times New Roman" w:eastAsia="Times New Roman" w:hAnsi="Times New Roman"/>
                <w:sz w:val="15"/>
                <w:szCs w:val="15"/>
                <w:color w:val="auto"/>
              </w:rPr>
              <w:t>Attention:</w:t>
            </w:r>
          </w:p>
        </w:tc>
        <w:tc>
          <w:tcPr>
            <w:tcW w:w="8900" w:type="dxa"/>
            <w:vAlign w:val="bottom"/>
          </w:tcPr>
          <w:p>
            <w:pPr>
              <w:ind w:left="440"/>
              <w:spacing w:after="0" w:line="168" w:lineRule="exact"/>
              <w:rPr>
                <w:sz w:val="20"/>
                <w:szCs w:val="20"/>
                <w:color w:val="auto"/>
              </w:rPr>
            </w:pPr>
            <w:r>
              <w:rPr>
                <w:rFonts w:ascii="Times New Roman" w:cs="Times New Roman" w:eastAsia="Times New Roman" w:hAnsi="Times New Roman"/>
                <w:sz w:val="15"/>
                <w:szCs w:val="15"/>
                <w:color w:val="auto"/>
              </w:rPr>
              <w:t>Jonathan Davis, P.C.</w:t>
            </w:r>
          </w:p>
        </w:tc>
      </w:tr>
      <w:tr>
        <w:trPr>
          <w:trHeight w:val="177"/>
        </w:trPr>
        <w:tc>
          <w:tcPr>
            <w:tcW w:w="2380" w:type="dxa"/>
            <w:vAlign w:val="bottom"/>
          </w:tcPr>
          <w:p>
            <w:pPr>
              <w:spacing w:after="0"/>
              <w:rPr>
                <w:sz w:val="15"/>
                <w:szCs w:val="15"/>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Ryan Brissette</w:t>
            </w:r>
          </w:p>
        </w:tc>
      </w:tr>
      <w:tr>
        <w:trPr>
          <w:trHeight w:val="177"/>
        </w:trPr>
        <w:tc>
          <w:tcPr>
            <w:tcW w:w="2380" w:type="dxa"/>
            <w:vAlign w:val="bottom"/>
          </w:tcPr>
          <w:p>
            <w:pPr>
              <w:ind w:left="1340"/>
              <w:spacing w:after="0"/>
              <w:rPr>
                <w:sz w:val="20"/>
                <w:szCs w:val="20"/>
                <w:color w:val="auto"/>
              </w:rPr>
            </w:pPr>
            <w:r>
              <w:rPr>
                <w:rFonts w:ascii="Times New Roman" w:cs="Times New Roman" w:eastAsia="Times New Roman" w:hAnsi="Times New Roman"/>
                <w:sz w:val="15"/>
                <w:szCs w:val="15"/>
                <w:color w:val="auto"/>
              </w:rPr>
              <w:t>Email:</w:t>
            </w:r>
          </w:p>
        </w:tc>
        <w:tc>
          <w:tcPr>
            <w:tcW w:w="89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jonathan.davis@kirkland.com</w:t>
            </w:r>
          </w:p>
        </w:tc>
      </w:tr>
      <w:tr>
        <w:trPr>
          <w:trHeight w:val="192"/>
        </w:trPr>
        <w:tc>
          <w:tcPr>
            <w:tcW w:w="2380" w:type="dxa"/>
            <w:vAlign w:val="bottom"/>
          </w:tcPr>
          <w:p>
            <w:pPr>
              <w:spacing w:after="0"/>
              <w:rPr>
                <w:sz w:val="16"/>
                <w:szCs w:val="16"/>
                <w:color w:val="auto"/>
              </w:rPr>
            </w:pPr>
          </w:p>
        </w:tc>
        <w:tc>
          <w:tcPr>
            <w:tcW w:w="89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ryan.brissette@kirkland.com</w:t>
            </w:r>
          </w:p>
        </w:tc>
      </w:tr>
      <w:tr>
        <w:trPr>
          <w:trHeight w:val="690"/>
        </w:trPr>
        <w:tc>
          <w:tcPr>
            <w:tcW w:w="238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sectPr>
      </w:pPr>
    </w:p>
    <w:bookmarkStart w:id="158" w:name="page159"/>
    <w:bookmarkEnd w:id="158"/>
    <w:p>
      <w:pPr>
        <w:ind w:left="540"/>
        <w:spacing w:after="0"/>
        <w:rPr>
          <w:sz w:val="20"/>
          <w:szCs w:val="20"/>
          <w:color w:val="auto"/>
        </w:rPr>
      </w:pPr>
      <w:r>
        <w:rPr>
          <w:rFonts w:ascii="Times New Roman" w:cs="Times New Roman" w:eastAsia="Times New Roman" w:hAnsi="Times New Roman"/>
          <w:sz w:val="18"/>
          <w:szCs w:val="18"/>
          <w:color w:val="auto"/>
        </w:rPr>
        <w:t>If to the Shareholder, to the address and email set forth on the signature pages hereto.</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9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650 Page Mill Road</w:t>
      </w:r>
    </w:p>
    <w:p>
      <w:pPr>
        <w:ind w:left="1340"/>
        <w:spacing w:after="0" w:line="231" w:lineRule="auto"/>
        <w:rPr>
          <w:sz w:val="20"/>
          <w:szCs w:val="20"/>
          <w:color w:val="auto"/>
        </w:rPr>
      </w:pPr>
      <w:r>
        <w:rPr>
          <w:rFonts w:ascii="Times New Roman" w:cs="Times New Roman" w:eastAsia="Times New Roman" w:hAnsi="Times New Roman"/>
          <w:sz w:val="18"/>
          <w:szCs w:val="18"/>
          <w:color w:val="auto"/>
        </w:rPr>
        <w:t>Palo Alto, CA 94304</w:t>
      </w:r>
    </w:p>
    <w:p>
      <w:pPr>
        <w:ind w:left="1340"/>
        <w:spacing w:after="0" w:line="232" w:lineRule="auto"/>
        <w:rPr>
          <w:sz w:val="20"/>
          <w:szCs w:val="20"/>
          <w:color w:val="auto"/>
        </w:rPr>
      </w:pPr>
      <w:r>
        <w:rPr>
          <w:rFonts w:ascii="Times New Roman" w:cs="Times New Roman" w:eastAsia="Times New Roman" w:hAnsi="Times New Roman"/>
          <w:sz w:val="18"/>
          <w:szCs w:val="18"/>
          <w:color w:val="auto"/>
        </w:rPr>
        <w:t>Attention: Robert Kornegay</w:t>
      </w:r>
    </w:p>
    <w:p>
      <w:pPr>
        <w:ind w:left="1340"/>
        <w:spacing w:after="0"/>
        <w:rPr>
          <w:sz w:val="20"/>
          <w:szCs w:val="20"/>
          <w:color w:val="auto"/>
        </w:rPr>
      </w:pPr>
      <w:r>
        <w:rPr>
          <w:rFonts w:ascii="Times New Roman" w:cs="Times New Roman" w:eastAsia="Times New Roman" w:hAnsi="Times New Roman"/>
          <w:sz w:val="18"/>
          <w:szCs w:val="18"/>
          <w:color w:val="auto"/>
        </w:rPr>
        <w:t>E-mail: rkornegay@wsgr.com</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Wilson Sonsini Goodrich &amp; Rosati, P.C.</w:t>
      </w:r>
    </w:p>
    <w:p>
      <w:pPr>
        <w:spacing w:after="0" w:line="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One Market Plaza, Spear Tower, Suite 3300</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San Francisco, CA 94105</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Robert T. Ishii</w:t>
      </w:r>
    </w:p>
    <w:p>
      <w:pPr>
        <w:spacing w:after="0" w:line="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color w:val="auto"/>
        </w:rPr>
        <w:t>Brian Keyes</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rishii@wsgr.com</w:t>
      </w:r>
    </w:p>
    <w:p>
      <w:pPr>
        <w:spacing w:after="0" w:line="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color w:val="auto"/>
        </w:rPr>
        <w:t>bkeyes@wsgr.com</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192" w:lineRule="exact"/>
        <w:rPr>
          <w:sz w:val="20"/>
          <w:szCs w:val="20"/>
          <w:color w:val="auto"/>
        </w:rPr>
      </w:pPr>
    </w:p>
    <w:p>
      <w:pPr>
        <w:jc w:val="both"/>
        <w:ind w:firstLine="541"/>
        <w:spacing w:after="0" w:line="246" w:lineRule="auto"/>
        <w:tabs>
          <w:tab w:leader="none" w:pos="113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Business Combination Agreement and documents referred to herein and therein constitutes the entire agreement of the Parties with respect to the subject matter of this Agreement, and supersedes all prior agreements and undertakings, both written and oral, among the Parties with respect to the subject matter of this Agreement, except as otherwise expressly provided in this Agreement.</w:t>
      </w:r>
    </w:p>
    <w:p>
      <w:pPr>
        <w:spacing w:after="0" w:line="162" w:lineRule="exact"/>
        <w:rPr>
          <w:rFonts w:ascii="Times New Roman" w:cs="Times New Roman" w:eastAsia="Times New Roman" w:hAnsi="Times New Roman"/>
          <w:sz w:val="18"/>
          <w:szCs w:val="18"/>
          <w:color w:val="auto"/>
        </w:rPr>
      </w:pPr>
    </w:p>
    <w:p>
      <w:pPr>
        <w:jc w:val="both"/>
        <w:ind w:firstLine="541"/>
        <w:spacing w:after="0" w:line="237" w:lineRule="auto"/>
        <w:tabs>
          <w:tab w:leader="none" w:pos="129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xml:space="preserve"> Any provision of this Agreement may be amended or waived if, and only if, such amendment or waiver is in writing and signed by the Shareholder and ARYA.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ARYA’s prior written consent (in the case of the Shareholder) and the Shareholder’s written consent (in the case of ARYA) (in each case, to be withheld or given in its sole discretion). Any attempted assignment of this Agreement not in accordance with the terms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void.</w:t>
      </w:r>
    </w:p>
    <w:p>
      <w:pPr>
        <w:spacing w:after="0" w:line="171" w:lineRule="exact"/>
        <w:rPr>
          <w:rFonts w:ascii="Times New Roman" w:cs="Times New Roman" w:eastAsia="Times New Roman" w:hAnsi="Times New Roman"/>
          <w:sz w:val="18"/>
          <w:szCs w:val="18"/>
          <w:color w:val="auto"/>
        </w:rPr>
      </w:pPr>
    </w:p>
    <w:p>
      <w:pPr>
        <w:ind w:right="720" w:firstLine="541"/>
        <w:spacing w:after="0" w:line="246" w:lineRule="auto"/>
        <w:tabs>
          <w:tab w:leader="none" w:pos="119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 Without limiting ARYA’s rights under the Business Combination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9" w:name="page160"/>
    <w:bookmarkEnd w:id="159"/>
    <w:p>
      <w:pPr>
        <w:jc w:val="both"/>
        <w:ind w:left="-541" w:firstLine="541"/>
        <w:spacing w:after="0" w:line="235" w:lineRule="auto"/>
        <w:tabs>
          <w:tab w:leader="none" w:pos="76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he, she or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68" w:lineRule="exact"/>
        <w:rPr>
          <w:rFonts w:ascii="Times New Roman" w:cs="Times New Roman" w:eastAsia="Times New Roman" w:hAnsi="Times New Roman"/>
          <w:sz w:val="18"/>
          <w:szCs w:val="18"/>
          <w:color w:val="auto"/>
        </w:rPr>
      </w:pPr>
    </w:p>
    <w:p>
      <w:pPr>
        <w:ind w:left="-541" w:right="100" w:firstLine="541"/>
        <w:spacing w:after="0" w:line="241" w:lineRule="auto"/>
        <w:tabs>
          <w:tab w:leader="none" w:pos="65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as partners or participants in a joint venture.</w:t>
      </w:r>
    </w:p>
    <w:p>
      <w:pPr>
        <w:spacing w:after="0" w:line="166" w:lineRule="exact"/>
        <w:rPr>
          <w:rFonts w:ascii="Times New Roman" w:cs="Times New Roman" w:eastAsia="Times New Roman" w:hAnsi="Times New Roman"/>
          <w:sz w:val="18"/>
          <w:szCs w:val="18"/>
          <w:color w:val="auto"/>
        </w:rPr>
      </w:pPr>
    </w:p>
    <w:p>
      <w:pPr>
        <w:jc w:val="both"/>
        <w:ind w:left="-541" w:firstLine="541"/>
        <w:spacing w:after="0" w:line="236" w:lineRule="auto"/>
        <w:tabs>
          <w:tab w:leader="none" w:pos="69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xml:space="preserve"> Nothing contained in this Agreement will be deemed to vest in ARYA any direct or indirect ownership or incidents of ownership of or with respect to the Subject Company Shares. All rights, ownership and economic benefits of and relating to the Subject Company Shares shall remain vested in and belong to Shareholder, and ARYA shall have no authority to manage, direct, superintend, restrict, regulate, govern or administer any of the policies or operations of Company or exercise any power or authority to direct Shareholder in the voting of any of the Subject Company Shares, except as otherwise provided herein with respect to the Subject Company Shares. Except as otherwise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Shareholder shall not be restricted from voting in favor of, against or abstaining with respect to any other matters presented to the stockholders of the Company. Without limiting the foregoing, nothing in this Agreement shall obligate or require the Shareholder to exercise an option to purchase any Company Shares.</w:t>
      </w:r>
    </w:p>
    <w:p>
      <w:pPr>
        <w:spacing w:after="0" w:line="172" w:lineRule="exact"/>
        <w:rPr>
          <w:rFonts w:ascii="Times New Roman" w:cs="Times New Roman" w:eastAsia="Times New Roman" w:hAnsi="Times New Roman"/>
          <w:sz w:val="18"/>
          <w:szCs w:val="18"/>
          <w:color w:val="auto"/>
        </w:rPr>
      </w:pPr>
    </w:p>
    <w:p>
      <w:pPr>
        <w:ind w:left="-541" w:right="120" w:firstLine="541"/>
        <w:spacing w:after="0" w:line="254" w:lineRule="auto"/>
        <w:tabs>
          <w:tab w:leader="none" w:pos="657"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Acknowledgements.</w:t>
      </w:r>
      <w:r>
        <w:rPr>
          <w:rFonts w:ascii="Times New Roman" w:cs="Times New Roman" w:eastAsia="Times New Roman" w:hAnsi="Times New Roman"/>
          <w:sz w:val="17"/>
          <w:szCs w:val="17"/>
          <w:color w:val="auto"/>
        </w:rPr>
        <w:t xml:space="preserve"> The Parties each acknowledges that (a) Kirkland &amp; Ellis LLP, counsel for ARYA, is representing ARYA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the Business Combination Agreement, the Ancillary Documents and the transactions contemplated hereby and thereby, (c) none of the foregoing firms is representing the Shareholder in connection with this Agreement, the Merger, the Business Combination Agreement, the Ancillary Document or the transactions contemplated hereby, thereby or otherwise and (d) the Shareholder acknowledges that he, she or it has had the opportunity to consult with its, his or her own counsel.</w:t>
      </w:r>
    </w:p>
    <w:p>
      <w:pPr>
        <w:spacing w:after="0" w:line="156" w:lineRule="exact"/>
        <w:rPr>
          <w:rFonts w:ascii="Times New Roman" w:cs="Times New Roman" w:eastAsia="Times New Roman" w:hAnsi="Times New Roman"/>
          <w:sz w:val="17"/>
          <w:szCs w:val="17"/>
          <w:color w:val="auto"/>
        </w:rPr>
      </w:pPr>
    </w:p>
    <w:p>
      <w:pPr>
        <w:jc w:val="both"/>
        <w:ind w:left="-541" w:firstLine="541"/>
        <w:spacing w:after="0" w:line="241" w:lineRule="auto"/>
        <w:tabs>
          <w:tab w:leader="none" w:pos="81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Non-Survival</w:t>
      </w:r>
      <w:r>
        <w:rPr>
          <w:rFonts w:ascii="Times New Roman" w:cs="Times New Roman" w:eastAsia="Times New Roman" w:hAnsi="Times New Roman"/>
          <w:sz w:val="18"/>
          <w:szCs w:val="18"/>
          <w:color w:val="auto"/>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212090</wp:posOffset>
            </wp:positionV>
            <wp:extent cx="7157085"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60" w:name="page161"/>
    <w:bookmarkEnd w:id="160"/>
    <w:p>
      <w:pPr>
        <w:jc w:val="both"/>
        <w:ind w:left="-541" w:firstLine="541"/>
        <w:spacing w:after="0" w:line="245" w:lineRule="auto"/>
        <w:tabs>
          <w:tab w:leader="none" w:pos="73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64" w:lineRule="exact"/>
        <w:rPr>
          <w:rFonts w:ascii="Times New Roman" w:cs="Times New Roman" w:eastAsia="Times New Roman" w:hAnsi="Times New Roman"/>
          <w:sz w:val="18"/>
          <w:szCs w:val="18"/>
          <w:color w:val="auto"/>
        </w:rPr>
      </w:pPr>
    </w:p>
    <w:p>
      <w:pPr>
        <w:jc w:val="both"/>
        <w:ind w:left="-541" w:firstLine="541"/>
        <w:spacing w:after="0" w:line="248" w:lineRule="auto"/>
        <w:tabs>
          <w:tab w:leader="none" w:pos="723"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 Interpretation</w:t>
      </w:r>
      <w:r>
        <w:rPr>
          <w:rFonts w:ascii="Times New Roman" w:cs="Times New Roman" w:eastAsia="Times New Roman" w:hAnsi="Times New Roman"/>
          <w:sz w:val="17"/>
          <w:szCs w:val="17"/>
          <w:color w:val="auto"/>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64" w:lineRule="exact"/>
        <w:rPr>
          <w:rFonts w:ascii="Times New Roman" w:cs="Times New Roman" w:eastAsia="Times New Roman" w:hAnsi="Times New Roman"/>
          <w:sz w:val="17"/>
          <w:szCs w:val="17"/>
          <w:color w:val="auto"/>
        </w:rPr>
      </w:pPr>
    </w:p>
    <w:p>
      <w:pPr>
        <w:jc w:val="both"/>
        <w:ind w:left="-541" w:firstLine="541"/>
        <w:spacing w:after="0" w:line="254" w:lineRule="auto"/>
        <w:tabs>
          <w:tab w:leader="none" w:pos="734"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56" w:lineRule="exact"/>
        <w:rPr>
          <w:rFonts w:ascii="Times New Roman" w:cs="Times New Roman" w:eastAsia="Times New Roman" w:hAnsi="Times New Roman"/>
          <w:sz w:val="17"/>
          <w:szCs w:val="17"/>
          <w:color w:val="auto"/>
        </w:rPr>
      </w:pPr>
    </w:p>
    <w:p>
      <w:pPr>
        <w:jc w:val="both"/>
        <w:ind w:left="-541" w:firstLine="541"/>
        <w:spacing w:after="0" w:line="246" w:lineRule="auto"/>
        <w:tabs>
          <w:tab w:leader="none" w:pos="69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208915</wp:posOffset>
            </wp:positionV>
            <wp:extent cx="7157085" cy="13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161" w:name="page162"/>
    <w:bookmarkEnd w:id="161"/>
    <w:p>
      <w:pPr>
        <w:jc w:val="both"/>
        <w:ind w:left="-9" w:firstLine="541"/>
        <w:spacing w:after="0" w:line="248" w:lineRule="auto"/>
        <w:tabs>
          <w:tab w:leader="none" w:pos="1211"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21.</w:t>
      </w:r>
    </w:p>
    <w:p>
      <w:pPr>
        <w:spacing w:after="0" w:line="166" w:lineRule="exact"/>
        <w:rPr>
          <w:rFonts w:ascii="Times New Roman" w:cs="Times New Roman" w:eastAsia="Times New Roman" w:hAnsi="Times New Roman"/>
          <w:sz w:val="17"/>
          <w:szCs w:val="17"/>
          <w:color w:val="auto"/>
        </w:rPr>
      </w:pPr>
    </w:p>
    <w:p>
      <w:pPr>
        <w:jc w:val="both"/>
        <w:ind w:left="-9" w:firstLine="541"/>
        <w:spacing w:after="0" w:line="248" w:lineRule="auto"/>
        <w:tabs>
          <w:tab w:leader="none" w:pos="1245"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w:t>
      </w:r>
    </w:p>
    <w:p>
      <w:pPr>
        <w:spacing w:after="0" w:line="1" w:lineRule="exact"/>
        <w:rPr>
          <w:rFonts w:ascii="Times New Roman" w:cs="Times New Roman" w:eastAsia="Times New Roman" w:hAnsi="Times New Roman"/>
          <w:sz w:val="17"/>
          <w:szCs w:val="17"/>
          <w:color w:val="auto"/>
        </w:rPr>
      </w:pPr>
    </w:p>
    <w:p>
      <w:pPr>
        <w:jc w:val="both"/>
        <w:ind w:left="-9" w:firstLine="9"/>
        <w:spacing w:after="0" w:line="233" w:lineRule="auto"/>
        <w:tabs>
          <w:tab w:leader="none" w:pos="27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Section 8 shall be effective service of process for any such Proceeding, claim, demand, action or cause of action.</w:t>
      </w:r>
    </w:p>
    <w:p>
      <w:pPr>
        <w:spacing w:after="0" w:line="166"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7157085"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Transaction Support Agreement as of the date first above written.</w:t>
      </w:r>
    </w:p>
    <w:p>
      <w:pPr>
        <w:sectPr>
          <w:pgSz w:w="11900" w:h="16838" w:orient="portrait"/>
          <w:cols w:equalWidth="0" w:num="1">
            <w:col w:w="9780"/>
          </w:cols>
          <w:pgMar w:left="840" w:top="118" w:right="127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ARYA SCIENCES ACQUISITION CORP III</w:t>
      </w:r>
    </w:p>
    <w:p>
      <w:pPr>
        <w:spacing w:after="0" w:line="20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By:  _____________________________</w:t>
      </w:r>
    </w:p>
    <w:p>
      <w:pPr>
        <w:spacing w:after="0" w:line="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Name:</w:t>
      </w:r>
    </w:p>
    <w:p>
      <w:pPr>
        <w:ind w:left="3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215265</wp:posOffset>
            </wp:positionV>
            <wp:extent cx="7157085" cy="13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9780"/>
          </w:cols>
          <w:pgMar w:left="840" w:top="118" w:right="127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color w:val="auto"/>
        </w:rPr>
        <w:t>IN WITNESS WHEREOF, the Parties have executed and delivered this Transaction Support Agreement as of the date first above written.</w:t>
      </w:r>
    </w:p>
    <w:p>
      <w:pPr>
        <w:sectPr>
          <w:pgSz w:w="11900" w:h="16838" w:orient="portrait"/>
          <w:cols w:equalWidth="0" w:num="1">
            <w:col w:w="9780"/>
          </w:cols>
          <w:pgMar w:left="840" w:top="118" w:right="1279" w:bottom="1440" w:gutter="0" w:footer="0" w:header="0"/>
        </w:sectPr>
      </w:pPr>
    </w:p>
    <w:p>
      <w:pPr>
        <w:spacing w:after="0" w:line="20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[SHAREHOLDER]</w:t>
      </w:r>
    </w:p>
    <w:p>
      <w:pPr>
        <w:spacing w:after="0" w:line="19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By: ______________________________</w:t>
      </w:r>
    </w:p>
    <w:p>
      <w:pPr>
        <w:spacing w:after="0" w:line="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Name:</w:t>
      </w:r>
    </w:p>
    <w:p>
      <w:pPr>
        <w:ind w:left="3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342265</wp:posOffset>
            </wp:positionV>
            <wp:extent cx="7157085" cy="13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9780"/>
          </w:cols>
          <w:pgMar w:left="840" w:top="118" w:right="1279" w:bottom="1440" w:gutter="0" w:footer="0" w:header="0"/>
          <w:type w:val="continuous"/>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6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680" w:type="dxa"/>
            <w:vAlign w:val="bottom"/>
          </w:tcPr>
          <w:p>
            <w:pPr>
              <w:spacing w:after="0"/>
              <w:rPr>
                <w:sz w:val="17"/>
                <w:szCs w:val="17"/>
                <w:color w:val="auto"/>
              </w:rPr>
            </w:pPr>
          </w:p>
        </w:tc>
      </w:tr>
      <w:tr>
        <w:trPr>
          <w:trHeight w:val="215"/>
        </w:trPr>
        <w:tc>
          <w:tcPr>
            <w:tcW w:w="1720" w:type="dxa"/>
            <w:vAlign w:val="bottom"/>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680" w:type="dxa"/>
            <w:vAlign w:val="bottom"/>
          </w:tcPr>
          <w:p>
            <w:pPr>
              <w:spacing w:after="0"/>
              <w:rPr>
                <w:sz w:val="18"/>
                <w:szCs w:val="18"/>
                <w:color w:val="auto"/>
              </w:rPr>
            </w:pPr>
          </w:p>
        </w:tc>
      </w:tr>
      <w:tr>
        <w:trPr>
          <w:trHeight w:val="180"/>
        </w:trPr>
        <w:tc>
          <w:tcPr>
            <w:tcW w:w="1720" w:type="dxa"/>
            <w:vAlign w:val="bottom"/>
            <w:tcBorders>
              <w:right w:val="single" w:sz="8" w:color="auto"/>
            </w:tcBorders>
          </w:tcPr>
          <w:p>
            <w:pPr>
              <w:spacing w:after="0"/>
              <w:rPr>
                <w:sz w:val="15"/>
                <w:szCs w:val="15"/>
                <w:color w:val="auto"/>
              </w:rPr>
            </w:pPr>
          </w:p>
        </w:tc>
        <w:tc>
          <w:tcPr>
            <w:tcW w:w="322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5"/>
                <w:szCs w:val="15"/>
                <w:b w:val="1"/>
                <w:bCs w:val="1"/>
                <w:color w:val="auto"/>
                <w:w w:val="99"/>
              </w:rPr>
              <w:t>Class/Series Securities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426"/>
              <w:spacing w:after="0"/>
              <w:rPr>
                <w:sz w:val="20"/>
                <w:szCs w:val="20"/>
                <w:color w:val="auto"/>
              </w:rPr>
            </w:pPr>
            <w:r>
              <w:rPr>
                <w:rFonts w:ascii="Times New Roman" w:cs="Times New Roman" w:eastAsia="Times New Roman" w:hAnsi="Times New Roman"/>
                <w:sz w:val="15"/>
                <w:szCs w:val="15"/>
                <w:b w:val="1"/>
                <w:bCs w:val="1"/>
                <w:color w:val="auto"/>
                <w:w w:val="99"/>
              </w:rPr>
              <w:t>Number of Shares</w:t>
            </w:r>
          </w:p>
        </w:tc>
        <w:tc>
          <w:tcPr>
            <w:tcW w:w="1680" w:type="dxa"/>
            <w:vAlign w:val="bottom"/>
          </w:tcPr>
          <w:p>
            <w:pPr>
              <w:spacing w:after="0"/>
              <w:rPr>
                <w:sz w:val="15"/>
                <w:szCs w:val="15"/>
                <w:color w:val="auto"/>
              </w:rPr>
            </w:pPr>
          </w:p>
        </w:tc>
      </w:tr>
      <w:tr>
        <w:trPr>
          <w:trHeight w:val="180"/>
        </w:trPr>
        <w:tc>
          <w:tcPr>
            <w:tcW w:w="1720" w:type="dxa"/>
            <w:vAlign w:val="bottom"/>
            <w:tcBorders>
              <w:right w:val="single" w:sz="8" w:color="auto"/>
            </w:tcBorders>
          </w:tcPr>
          <w:p>
            <w:pPr>
              <w:spacing w:after="0"/>
              <w:rPr>
                <w:sz w:val="15"/>
                <w:szCs w:val="15"/>
                <w:color w:val="auto"/>
              </w:rPr>
            </w:pPr>
          </w:p>
        </w:tc>
        <w:tc>
          <w:tcPr>
            <w:tcW w:w="322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5"/>
                <w:szCs w:val="15"/>
                <w:color w:val="auto"/>
                <w:w w:val="97"/>
              </w:rPr>
              <w:t>Company Preferred Seed Shares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42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spacing w:after="0"/>
              <w:rPr>
                <w:sz w:val="15"/>
                <w:szCs w:val="15"/>
                <w:color w:val="auto"/>
              </w:rPr>
            </w:pPr>
          </w:p>
        </w:tc>
      </w:tr>
      <w:tr>
        <w:trPr>
          <w:trHeight w:val="180"/>
        </w:trPr>
        <w:tc>
          <w:tcPr>
            <w:tcW w:w="1720" w:type="dxa"/>
            <w:vAlign w:val="bottom"/>
            <w:tcBorders>
              <w:right w:val="single" w:sz="8" w:color="auto"/>
            </w:tcBorders>
          </w:tcPr>
          <w:p>
            <w:pPr>
              <w:spacing w:after="0"/>
              <w:rPr>
                <w:sz w:val="15"/>
                <w:szCs w:val="15"/>
                <w:color w:val="auto"/>
              </w:rPr>
            </w:pPr>
          </w:p>
        </w:tc>
        <w:tc>
          <w:tcPr>
            <w:tcW w:w="322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5"/>
                <w:szCs w:val="15"/>
                <w:color w:val="auto"/>
                <w:w w:val="98"/>
              </w:rPr>
              <w:t>Company Series A Preferred Shares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42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spacing w:after="0"/>
              <w:rPr>
                <w:sz w:val="15"/>
                <w:szCs w:val="15"/>
                <w:color w:val="auto"/>
              </w:rPr>
            </w:pPr>
          </w:p>
        </w:tc>
      </w:tr>
      <w:tr>
        <w:trPr>
          <w:trHeight w:val="180"/>
        </w:trPr>
        <w:tc>
          <w:tcPr>
            <w:tcW w:w="1720" w:type="dxa"/>
            <w:vAlign w:val="bottom"/>
            <w:tcBorders>
              <w:right w:val="single" w:sz="8" w:color="auto"/>
            </w:tcBorders>
          </w:tcPr>
          <w:p>
            <w:pPr>
              <w:spacing w:after="0"/>
              <w:rPr>
                <w:sz w:val="15"/>
                <w:szCs w:val="15"/>
                <w:color w:val="auto"/>
              </w:rPr>
            </w:pPr>
          </w:p>
        </w:tc>
        <w:tc>
          <w:tcPr>
            <w:tcW w:w="322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5"/>
                <w:szCs w:val="15"/>
                <w:color w:val="auto"/>
                <w:w w:val="99"/>
              </w:rPr>
              <w:t>Company Series B Preferred Shares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42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spacing w:after="0"/>
              <w:rPr>
                <w:sz w:val="15"/>
                <w:szCs w:val="15"/>
                <w:color w:val="auto"/>
              </w:rPr>
            </w:pPr>
          </w:p>
        </w:tc>
      </w:tr>
      <w:tr>
        <w:trPr>
          <w:trHeight w:val="180"/>
        </w:trPr>
        <w:tc>
          <w:tcPr>
            <w:tcW w:w="1720" w:type="dxa"/>
            <w:vAlign w:val="bottom"/>
            <w:tcBorders>
              <w:right w:val="single" w:sz="8" w:color="auto"/>
            </w:tcBorders>
          </w:tcPr>
          <w:p>
            <w:pPr>
              <w:spacing w:after="0"/>
              <w:rPr>
                <w:sz w:val="15"/>
                <w:szCs w:val="15"/>
                <w:color w:val="auto"/>
              </w:rPr>
            </w:pPr>
          </w:p>
        </w:tc>
        <w:tc>
          <w:tcPr>
            <w:tcW w:w="3220" w:type="dxa"/>
            <w:vAlign w:val="bottom"/>
            <w:tcBorders>
              <w:bottom w:val="single" w:sz="8" w:color="auto"/>
            </w:tcBorders>
          </w:tcPr>
          <w:p>
            <w:pPr>
              <w:jc w:val="center"/>
              <w:ind w:left="726"/>
              <w:spacing w:after="0"/>
              <w:rPr>
                <w:sz w:val="20"/>
                <w:szCs w:val="20"/>
                <w:color w:val="auto"/>
              </w:rPr>
            </w:pPr>
            <w:r>
              <w:rPr>
                <w:rFonts w:ascii="Times New Roman" w:cs="Times New Roman" w:eastAsia="Times New Roman" w:hAnsi="Times New Roman"/>
                <w:sz w:val="15"/>
                <w:szCs w:val="15"/>
                <w:color w:val="auto"/>
                <w:w w:val="97"/>
              </w:rPr>
              <w:t>Company Common Shares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jc w:val="center"/>
              <w:ind w:right="426"/>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spacing w:after="0"/>
              <w:rPr>
                <w:sz w:val="15"/>
                <w:szCs w:val="15"/>
                <w:color w:val="auto"/>
              </w:rPr>
            </w:pPr>
          </w:p>
        </w:tc>
      </w:tr>
      <w:tr>
        <w:trPr>
          <w:trHeight w:val="546"/>
        </w:trPr>
        <w:tc>
          <w:tcPr>
            <w:tcW w:w="17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99" w:right="31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Accompany Certificates Formerly Representing</w:t>
      </w:r>
    </w:p>
    <w:p>
      <w:pPr>
        <w:jc w:val="center"/>
        <w:spacing w:after="0"/>
        <w:rPr>
          <w:sz w:val="20"/>
          <w:szCs w:val="20"/>
          <w:color w:val="auto"/>
        </w:rPr>
      </w:pPr>
      <w:r>
        <w:rPr>
          <w:rFonts w:ascii="Times New Roman" w:cs="Times New Roman" w:eastAsia="Times New Roman" w:hAnsi="Times New Roman"/>
          <w:sz w:val="18"/>
          <w:szCs w:val="18"/>
          <w:color w:val="auto"/>
        </w:rPr>
        <w:t>Shares of [Common Stock / Series A Preferred Stock / Series B Preferred Stock / Series Seed Preferred Stock] 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9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DESCRIPTION OF SURRENDERED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137795</wp:posOffset>
            </wp:positionV>
            <wp:extent cx="7157085" cy="15074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085" cy="15074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220" w:type="dxa"/>
            <w:vAlign w:val="bottom"/>
            <w:gridSpan w:val="3"/>
          </w:tcPr>
          <w:p>
            <w:pPr>
              <w:jc w:val="center"/>
              <w:ind w:right="1560"/>
              <w:spacing w:after="0"/>
              <w:rPr>
                <w:sz w:val="20"/>
                <w:szCs w:val="20"/>
                <w:color w:val="auto"/>
              </w:rPr>
            </w:pPr>
            <w:r>
              <w:rPr>
                <w:rFonts w:ascii="Times New Roman" w:cs="Times New Roman" w:eastAsia="Times New Roman" w:hAnsi="Times New Roman"/>
                <w:sz w:val="15"/>
                <w:szCs w:val="15"/>
                <w:b w:val="1"/>
                <w:bCs w:val="1"/>
                <w:color w:val="auto"/>
                <w:w w:val="98"/>
              </w:rPr>
              <w:t>Names(s) and Address(es) of Registered Owner(s)</w:t>
            </w:r>
          </w:p>
        </w:tc>
        <w:tc>
          <w:tcPr>
            <w:tcW w:w="4060" w:type="dxa"/>
            <w:vAlign w:val="bottom"/>
            <w:gridSpan w:val="3"/>
          </w:tcPr>
          <w:p>
            <w:pPr>
              <w:jc w:val="center"/>
              <w:ind w:right="1600"/>
              <w:spacing w:after="0"/>
              <w:rPr>
                <w:sz w:val="20"/>
                <w:szCs w:val="20"/>
                <w:color w:val="auto"/>
              </w:rPr>
            </w:pPr>
            <w:r>
              <w:rPr>
                <w:rFonts w:ascii="Times New Roman" w:cs="Times New Roman" w:eastAsia="Times New Roman" w:hAnsi="Times New Roman"/>
                <w:sz w:val="15"/>
                <w:szCs w:val="15"/>
                <w:b w:val="1"/>
                <w:bCs w:val="1"/>
                <w:color w:val="auto"/>
                <w:w w:val="97"/>
              </w:rPr>
              <w:t>Certificate(s) Surrendered</w:t>
            </w:r>
          </w:p>
        </w:tc>
      </w:tr>
      <w:tr>
        <w:trPr>
          <w:trHeight w:val="196"/>
        </w:trPr>
        <w:tc>
          <w:tcPr>
            <w:tcW w:w="7220" w:type="dxa"/>
            <w:vAlign w:val="bottom"/>
            <w:tcBorders>
              <w:bottom w:val="single" w:sz="8" w:color="auto"/>
            </w:tcBorders>
            <w:gridSpan w:val="3"/>
          </w:tcPr>
          <w:p>
            <w:pPr>
              <w:jc w:val="center"/>
              <w:ind w:right="1560"/>
              <w:spacing w:after="0"/>
              <w:rPr>
                <w:sz w:val="20"/>
                <w:szCs w:val="20"/>
                <w:color w:val="auto"/>
              </w:rPr>
            </w:pPr>
            <w:r>
              <w:rPr>
                <w:rFonts w:ascii="Times New Roman" w:cs="Times New Roman" w:eastAsia="Times New Roman" w:hAnsi="Times New Roman"/>
                <w:sz w:val="15"/>
                <w:szCs w:val="15"/>
                <w:b w:val="1"/>
                <w:bCs w:val="1"/>
                <w:color w:val="auto"/>
                <w:w w:val="98"/>
              </w:rPr>
              <w:t>(Please fill in, if blank, exactly as name(s) appear(s) on certificate(s))</w:t>
            </w:r>
          </w:p>
        </w:tc>
        <w:tc>
          <w:tcPr>
            <w:tcW w:w="4060" w:type="dxa"/>
            <w:vAlign w:val="bottom"/>
            <w:tcBorders>
              <w:bottom w:val="single" w:sz="8" w:color="auto"/>
            </w:tcBorders>
            <w:gridSpan w:val="3"/>
          </w:tcPr>
          <w:p>
            <w:pPr>
              <w:jc w:val="center"/>
              <w:ind w:right="1600"/>
              <w:spacing w:after="0"/>
              <w:rPr>
                <w:sz w:val="20"/>
                <w:szCs w:val="20"/>
                <w:color w:val="auto"/>
              </w:rPr>
            </w:pPr>
            <w:r>
              <w:rPr>
                <w:rFonts w:ascii="Times New Roman" w:cs="Times New Roman" w:eastAsia="Times New Roman" w:hAnsi="Times New Roman"/>
                <w:sz w:val="15"/>
                <w:szCs w:val="15"/>
                <w:b w:val="1"/>
                <w:bCs w:val="1"/>
                <w:color w:val="auto"/>
                <w:w w:val="99"/>
              </w:rPr>
              <w:t>(Attach additional list if necessary)</w:t>
            </w:r>
          </w:p>
        </w:tc>
      </w:tr>
      <w:tr>
        <w:trPr>
          <w:trHeight w:val="161"/>
        </w:trPr>
        <w:tc>
          <w:tcPr>
            <w:tcW w:w="6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60" w:type="dxa"/>
            <w:vAlign w:val="bottom"/>
            <w:gridSpan w:val="3"/>
          </w:tcPr>
          <w:p>
            <w:pPr>
              <w:jc w:val="center"/>
              <w:ind w:left="166"/>
              <w:spacing w:after="0" w:line="161" w:lineRule="exact"/>
              <w:rPr>
                <w:sz w:val="20"/>
                <w:szCs w:val="20"/>
                <w:color w:val="auto"/>
              </w:rPr>
            </w:pPr>
            <w:r>
              <w:rPr>
                <w:rFonts w:ascii="Times New Roman" w:cs="Times New Roman" w:eastAsia="Times New Roman" w:hAnsi="Times New Roman"/>
                <w:sz w:val="15"/>
                <w:szCs w:val="15"/>
                <w:b w:val="1"/>
                <w:bCs w:val="1"/>
                <w:color w:val="auto"/>
                <w:w w:val="97"/>
              </w:rPr>
              <w:t>Total Number of Shares</w:t>
            </w:r>
          </w:p>
        </w:tc>
      </w:tr>
      <w:tr>
        <w:trPr>
          <w:trHeight w:val="177"/>
        </w:trPr>
        <w:tc>
          <w:tcPr>
            <w:tcW w:w="622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Certificate</w:t>
            </w:r>
          </w:p>
        </w:tc>
        <w:tc>
          <w:tcPr>
            <w:tcW w:w="406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b w:val="1"/>
                <w:bCs w:val="1"/>
                <w:color w:val="auto"/>
                <w:w w:val="96"/>
              </w:rPr>
              <w:t>Represented By</w:t>
            </w:r>
          </w:p>
        </w:tc>
      </w:tr>
      <w:tr>
        <w:trPr>
          <w:trHeight w:val="161"/>
        </w:trPr>
        <w:tc>
          <w:tcPr>
            <w:tcW w:w="6220" w:type="dxa"/>
            <w:vAlign w:val="bottom"/>
          </w:tcPr>
          <w:p>
            <w:pPr>
              <w:spacing w:after="0"/>
              <w:rPr>
                <w:sz w:val="13"/>
                <w:szCs w:val="13"/>
                <w:color w:val="auto"/>
              </w:rPr>
            </w:pPr>
          </w:p>
        </w:tc>
        <w:tc>
          <w:tcPr>
            <w:tcW w:w="680" w:type="dxa"/>
            <w:vAlign w:val="bottom"/>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w w:val="98"/>
              </w:rPr>
              <w:t>Number(s)</w:t>
            </w:r>
          </w:p>
        </w:tc>
        <w:tc>
          <w:tcPr>
            <w:tcW w:w="320" w:type="dxa"/>
            <w:vAlign w:val="bottom"/>
          </w:tcPr>
          <w:p>
            <w:pPr>
              <w:spacing w:after="0"/>
              <w:rPr>
                <w:sz w:val="13"/>
                <w:szCs w:val="13"/>
                <w:color w:val="auto"/>
              </w:rPr>
            </w:pPr>
          </w:p>
        </w:tc>
        <w:tc>
          <w:tcPr>
            <w:tcW w:w="4060" w:type="dxa"/>
            <w:vAlign w:val="bottom"/>
            <w:gridSpan w:val="3"/>
          </w:tcPr>
          <w:p>
            <w:pPr>
              <w:jc w:val="center"/>
              <w:ind w:left="166"/>
              <w:spacing w:after="0" w:line="161" w:lineRule="exact"/>
              <w:rPr>
                <w:sz w:val="20"/>
                <w:szCs w:val="20"/>
                <w:color w:val="auto"/>
              </w:rPr>
            </w:pPr>
            <w:r>
              <w:rPr>
                <w:rFonts w:ascii="Times New Roman" w:cs="Times New Roman" w:eastAsia="Times New Roman" w:hAnsi="Times New Roman"/>
                <w:sz w:val="15"/>
                <w:szCs w:val="15"/>
                <w:b w:val="1"/>
                <w:bCs w:val="1"/>
                <w:color w:val="auto"/>
                <w:w w:val="97"/>
              </w:rPr>
              <w:t>Certificate(s)</w:t>
            </w:r>
          </w:p>
        </w:tc>
      </w:tr>
      <w:tr>
        <w:trPr>
          <w:trHeight w:val="20"/>
        </w:trPr>
        <w:tc>
          <w:tcPr>
            <w:tcW w:w="6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52"/>
        </w:trPr>
        <w:tc>
          <w:tcPr>
            <w:tcW w:w="7220" w:type="dxa"/>
            <w:vAlign w:val="bottom"/>
            <w:gridSpan w:val="3"/>
          </w:tcPr>
          <w:p>
            <w:pPr>
              <w:jc w:val="center"/>
              <w:ind w:left="5826"/>
              <w:spacing w:after="0"/>
              <w:rPr>
                <w:sz w:val="20"/>
                <w:szCs w:val="20"/>
                <w:color w:val="auto"/>
              </w:rPr>
            </w:pPr>
            <w:r>
              <w:rPr>
                <w:rFonts w:ascii="Times New Roman" w:cs="Times New Roman" w:eastAsia="Times New Roman" w:hAnsi="Times New Roman"/>
                <w:sz w:val="15"/>
                <w:szCs w:val="15"/>
                <w:b w:val="1"/>
                <w:bCs w:val="1"/>
                <w:color w:val="auto"/>
                <w:w w:val="99"/>
              </w:rPr>
              <w:t>______________</w:t>
            </w:r>
          </w:p>
        </w:tc>
        <w:tc>
          <w:tcPr>
            <w:tcW w:w="406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b w:val="1"/>
                <w:bCs w:val="1"/>
                <w:color w:val="auto"/>
                <w:w w:val="98"/>
              </w:rPr>
              <w:t>_______________________________</w:t>
            </w:r>
          </w:p>
        </w:tc>
      </w:tr>
      <w:tr>
        <w:trPr>
          <w:trHeight w:val="177"/>
        </w:trPr>
        <w:tc>
          <w:tcPr>
            <w:tcW w:w="7220" w:type="dxa"/>
            <w:vAlign w:val="bottom"/>
            <w:gridSpan w:val="3"/>
          </w:tcPr>
          <w:p>
            <w:pPr>
              <w:jc w:val="center"/>
              <w:ind w:left="5826"/>
              <w:spacing w:after="0"/>
              <w:rPr>
                <w:sz w:val="20"/>
                <w:szCs w:val="20"/>
                <w:color w:val="auto"/>
              </w:rPr>
            </w:pPr>
            <w:r>
              <w:rPr>
                <w:rFonts w:ascii="Times New Roman" w:cs="Times New Roman" w:eastAsia="Times New Roman" w:hAnsi="Times New Roman"/>
                <w:sz w:val="15"/>
                <w:szCs w:val="15"/>
                <w:b w:val="1"/>
                <w:bCs w:val="1"/>
                <w:color w:val="auto"/>
                <w:w w:val="99"/>
              </w:rPr>
              <w:t>______________</w:t>
            </w:r>
          </w:p>
        </w:tc>
        <w:tc>
          <w:tcPr>
            <w:tcW w:w="406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color w:val="auto"/>
                <w:w w:val="98"/>
              </w:rPr>
              <w:t>_______________________________</w:t>
            </w:r>
          </w:p>
        </w:tc>
      </w:tr>
      <w:tr>
        <w:trPr>
          <w:trHeight w:val="177"/>
        </w:trPr>
        <w:tc>
          <w:tcPr>
            <w:tcW w:w="7220" w:type="dxa"/>
            <w:vAlign w:val="bottom"/>
            <w:gridSpan w:val="3"/>
          </w:tcPr>
          <w:p>
            <w:pPr>
              <w:jc w:val="center"/>
              <w:ind w:left="5826"/>
              <w:spacing w:after="0"/>
              <w:rPr>
                <w:sz w:val="20"/>
                <w:szCs w:val="20"/>
                <w:color w:val="auto"/>
              </w:rPr>
            </w:pPr>
            <w:r>
              <w:rPr>
                <w:rFonts w:ascii="Times New Roman" w:cs="Times New Roman" w:eastAsia="Times New Roman" w:hAnsi="Times New Roman"/>
                <w:sz w:val="15"/>
                <w:szCs w:val="15"/>
                <w:b w:val="1"/>
                <w:bCs w:val="1"/>
                <w:color w:val="auto"/>
                <w:w w:val="99"/>
              </w:rPr>
              <w:t>______________</w:t>
            </w:r>
          </w:p>
        </w:tc>
        <w:tc>
          <w:tcPr>
            <w:tcW w:w="406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color w:val="auto"/>
                <w:w w:val="98"/>
              </w:rPr>
              <w:t>_______________________________</w:t>
            </w:r>
          </w:p>
        </w:tc>
      </w:tr>
      <w:tr>
        <w:trPr>
          <w:trHeight w:val="194"/>
        </w:trPr>
        <w:tc>
          <w:tcPr>
            <w:tcW w:w="7220" w:type="dxa"/>
            <w:vAlign w:val="bottom"/>
            <w:gridSpan w:val="3"/>
          </w:tcPr>
          <w:p>
            <w:pPr>
              <w:jc w:val="center"/>
              <w:ind w:left="5826"/>
              <w:spacing w:after="0"/>
              <w:rPr>
                <w:sz w:val="20"/>
                <w:szCs w:val="20"/>
                <w:color w:val="auto"/>
              </w:rPr>
            </w:pPr>
            <w:r>
              <w:rPr>
                <w:rFonts w:ascii="Times New Roman" w:cs="Times New Roman" w:eastAsia="Times New Roman" w:hAnsi="Times New Roman"/>
                <w:sz w:val="15"/>
                <w:szCs w:val="15"/>
                <w:b w:val="1"/>
                <w:bCs w:val="1"/>
                <w:color w:val="auto"/>
                <w:w w:val="99"/>
              </w:rPr>
              <w:t>______________</w:t>
            </w:r>
          </w:p>
        </w:tc>
        <w:tc>
          <w:tcPr>
            <w:tcW w:w="4060" w:type="dxa"/>
            <w:vAlign w:val="bottom"/>
            <w:gridSpan w:val="3"/>
          </w:tcPr>
          <w:p>
            <w:pPr>
              <w:jc w:val="center"/>
              <w:ind w:left="166"/>
              <w:spacing w:after="0"/>
              <w:rPr>
                <w:sz w:val="20"/>
                <w:szCs w:val="20"/>
                <w:color w:val="auto"/>
              </w:rPr>
            </w:pPr>
            <w:r>
              <w:rPr>
                <w:rFonts w:ascii="Times New Roman" w:cs="Times New Roman" w:eastAsia="Times New Roman" w:hAnsi="Times New Roman"/>
                <w:sz w:val="15"/>
                <w:szCs w:val="15"/>
                <w:color w:val="auto"/>
                <w:w w:val="98"/>
              </w:rPr>
              <w:t>_______________________________</w:t>
            </w:r>
          </w:p>
        </w:tc>
      </w:tr>
      <w:tr>
        <w:trPr>
          <w:trHeight w:val="339"/>
        </w:trPr>
        <w:tc>
          <w:tcPr>
            <w:tcW w:w="7220" w:type="dxa"/>
            <w:vAlign w:val="bottom"/>
            <w:gridSpan w:val="3"/>
          </w:tcPr>
          <w:p>
            <w:pPr>
              <w:jc w:val="center"/>
              <w:ind w:left="5806"/>
              <w:spacing w:after="0"/>
              <w:rPr>
                <w:sz w:val="20"/>
                <w:szCs w:val="20"/>
                <w:color w:val="auto"/>
              </w:rPr>
            </w:pPr>
            <w:r>
              <w:rPr>
                <w:rFonts w:ascii="Times New Roman" w:cs="Times New Roman" w:eastAsia="Times New Roman" w:hAnsi="Times New Roman"/>
                <w:sz w:val="15"/>
                <w:szCs w:val="15"/>
                <w:b w:val="1"/>
                <w:bCs w:val="1"/>
                <w:color w:val="auto"/>
                <w:w w:val="96"/>
              </w:rPr>
              <w:t>Total number</w:t>
            </w:r>
          </w:p>
        </w:tc>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4"/>
        </w:trPr>
        <w:tc>
          <w:tcPr>
            <w:tcW w:w="622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of shares:</w:t>
            </w:r>
          </w:p>
        </w:tc>
        <w:tc>
          <w:tcPr>
            <w:tcW w:w="1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right="140" w:firstLine="9"/>
        <w:spacing w:after="0" w:line="245" w:lineRule="auto"/>
        <w:tabs>
          <w:tab w:leader="none" w:pos="14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any certificate(s) representing shares of stock that you own have been lost or destroyed, check this box and see Instruction 8. Please fill out the remainder of this Letter of Transmittal and indicate here the number of shares of stock represented by the lost or destroyed certificates. _________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wp:posOffset>
            </wp:positionV>
            <wp:extent cx="7157085" cy="22402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085" cy="224028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p>
      <w:pPr>
        <w:spacing w:after="0" w:line="237"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5"/>
          <w:szCs w:val="15"/>
          <w:b w:val="1"/>
          <w:bCs w:val="1"/>
          <w:color w:val="auto"/>
        </w:rPr>
        <w:t>SPECIAL PAYMENT INSTRUCTIONS</w:t>
      </w:r>
    </w:p>
    <w:p>
      <w:pPr>
        <w:spacing w:after="0" w:line="21"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5"/>
          <w:szCs w:val="15"/>
          <w:b w:val="1"/>
          <w:bCs w:val="1"/>
          <w:color w:val="auto"/>
        </w:rPr>
        <w:t>(See Instructions 1, 4, and 5)</w:t>
      </w:r>
    </w:p>
    <w:p>
      <w:pPr>
        <w:spacing w:after="0" w:line="168" w:lineRule="exact"/>
        <w:rPr>
          <w:sz w:val="20"/>
          <w:szCs w:val="20"/>
          <w:color w:val="auto"/>
        </w:rPr>
      </w:pPr>
    </w:p>
    <w:p>
      <w:pPr>
        <w:ind w:left="80" w:firstLine="346"/>
        <w:spacing w:after="0" w:line="273" w:lineRule="auto"/>
        <w:rPr>
          <w:sz w:val="20"/>
          <w:szCs w:val="20"/>
          <w:color w:val="auto"/>
        </w:rPr>
      </w:pPr>
      <w:r>
        <w:rPr>
          <w:rFonts w:ascii="Times New Roman" w:cs="Times New Roman" w:eastAsia="Times New Roman" w:hAnsi="Times New Roman"/>
          <w:sz w:val="15"/>
          <w:szCs w:val="15"/>
          <w:color w:val="auto"/>
        </w:rPr>
        <w:t>To be completed ONLY if the shares for surrendered Certificates is to be issued in the name of someone other than the undersigned.</w:t>
      </w:r>
    </w:p>
    <w:p>
      <w:pPr>
        <w:spacing w:after="0" w:line="3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Issue check to:</w:t>
      </w:r>
    </w:p>
    <w:p>
      <w:pPr>
        <w:spacing w:after="0" w:line="1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Name:______________________________</w:t>
      </w:r>
    </w:p>
    <w:p>
      <w:pPr>
        <w:spacing w:after="0" w:line="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5"/>
          <w:szCs w:val="15"/>
          <w:b w:val="1"/>
          <w:bCs w:val="1"/>
          <w:color w:val="auto"/>
        </w:rPr>
        <w:t>(Please Print)</w:t>
      </w: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Address: ___________________________</w:t>
      </w:r>
    </w:p>
    <w:p>
      <w:pPr>
        <w:spacing w:after="0" w:line="1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___________________________________</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b w:val="1"/>
          <w:bCs w:val="1"/>
          <w:color w:val="auto"/>
        </w:rPr>
        <w:t>(Include Zip Code)</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________________________________________________________</w:t>
      </w:r>
    </w:p>
    <w:p>
      <w:pPr>
        <w:spacing w:after="0" w:line="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b w:val="1"/>
          <w:bCs w:val="1"/>
          <w:color w:val="auto"/>
        </w:rPr>
        <w:t>(Tax Identification or Social Security No.)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SPECIAL DELIVERY INSTRUCTIONS</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(See Instructions 1, 4 and 5)</w:t>
      </w:r>
    </w:p>
    <w:p>
      <w:pPr>
        <w:spacing w:after="0" w:line="168" w:lineRule="exact"/>
        <w:rPr>
          <w:sz w:val="20"/>
          <w:szCs w:val="20"/>
          <w:color w:val="auto"/>
        </w:rPr>
      </w:pPr>
    </w:p>
    <w:p>
      <w:pPr>
        <w:jc w:val="both"/>
        <w:ind w:right="80" w:firstLine="343"/>
        <w:spacing w:after="0" w:line="260" w:lineRule="auto"/>
        <w:rPr>
          <w:sz w:val="20"/>
          <w:szCs w:val="20"/>
          <w:color w:val="auto"/>
        </w:rPr>
      </w:pPr>
      <w:r>
        <w:rPr>
          <w:rFonts w:ascii="Times New Roman" w:cs="Times New Roman" w:eastAsia="Times New Roman" w:hAnsi="Times New Roman"/>
          <w:sz w:val="15"/>
          <w:szCs w:val="15"/>
          <w:color w:val="auto"/>
        </w:rPr>
        <w:t>To be completed ONLY if the shares for surrendered Certificates is to be sent to someone other than the undersigned or to the undersigned at an address other than that shown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Deliver check to: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Name:______________________________</w:t>
      </w:r>
    </w:p>
    <w:p>
      <w:pPr>
        <w:spacing w:after="0" w:line="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b w:val="1"/>
          <w:bCs w:val="1"/>
          <w:color w:val="auto"/>
        </w:rPr>
        <w:t>(Please Print)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Address: ___________________________</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w:t>
      </w:r>
    </w:p>
    <w:p>
      <w:pPr>
        <w:spacing w:after="0" w:line="1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(Include Zip Code)</w:t>
      </w:r>
    </w:p>
    <w:p>
      <w:pPr>
        <w:spacing w:after="0" w:line="754" w:lineRule="exact"/>
        <w:rPr>
          <w:sz w:val="20"/>
          <w:szCs w:val="20"/>
          <w:color w:val="auto"/>
        </w:rPr>
      </w:pPr>
    </w:p>
    <w:p>
      <w:pPr>
        <w:sectPr>
          <w:pgSz w:w="11900" w:h="16838" w:orient="portrait"/>
          <w:cols w:equalWidth="0" w:num="2">
            <w:col w:w="5360" w:space="580"/>
            <w:col w:w="5340"/>
          </w:cols>
          <w:pgMar w:left="300" w:top="114" w:right="319" w:bottom="1440" w:gutter="0" w:footer="0" w:header="0"/>
          <w:type w:val="continuous"/>
        </w:sectPr>
      </w:pPr>
    </w:p>
    <w:p>
      <w:pPr>
        <w:spacing w:after="0" w:line="246" w:lineRule="exact"/>
        <w:rPr>
          <w:sz w:val="20"/>
          <w:szCs w:val="20"/>
          <w:color w:val="auto"/>
        </w:rPr>
      </w:pPr>
    </w:p>
    <w:p>
      <w:pPr>
        <w:jc w:val="center"/>
        <w:ind w:left="440" w:right="2300"/>
        <w:spacing w:after="0" w:line="247" w:lineRule="auto"/>
        <w:rPr>
          <w:sz w:val="20"/>
          <w:szCs w:val="20"/>
          <w:color w:val="auto"/>
        </w:rPr>
      </w:pPr>
      <w:r>
        <w:rPr>
          <w:rFonts w:ascii="Times New Roman" w:cs="Times New Roman" w:eastAsia="Times New Roman" w:hAnsi="Times New Roman"/>
          <w:sz w:val="18"/>
          <w:szCs w:val="18"/>
          <w:b w:val="1"/>
          <w:bCs w:val="1"/>
          <w:color w:val="auto"/>
        </w:rPr>
        <w:t>IMPORTANT — STOCKHOLDERS SIGN HERE (U.S. Holders Also Please Complete Substitute Form W-9 Below) (Non-U.S. Holders Please Obtain and Complete Form W-8BEN or Other Form W-8)</w:t>
      </w:r>
    </w:p>
    <w:p>
      <w:pPr>
        <w:spacing w:after="0" w:line="16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(Must be signed by former registered holder(s) exactly as name(s) appear(s) on stock certificate(s) or on a security position listing or by person(s) authorized to become registered holder(s) as evidenced by certificates and documents transmitted herewith. If signature is by trustees, executors, administrators, guardians, attorneys-in-fact, officers of corporations or others acting in a fiduciary or representative capacity, please set forth full title and see Instruction 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Name(s):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___________________________________________________</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  _____________________________________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227965</wp:posOffset>
            </wp:positionV>
            <wp:extent cx="7157085" cy="1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type w:val="continuous"/>
        </w:sectPr>
      </w:pPr>
    </w:p>
    <w:bookmarkStart w:id="166" w:name="page167"/>
    <w:bookmarkEnd w:id="1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 OF SIGNATURE(S)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Instructions 1 and 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Complete ONLY if required by Instruction 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USE BY FINANCIAL INSTITUTION ONLY.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7183755" cy="8578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3755" cy="857885"/>
                    </a:xfrm>
                    <a:prstGeom prst="rect">
                      <a:avLst/>
                    </a:prstGeom>
                    <a:noFill/>
                  </pic:spPr>
                </pic:pic>
              </a:graphicData>
            </a:graphic>
          </wp:anchor>
        </w:drawing>
      </w:r>
    </w:p>
    <w:p>
      <w:pPr>
        <w:spacing w:after="0" w:line="230"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color w:val="auto"/>
        </w:rPr>
        <w:t>Firm:</w:t>
      </w:r>
      <w:r>
        <w:rPr>
          <w:sz w:val="20"/>
          <w:szCs w:val="20"/>
          <w:color w:val="auto"/>
        </w:rPr>
        <w:tab/>
      </w:r>
      <w:r>
        <w:rPr>
          <w:rFonts w:ascii="Times New Roman" w:cs="Times New Roman" w:eastAsia="Times New Roman" w:hAnsi="Times New Roman"/>
          <w:sz w:val="18"/>
          <w:szCs w:val="18"/>
          <w:color w:val="auto"/>
        </w:rPr>
        <w:t>_______________________________________________________________</w:t>
      </w:r>
    </w:p>
    <w:p>
      <w:pPr>
        <w:spacing w:after="0" w:line="5" w:lineRule="exact"/>
        <w:rPr>
          <w:sz w:val="20"/>
          <w:szCs w:val="20"/>
          <w:color w:val="auto"/>
        </w:rPr>
      </w:pPr>
    </w:p>
    <w:p>
      <w:pPr>
        <w:ind w:left="80"/>
        <w:spacing w:after="0"/>
        <w:tabs>
          <w:tab w:leader="none" w:pos="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_______________________________________________________________</w:t>
      </w:r>
    </w:p>
    <w:p>
      <w:pPr>
        <w:ind w:left="80"/>
        <w:spacing w:after="0" w:line="231" w:lineRule="auto"/>
        <w:tabs>
          <w:tab w:leader="none" w:pos="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_______________________________________________________________</w:t>
      </w:r>
    </w:p>
    <w:p>
      <w:pPr>
        <w:ind w:left="80"/>
        <w:spacing w:after="0"/>
        <w:rPr>
          <w:sz w:val="20"/>
          <w:szCs w:val="20"/>
          <w:color w:val="auto"/>
        </w:rPr>
      </w:pPr>
      <w:r>
        <w:rPr>
          <w:rFonts w:ascii="Times New Roman" w:cs="Times New Roman" w:eastAsia="Times New Roman" w:hAnsi="Times New Roman"/>
          <w:sz w:val="18"/>
          <w:szCs w:val="18"/>
          <w:color w:val="auto"/>
        </w:rPr>
        <w:t>Address: _______________________________________________________________</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COMPLETED BY ALL SURRENDERING U.S. HOLDERS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Instruction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7157085" cy="42830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085" cy="428307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PAYER: CONTINENTAL STOCK TRANSFER &amp; TRUST COMPANY</w:t>
      </w:r>
    </w:p>
    <w:p>
      <w:pPr>
        <w:sectPr>
          <w:pgSz w:w="11900" w:h="16838" w:orient="portrait"/>
          <w:cols w:equalWidth="0" w:num="1">
            <w:col w:w="11280"/>
          </w:cols>
          <w:pgMar w:left="300" w:top="11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SUBSTITUTE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Form W-9</w:t>
      </w:r>
    </w:p>
    <w:p>
      <w:pPr>
        <w:spacing w:after="0" w:line="344" w:lineRule="exact"/>
        <w:rPr>
          <w:sz w:val="20"/>
          <w:szCs w:val="20"/>
          <w:color w:val="auto"/>
        </w:rPr>
      </w:pPr>
    </w:p>
    <w:p>
      <w:pPr>
        <w:ind w:left="60" w:right="540"/>
        <w:spacing w:after="0" w:line="313" w:lineRule="auto"/>
        <w:rPr>
          <w:sz w:val="20"/>
          <w:szCs w:val="20"/>
          <w:color w:val="auto"/>
        </w:rPr>
      </w:pPr>
      <w:r>
        <w:rPr>
          <w:rFonts w:ascii="Times New Roman" w:cs="Times New Roman" w:eastAsia="Times New Roman" w:hAnsi="Times New Roman"/>
          <w:sz w:val="14"/>
          <w:szCs w:val="14"/>
          <w:b w:val="1"/>
          <w:bCs w:val="1"/>
          <w:color w:val="auto"/>
        </w:rPr>
        <w:t>Department of the Treasury Internal Revenue Service</w:t>
      </w:r>
    </w:p>
    <w:p>
      <w:pPr>
        <w:spacing w:after="0" w:line="113" w:lineRule="exact"/>
        <w:rPr>
          <w:sz w:val="20"/>
          <w:szCs w:val="20"/>
          <w:color w:val="auto"/>
        </w:rPr>
      </w:pPr>
    </w:p>
    <w:p>
      <w:pPr>
        <w:ind w:left="60" w:right="480"/>
        <w:spacing w:after="0" w:line="261" w:lineRule="auto"/>
        <w:rPr>
          <w:sz w:val="20"/>
          <w:szCs w:val="20"/>
          <w:color w:val="auto"/>
        </w:rPr>
      </w:pPr>
      <w:r>
        <w:rPr>
          <w:rFonts w:ascii="Times New Roman" w:cs="Times New Roman" w:eastAsia="Times New Roman" w:hAnsi="Times New Roman"/>
          <w:sz w:val="15"/>
          <w:szCs w:val="15"/>
          <w:b w:val="1"/>
          <w:bCs w:val="1"/>
          <w:color w:val="auto"/>
        </w:rPr>
        <w:t>Request for Taxpayer Identification Number (TIN) And Certification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Name:</w:t>
      </w: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Address: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Check appropriate box:</w:t>
            </w:r>
          </w:p>
        </w:tc>
        <w:tc>
          <w:tcPr>
            <w:tcW w:w="2660" w:type="dxa"/>
            <w:vAlign w:val="bottom"/>
            <w:gridSpan w:val="2"/>
            <w:vMerge w:val="restart"/>
          </w:tcPr>
          <w:p>
            <w:pPr>
              <w:ind w:left="160"/>
              <w:spacing w:after="0" w:line="173" w:lineRule="exact"/>
              <w:rPr>
                <w:sz w:val="20"/>
                <w:szCs w:val="20"/>
                <w:color w:val="auto"/>
              </w:rPr>
            </w:pPr>
            <w:r>
              <w:rPr>
                <w:rFonts w:ascii="Times New Roman" w:cs="Times New Roman" w:eastAsia="Times New Roman" w:hAnsi="Times New Roman"/>
                <w:sz w:val="15"/>
                <w:szCs w:val="15"/>
                <w:color w:val="auto"/>
              </w:rPr>
              <w:t xml:space="preserve">Corporation </w:t>
            </w:r>
            <w:r>
              <w:rPr>
                <w:rFonts w:ascii="MS PGothic" w:cs="MS PGothic" w:eastAsia="MS PGothic" w:hAnsi="MS PGothic"/>
                <w:sz w:val="15"/>
                <w:szCs w:val="15"/>
                <w:color w:val="auto"/>
              </w:rPr>
              <w:t>☐</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4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5"/>
                <w:szCs w:val="15"/>
                <w:color w:val="auto"/>
              </w:rPr>
              <w:t xml:space="preserve">Individual/Sole Proprietor </w:t>
            </w:r>
            <w:r>
              <w:rPr>
                <w:rFonts w:ascii="MS PGothic" w:cs="MS PGothic" w:eastAsia="MS PGothic" w:hAnsi="MS PGothic"/>
                <w:sz w:val="15"/>
                <w:szCs w:val="15"/>
                <w:color w:val="auto"/>
              </w:rPr>
              <w:t>☐</w:t>
            </w:r>
          </w:p>
        </w:tc>
        <w:tc>
          <w:tcPr>
            <w:tcW w:w="266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80" w:type="dxa"/>
            <w:vAlign w:val="bottom"/>
          </w:tcPr>
          <w:p>
            <w:pPr>
              <w:ind w:left="40"/>
              <w:spacing w:after="0" w:line="173" w:lineRule="exact"/>
              <w:rPr>
                <w:sz w:val="20"/>
                <w:szCs w:val="20"/>
                <w:color w:val="auto"/>
              </w:rPr>
            </w:pPr>
            <w:r>
              <w:rPr>
                <w:rFonts w:ascii="Times New Roman" w:cs="Times New Roman" w:eastAsia="Times New Roman" w:hAnsi="Times New Roman"/>
                <w:sz w:val="15"/>
                <w:szCs w:val="15"/>
                <w:color w:val="auto"/>
              </w:rPr>
              <w:t xml:space="preserve">Partnership </w:t>
            </w:r>
            <w:r>
              <w:rPr>
                <w:rFonts w:ascii="MS PGothic" w:cs="MS PGothic" w:eastAsia="MS PGothic" w:hAnsi="MS PGothic"/>
                <w:sz w:val="15"/>
                <w:szCs w:val="15"/>
                <w:color w:val="auto"/>
              </w:rPr>
              <w:t>☐</w:t>
            </w:r>
          </w:p>
        </w:tc>
        <w:tc>
          <w:tcPr>
            <w:tcW w:w="1440" w:type="dxa"/>
            <w:vAlign w:val="bottom"/>
            <w:gridSpan w:val="2"/>
          </w:tcPr>
          <w:p>
            <w:pPr>
              <w:ind w:left="180"/>
              <w:spacing w:after="0" w:line="173" w:lineRule="exact"/>
              <w:rPr>
                <w:sz w:val="20"/>
                <w:szCs w:val="20"/>
                <w:color w:val="auto"/>
              </w:rPr>
            </w:pPr>
            <w:r>
              <w:rPr>
                <w:rFonts w:ascii="Times New Roman" w:cs="Times New Roman" w:eastAsia="Times New Roman" w:hAnsi="Times New Roman"/>
                <w:sz w:val="15"/>
                <w:szCs w:val="15"/>
                <w:color w:val="auto"/>
              </w:rPr>
              <w:t xml:space="preserve">Other (specify) </w:t>
            </w:r>
            <w:r>
              <w:rPr>
                <w:rFonts w:ascii="MS PGothic" w:cs="MS PGothic" w:eastAsia="MS PGothic" w:hAnsi="MS PGothic"/>
                <w:sz w:val="15"/>
                <w:szCs w:val="15"/>
                <w:color w:val="auto"/>
              </w:rPr>
              <w:t>☐</w:t>
            </w:r>
          </w:p>
        </w:tc>
        <w:tc>
          <w:tcPr>
            <w:tcW w:w="20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Exempt from</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0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680" w:type="dxa"/>
            <w:vAlign w:val="bottom"/>
            <w:tcBorders>
              <w:bottom w:val="single" w:sz="8" w:color="auto"/>
            </w:tcBorders>
            <w:gridSpan w:val="2"/>
          </w:tcPr>
          <w:p>
            <w:pPr>
              <w:ind w:left="720"/>
              <w:spacing w:after="0" w:line="173" w:lineRule="exact"/>
              <w:rPr>
                <w:sz w:val="20"/>
                <w:szCs w:val="20"/>
                <w:color w:val="auto"/>
              </w:rPr>
            </w:pPr>
            <w:r>
              <w:rPr>
                <w:rFonts w:ascii="Times New Roman" w:cs="Times New Roman" w:eastAsia="Times New Roman" w:hAnsi="Times New Roman"/>
                <w:sz w:val="15"/>
                <w:szCs w:val="15"/>
                <w:color w:val="auto"/>
              </w:rPr>
              <w:t xml:space="preserve">Backup Withholding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94"/>
        </w:trPr>
        <w:tc>
          <w:tcPr>
            <w:tcW w:w="46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Part I</w:t>
            </w:r>
            <w:r>
              <w:rPr>
                <w:rFonts w:ascii="Times New Roman" w:cs="Times New Roman" w:eastAsia="Times New Roman" w:hAnsi="Times New Roman"/>
                <w:sz w:val="15"/>
                <w:szCs w:val="15"/>
                <w:color w:val="auto"/>
              </w:rPr>
              <w:t>. Please provide your taxpayer identification number in the space at</w:t>
            </w:r>
          </w:p>
        </w:tc>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SSN: </w:t>
            </w:r>
            <w:r>
              <w:rPr>
                <w:rFonts w:ascii="Times New Roman" w:cs="Times New Roman" w:eastAsia="Times New Roman" w:hAnsi="Times New Roman"/>
                <w:sz w:val="15"/>
                <w:szCs w:val="15"/>
                <w:color w:val="auto"/>
              </w:rPr>
              <w:t>_____________</w:t>
            </w:r>
          </w:p>
        </w:tc>
        <w:tc>
          <w:tcPr>
            <w:tcW w:w="0" w:type="dxa"/>
            <w:vAlign w:val="bottom"/>
          </w:tcPr>
          <w:p>
            <w:pPr>
              <w:spacing w:after="0"/>
              <w:rPr>
                <w:sz w:val="1"/>
                <w:szCs w:val="1"/>
                <w:color w:val="auto"/>
              </w:rPr>
            </w:pPr>
          </w:p>
        </w:tc>
      </w:tr>
      <w:tr>
        <w:trPr>
          <w:trHeight w:val="177"/>
        </w:trPr>
        <w:tc>
          <w:tcPr>
            <w:tcW w:w="46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right. If awaiting TIN, write "Applied For" in space at right and complete</w:t>
            </w:r>
          </w:p>
        </w:tc>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OR</w:t>
            </w:r>
          </w:p>
        </w:tc>
        <w:tc>
          <w:tcPr>
            <w:tcW w:w="0" w:type="dxa"/>
            <w:vAlign w:val="bottom"/>
          </w:tcPr>
          <w:p>
            <w:pPr>
              <w:spacing w:after="0"/>
              <w:rPr>
                <w:sz w:val="1"/>
                <w:szCs w:val="1"/>
                <w:color w:val="auto"/>
              </w:rPr>
            </w:pPr>
          </w:p>
        </w:tc>
      </w:tr>
      <w:tr>
        <w:trPr>
          <w:trHeight w:val="194"/>
        </w:trPr>
        <w:tc>
          <w:tcPr>
            <w:tcW w:w="460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color w:val="auto"/>
              </w:rPr>
              <w:t>the Certificate of Awaiting Taxpayer Identification Number below.</w:t>
            </w:r>
          </w:p>
        </w:tc>
        <w:tc>
          <w:tcPr>
            <w:tcW w:w="36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xml:space="preserve">EIN: </w:t>
            </w:r>
            <w:r>
              <w:rPr>
                <w:rFonts w:ascii="Times New Roman" w:cs="Times New Roman" w:eastAsia="Times New Roman" w:hAnsi="Times New Roman"/>
                <w:sz w:val="15"/>
                <w:szCs w:val="15"/>
                <w:color w:val="auto"/>
              </w:rPr>
              <w:t>_____________</w:t>
            </w:r>
          </w:p>
        </w:tc>
        <w:tc>
          <w:tcPr>
            <w:tcW w:w="0" w:type="dxa"/>
            <w:vAlign w:val="bottom"/>
          </w:tcPr>
          <w:p>
            <w:pPr>
              <w:spacing w:after="0"/>
              <w:rPr>
                <w:sz w:val="1"/>
                <w:szCs w:val="1"/>
                <w:color w:val="auto"/>
              </w:rPr>
            </w:pPr>
          </w:p>
        </w:tc>
      </w:tr>
      <w:tr>
        <w:trPr>
          <w:trHeight w:val="36"/>
        </w:trPr>
        <w:tc>
          <w:tcPr>
            <w:tcW w:w="10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0" w:right="60"/>
        <w:spacing w:after="0" w:line="276" w:lineRule="auto"/>
        <w:rPr>
          <w:sz w:val="20"/>
          <w:szCs w:val="20"/>
          <w:color w:val="auto"/>
        </w:rPr>
      </w:pPr>
      <w:r>
        <w:rPr>
          <w:rFonts w:ascii="Times New Roman" w:cs="Times New Roman" w:eastAsia="Times New Roman" w:hAnsi="Times New Roman"/>
          <w:sz w:val="15"/>
          <w:szCs w:val="15"/>
          <w:b w:val="1"/>
          <w:bCs w:val="1"/>
          <w:color w:val="auto"/>
        </w:rPr>
        <w:t>Part II</w:t>
      </w:r>
      <w:r>
        <w:rPr>
          <w:rFonts w:ascii="Times New Roman" w:cs="Times New Roman" w:eastAsia="Times New Roman" w:hAnsi="Times New Roman"/>
          <w:sz w:val="15"/>
          <w:szCs w:val="15"/>
          <w:color w:val="auto"/>
        </w:rPr>
        <w:t>. For Payees exempt from backup withholding, see the enclosed “Guidelines for Certification of Taxpayer Identification Number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on Substitute Form W-9” and complete as instructed therein.</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Part III. Certification</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Under penalties of perjury, I certify that:</w:t>
      </w:r>
    </w:p>
    <w:p>
      <w:pPr>
        <w:spacing w:after="0" w:line="5" w:lineRule="exact"/>
        <w:rPr>
          <w:sz w:val="20"/>
          <w:szCs w:val="20"/>
          <w:color w:val="auto"/>
        </w:rPr>
      </w:pPr>
    </w:p>
    <w:p>
      <w:pPr>
        <w:ind w:left="380" w:right="60" w:hanging="334"/>
        <w:spacing w:after="0" w:line="253" w:lineRule="auto"/>
        <w:tabs>
          <w:tab w:leader="none" w:pos="423"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shown on this form is my correct Taxpayer Identification Number (or, as indicated, I am waiting for a number to be issued to me):</w:t>
      </w:r>
    </w:p>
    <w:p>
      <w:pPr>
        <w:spacing w:after="0" w:line="154" w:lineRule="exact"/>
        <w:rPr>
          <w:rFonts w:ascii="Times New Roman" w:cs="Times New Roman" w:eastAsia="Times New Roman" w:hAnsi="Times New Roman"/>
          <w:sz w:val="15"/>
          <w:szCs w:val="15"/>
          <w:color w:val="auto"/>
        </w:rPr>
      </w:pPr>
    </w:p>
    <w:p>
      <w:pPr>
        <w:jc w:val="both"/>
        <w:ind w:left="380" w:right="60" w:hanging="334"/>
        <w:spacing w:after="0" w:line="260" w:lineRule="auto"/>
        <w:tabs>
          <w:tab w:leader="none" w:pos="378"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am not subject to backup withholding because: (a) I am exempt from backup withholding, or (b) I have not been notified by the IRS that I am subject to backup withholding as a result of a failure to report all interests or dividends, or (c) the IRS has notified me that I am no longer subject to backup withholding; and</w:t>
      </w:r>
    </w:p>
    <w:p>
      <w:pPr>
        <w:spacing w:after="0" w:line="149" w:lineRule="exact"/>
        <w:rPr>
          <w:rFonts w:ascii="Times New Roman" w:cs="Times New Roman" w:eastAsia="Times New Roman" w:hAnsi="Times New Roman"/>
          <w:sz w:val="15"/>
          <w:szCs w:val="15"/>
          <w:color w:val="auto"/>
        </w:rPr>
      </w:pPr>
    </w:p>
    <w:p>
      <w:pPr>
        <w:ind w:left="440" w:hanging="394"/>
        <w:spacing w:after="0"/>
        <w:tabs>
          <w:tab w:leader="none" w:pos="440"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am a U.S. person (including a U.S. resident alien).</w:t>
      </w:r>
    </w:p>
    <w:p>
      <w:pPr>
        <w:spacing w:after="0" w:line="180" w:lineRule="exact"/>
        <w:rPr>
          <w:sz w:val="20"/>
          <w:szCs w:val="20"/>
          <w:color w:val="auto"/>
        </w:rPr>
      </w:pPr>
    </w:p>
    <w:p>
      <w:pPr>
        <w:jc w:val="both"/>
        <w:ind w:left="40" w:right="60"/>
        <w:spacing w:after="0" w:line="256" w:lineRule="auto"/>
        <w:rPr>
          <w:sz w:val="20"/>
          <w:szCs w:val="20"/>
          <w:color w:val="auto"/>
        </w:rPr>
      </w:pPr>
      <w:r>
        <w:rPr>
          <w:rFonts w:ascii="Times New Roman" w:cs="Times New Roman" w:eastAsia="Times New Roman" w:hAnsi="Times New Roman"/>
          <w:sz w:val="15"/>
          <w:szCs w:val="15"/>
          <w:b w:val="1"/>
          <w:bCs w:val="1"/>
          <w:color w:val="auto"/>
        </w:rPr>
        <w:t>Certification Instructions—</w:t>
      </w:r>
      <w:r>
        <w:rPr>
          <w:rFonts w:ascii="Times New Roman" w:cs="Times New Roman" w:eastAsia="Times New Roman" w:hAnsi="Times New Roman"/>
          <w:sz w:val="15"/>
          <w:szCs w:val="15"/>
          <w:color w:val="auto"/>
        </w:rPr>
        <w:t>You must cross out item (2) above if you have been notified by the IRS that you are subject to backup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withholding because you have failed to report all interest or dividends on your tax return. However, if after being notified by the IRS that you were subject to backup withholding you received another notification from the IRS that you are no longer subject to backup withholding, do not cross out item (2).</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Signature: ______________ Date: ____________________ , 20</w:t>
      </w:r>
    </w:p>
    <w:p>
      <w:pPr>
        <w:spacing w:after="0" w:line="200" w:lineRule="exact"/>
        <w:rPr>
          <w:sz w:val="20"/>
          <w:szCs w:val="20"/>
          <w:color w:val="auto"/>
        </w:rPr>
      </w:pPr>
    </w:p>
    <w:p>
      <w:pPr>
        <w:sectPr>
          <w:pgSz w:w="11900" w:h="16838" w:orient="portrait"/>
          <w:cols w:equalWidth="0" w:num="2">
            <w:col w:w="2360" w:space="720"/>
            <w:col w:w="8200"/>
          </w:cols>
          <w:pgMar w:left="300" w:top="114" w:right="319" w:bottom="1440" w:gutter="0" w:footer="0" w:header="0"/>
          <w:type w:val="continuous"/>
        </w:sectPr>
      </w:pP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 must complete the following certificate if you wrote “applied for” in part I of this substitute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7157085" cy="1070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085" cy="1070610"/>
                    </a:xfrm>
                    <a:prstGeom prst="rect">
                      <a:avLst/>
                    </a:prstGeom>
                    <a:noFill/>
                  </pic:spPr>
                </pic:pic>
              </a:graphicData>
            </a:graphic>
          </wp:anchor>
        </w:drawing>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CERTIFICATE OF AWAITING TAXPAYER IDENTIFICATION NUMBER</w:t>
      </w:r>
    </w:p>
    <w:p>
      <w:pPr>
        <w:spacing w:after="0" w:line="184" w:lineRule="exact"/>
        <w:rPr>
          <w:sz w:val="20"/>
          <w:szCs w:val="20"/>
          <w:color w:val="auto"/>
        </w:rPr>
      </w:pPr>
    </w:p>
    <w:p>
      <w:pPr>
        <w:jc w:val="both"/>
        <w:ind w:left="60" w:right="40" w:firstLine="266"/>
        <w:spacing w:after="0" w:line="253" w:lineRule="auto"/>
        <w:rPr>
          <w:sz w:val="20"/>
          <w:szCs w:val="20"/>
          <w:color w:val="auto"/>
        </w:rPr>
      </w:pPr>
      <w:r>
        <w:rPr>
          <w:rFonts w:ascii="Times New Roman" w:cs="Times New Roman" w:eastAsia="Times New Roman" w:hAnsi="Times New Roman"/>
          <w:sz w:val="15"/>
          <w:szCs w:val="15"/>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notwithstanding the information I provided in Part III of the Substitute Form W-9 (and the fact that I have completed this Certificate of Awaiting Taxpayer Identification Number), all reportable payments made to me hereafter will be subject to backup withholding tax until I provide a properly certified taxpayer identification number within 60 days of the date of this Substitute Form W-9.</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Signature: ____________________ Date: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259080</wp:posOffset>
            </wp:positionV>
            <wp:extent cx="7157085"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type w:val="continuous"/>
        </w:sectPr>
      </w:pPr>
    </w:p>
    <w:bookmarkStart w:id="167" w:name="page168"/>
    <w:bookmarkEnd w:id="1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INSTRUCTIONS FOR LETTER OF TRANSMITTAL</w:t>
      </w:r>
    </w:p>
    <w:p>
      <w:pPr>
        <w:spacing w:after="0" w:line="192" w:lineRule="exact"/>
        <w:rPr>
          <w:sz w:val="20"/>
          <w:szCs w:val="20"/>
          <w:color w:val="auto"/>
        </w:rPr>
      </w:pPr>
    </w:p>
    <w:p>
      <w:pPr>
        <w:ind w:left="580" w:hanging="571"/>
        <w:spacing w:after="0"/>
        <w:tabs>
          <w:tab w:leader="none" w:pos="5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 of Signature. </w:t>
      </w:r>
      <w:r>
        <w:rPr>
          <w:rFonts w:ascii="Times New Roman" w:cs="Times New Roman" w:eastAsia="Times New Roman" w:hAnsi="Times New Roman"/>
          <w:sz w:val="18"/>
          <w:szCs w:val="18"/>
          <w:color w:val="auto"/>
        </w:rPr>
        <w:t>Signatures on all Letters of Transmittal must be guaranteed by a financial institution that is a member of a Securities</w:t>
      </w:r>
    </w:p>
    <w:p>
      <w:pPr>
        <w:spacing w:after="0" w:line="1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Transfer Association approved medallion program such as STAMP, SEMP or MSP (an “Eligible Institution”), except in cases where securities are surrendered</w:t>
      </w:r>
    </w:p>
    <w:p>
      <w:pPr>
        <w:spacing w:after="0" w:line="4" w:lineRule="exact"/>
        <w:rPr>
          <w:rFonts w:ascii="Times New Roman" w:cs="Times New Roman" w:eastAsia="Times New Roman" w:hAnsi="Times New Roman"/>
          <w:sz w:val="18"/>
          <w:szCs w:val="18"/>
          <w:color w:val="auto"/>
        </w:rPr>
      </w:pPr>
    </w:p>
    <w:p>
      <w:pPr>
        <w:ind w:right="12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by a registered holder of the securities who has </w:t>
      </w:r>
      <w:r>
        <w:rPr>
          <w:rFonts w:ascii="Times New Roman" w:cs="Times New Roman" w:eastAsia="Times New Roman" w:hAnsi="Times New Roman"/>
          <w:sz w:val="18"/>
          <w:szCs w:val="18"/>
          <w:b w:val="1"/>
          <w:bCs w:val="1"/>
          <w:i w:val="1"/>
          <w:iCs w:val="1"/>
          <w:color w:val="auto"/>
        </w:rPr>
        <w:t>not</w:t>
      </w:r>
      <w:r>
        <w:rPr>
          <w:rFonts w:ascii="Times New Roman" w:cs="Times New Roman" w:eastAsia="Times New Roman" w:hAnsi="Times New Roman"/>
          <w:sz w:val="18"/>
          <w:szCs w:val="18"/>
          <w:color w:val="auto"/>
        </w:rPr>
        <w:t xml:space="preserve"> completed either the box entitled “Special Payment/Issuance Instructions” or the box entitled “Special Delivery Instructions” on the Letter of Transmittal or (ii) for the account of an Eligible Institution. </w:t>
      </w:r>
      <w:r>
        <w:rPr>
          <w:rFonts w:ascii="Times New Roman" w:cs="Times New Roman" w:eastAsia="Times New Roman" w:hAnsi="Times New Roman"/>
          <w:sz w:val="18"/>
          <w:szCs w:val="18"/>
          <w:b w:val="1"/>
          <w:bCs w:val="1"/>
          <w:color w:val="auto"/>
        </w:rPr>
        <w:t>See Instruction 4.</w:t>
      </w:r>
    </w:p>
    <w:p>
      <w:pPr>
        <w:spacing w:after="0" w:line="164" w:lineRule="exact"/>
        <w:rPr>
          <w:rFonts w:ascii="Times New Roman" w:cs="Times New Roman" w:eastAsia="Times New Roman" w:hAnsi="Times New Roman"/>
          <w:sz w:val="18"/>
          <w:szCs w:val="18"/>
          <w:color w:val="auto"/>
        </w:rPr>
      </w:pPr>
    </w:p>
    <w:p>
      <w:pPr>
        <w:ind w:right="180" w:firstLine="9"/>
        <w:spacing w:after="0" w:line="295" w:lineRule="auto"/>
        <w:tabs>
          <w:tab w:leader="none" w:pos="577"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Delivery of Letter of Transmittal and Certificates. </w:t>
      </w:r>
      <w:r>
        <w:rPr>
          <w:rFonts w:ascii="Times New Roman" w:cs="Times New Roman" w:eastAsia="Times New Roman" w:hAnsi="Times New Roman"/>
          <w:sz w:val="17"/>
          <w:szCs w:val="17"/>
          <w:color w:val="auto"/>
        </w:rPr>
        <w:t>The Letter of Transmittal, properly completed and duly executed, together with the certificate(s)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securities described should be delivered to Continental Stock Transfer &amp; Trust Company in the envelope enclosed for your convenience.</w:t>
      </w:r>
    </w:p>
    <w:p>
      <w:pPr>
        <w:spacing w:after="0" w:line="12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b w:val="1"/>
          <w:bCs w:val="1"/>
          <w:color w:val="auto"/>
        </w:rPr>
        <w:t>THE METHOD OF DELIVERY OF CERTIFICATE(S) AND ALL OTHER REQUIRED DOCUMENTS IS AT THE ELECTION AND RISK OF THE OWNER, BUT IF SENT BY MAIL, IT IS RECOMMENDED THAT THEY BE SENT BY REGISTERED MAIL WITH RETURN RECEIPT REQUESTED. DELIVERY OF THE DOCUMENTS WILL BE EFFECTIVE, AND RISK OF LOSS AND TITLE WITH RESPECT THERETO SHALL PASS, ONLY WHEN THE MATERIALS ARE ACTUALLY RECEIVED BY THE PAYING AGENT.</w:t>
      </w:r>
    </w:p>
    <w:p>
      <w:pPr>
        <w:spacing w:after="0" w:line="162" w:lineRule="exact"/>
        <w:rPr>
          <w:sz w:val="20"/>
          <w:szCs w:val="20"/>
          <w:color w:val="auto"/>
        </w:rPr>
      </w:pPr>
    </w:p>
    <w:p>
      <w:pPr>
        <w:ind w:right="60" w:firstLine="9"/>
        <w:spacing w:after="0" w:line="265" w:lineRule="auto"/>
        <w:tabs>
          <w:tab w:leader="none" w:pos="57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Inadequate Space. </w:t>
      </w:r>
      <w:r>
        <w:rPr>
          <w:rFonts w:ascii="Times New Roman" w:cs="Times New Roman" w:eastAsia="Times New Roman" w:hAnsi="Times New Roman"/>
          <w:sz w:val="18"/>
          <w:szCs w:val="18"/>
          <w:color w:val="auto"/>
        </w:rPr>
        <w:t>If the space provided on the Letter of Transmittal is inadequate, the certificate numbers and the number of shares should be listed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 separate schedule to be attached thereto.</w:t>
      </w:r>
    </w:p>
    <w:p>
      <w:pPr>
        <w:spacing w:after="0" w:line="141" w:lineRule="exact"/>
        <w:rPr>
          <w:rFonts w:ascii="Times New Roman" w:cs="Times New Roman" w:eastAsia="Times New Roman" w:hAnsi="Times New Roman"/>
          <w:sz w:val="18"/>
          <w:szCs w:val="18"/>
          <w:color w:val="auto"/>
        </w:rPr>
      </w:pPr>
    </w:p>
    <w:p>
      <w:pPr>
        <w:ind w:right="280" w:firstLine="9"/>
        <w:spacing w:after="0" w:line="265" w:lineRule="auto"/>
        <w:tabs>
          <w:tab w:leader="none" w:pos="57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Signatures of Letter of Transmittal, Stock Powers and Endorsements. </w:t>
      </w:r>
      <w:r>
        <w:rPr>
          <w:rFonts w:ascii="Times New Roman" w:cs="Times New Roman" w:eastAsia="Times New Roman" w:hAnsi="Times New Roman"/>
          <w:sz w:val="18"/>
          <w:szCs w:val="18"/>
          <w:color w:val="auto"/>
        </w:rPr>
        <w:t>When the Letter of Transmittal is signed by the registered owner(s)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certificate(s) listed and surrendered thereby, no endorsements of certificates or separate stock powers are required.</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certificate(s) surrendered is (are) owned of record by two or more joint owners, all such owners must sign the Letter of Transmittal.</w:t>
      </w:r>
    </w:p>
    <w:p>
      <w:pPr>
        <w:spacing w:after="0" w:line="192" w:lineRule="exact"/>
        <w:rPr>
          <w:sz w:val="20"/>
          <w:szCs w:val="20"/>
          <w:color w:val="auto"/>
        </w:rPr>
      </w:pPr>
    </w:p>
    <w:p>
      <w:pPr>
        <w:ind w:right="840" w:firstLine="426"/>
        <w:spacing w:after="0" w:line="260" w:lineRule="auto"/>
        <w:rPr>
          <w:sz w:val="20"/>
          <w:szCs w:val="20"/>
          <w:color w:val="auto"/>
        </w:rPr>
      </w:pPr>
      <w:r>
        <w:rPr>
          <w:rFonts w:ascii="Times New Roman" w:cs="Times New Roman" w:eastAsia="Times New Roman" w:hAnsi="Times New Roman"/>
          <w:sz w:val="18"/>
          <w:szCs w:val="18"/>
          <w:color w:val="auto"/>
        </w:rPr>
        <w:t>If any surrendered certificates are registered in different names, it will be necessary to complete, sign and submit as many separate Letters of Transmittal as there are different registrations of certificates.</w:t>
      </w:r>
    </w:p>
    <w:p>
      <w:pPr>
        <w:spacing w:after="0" w:line="151" w:lineRule="exact"/>
        <w:rPr>
          <w:sz w:val="20"/>
          <w:szCs w:val="20"/>
          <w:color w:val="auto"/>
        </w:rPr>
      </w:pPr>
    </w:p>
    <w:p>
      <w:pPr>
        <w:ind w:right="180" w:firstLine="426"/>
        <w:spacing w:after="0" w:line="246" w:lineRule="auto"/>
        <w:rPr>
          <w:sz w:val="20"/>
          <w:szCs w:val="20"/>
          <w:color w:val="auto"/>
        </w:rPr>
      </w:pPr>
      <w:r>
        <w:rPr>
          <w:rFonts w:ascii="Times New Roman" w:cs="Times New Roman" w:eastAsia="Times New Roman" w:hAnsi="Times New Roman"/>
          <w:sz w:val="18"/>
          <w:szCs w:val="18"/>
          <w:color w:val="auto"/>
        </w:rPr>
        <w:t xml:space="preserve">If the Letter of Transmittal is signed by a person other than the registered owner of the certificate(s) listed, such certificate(s) must be endorsed or accompanied by appropriate stock powers, in either case signed exactly as the name or names of the registered owner or owners appear on the certificate(s). Signatures on such certificates or stock powers must be guaranteed by an Eligible Institution. </w:t>
      </w:r>
      <w:r>
        <w:rPr>
          <w:rFonts w:ascii="Times New Roman" w:cs="Times New Roman" w:eastAsia="Times New Roman" w:hAnsi="Times New Roman"/>
          <w:sz w:val="18"/>
          <w:szCs w:val="18"/>
          <w:b w:val="1"/>
          <w:bCs w:val="1"/>
          <w:color w:val="auto"/>
        </w:rPr>
        <w:t>See Instruction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420" w:firstLine="426"/>
        <w:spacing w:after="0" w:line="246" w:lineRule="auto"/>
        <w:rPr>
          <w:sz w:val="20"/>
          <w:szCs w:val="20"/>
          <w:color w:val="auto"/>
        </w:rPr>
      </w:pPr>
      <w:r>
        <w:rPr>
          <w:rFonts w:ascii="Times New Roman" w:cs="Times New Roman" w:eastAsia="Times New Roman" w:hAnsi="Times New Roman"/>
          <w:sz w:val="18"/>
          <w:szCs w:val="18"/>
          <w:color w:val="auto"/>
        </w:rPr>
        <w:t>If the Letter of Transmittal or any certificate or stock power is signed by trustees, executors, administrators, guardians, attorney-in-fact, officers of corporations or others, acting in a fiduciary or representative capacity, such persons should so indicate when signing and proper evidence, satisfactory to Continental Stock Transfer &amp; Trust Company, the Company’s transfer agent, of their authority to do so must be submitted.</w:t>
      </w:r>
    </w:p>
    <w:p>
      <w:pPr>
        <w:spacing w:after="0" w:line="158" w:lineRule="exact"/>
        <w:rPr>
          <w:sz w:val="20"/>
          <w:szCs w:val="20"/>
          <w:color w:val="auto"/>
        </w:rPr>
      </w:pPr>
    </w:p>
    <w:p>
      <w:pPr>
        <w:ind w:right="140" w:firstLine="9"/>
        <w:spacing w:after="0" w:line="265" w:lineRule="auto"/>
        <w:tabs>
          <w:tab w:leader="none" w:pos="5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Payment and Delivery Instructions. </w:t>
      </w:r>
      <w:r>
        <w:rPr>
          <w:rFonts w:ascii="Times New Roman" w:cs="Times New Roman" w:eastAsia="Times New Roman" w:hAnsi="Times New Roman"/>
          <w:sz w:val="18"/>
          <w:szCs w:val="18"/>
          <w:color w:val="auto"/>
        </w:rPr>
        <w:t>Indicate the name and address to which payment for the securities is to be issued and/or sent if different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name and address of the person(s) signing the Letter of Transmittal.</w:t>
      </w:r>
    </w:p>
    <w:p>
      <w:pPr>
        <w:spacing w:after="0" w:line="141" w:lineRule="exact"/>
        <w:rPr>
          <w:rFonts w:ascii="Times New Roman" w:cs="Times New Roman" w:eastAsia="Times New Roman" w:hAnsi="Times New Roman"/>
          <w:sz w:val="18"/>
          <w:szCs w:val="18"/>
          <w:color w:val="auto"/>
        </w:rPr>
      </w:pPr>
    </w:p>
    <w:p>
      <w:pPr>
        <w:ind w:right="180" w:firstLine="9"/>
        <w:spacing w:after="0" w:line="248" w:lineRule="auto"/>
        <w:tabs>
          <w:tab w:leader="none" w:pos="5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Substitute Form W-9. </w:t>
      </w:r>
      <w:r>
        <w:rPr>
          <w:rFonts w:ascii="Times New Roman" w:cs="Times New Roman" w:eastAsia="Times New Roman" w:hAnsi="Times New Roman"/>
          <w:sz w:val="18"/>
          <w:szCs w:val="18"/>
          <w:color w:val="auto"/>
        </w:rPr>
        <w:t>Enter your social security or employer identification number, and complete, sign and date the Substitute W-9 certification.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are a foreign person, you must provide a properly completed and executed Internal Revenue Service Form W-8BEN, which you can obtain from Continental Stock Transfer &amp; Trust Company.</w:t>
      </w:r>
    </w:p>
    <w:p>
      <w:pPr>
        <w:spacing w:after="0" w:line="157" w:lineRule="exact"/>
        <w:rPr>
          <w:rFonts w:ascii="Times New Roman" w:cs="Times New Roman" w:eastAsia="Times New Roman" w:hAnsi="Times New Roman"/>
          <w:sz w:val="18"/>
          <w:szCs w:val="18"/>
          <w:color w:val="auto"/>
        </w:rPr>
      </w:pPr>
    </w:p>
    <w:p>
      <w:pPr>
        <w:ind w:right="20" w:firstLine="9"/>
        <w:spacing w:after="0" w:line="265" w:lineRule="auto"/>
        <w:tabs>
          <w:tab w:leader="none" w:pos="5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Additional Copies. </w:t>
      </w:r>
      <w:r>
        <w:rPr>
          <w:rFonts w:ascii="Times New Roman" w:cs="Times New Roman" w:eastAsia="Times New Roman" w:hAnsi="Times New Roman"/>
          <w:sz w:val="18"/>
          <w:szCs w:val="18"/>
          <w:color w:val="auto"/>
        </w:rPr>
        <w:t>Additional copies of the Letter of Transmittal may be obtained from the Reorganization Department of Continental Stock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&amp; Trust Company at the address listed below.</w:t>
      </w:r>
    </w:p>
    <w:p>
      <w:pPr>
        <w:spacing w:after="0" w:line="141" w:lineRule="exact"/>
        <w:rPr>
          <w:rFonts w:ascii="Times New Roman" w:cs="Times New Roman" w:eastAsia="Times New Roman" w:hAnsi="Times New Roman"/>
          <w:sz w:val="18"/>
          <w:szCs w:val="18"/>
          <w:color w:val="auto"/>
        </w:rPr>
      </w:pPr>
    </w:p>
    <w:p>
      <w:pPr>
        <w:ind w:right="380" w:firstLine="9"/>
        <w:spacing w:after="0" w:line="265" w:lineRule="auto"/>
        <w:tabs>
          <w:tab w:leader="none" w:pos="5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Lost, Stolen or Destroyed Certificates. </w:t>
      </w:r>
      <w:r>
        <w:rPr>
          <w:rFonts w:ascii="Times New Roman" w:cs="Times New Roman" w:eastAsia="Times New Roman" w:hAnsi="Times New Roman"/>
          <w:sz w:val="18"/>
          <w:szCs w:val="18"/>
          <w:color w:val="auto"/>
        </w:rPr>
        <w:t>If any stock certificates have been lost, stolen or destroyed, please so indicate on the front of the Letter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Transmittal, and additional paperwork will be sent to you to replace the lost, stolen or destroyed certificates.</w:t>
      </w:r>
    </w:p>
    <w:p>
      <w:pPr>
        <w:spacing w:after="0" w:line="146" w:lineRule="exact"/>
        <w:rPr>
          <w:sz w:val="20"/>
          <w:szCs w:val="20"/>
          <w:color w:val="auto"/>
        </w:rPr>
      </w:pPr>
    </w:p>
    <w:p>
      <w:pPr>
        <w:ind w:right="100" w:firstLine="426"/>
        <w:spacing w:after="0" w:line="237" w:lineRule="auto"/>
        <w:rPr>
          <w:sz w:val="20"/>
          <w:szCs w:val="20"/>
          <w:color w:val="auto"/>
        </w:rPr>
      </w:pPr>
      <w:r>
        <w:rPr>
          <w:rFonts w:ascii="Times New Roman" w:cs="Times New Roman" w:eastAsia="Times New Roman" w:hAnsi="Times New Roman"/>
          <w:sz w:val="18"/>
          <w:szCs w:val="18"/>
          <w:color w:val="auto"/>
        </w:rPr>
        <w:t>All questions as to the validity, form and eligibility of any surrender of certificates will be determined by Continental Stock Transfer &amp; Trust Company and the Company, and such determination shall be final and binding. Continental Stock Transfer &amp; Trust Company and the Company reserve the right to waive any irregularities or defects in the surrender of any certificates. A surrender will not be deemed to have been made until all irregularities have been cured or waived. Neither Continental Stock Transfer &amp; Trust Company nor the Company is under any obligation to waive or to provide any notification of any irregularities or defects in the surrender of any certificates, nor shall Continental Stock Transfer &amp; Trust Company or the Company be liable for any failure to give such notification.</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For Information</w:t>
      </w:r>
      <w:r>
        <w:rPr>
          <w:rFonts w:ascii="Times New Roman" w:cs="Times New Roman" w:eastAsia="Times New Roman" w:hAnsi="Times New Roman"/>
          <w:sz w:val="18"/>
          <w:szCs w:val="18"/>
          <w:color w:val="auto"/>
        </w:rPr>
        <w:t>:</w:t>
      </w:r>
    </w:p>
    <w:p>
      <w:pPr>
        <w:jc w:val="center"/>
        <w:ind w:right="-39"/>
        <w:spacing w:after="0" w:line="238" w:lineRule="auto"/>
        <w:rPr>
          <w:sz w:val="20"/>
          <w:szCs w:val="20"/>
          <w:color w:val="auto"/>
        </w:rPr>
      </w:pPr>
      <w:r>
        <w:rPr>
          <w:rFonts w:ascii="Times New Roman" w:cs="Times New Roman" w:eastAsia="Times New Roman" w:hAnsi="Times New Roman"/>
          <w:sz w:val="18"/>
          <w:szCs w:val="18"/>
          <w:color w:val="auto"/>
        </w:rPr>
        <w:t>Continental Stock Transfer &amp; Trust Company</w:t>
      </w:r>
    </w:p>
    <w:p>
      <w:pPr>
        <w:jc w:val="center"/>
        <w:ind w:right="-39"/>
        <w:spacing w:after="0" w:line="187" w:lineRule="auto"/>
        <w:rPr>
          <w:sz w:val="20"/>
          <w:szCs w:val="20"/>
          <w:color w:val="auto"/>
        </w:rPr>
      </w:pPr>
      <w:r>
        <w:rPr>
          <w:rFonts w:ascii="Times New Roman" w:cs="Times New Roman" w:eastAsia="Times New Roman" w:hAnsi="Times New Roman"/>
          <w:sz w:val="15"/>
          <w:szCs w:val="15"/>
          <w:color w:val="auto"/>
        </w:rPr>
        <w:t>1 State Street –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Floor</w:t>
      </w:r>
    </w:p>
    <w:p>
      <w:pPr>
        <w:jc w:val="center"/>
        <w:ind w:right="-39"/>
        <w:spacing w:after="0" w:line="232" w:lineRule="auto"/>
        <w:rPr>
          <w:sz w:val="20"/>
          <w:szCs w:val="20"/>
          <w:color w:val="auto"/>
        </w:rPr>
      </w:pPr>
      <w:r>
        <w:rPr>
          <w:rFonts w:ascii="Times New Roman" w:cs="Times New Roman" w:eastAsia="Times New Roman" w:hAnsi="Times New Roman"/>
          <w:sz w:val="18"/>
          <w:szCs w:val="18"/>
          <w:color w:val="auto"/>
        </w:rPr>
        <w:t>New York, New York 10004</w:t>
      </w:r>
    </w:p>
    <w:p>
      <w:pPr>
        <w:jc w:val="center"/>
        <w:ind w:right="-39"/>
        <w:spacing w:after="0"/>
        <w:rPr>
          <w:sz w:val="20"/>
          <w:szCs w:val="20"/>
          <w:color w:val="auto"/>
        </w:rPr>
      </w:pPr>
      <w:r>
        <w:rPr>
          <w:rFonts w:ascii="Times New Roman" w:cs="Times New Roman" w:eastAsia="Times New Roman" w:hAnsi="Times New Roman"/>
          <w:sz w:val="18"/>
          <w:szCs w:val="18"/>
          <w:color w:val="auto"/>
        </w:rPr>
        <w:t>917-262-2378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215265</wp:posOffset>
            </wp:positionV>
            <wp:extent cx="7157085"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CERIFICATE OF INCORPORATION OF</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name of this corporation is Nautilus Biotechnology,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94" w:lineRule="exact"/>
        <w:rPr>
          <w:sz w:val="20"/>
          <w:szCs w:val="20"/>
          <w:color w:val="auto"/>
        </w:r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94" w:lineRule="exact"/>
        <w:rPr>
          <w:sz w:val="20"/>
          <w:szCs w:val="20"/>
          <w:color w:val="auto"/>
        </w:r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Company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94" w:lineRule="exact"/>
        <w:rPr>
          <w:sz w:val="20"/>
          <w:szCs w:val="20"/>
          <w:color w:val="auto"/>
        </w:rPr>
      </w:pPr>
    </w:p>
    <w:p>
      <w:pPr>
        <w:jc w:val="both"/>
        <w:ind w:right="300" w:firstLine="532"/>
        <w:spacing w:after="0" w:line="246" w:lineRule="auto"/>
        <w:rPr>
          <w:sz w:val="20"/>
          <w:szCs w:val="20"/>
          <w:color w:val="auto"/>
        </w:rPr>
      </w:pPr>
      <w:r>
        <w:rPr>
          <w:rFonts w:ascii="Times New Roman" w:cs="Times New Roman" w:eastAsia="Times New Roman" w:hAnsi="Times New Roman"/>
          <w:sz w:val="18"/>
          <w:szCs w:val="18"/>
          <w:color w:val="auto"/>
        </w:rPr>
        <w:t>Section 1. 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spacing w:after="0" w:line="162" w:lineRule="exact"/>
        <w:rPr>
          <w:sz w:val="20"/>
          <w:szCs w:val="20"/>
          <w:color w:val="auto"/>
        </w:rPr>
      </w:pPr>
    </w:p>
    <w:p>
      <w:pPr>
        <w:ind w:right="60" w:firstLine="532"/>
        <w:spacing w:after="0" w:line="260" w:lineRule="auto"/>
        <w:rPr>
          <w:sz w:val="20"/>
          <w:szCs w:val="20"/>
          <w:color w:val="auto"/>
        </w:rPr>
      </w:pPr>
      <w:r>
        <w:rPr>
          <w:rFonts w:ascii="Times New Roman" w:cs="Times New Roman" w:eastAsia="Times New Roman" w:hAnsi="Times New Roman"/>
          <w:sz w:val="18"/>
          <w:szCs w:val="18"/>
          <w:color w:val="auto"/>
        </w:rPr>
        <w:t>Section 2. Each share of Common Stock outstanding as of the applicable record date shall entitle the holder thereof to one (1) vote on any matter submitted to a vote at a meeting of stockholders.</w:t>
      </w:r>
    </w:p>
    <w:p>
      <w:pPr>
        <w:spacing w:after="0" w:line="151" w:lineRule="exact"/>
        <w:rPr>
          <w:sz w:val="20"/>
          <w:szCs w:val="20"/>
          <w:color w:val="auto"/>
        </w:rPr>
      </w:pPr>
    </w:p>
    <w:p>
      <w:pPr>
        <w:ind w:right="60" w:firstLine="532"/>
        <w:spacing w:after="0" w:line="249" w:lineRule="auto"/>
        <w:rPr>
          <w:sz w:val="20"/>
          <w:szCs w:val="20"/>
          <w:color w:val="auto"/>
        </w:rPr>
      </w:pPr>
      <w:r>
        <w:rPr>
          <w:rFonts w:ascii="Times New Roman" w:cs="Times New Roman" w:eastAsia="Times New Roman" w:hAnsi="Times New Roman"/>
          <w:sz w:val="17"/>
          <w:szCs w:val="17"/>
          <w:color w:val="auto"/>
        </w:rPr>
        <w:t>Section 3. The Preferred Stock may be issued from time to time in one or more series pursuant to a resolution or resolutions providing for such issue duly adopted by the Board of Directors of the Company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69" w:name="page170"/>
    <w:bookmarkEnd w:id="169"/>
    <w:p>
      <w:pPr>
        <w:ind w:firstLine="532"/>
        <w:spacing w:after="0" w:line="238" w:lineRule="auto"/>
        <w:rPr>
          <w:sz w:val="20"/>
          <w:szCs w:val="20"/>
          <w:color w:val="auto"/>
        </w:rPr>
      </w:pPr>
      <w:r>
        <w:rPr>
          <w:rFonts w:ascii="Times New Roman" w:cs="Times New Roman" w:eastAsia="Times New Roman" w:hAnsi="Times New Roman"/>
          <w:sz w:val="18"/>
          <w:szCs w:val="18"/>
          <w:color w:val="auto"/>
        </w:rPr>
        <w:t>Section 4. Except as otherwise required by law or provided in this Certificate of Incorporation,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171" w:lineRule="exact"/>
        <w:rPr>
          <w:sz w:val="20"/>
          <w:szCs w:val="20"/>
          <w:color w:val="auto"/>
        </w:rPr>
      </w:pPr>
    </w:p>
    <w:p>
      <w:pPr>
        <w:ind w:firstLine="532"/>
        <w:spacing w:after="0" w:line="239" w:lineRule="auto"/>
        <w:rPr>
          <w:sz w:val="20"/>
          <w:szCs w:val="20"/>
          <w:color w:val="auto"/>
        </w:rPr>
      </w:pPr>
      <w:r>
        <w:rPr>
          <w:rFonts w:ascii="Times New Roman" w:cs="Times New Roman" w:eastAsia="Times New Roman" w:hAnsi="Times New Roman"/>
          <w:sz w:val="18"/>
          <w:szCs w:val="18"/>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94" w:lineRule="exact"/>
        <w:rPr>
          <w:sz w:val="20"/>
          <w:szCs w:val="20"/>
          <w:color w:val="auto"/>
        </w:rPr>
      </w:pPr>
    </w:p>
    <w:p>
      <w:pPr>
        <w:ind w:right="60" w:firstLine="532"/>
        <w:spacing w:after="0" w:line="236" w:lineRule="auto"/>
        <w:rPr>
          <w:sz w:val="20"/>
          <w:szCs w:val="20"/>
          <w:color w:val="auto"/>
        </w:rPr>
      </w:pPr>
      <w:r>
        <w:rPr>
          <w:rFonts w:ascii="Times New Roman" w:cs="Times New Roman" w:eastAsia="Times New Roman" w:hAnsi="Times New Roman"/>
          <w:sz w:val="18"/>
          <w:szCs w:val="18"/>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Certificate of Incorporation,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73" w:lineRule="exact"/>
        <w:rPr>
          <w:sz w:val="20"/>
          <w:szCs w:val="20"/>
          <w:color w:val="auto"/>
        </w:rPr>
      </w:pPr>
    </w:p>
    <w:p>
      <w:pPr>
        <w:ind w:right="20" w:firstLine="532"/>
        <w:spacing w:after="0" w:line="248" w:lineRule="auto"/>
        <w:rPr>
          <w:sz w:val="20"/>
          <w:szCs w:val="20"/>
          <w:color w:val="auto"/>
        </w:rPr>
      </w:pPr>
      <w:r>
        <w:rPr>
          <w:rFonts w:ascii="Times New Roman" w:cs="Times New Roman" w:eastAsia="Times New Roman" w:hAnsi="Times New Roman"/>
          <w:sz w:val="17"/>
          <w:szCs w:val="17"/>
          <w:color w:val="auto"/>
        </w:rPr>
        <w:t>Section 2. Effective as of the Effective Time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Times New Roman" w:cs="Times New Roman" w:eastAsia="Times New Roman" w:hAnsi="Times New Roman"/>
          <w:sz w:val="17"/>
          <w:szCs w:val="17"/>
          <w:b w:val="1"/>
          <w:bCs w:val="1"/>
          <w:color w:val="auto"/>
        </w:rPr>
        <w:t>Business Combination Agreement</w:t>
      </w:r>
      <w:r>
        <w:rPr>
          <w:rFonts w:ascii="Times New Roman" w:cs="Times New Roman" w:eastAsia="Times New Roman" w:hAnsi="Times New Roman"/>
          <w:sz w:val="17"/>
          <w:szCs w:val="17"/>
          <w:color w:val="auto"/>
        </w:rPr>
        <w:t xml:space="preserve">”)),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that </w:t>
      </w:r>
      <w:r>
        <w:rPr>
          <w:rFonts w:ascii="Times New Roman" w:cs="Times New Roman" w:eastAsia="Times New Roman" w:hAnsi="Times New Roman"/>
          <w:sz w:val="17"/>
          <w:szCs w:val="17"/>
          <w:color w:val="auto"/>
        </w:rPr>
        <w:t>no decrease in the number of directors constituting the Board of Directors shall shorten the term of any incumbent director.</w:t>
      </w:r>
    </w:p>
    <w:p>
      <w:pPr>
        <w:spacing w:after="0" w:line="3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00"/>
          </w:cols>
          <w:pgMar w:left="300" w:top="118" w:right="399"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96" w:lineRule="exact"/>
        <w:rPr>
          <w:sz w:val="20"/>
          <w:szCs w:val="20"/>
          <w:color w:val="auto"/>
        </w:rPr>
      </w:pPr>
    </w:p>
    <w:p>
      <w:pPr>
        <w:ind w:right="20" w:firstLine="532"/>
        <w:spacing w:after="0" w:line="241" w:lineRule="auto"/>
        <w:rPr>
          <w:sz w:val="20"/>
          <w:szCs w:val="20"/>
          <w:color w:val="auto"/>
        </w:rPr>
      </w:pPr>
      <w:r>
        <w:rPr>
          <w:rFonts w:ascii="Times New Roman" w:cs="Times New Roman" w:eastAsia="Times New Roman" w:hAnsi="Times New Roman"/>
          <w:sz w:val="18"/>
          <w:szCs w:val="18"/>
          <w:color w:val="auto"/>
        </w:rPr>
        <w:t>Section 1. From and after the effectiveness of this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66 2/3% of the voting power of the issued and outstanding capital stock of the Company entitled to vote in the election of directors.</w:t>
      </w:r>
    </w:p>
    <w:p>
      <w:pPr>
        <w:spacing w:after="0" w:line="167" w:lineRule="exact"/>
        <w:rPr>
          <w:sz w:val="20"/>
          <w:szCs w:val="20"/>
          <w:color w:val="auto"/>
        </w:rPr>
      </w:pPr>
    </w:p>
    <w:p>
      <w:pPr>
        <w:ind w:firstLine="532"/>
        <w:spacing w:after="0" w:line="236" w:lineRule="auto"/>
        <w:rPr>
          <w:sz w:val="20"/>
          <w:szCs w:val="20"/>
          <w:color w:val="auto"/>
        </w:rPr>
      </w:pPr>
      <w:r>
        <w:rPr>
          <w:rFonts w:ascii="Times New Roman" w:cs="Times New Roman" w:eastAsia="Times New Roman" w:hAnsi="Times New Roman"/>
          <w:sz w:val="18"/>
          <w:szCs w:val="18"/>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94"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color w:val="auto"/>
        </w:rPr>
        <w:t>The Company is to have perpetual existence.</w:t>
      </w:r>
    </w:p>
    <w:p>
      <w:pPr>
        <w:spacing w:after="0" w:line="192" w:lineRule="exact"/>
        <w:rPr>
          <w:sz w:val="20"/>
          <w:szCs w:val="20"/>
          <w:color w:val="auto"/>
        </w:rPr>
      </w:pPr>
    </w:p>
    <w:p>
      <w:pPr>
        <w:ind w:right="120" w:firstLine="532"/>
        <w:spacing w:after="0" w:line="246" w:lineRule="auto"/>
        <w:rPr>
          <w:sz w:val="20"/>
          <w:szCs w:val="20"/>
          <w:color w:val="auto"/>
        </w:rPr>
      </w:pPr>
      <w:r>
        <w:rPr>
          <w:rFonts w:ascii="Times New Roman" w:cs="Times New Roman" w:eastAsia="Times New Roman" w:hAnsi="Times New Roman"/>
          <w:sz w:val="18"/>
          <w:szCs w:val="18"/>
          <w:color w:val="auto"/>
        </w:rPr>
        <w:t>Section 2. The business and affairs of the Company shall be managed by or under the direction of the Board of Directors. In addition to the powers and authority expressly conferred upon them by statute or by this Certificate of Incorporation or the Bylaws of the Company, the directors are hereby empowered to exercise all such powers and do all such acts and things as may be exercised or done by the Company.</w:t>
      </w:r>
    </w:p>
    <w:p>
      <w:pPr>
        <w:spacing w:after="0" w:line="162" w:lineRule="exact"/>
        <w:rPr>
          <w:sz w:val="20"/>
          <w:szCs w:val="20"/>
          <w:color w:val="auto"/>
        </w:rPr>
      </w:pPr>
    </w:p>
    <w:p>
      <w:pPr>
        <w:ind w:right="140" w:firstLine="532"/>
        <w:spacing w:after="0" w:line="236" w:lineRule="auto"/>
        <w:rPr>
          <w:sz w:val="20"/>
          <w:szCs w:val="20"/>
          <w:color w:val="auto"/>
        </w:rPr>
      </w:pPr>
      <w:r>
        <w:rPr>
          <w:rFonts w:ascii="Times New Roman" w:cs="Times New Roman" w:eastAsia="Times New Roman" w:hAnsi="Times New Roman"/>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73"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The election of directors need not be by written ballot unless the Bylaws of the Company shall so provide.</w:t>
      </w:r>
    </w:p>
    <w:p>
      <w:pPr>
        <w:spacing w:after="0" w:line="192"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color w:val="auto"/>
        </w:rPr>
        <w:t>No stockholder will be permitted to cumulate votes at any election of directors.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94" w:lineRule="exact"/>
        <w:rPr>
          <w:sz w:val="20"/>
          <w:szCs w:val="20"/>
          <w:color w:val="auto"/>
        </w:rPr>
      </w:pPr>
    </w:p>
    <w:p>
      <w:pPr>
        <w:ind w:right="100" w:firstLine="532"/>
        <w:spacing w:after="0" w:line="246" w:lineRule="auto"/>
        <w:rPr>
          <w:sz w:val="20"/>
          <w:szCs w:val="20"/>
          <w:color w:val="auto"/>
        </w:rPr>
      </w:pPr>
      <w:r>
        <w:rPr>
          <w:rFonts w:ascii="Times New Roman" w:cs="Times New Roman" w:eastAsia="Times New Roman" w:hAnsi="Times New Roman"/>
          <w:sz w:val="18"/>
          <w:szCs w:val="18"/>
          <w:color w:val="auto"/>
        </w:rPr>
        <w:t>Section 1. From and after the effectiveness of this Certificate of Incorporation,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3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71" w:name="page172"/>
    <w:bookmarkEnd w:id="171"/>
    <w:p>
      <w:pPr>
        <w:ind w:right="120" w:firstLine="532"/>
        <w:spacing w:after="0" w:line="238" w:lineRule="auto"/>
        <w:rPr>
          <w:sz w:val="20"/>
          <w:szCs w:val="20"/>
          <w:color w:val="auto"/>
        </w:rPr>
      </w:pPr>
      <w:r>
        <w:rPr>
          <w:rFonts w:ascii="Times New Roman" w:cs="Times New Roman" w:eastAsia="Times New Roman" w:hAnsi="Times New Roman"/>
          <w:sz w:val="18"/>
          <w:szCs w:val="18"/>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71" w:lineRule="exact"/>
        <w:rPr>
          <w:sz w:val="20"/>
          <w:szCs w:val="20"/>
          <w:color w:val="auto"/>
        </w:rPr>
      </w:pPr>
    </w:p>
    <w:p>
      <w:pPr>
        <w:ind w:right="420" w:firstLine="532"/>
        <w:spacing w:after="0" w:line="260" w:lineRule="auto"/>
        <w:rPr>
          <w:sz w:val="20"/>
          <w:szCs w:val="20"/>
          <w:color w:val="auto"/>
        </w:rPr>
      </w:pPr>
      <w:r>
        <w:rPr>
          <w:rFonts w:ascii="Times New Roman" w:cs="Times New Roman" w:eastAsia="Times New Roman" w:hAnsi="Times New Roman"/>
          <w:sz w:val="18"/>
          <w:szCs w:val="18"/>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94" w:lineRule="exact"/>
        <w:rPr>
          <w:sz w:val="20"/>
          <w:szCs w:val="20"/>
          <w:color w:val="auto"/>
        </w:rPr>
      </w:pPr>
    </w:p>
    <w:p>
      <w:pPr>
        <w:ind w:right="60" w:firstLine="532"/>
        <w:spacing w:after="0" w:line="241" w:lineRule="auto"/>
        <w:rPr>
          <w:sz w:val="20"/>
          <w:szCs w:val="20"/>
          <w:color w:val="auto"/>
        </w:rPr>
      </w:pPr>
      <w:r>
        <w:rPr>
          <w:rFonts w:ascii="Times New Roman" w:cs="Times New Roman" w:eastAsia="Times New Roman" w:hAnsi="Times New Roman"/>
          <w:sz w:val="18"/>
          <w:szCs w:val="18"/>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67" w:lineRule="exact"/>
        <w:rPr>
          <w:sz w:val="20"/>
          <w:szCs w:val="20"/>
          <w:color w:val="auto"/>
        </w:rPr>
      </w:pPr>
    </w:p>
    <w:p>
      <w:pPr>
        <w:ind w:firstLine="532"/>
        <w:spacing w:after="0" w:line="236" w:lineRule="auto"/>
        <w:rPr>
          <w:sz w:val="20"/>
          <w:szCs w:val="20"/>
          <w:color w:val="auto"/>
        </w:rPr>
      </w:pPr>
      <w:r>
        <w:rPr>
          <w:rFonts w:ascii="Times New Roman" w:cs="Times New Roman" w:eastAsia="Times New Roman" w:hAnsi="Times New Roman"/>
          <w:sz w:val="18"/>
          <w:szCs w:val="18"/>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69" w:lineRule="exact"/>
        <w:rPr>
          <w:sz w:val="20"/>
          <w:szCs w:val="20"/>
          <w:color w:val="auto"/>
        </w:rPr>
      </w:pPr>
    </w:p>
    <w:p>
      <w:pPr>
        <w:ind w:right="400" w:firstLine="532"/>
        <w:spacing w:after="0" w:line="239" w:lineRule="auto"/>
        <w:rPr>
          <w:sz w:val="20"/>
          <w:szCs w:val="20"/>
          <w:color w:val="auto"/>
        </w:rPr>
      </w:pPr>
      <w:r>
        <w:rPr>
          <w:rFonts w:ascii="Times New Roman" w:cs="Times New Roman" w:eastAsia="Times New Roman" w:hAnsi="Times New Roman"/>
          <w:sz w:val="18"/>
          <w:szCs w:val="18"/>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67" w:lineRule="exact"/>
        <w:rPr>
          <w:sz w:val="20"/>
          <w:szCs w:val="20"/>
          <w:color w:val="auto"/>
        </w:rPr>
      </w:pPr>
    </w:p>
    <w:p>
      <w:pPr>
        <w:ind w:right="300" w:firstLine="532"/>
        <w:spacing w:after="0" w:line="241" w:lineRule="auto"/>
        <w:rPr>
          <w:sz w:val="20"/>
          <w:szCs w:val="20"/>
          <w:color w:val="auto"/>
        </w:rPr>
      </w:pPr>
      <w:r>
        <w:rPr>
          <w:rFonts w:ascii="Times New Roman" w:cs="Times New Roman" w:eastAsia="Times New Roman" w:hAnsi="Times New Roman"/>
          <w:sz w:val="18"/>
          <w:szCs w:val="18"/>
          <w:color w:val="auto"/>
        </w:rPr>
        <w:t>Section 4. Neither any amendment, repeal nor elimination of any Section of this ARTICLE IX, nor the adoption of any provision of this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elimination or adoption of an inconsistent provision.</w:t>
      </w:r>
    </w:p>
    <w:p>
      <w:pPr>
        <w:spacing w:after="0" w:line="3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96"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7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The Company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Certificate of Incorporation.</w:t>
      </w:r>
    </w:p>
    <w:p>
      <w:pPr>
        <w:spacing w:after="0" w:line="14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name and mailing address of the incorporator are as follows: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INSERT NAME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INSERT MAILING ADDRESS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certificate of incorporation shall be effective at __:__ _.m. Eastern Time on ___________ __, 2021.</w:t>
      </w:r>
    </w:p>
    <w:p>
      <w:pPr>
        <w:spacing w:after="0" w:line="3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color w:val="auto"/>
        </w:rPr>
        <w:t>I, the undersigned, as the sole incorporator of the Company, have signed this Certificate of Incorporation on this ____ day of _________ 2021.</w:t>
      </w:r>
    </w:p>
    <w:p>
      <w:pPr>
        <w:sectPr>
          <w:pgSz w:w="11900" w:h="16838" w:orient="portrait"/>
          <w:cols w:equalWidth="0" w:num="1">
            <w:col w:w="10140"/>
          </w:cols>
          <w:pgMar w:left="840" w:top="461" w:right="9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000"/>
        <w:spacing w:after="0"/>
        <w:tabs>
          <w:tab w:leader="none" w:pos="36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_______________________</w:t>
      </w:r>
    </w:p>
    <w:p>
      <w:pPr>
        <w:spacing w:after="0" w:line="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Name:</w:t>
      </w:r>
    </w:p>
    <w:p>
      <w:pPr>
        <w:ind w:left="3520"/>
        <w:spacing w:after="0"/>
        <w:rPr>
          <w:sz w:val="20"/>
          <w:szCs w:val="20"/>
          <w:color w:val="auto"/>
        </w:rPr>
      </w:pPr>
      <w:r>
        <w:rPr>
          <w:rFonts w:ascii="Times New Roman" w:cs="Times New Roman" w:eastAsia="Times New Roman" w:hAnsi="Times New Roman"/>
          <w:sz w:val="18"/>
          <w:szCs w:val="18"/>
          <w:color w:val="auto"/>
        </w:rPr>
        <w:t>Sole Incorporator</w:t>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29210</wp:posOffset>
            </wp:positionV>
            <wp:extent cx="7157085"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840" w:top="461" w:right="919" w:bottom="1440" w:gutter="0" w:footer="0" w:header="0"/>
          <w:type w:val="continuous"/>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5"/>
          <w:szCs w:val="15"/>
          <w:b w:val="1"/>
          <w:bCs w:val="1"/>
          <w:color w:val="auto"/>
        </w:rPr>
        <w:t>BYLAWS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NAUTILUS BIOTECHNOLOGY,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(initially adopted on [bylaw adoption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231140</wp:posOffset>
            </wp:positionV>
            <wp:extent cx="7157085" cy="13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94"/>
        </w:trPr>
        <w:tc>
          <w:tcPr>
            <w:tcW w:w="1640" w:type="dxa"/>
            <w:vAlign w:val="bottom"/>
          </w:tcPr>
          <w:p>
            <w:pPr>
              <w:spacing w:after="0"/>
              <w:rPr>
                <w:sz w:val="16"/>
                <w:szCs w:val="16"/>
                <w:color w:val="auto"/>
              </w:rPr>
            </w:pPr>
          </w:p>
        </w:tc>
        <w:tc>
          <w:tcPr>
            <w:tcW w:w="7160" w:type="dxa"/>
            <w:vAlign w:val="bottom"/>
          </w:tcPr>
          <w:p>
            <w:pPr>
              <w:ind w:left="32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50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5"/>
                <w:szCs w:val="15"/>
                <w:b w:val="1"/>
                <w:bCs w:val="1"/>
                <w:i w:val="1"/>
                <w:iCs w:val="1"/>
                <w:color w:val="auto"/>
                <w:w w:val="97"/>
              </w:rPr>
              <w:t>Page</w:t>
            </w:r>
          </w:p>
        </w:tc>
        <w:tc>
          <w:tcPr>
            <w:tcW w:w="0" w:type="dxa"/>
            <w:vAlign w:val="bottom"/>
          </w:tcPr>
          <w:p>
            <w:pPr>
              <w:spacing w:after="0"/>
              <w:rPr>
                <w:sz w:val="1"/>
                <w:szCs w:val="1"/>
                <w:color w:val="auto"/>
              </w:rPr>
            </w:pPr>
          </w:p>
        </w:tc>
      </w:tr>
      <w:tr>
        <w:trPr>
          <w:trHeight w:val="177"/>
        </w:trPr>
        <w:tc>
          <w:tcPr>
            <w:tcW w:w="164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800" w:type="dxa"/>
            <w:vAlign w:val="bottom"/>
            <w:gridSpan w:val="2"/>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 - CORPORATE OFFICES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1.1</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REGISTERED OFFICE</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1.2</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OTHER OFFICES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 - MEETINGS OF STOCKHOLDERS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2.1</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PLACE OF MEETINGS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2.2</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ANNUAL MEETING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2.3</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SPECIAL MEETING</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2.4</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ADVANCE NOTICE PROCEDURES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2.5</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NOTICE OF STOCKHOLDERS’ MEETINGS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2.6</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QUORUM</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2.7</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ADJOURNED MEETING; NOTICE</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2.8</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CONDUCT OF BUSINESS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2.9</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VOTING</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2.10</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STOCKHOLDER ACTION BY WRITTEN CONSENT WITHOUT A MEETING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2.11</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RECORD DATES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2.12</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PROXIES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2.13</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LIST OF STOCKHOLDERS ENTITLED TO VOTE</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2.14</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INSPECTORS OF ELECTION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III - DIRECTORS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3.1</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POWERS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3.2</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NUMBER OF DIRECTORS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3.3</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ELECTION, QUALIFICATION AND TERM OF OFFICE OF DIRECTORS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3.4</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RESIGNATION AND VACANCIES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3.5</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PLACE OF MEETINGS; MEETINGS BY TELEPHONE</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3.6</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REGULAR MEETINGS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3.7</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SPECIAL MEETINGS;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3.8</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QUORUM; VOTING</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3.9</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BOARD ACTION BY WRITTEN CONSENT WITHOUT A MEETING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3.10</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FEES AND COMPENSATION OF DIRECTORS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3.11</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REMOVAL OF DIRECTORS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IV - COMMITTEES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4.1</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COMMITTEES OF DIRECTORS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4.2</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COMMITTEE MINUTES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4.3</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MEETINGS AND ACTION OF COMMITTEES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4.4</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SUBCOMMITTEES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ARTICLE V - OFFICERS</w:t>
            </w:r>
          </w:p>
        </w:tc>
        <w:tc>
          <w:tcPr>
            <w:tcW w:w="716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5.1</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OFFICERS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5.2</w:t>
            </w:r>
          </w:p>
        </w:tc>
        <w:tc>
          <w:tcPr>
            <w:tcW w:w="71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APPOINTMENT OF OFFICERS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5.3</w:t>
            </w:r>
          </w:p>
        </w:tc>
        <w:tc>
          <w:tcPr>
            <w:tcW w:w="7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SUBORDINATE OFFICERS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(continued)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Page</w:t>
            </w:r>
          </w:p>
        </w:tc>
      </w:tr>
      <w:tr>
        <w:trPr>
          <w:trHeight w:val="160"/>
        </w:trPr>
        <w:tc>
          <w:tcPr>
            <w:tcW w:w="15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5.4</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REMOVAL AND RESIGNATION OF OFFICERS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5.5</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VACANCIES IN OFFICES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5.6</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REPRESENTATION OF SECURITIES OF OTHER ENTITIES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5.7</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AUTHORITY AND DUTIES OF OFFICERS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77"/>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VI - STOCK</w:t>
            </w:r>
          </w:p>
        </w:tc>
        <w:tc>
          <w:tcPr>
            <w:tcW w:w="8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6.1</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CERTIFICATES; PARTLY PAID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6.2</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SPECIAL DESIGNATION ON CERTIFICATES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6.3</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LOST CERTIFICATES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6.4</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6.5</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TRANSFER OF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6.6</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TRANSFER AGREEMENTS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6.7</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REGISTERED STOCKHOLDERS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6.8</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LOCK-UP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77"/>
        </w:trPr>
        <w:tc>
          <w:tcPr>
            <w:tcW w:w="9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 - MANNER OF GIVING NOTICE AND WAIVER</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7.1</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NOTICE OF STOCKHOLDERS’ MEETINGS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7.2</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NOTICE TO STOCKHOLDERS SHARING AN ADDRESS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7.3</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NOTICE TO PERSON WITH WHOM COMMUNICATION IS UNLAWFUL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7.4</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WAIVER OF NOTICE</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77"/>
        </w:trPr>
        <w:tc>
          <w:tcPr>
            <w:tcW w:w="9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VIII - INDEMNIFICATION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8.1</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INDEMNIFICATION OF DIRECTORS AND OFFICERS IN THIRD PARTY PROCEEDINGS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8.2</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INDEMNIFICATION OF DIRECTORS AND OFFICERS IN ACTIONS BY OR IN THE RIGHT OF THE COMPANY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8.3</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SUCCESSFUL DEFENSE</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8.4</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INDEMNIFICATION OF OTHERS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8.5</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ADVANCED PAYMENT OF EXPENSES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8.6</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LIMITATION ON INDEMNIFICATION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8.7</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DETERMINATION; CLAIM</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8.8</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NON-EXCLUSIVITY OF RIGHTS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8.9</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INSURANCE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8.10</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SURVIVAL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8.11</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EFFECT OF REPEAL OR MODIFICATION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8.12</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CERTAIN DEFINITIONS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77"/>
        </w:trPr>
        <w:tc>
          <w:tcPr>
            <w:tcW w:w="9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IX - GENERAL MATTERS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9.1</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EXECUTION OF CORPORATE CONTRACTS AND INSTRUMENTS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9.2</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FISCAL YEAR</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9.3</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SEAL</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7"/>
        </w:trPr>
        <w:tc>
          <w:tcPr>
            <w:tcW w:w="156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9.4</w:t>
            </w:r>
          </w:p>
        </w:tc>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CONSTRUCTION; DEFINITIONS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9.5</w:t>
            </w: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FORUM SELECTION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(continued)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Page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20"/>
                <w:szCs w:val="20"/>
                <w:color w:val="auto"/>
              </w:rPr>
            </w:pPr>
            <w:r>
              <w:rPr>
                <w:rFonts w:ascii="Times New Roman" w:cs="Times New Roman" w:eastAsia="Times New Roman" w:hAnsi="Times New Roman"/>
                <w:sz w:val="15"/>
                <w:szCs w:val="15"/>
                <w:color w:val="auto"/>
              </w:rPr>
              <w:t>ARTICLE X - AMENDMENTS</w:t>
            </w:r>
          </w:p>
        </w:tc>
        <w:tc>
          <w:tcPr>
            <w:tcW w:w="4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bl>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5"/>
          <w:szCs w:val="15"/>
          <w:b w:val="1"/>
          <w:bCs w:val="1"/>
          <w:color w:val="auto"/>
        </w:rPr>
        <w:t>BYLAWS OF NAUTILUS BIOTECHNOLOGY,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2865755</wp:posOffset>
            </wp:positionH>
            <wp:positionV relativeFrom="paragraph">
              <wp:posOffset>126365</wp:posOffset>
            </wp:positionV>
            <wp:extent cx="1437005"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37005" cy="1397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 - CORPORATE OFFICES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1.1</w:t>
      </w:r>
      <w:r>
        <w:rPr>
          <w:sz w:val="20"/>
          <w:szCs w:val="20"/>
          <w:color w:val="auto"/>
        </w:rPr>
        <w:tab/>
      </w:r>
      <w:r>
        <w:rPr>
          <w:rFonts w:ascii="Times New Roman" w:cs="Times New Roman" w:eastAsia="Times New Roman" w:hAnsi="Times New Roman"/>
          <w:sz w:val="14"/>
          <w:szCs w:val="14"/>
          <w:color w:val="auto"/>
        </w:rPr>
        <w:t>REGISTERED OFFICE</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registered office of Nautilus Biotechnology,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shall be fixed in the Company’s certificate of incorporation, as the same may be amended from time to time.</w:t>
      </w:r>
    </w:p>
    <w:p>
      <w:pPr>
        <w:spacing w:after="0" w:line="19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1.2</w:t>
      </w:r>
      <w:r>
        <w:rPr>
          <w:sz w:val="20"/>
          <w:szCs w:val="20"/>
          <w:color w:val="auto"/>
        </w:rPr>
        <w:tab/>
      </w:r>
      <w:r>
        <w:rPr>
          <w:rFonts w:ascii="Times New Roman" w:cs="Times New Roman" w:eastAsia="Times New Roman" w:hAnsi="Times New Roman"/>
          <w:sz w:val="14"/>
          <w:szCs w:val="14"/>
          <w:color w:val="auto"/>
        </w:rPr>
        <w:t>OTHER OFFICES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may at any time establish other offices.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 - MEETINGS OF STOCKHOLDERS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w:t>
      </w:r>
      <w:r>
        <w:rPr>
          <w:sz w:val="20"/>
          <w:szCs w:val="20"/>
          <w:color w:val="auto"/>
        </w:rPr>
        <w:tab/>
      </w:r>
      <w:r>
        <w:rPr>
          <w:rFonts w:ascii="Times New Roman" w:cs="Times New Roman" w:eastAsia="Times New Roman" w:hAnsi="Times New Roman"/>
          <w:sz w:val="14"/>
          <w:szCs w:val="14"/>
          <w:color w:val="auto"/>
        </w:rPr>
        <w:t>PLACE OF MEETINGS</w:t>
      </w:r>
    </w:p>
    <w:p>
      <w:pPr>
        <w:spacing w:after="0" w:line="180" w:lineRule="exact"/>
        <w:rPr>
          <w:sz w:val="20"/>
          <w:szCs w:val="20"/>
          <w:color w:val="auto"/>
        </w:rPr>
      </w:pPr>
    </w:p>
    <w:p>
      <w:pPr>
        <w:jc w:val="both"/>
        <w:ind w:firstLine="532"/>
        <w:spacing w:after="0" w:line="256" w:lineRule="auto"/>
        <w:rPr>
          <w:sz w:val="20"/>
          <w:szCs w:val="20"/>
          <w:color w:val="auto"/>
        </w:rPr>
      </w:pPr>
      <w:r>
        <w:rPr>
          <w:rFonts w:ascii="Times New Roman" w:cs="Times New Roman" w:eastAsia="Times New Roman" w:hAnsi="Times New Roman"/>
          <w:sz w:val="15"/>
          <w:szCs w:val="15"/>
          <w:color w:val="auto"/>
        </w:rPr>
        <w:t>Meetings of stockholders shall be held at a place, if any, within or outside the State of Delaware, determined by the board of directors of the Company (the “</w:t>
      </w:r>
      <w:r>
        <w:rPr>
          <w:rFonts w:ascii="Times New Roman" w:cs="Times New Roman" w:eastAsia="Times New Roman" w:hAnsi="Times New Roman"/>
          <w:sz w:val="15"/>
          <w:szCs w:val="15"/>
          <w:b w:val="1"/>
          <w:bCs w:val="1"/>
          <w:color w:val="auto"/>
        </w:rPr>
        <w:t>Board of Directors</w:t>
      </w:r>
      <w:r>
        <w:rPr>
          <w:rFonts w:ascii="Times New Roman" w:cs="Times New Roman" w:eastAsia="Times New Roman" w:hAnsi="Times New Roman"/>
          <w:sz w:val="15"/>
          <w:szCs w:val="15"/>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 In the absence of any such designation or determination, stockholders’ meetings shall be held at the Company’s principal executive office.</w:t>
      </w:r>
    </w:p>
    <w:p>
      <w:pPr>
        <w:spacing w:after="0" w:line="153"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2.2</w:t>
      </w:r>
      <w:r>
        <w:rPr>
          <w:sz w:val="20"/>
          <w:szCs w:val="20"/>
          <w:color w:val="auto"/>
        </w:rPr>
        <w:tab/>
      </w:r>
      <w:r>
        <w:rPr>
          <w:rFonts w:ascii="Times New Roman" w:cs="Times New Roman" w:eastAsia="Times New Roman" w:hAnsi="Times New Roman"/>
          <w:sz w:val="14"/>
          <w:szCs w:val="14"/>
          <w:color w:val="auto"/>
        </w:rPr>
        <w:t>ANNUAL MEETING</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cs="Times New Roman" w:eastAsia="Times New Roman" w:hAnsi="Times New Roman"/>
          <w:sz w:val="15"/>
          <w:szCs w:val="15"/>
          <w:b w:val="1"/>
          <w:bCs w:val="1"/>
          <w:color w:val="auto"/>
        </w:rPr>
        <w:t>Whole Board</w:t>
      </w:r>
      <w:r>
        <w:rPr>
          <w:rFonts w:ascii="Times New Roman" w:cs="Times New Roman" w:eastAsia="Times New Roman" w:hAnsi="Times New Roman"/>
          <w:sz w:val="15"/>
          <w:szCs w:val="15"/>
          <w:color w:val="auto"/>
        </w:rPr>
        <w:t>” shall mean the total number of authorized directorships whether or not there exist any vacancies or other unfilled seats in previously authorized directorships.</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2.3</w:t>
      </w:r>
      <w:r>
        <w:rPr>
          <w:sz w:val="20"/>
          <w:szCs w:val="20"/>
          <w:color w:val="auto"/>
        </w:rPr>
        <w:tab/>
      </w:r>
      <w:r>
        <w:rPr>
          <w:rFonts w:ascii="Times New Roman" w:cs="Times New Roman" w:eastAsia="Times New Roman" w:hAnsi="Times New Roman"/>
          <w:sz w:val="14"/>
          <w:szCs w:val="14"/>
          <w:color w:val="auto"/>
        </w:rPr>
        <w:t>SPECIAL MEETING</w:t>
      </w:r>
    </w:p>
    <w:p>
      <w:pPr>
        <w:spacing w:after="0" w:line="182" w:lineRule="exact"/>
        <w:rPr>
          <w:sz w:val="20"/>
          <w:szCs w:val="20"/>
          <w:color w:val="auto"/>
        </w:rPr>
      </w:pPr>
    </w:p>
    <w:p>
      <w:pPr>
        <w:jc w:val="both"/>
        <w:ind w:firstLine="1074"/>
        <w:spacing w:after="0" w:line="253" w:lineRule="auto"/>
        <w:tabs>
          <w:tab w:leader="none" w:pos="1681"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9" w:name="page180"/>
    <w:bookmarkEnd w:id="179"/>
    <w:p>
      <w:pPr>
        <w:jc w:val="both"/>
        <w:ind w:firstLine="1074"/>
        <w:spacing w:after="0" w:line="255" w:lineRule="auto"/>
        <w:tabs>
          <w:tab w:leader="none" w:pos="1801"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2.4</w:t>
      </w:r>
      <w:r>
        <w:rPr>
          <w:sz w:val="20"/>
          <w:szCs w:val="20"/>
          <w:color w:val="auto"/>
        </w:rPr>
        <w:tab/>
      </w:r>
      <w:r>
        <w:rPr>
          <w:rFonts w:ascii="Times New Roman" w:cs="Times New Roman" w:eastAsia="Times New Roman" w:hAnsi="Times New Roman"/>
          <w:sz w:val="14"/>
          <w:szCs w:val="14"/>
          <w:color w:val="auto"/>
        </w:rPr>
        <w:t>ADVANCE NOTICE PROCEDURES</w:t>
      </w:r>
    </w:p>
    <w:p>
      <w:pPr>
        <w:spacing w:after="0" w:line="180" w:lineRule="exact"/>
        <w:rPr>
          <w:sz w:val="20"/>
          <w:szCs w:val="20"/>
          <w:color w:val="auto"/>
        </w:rPr>
      </w:pPr>
    </w:p>
    <w:p>
      <w:pPr>
        <w:ind w:left="1600" w:hanging="526"/>
        <w:spacing w:after="0"/>
        <w:tabs>
          <w:tab w:leader="none" w:pos="160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Annual Meetings of Stockholders.</w:t>
      </w:r>
    </w:p>
    <w:p>
      <w:pPr>
        <w:spacing w:after="0" w:line="184" w:lineRule="exact"/>
        <w:rPr>
          <w:rFonts w:ascii="Times New Roman" w:cs="Times New Roman" w:eastAsia="Times New Roman" w:hAnsi="Times New Roman"/>
          <w:sz w:val="15"/>
          <w:szCs w:val="15"/>
          <w:color w:val="auto"/>
        </w:rPr>
      </w:pPr>
    </w:p>
    <w:p>
      <w:pPr>
        <w:jc w:val="both"/>
        <w:ind w:firstLine="1606"/>
        <w:spacing w:after="0" w:line="252" w:lineRule="auto"/>
        <w:tabs>
          <w:tab w:leader="none" w:pos="2145" w:val="left"/>
        </w:tabs>
        <w:numPr>
          <w:ilvl w:val="1"/>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Directors;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55" w:lineRule="exact"/>
        <w:rPr>
          <w:rFonts w:ascii="Times New Roman" w:cs="Times New Roman" w:eastAsia="Times New Roman" w:hAnsi="Times New Roman"/>
          <w:sz w:val="15"/>
          <w:szCs w:val="15"/>
          <w:color w:val="auto"/>
        </w:rPr>
      </w:pPr>
    </w:p>
    <w:p>
      <w:pPr>
        <w:jc w:val="both"/>
        <w:ind w:firstLine="1606"/>
        <w:spacing w:after="0" w:line="268" w:lineRule="auto"/>
        <w:tabs>
          <w:tab w:leader="none" w:pos="2390" w:val="left"/>
        </w:tabs>
        <w:numPr>
          <w:ilvl w:val="1"/>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Times New Roman" w:cs="Times New Roman" w:eastAsia="Times New Roman" w:hAnsi="Times New Roman"/>
          <w:sz w:val="14"/>
          <w:szCs w:val="14"/>
          <w:b w:val="1"/>
          <w:bCs w:val="1"/>
          <w:color w:val="auto"/>
        </w:rPr>
        <w:t>Public announcement</w:t>
      </w:r>
      <w:r>
        <w:rPr>
          <w:rFonts w:ascii="Times New Roman" w:cs="Times New Roman" w:eastAsia="Times New Roman" w:hAnsi="Times New Roman"/>
          <w:sz w:val="14"/>
          <w:szCs w:val="14"/>
          <w:color w:val="auto"/>
        </w:rPr>
        <w:t>” means disclosure in a press release reported by a national news service or in a document publicly filed by the Company with the Securities and Exchange Commission pursuant to Section 13, 14 or 15(d) of the Securities Exchange Act of 1934 (as amended and inclusive of rules and regulations thereunder, the “</w:t>
      </w:r>
      <w:r>
        <w:rPr>
          <w:rFonts w:ascii="Times New Roman" w:cs="Times New Roman" w:eastAsia="Times New Roman" w:hAnsi="Times New Roman"/>
          <w:sz w:val="14"/>
          <w:szCs w:val="14"/>
          <w:b w:val="1"/>
          <w:bCs w:val="1"/>
          <w:color w:val="auto"/>
        </w:rPr>
        <w:t>1934 Act</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0" w:name="page181"/>
    <w:bookmarkEnd w:id="180"/>
    <w:p>
      <w:pPr>
        <w:ind w:left="2180" w:hanging="574"/>
        <w:spacing w:after="0"/>
        <w:tabs>
          <w:tab w:leader="none" w:pos="2180"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stockholder’s notice to the secretary must set forth:</w:t>
      </w:r>
    </w:p>
    <w:p>
      <w:pPr>
        <w:spacing w:after="0" w:line="182" w:lineRule="exact"/>
        <w:rPr>
          <w:rFonts w:ascii="Times New Roman" w:cs="Times New Roman" w:eastAsia="Times New Roman" w:hAnsi="Times New Roman"/>
          <w:sz w:val="15"/>
          <w:szCs w:val="15"/>
          <w:color w:val="auto"/>
        </w:rPr>
      </w:pPr>
    </w:p>
    <w:p>
      <w:pPr>
        <w:ind w:left="2680" w:hanging="541"/>
        <w:spacing w:after="0"/>
        <w:tabs>
          <w:tab w:leader="none" w:pos="2680"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person whom the stockholder proposes to nominate for election as a director:</w:t>
      </w:r>
    </w:p>
    <w:p>
      <w:pPr>
        <w:spacing w:after="0" w:line="182" w:lineRule="exact"/>
        <w:rPr>
          <w:rFonts w:ascii="Times New Roman" w:cs="Times New Roman" w:eastAsia="Times New Roman" w:hAnsi="Times New Roman"/>
          <w:sz w:val="15"/>
          <w:szCs w:val="15"/>
          <w:color w:val="auto"/>
        </w:rPr>
      </w:pPr>
    </w:p>
    <w:p>
      <w:pPr>
        <w:jc w:val="both"/>
        <w:ind w:firstLine="2671"/>
        <w:spacing w:after="0" w:line="253" w:lineRule="auto"/>
        <w:tabs>
          <w:tab w:leader="none" w:pos="3141"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the Section 14 of the 1934 Act;</w:t>
      </w:r>
    </w:p>
    <w:p>
      <w:pPr>
        <w:spacing w:after="0" w:line="155" w:lineRule="exact"/>
        <w:rPr>
          <w:rFonts w:ascii="Times New Roman" w:cs="Times New Roman" w:eastAsia="Times New Roman" w:hAnsi="Times New Roman"/>
          <w:sz w:val="15"/>
          <w:szCs w:val="15"/>
          <w:color w:val="auto"/>
        </w:rPr>
      </w:pPr>
    </w:p>
    <w:p>
      <w:pPr>
        <w:ind w:left="3240" w:hanging="569"/>
        <w:spacing w:after="0"/>
        <w:tabs>
          <w:tab w:leader="none" w:pos="3240" w:val="left"/>
        </w:tabs>
        <w:numPr>
          <w:ilvl w:val="2"/>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person’s written consent to being named in such stockholder’s proxy statement as a nominee of such stockholder and to serving as</w:t>
      </w:r>
    </w:p>
    <w:p>
      <w:pPr>
        <w:spacing w:after="0" w:line="3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a director of the Company if elected;</w:t>
      </w:r>
    </w:p>
    <w:p>
      <w:pPr>
        <w:spacing w:after="0" w:line="168" w:lineRule="exact"/>
        <w:rPr>
          <w:rFonts w:ascii="Times New Roman" w:cs="Times New Roman" w:eastAsia="Times New Roman" w:hAnsi="Times New Roman"/>
          <w:sz w:val="14"/>
          <w:szCs w:val="14"/>
          <w:color w:val="auto"/>
        </w:rPr>
      </w:pPr>
    </w:p>
    <w:p>
      <w:pPr>
        <w:jc w:val="both"/>
        <w:ind w:firstLine="2671"/>
        <w:spacing w:after="0" w:line="260" w:lineRule="auto"/>
        <w:tabs>
          <w:tab w:leader="none" w:pos="3415"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Times New Roman" w:cs="Times New Roman" w:eastAsia="Times New Roman" w:hAnsi="Times New Roman"/>
          <w:sz w:val="15"/>
          <w:szCs w:val="15"/>
          <w:b w:val="1"/>
          <w:bCs w:val="1"/>
          <w:color w:val="auto"/>
        </w:rPr>
        <w:t>Third-Party Compensation Arrangement</w:t>
      </w:r>
      <w:r>
        <w:rPr>
          <w:rFonts w:ascii="Times New Roman" w:cs="Times New Roman" w:eastAsia="Times New Roman" w:hAnsi="Times New Roman"/>
          <w:sz w:val="15"/>
          <w:szCs w:val="15"/>
          <w:color w:val="auto"/>
        </w:rPr>
        <w:t>”); and</w:t>
      </w:r>
    </w:p>
    <w:p>
      <w:pPr>
        <w:spacing w:after="0" w:line="149" w:lineRule="exact"/>
        <w:rPr>
          <w:rFonts w:ascii="Times New Roman" w:cs="Times New Roman" w:eastAsia="Times New Roman" w:hAnsi="Times New Roman"/>
          <w:sz w:val="15"/>
          <w:szCs w:val="15"/>
          <w:color w:val="auto"/>
        </w:rPr>
      </w:pPr>
    </w:p>
    <w:p>
      <w:pPr>
        <w:jc w:val="both"/>
        <w:ind w:firstLine="2671"/>
        <w:spacing w:after="0" w:line="260" w:lineRule="auto"/>
        <w:tabs>
          <w:tab w:leader="none" w:pos="3242"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149" w:lineRule="exact"/>
        <w:rPr>
          <w:rFonts w:ascii="Times New Roman" w:cs="Times New Roman" w:eastAsia="Times New Roman" w:hAnsi="Times New Roman"/>
          <w:sz w:val="15"/>
          <w:szCs w:val="15"/>
          <w:color w:val="auto"/>
        </w:rPr>
      </w:pPr>
    </w:p>
    <w:p>
      <w:pPr>
        <w:ind w:left="2680" w:hanging="541"/>
        <w:spacing w:after="0"/>
        <w:tabs>
          <w:tab w:leader="none" w:pos="2680"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any other business that the stockholder proposes to bring before the annual meeting:</w:t>
      </w:r>
    </w:p>
    <w:p>
      <w:pPr>
        <w:spacing w:after="0" w:line="182" w:lineRule="exact"/>
        <w:rPr>
          <w:rFonts w:ascii="Times New Roman" w:cs="Times New Roman" w:eastAsia="Times New Roman" w:hAnsi="Times New Roman"/>
          <w:sz w:val="15"/>
          <w:szCs w:val="15"/>
          <w:color w:val="auto"/>
        </w:rPr>
      </w:pPr>
    </w:p>
    <w:p>
      <w:pPr>
        <w:ind w:left="3240" w:hanging="569"/>
        <w:spacing w:after="0"/>
        <w:tabs>
          <w:tab w:leader="none" w:pos="3240"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brief description of the business desired to be brought before the annual meeting;</w:t>
      </w:r>
    </w:p>
    <w:p>
      <w:pPr>
        <w:spacing w:after="0" w:line="182" w:lineRule="exact"/>
        <w:rPr>
          <w:rFonts w:ascii="Times New Roman" w:cs="Times New Roman" w:eastAsia="Times New Roman" w:hAnsi="Times New Roman"/>
          <w:sz w:val="15"/>
          <w:szCs w:val="15"/>
          <w:color w:val="auto"/>
        </w:rPr>
      </w:pPr>
    </w:p>
    <w:p>
      <w:pPr>
        <w:ind w:left="3280" w:hanging="609"/>
        <w:spacing w:after="0"/>
        <w:tabs>
          <w:tab w:leader="none" w:pos="3280"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text of the proposal or business (including the text of any resolutions proposed for consideration and, if applicable, the text of any</w:t>
      </w:r>
    </w:p>
    <w:p>
      <w:pPr>
        <w:spacing w:after="0" w:line="19"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proposed amendment to these bylaws);</w:t>
      </w:r>
    </w:p>
    <w:p>
      <w:pPr>
        <w:spacing w:after="0" w:line="168" w:lineRule="exact"/>
        <w:rPr>
          <w:rFonts w:ascii="Times New Roman" w:cs="Times New Roman" w:eastAsia="Times New Roman" w:hAnsi="Times New Roman"/>
          <w:sz w:val="15"/>
          <w:szCs w:val="15"/>
          <w:color w:val="auto"/>
        </w:rPr>
      </w:pPr>
    </w:p>
    <w:p>
      <w:pPr>
        <w:ind w:left="3240" w:hanging="569"/>
        <w:spacing w:after="0"/>
        <w:tabs>
          <w:tab w:leader="none" w:pos="3240"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reasons for conducting such business at the annual meeting;</w:t>
      </w:r>
    </w:p>
    <w:p>
      <w:pPr>
        <w:spacing w:after="0" w:line="182" w:lineRule="exact"/>
        <w:rPr>
          <w:rFonts w:ascii="Times New Roman" w:cs="Times New Roman" w:eastAsia="Times New Roman" w:hAnsi="Times New Roman"/>
          <w:sz w:val="15"/>
          <w:szCs w:val="15"/>
          <w:color w:val="auto"/>
        </w:rPr>
      </w:pPr>
    </w:p>
    <w:p>
      <w:pPr>
        <w:ind w:firstLine="2671"/>
        <w:spacing w:after="0" w:line="273" w:lineRule="auto"/>
        <w:tabs>
          <w:tab w:leader="none" w:pos="3380" w:val="left"/>
        </w:tabs>
        <w:numPr>
          <w:ilvl w:val="2"/>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1" w:name="page182"/>
    <w:bookmarkEnd w:id="181"/>
    <w:p>
      <w:pPr>
        <w:jc w:val="both"/>
        <w:ind w:firstLine="2671"/>
        <w:spacing w:after="0" w:line="260" w:lineRule="auto"/>
        <w:tabs>
          <w:tab w:leader="none" w:pos="3248" w:val="left"/>
        </w:tabs>
        <w:numPr>
          <w:ilvl w:val="1"/>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49" w:lineRule="exact"/>
        <w:rPr>
          <w:rFonts w:ascii="Times New Roman" w:cs="Times New Roman" w:eastAsia="Times New Roman" w:hAnsi="Times New Roman"/>
          <w:sz w:val="15"/>
          <w:szCs w:val="15"/>
          <w:color w:val="auto"/>
        </w:rPr>
      </w:pPr>
    </w:p>
    <w:p>
      <w:pPr>
        <w:ind w:left="2680" w:hanging="541"/>
        <w:spacing w:after="0"/>
        <w:tabs>
          <w:tab w:leader="none" w:pos="268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the stockholder giving the notice and the beneficial owner, if any, on whose behalf the nomination or proposal is made:</w:t>
      </w:r>
    </w:p>
    <w:p>
      <w:pPr>
        <w:spacing w:after="0" w:line="182" w:lineRule="exact"/>
        <w:rPr>
          <w:rFonts w:ascii="Times New Roman" w:cs="Times New Roman" w:eastAsia="Times New Roman" w:hAnsi="Times New Roman"/>
          <w:sz w:val="15"/>
          <w:szCs w:val="15"/>
          <w:color w:val="auto"/>
        </w:rPr>
      </w:pPr>
    </w:p>
    <w:p>
      <w:pPr>
        <w:ind w:firstLine="2671"/>
        <w:spacing w:after="0" w:line="273" w:lineRule="auto"/>
        <w:tabs>
          <w:tab w:leader="none" w:pos="3302"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and address of such stockholder (as they appear on the Company’s books), of such beneficial owner and of their respective affiliates or associates or others acting in concert with them;</w:t>
      </w:r>
    </w:p>
    <w:p>
      <w:pPr>
        <w:spacing w:after="0" w:line="140" w:lineRule="exact"/>
        <w:rPr>
          <w:rFonts w:ascii="Times New Roman" w:cs="Times New Roman" w:eastAsia="Times New Roman" w:hAnsi="Times New Roman"/>
          <w:sz w:val="15"/>
          <w:szCs w:val="15"/>
          <w:color w:val="auto"/>
        </w:rPr>
      </w:pPr>
    </w:p>
    <w:p>
      <w:pPr>
        <w:ind w:firstLine="2671"/>
        <w:spacing w:after="0" w:line="273" w:lineRule="auto"/>
        <w:tabs>
          <w:tab w:leader="none" w:pos="3265"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40" w:lineRule="exact"/>
        <w:rPr>
          <w:rFonts w:ascii="Times New Roman" w:cs="Times New Roman" w:eastAsia="Times New Roman" w:hAnsi="Times New Roman"/>
          <w:sz w:val="15"/>
          <w:szCs w:val="15"/>
          <w:color w:val="auto"/>
        </w:rPr>
      </w:pPr>
    </w:p>
    <w:p>
      <w:pPr>
        <w:jc w:val="both"/>
        <w:ind w:firstLine="2671"/>
        <w:spacing w:after="0" w:line="260" w:lineRule="auto"/>
        <w:tabs>
          <w:tab w:leader="none" w:pos="3253"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49" w:lineRule="exact"/>
        <w:rPr>
          <w:rFonts w:ascii="Times New Roman" w:cs="Times New Roman" w:eastAsia="Times New Roman" w:hAnsi="Times New Roman"/>
          <w:sz w:val="15"/>
          <w:szCs w:val="15"/>
          <w:color w:val="auto"/>
        </w:rPr>
      </w:pPr>
    </w:p>
    <w:p>
      <w:pPr>
        <w:jc w:val="both"/>
        <w:ind w:firstLine="2671"/>
        <w:spacing w:after="0" w:line="252" w:lineRule="auto"/>
        <w:tabs>
          <w:tab w:leader="none" w:pos="3281"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cs="Times New Roman" w:eastAsia="Times New Roman" w:hAnsi="Times New Roman"/>
          <w:sz w:val="15"/>
          <w:szCs w:val="15"/>
          <w:b w:val="1"/>
          <w:bCs w:val="1"/>
          <w:color w:val="auto"/>
        </w:rPr>
        <w:t>Derivative Instrument</w:t>
      </w:r>
      <w:r>
        <w:rPr>
          <w:rFonts w:ascii="Times New Roman" w:cs="Times New Roman" w:eastAsia="Times New Roman" w:hAnsi="Times New Roman"/>
          <w:sz w:val="15"/>
          <w:szCs w:val="15"/>
          <w:color w:val="auto"/>
        </w:rPr>
        <w:t>”), or any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55" w:lineRule="exact"/>
        <w:rPr>
          <w:rFonts w:ascii="Times New Roman" w:cs="Times New Roman" w:eastAsia="Times New Roman" w:hAnsi="Times New Roman"/>
          <w:sz w:val="15"/>
          <w:szCs w:val="15"/>
          <w:color w:val="auto"/>
        </w:rPr>
      </w:pPr>
    </w:p>
    <w:p>
      <w:pPr>
        <w:ind w:firstLine="2671"/>
        <w:spacing w:after="0" w:line="273" w:lineRule="auto"/>
        <w:tabs>
          <w:tab w:leader="none" w:pos="3268"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40" w:lineRule="exact"/>
        <w:rPr>
          <w:rFonts w:ascii="Times New Roman" w:cs="Times New Roman" w:eastAsia="Times New Roman" w:hAnsi="Times New Roman"/>
          <w:sz w:val="15"/>
          <w:szCs w:val="15"/>
          <w:color w:val="auto"/>
        </w:rPr>
      </w:pPr>
    </w:p>
    <w:p>
      <w:pPr>
        <w:jc w:val="both"/>
        <w:ind w:firstLine="2671"/>
        <w:spacing w:after="0" w:line="260" w:lineRule="auto"/>
        <w:tabs>
          <w:tab w:leader="none" w:pos="3327"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49" w:lineRule="exact"/>
        <w:rPr>
          <w:rFonts w:ascii="Times New Roman" w:cs="Times New Roman" w:eastAsia="Times New Roman" w:hAnsi="Times New Roman"/>
          <w:sz w:val="15"/>
          <w:szCs w:val="15"/>
          <w:color w:val="auto"/>
        </w:rPr>
      </w:pPr>
    </w:p>
    <w:p>
      <w:pPr>
        <w:jc w:val="both"/>
        <w:ind w:firstLine="2671"/>
        <w:spacing w:after="0" w:line="260" w:lineRule="auto"/>
        <w:tabs>
          <w:tab w:leader="none" w:pos="3237"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2" w:name="page183"/>
    <w:bookmarkEnd w:id="182"/>
    <w:p>
      <w:pPr>
        <w:ind w:right="20" w:firstLine="2671"/>
        <w:spacing w:after="0" w:line="273" w:lineRule="auto"/>
        <w:tabs>
          <w:tab w:leader="none" w:pos="3337" w:val="left"/>
        </w:tabs>
        <w:numPr>
          <w:ilvl w:val="2"/>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140" w:lineRule="exact"/>
        <w:rPr>
          <w:rFonts w:ascii="Times New Roman" w:cs="Times New Roman" w:eastAsia="Times New Roman" w:hAnsi="Times New Roman"/>
          <w:sz w:val="15"/>
          <w:szCs w:val="15"/>
          <w:color w:val="auto"/>
        </w:rPr>
      </w:pPr>
    </w:p>
    <w:p>
      <w:pPr>
        <w:jc w:val="both"/>
        <w:ind w:firstLine="2671"/>
        <w:spacing w:after="0" w:line="260" w:lineRule="auto"/>
        <w:tabs>
          <w:tab w:leader="none" w:pos="3268" w:val="left"/>
        </w:tabs>
        <w:numPr>
          <w:ilvl w:val="2"/>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149" w:lineRule="exact"/>
        <w:rPr>
          <w:rFonts w:ascii="Times New Roman" w:cs="Times New Roman" w:eastAsia="Times New Roman" w:hAnsi="Times New Roman"/>
          <w:sz w:val="15"/>
          <w:szCs w:val="15"/>
          <w:color w:val="auto"/>
        </w:rPr>
      </w:pPr>
    </w:p>
    <w:p>
      <w:pPr>
        <w:ind w:left="3240" w:hanging="569"/>
        <w:spacing w:after="0"/>
        <w:tabs>
          <w:tab w:leader="none" w:pos="3240" w:val="left"/>
        </w:tabs>
        <w:numPr>
          <w:ilvl w:val="2"/>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representation and undertaking that the stockholder is a holder of record of stock of the Company as of the date of submission of the</w:t>
      </w:r>
    </w:p>
    <w:p>
      <w:pPr>
        <w:spacing w:after="0" w:line="3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stockholder’s notice and intends to appear in person or by proxy at the meeting to bring such nomination or other business before the meeting;</w:t>
      </w:r>
    </w:p>
    <w:p>
      <w:pPr>
        <w:spacing w:after="0" w:line="168" w:lineRule="exact"/>
        <w:rPr>
          <w:rFonts w:ascii="Times New Roman" w:cs="Times New Roman" w:eastAsia="Times New Roman" w:hAnsi="Times New Roman"/>
          <w:sz w:val="14"/>
          <w:szCs w:val="14"/>
          <w:color w:val="auto"/>
        </w:rPr>
      </w:pPr>
    </w:p>
    <w:p>
      <w:pPr>
        <w:ind w:left="3380" w:hanging="709"/>
        <w:spacing w:after="0"/>
        <w:tabs>
          <w:tab w:leader="none" w:pos="3380" w:val="left"/>
        </w:tabs>
        <w:numPr>
          <w:ilvl w:val="2"/>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representation and undertaking that such stockholder or any such beneficial owner intends, or is part of a group that intends, to</w:t>
      </w:r>
    </w:p>
    <w:p>
      <w:pPr>
        <w:spacing w:after="0" w:line="19" w:lineRule="exact"/>
        <w:rPr>
          <w:rFonts w:ascii="Times New Roman" w:cs="Times New Roman" w:eastAsia="Times New Roman" w:hAnsi="Times New Roman"/>
          <w:sz w:val="15"/>
          <w:szCs w:val="15"/>
          <w:color w:val="auto"/>
        </w:rPr>
      </w:pPr>
    </w:p>
    <w:p>
      <w:pPr>
        <w:ind w:firstLine="9"/>
        <w:spacing w:after="0" w:line="253" w:lineRule="auto"/>
        <w:tabs>
          <w:tab w:leader="none" w:pos="212"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154" w:lineRule="exact"/>
        <w:rPr>
          <w:rFonts w:ascii="Times New Roman" w:cs="Times New Roman" w:eastAsia="Times New Roman" w:hAnsi="Times New Roman"/>
          <w:sz w:val="15"/>
          <w:szCs w:val="15"/>
          <w:color w:val="auto"/>
        </w:rPr>
      </w:pPr>
    </w:p>
    <w:p>
      <w:pPr>
        <w:jc w:val="both"/>
        <w:ind w:firstLine="2671"/>
        <w:spacing w:after="0" w:line="260" w:lineRule="auto"/>
        <w:tabs>
          <w:tab w:leader="none" w:pos="3264" w:val="left"/>
        </w:tabs>
        <w:numPr>
          <w:ilvl w:val="2"/>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49" w:lineRule="exact"/>
        <w:rPr>
          <w:rFonts w:ascii="Times New Roman" w:cs="Times New Roman" w:eastAsia="Times New Roman" w:hAnsi="Times New Roman"/>
          <w:sz w:val="15"/>
          <w:szCs w:val="15"/>
          <w:color w:val="auto"/>
        </w:rPr>
      </w:pPr>
    </w:p>
    <w:p>
      <w:pPr>
        <w:ind w:firstLine="2671"/>
        <w:spacing w:after="0" w:line="273" w:lineRule="auto"/>
        <w:tabs>
          <w:tab w:leader="none" w:pos="3323" w:val="left"/>
        </w:tabs>
        <w:numPr>
          <w:ilvl w:val="2"/>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other information relating to any proposed item of business as the Company may reasonably require to determine whether such proposed item of business is a proper matter for stockholder action.</w:t>
      </w:r>
    </w:p>
    <w:p>
      <w:pPr>
        <w:spacing w:after="0" w:line="140" w:lineRule="exact"/>
        <w:rPr>
          <w:rFonts w:ascii="Times New Roman" w:cs="Times New Roman" w:eastAsia="Times New Roman" w:hAnsi="Times New Roman"/>
          <w:sz w:val="15"/>
          <w:szCs w:val="15"/>
          <w:color w:val="auto"/>
        </w:rPr>
      </w:pPr>
    </w:p>
    <w:p>
      <w:pPr>
        <w:jc w:val="both"/>
        <w:ind w:firstLine="1606"/>
        <w:spacing w:after="0" w:line="249" w:lineRule="auto"/>
        <w:tabs>
          <w:tab w:leader="none" w:pos="2215" w:val="left"/>
        </w:tabs>
        <w:numPr>
          <w:ilvl w:val="1"/>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supplement or additional information shall result in the nomination or proposal no longer being eligible for consideration at the meeting.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3" w:name="page184"/>
    <w:bookmarkEnd w:id="183"/>
    <w:p>
      <w:pPr>
        <w:jc w:val="both"/>
        <w:ind w:firstLine="1074"/>
        <w:spacing w:after="0" w:line="249" w:lineRule="auto"/>
        <w:tabs>
          <w:tab w:leader="none" w:pos="1607"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Special Meetings of Stockholders</w:t>
      </w:r>
      <w:r>
        <w:rPr>
          <w:rFonts w:ascii="Times New Roman" w:cs="Times New Roman" w:eastAsia="Times New Roman" w:hAnsi="Times New Roman"/>
          <w:sz w:val="15"/>
          <w:szCs w:val="15"/>
          <w:color w:val="auto"/>
        </w:rPr>
        <w:t>. Except to the extent required by the DGCL, and subject to Section 2.3(a), special meetings of stockholders may be called only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61"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Other Requirements.</w:t>
      </w:r>
    </w:p>
    <w:p>
      <w:pPr>
        <w:spacing w:after="0" w:line="184" w:lineRule="exact"/>
        <w:rPr>
          <w:rFonts w:ascii="Times New Roman" w:cs="Times New Roman" w:eastAsia="Times New Roman" w:hAnsi="Times New Roman"/>
          <w:sz w:val="15"/>
          <w:szCs w:val="15"/>
          <w:color w:val="auto"/>
        </w:rPr>
      </w:pPr>
    </w:p>
    <w:p>
      <w:pPr>
        <w:ind w:firstLine="1606"/>
        <w:spacing w:after="0" w:line="273" w:lineRule="auto"/>
        <w:tabs>
          <w:tab w:leader="none" w:pos="2192"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140" w:lineRule="exact"/>
        <w:rPr>
          <w:rFonts w:ascii="Times New Roman" w:cs="Times New Roman" w:eastAsia="Times New Roman" w:hAnsi="Times New Roman"/>
          <w:sz w:val="15"/>
          <w:szCs w:val="15"/>
          <w:color w:val="auto"/>
        </w:rPr>
      </w:pPr>
    </w:p>
    <w:p>
      <w:pPr>
        <w:jc w:val="both"/>
        <w:ind w:firstLine="2139"/>
        <w:spacing w:after="0" w:line="287" w:lineRule="auto"/>
        <w:tabs>
          <w:tab w:leader="none" w:pos="2678" w:val="left"/>
        </w:tabs>
        <w:numPr>
          <w:ilvl w:val="2"/>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32" w:lineRule="exact"/>
        <w:rPr>
          <w:rFonts w:ascii="Times New Roman" w:cs="Times New Roman" w:eastAsia="Times New Roman" w:hAnsi="Times New Roman"/>
          <w:sz w:val="14"/>
          <w:szCs w:val="14"/>
          <w:color w:val="auto"/>
        </w:rPr>
      </w:pPr>
    </w:p>
    <w:p>
      <w:pPr>
        <w:ind w:firstLine="2139"/>
        <w:spacing w:after="0" w:line="273" w:lineRule="auto"/>
        <w:tabs>
          <w:tab w:leader="none" w:pos="2680" w:val="left"/>
        </w:tabs>
        <w:numPr>
          <w:ilvl w:val="2"/>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40" w:lineRule="exact"/>
        <w:rPr>
          <w:rFonts w:ascii="Times New Roman" w:cs="Times New Roman" w:eastAsia="Times New Roman" w:hAnsi="Times New Roman"/>
          <w:sz w:val="15"/>
          <w:szCs w:val="15"/>
          <w:color w:val="auto"/>
        </w:rPr>
      </w:pPr>
    </w:p>
    <w:p>
      <w:pPr>
        <w:ind w:firstLine="2139"/>
        <w:spacing w:after="0" w:line="273" w:lineRule="auto"/>
        <w:tabs>
          <w:tab w:leader="none" w:pos="2680" w:val="left"/>
        </w:tabs>
        <w:numPr>
          <w:ilvl w:val="2"/>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written representation and undertaking that, unless previously disclosed to the Company, such nominee is not, and will not become, a party to any Third-Party Compensation Arrangement;</w:t>
      </w:r>
    </w:p>
    <w:p>
      <w:pPr>
        <w:spacing w:after="0" w:line="140" w:lineRule="exact"/>
        <w:rPr>
          <w:rFonts w:ascii="Times New Roman" w:cs="Times New Roman" w:eastAsia="Times New Roman" w:hAnsi="Times New Roman"/>
          <w:sz w:val="15"/>
          <w:szCs w:val="15"/>
          <w:color w:val="auto"/>
        </w:rPr>
      </w:pPr>
    </w:p>
    <w:p>
      <w:pPr>
        <w:ind w:firstLine="2139"/>
        <w:spacing w:after="0" w:line="273" w:lineRule="auto"/>
        <w:tabs>
          <w:tab w:leader="none" w:pos="2724" w:val="left"/>
        </w:tabs>
        <w:numPr>
          <w:ilvl w:val="2"/>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140" w:lineRule="exact"/>
        <w:rPr>
          <w:rFonts w:ascii="Times New Roman" w:cs="Times New Roman" w:eastAsia="Times New Roman" w:hAnsi="Times New Roman"/>
          <w:sz w:val="15"/>
          <w:szCs w:val="15"/>
          <w:color w:val="auto"/>
        </w:rPr>
      </w:pPr>
    </w:p>
    <w:p>
      <w:pPr>
        <w:ind w:left="2680" w:hanging="541"/>
        <w:spacing w:after="0"/>
        <w:tabs>
          <w:tab w:leader="none" w:pos="2680" w:val="left"/>
        </w:tabs>
        <w:numPr>
          <w:ilvl w:val="2"/>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written representation and undertaking that such nominee, if elected, intends to serve a full term on the Board of Directors.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4" w:name="page185"/>
    <w:bookmarkEnd w:id="184"/>
    <w:p>
      <w:pPr>
        <w:ind w:firstLine="1606"/>
        <w:spacing w:after="0" w:line="273" w:lineRule="auto"/>
        <w:tabs>
          <w:tab w:leader="none" w:pos="226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140" w:lineRule="exact"/>
        <w:rPr>
          <w:rFonts w:ascii="Times New Roman" w:cs="Times New Roman" w:eastAsia="Times New Roman" w:hAnsi="Times New Roman"/>
          <w:sz w:val="15"/>
          <w:szCs w:val="15"/>
          <w:color w:val="auto"/>
        </w:rPr>
      </w:pPr>
    </w:p>
    <w:p>
      <w:pPr>
        <w:ind w:firstLine="1606"/>
        <w:spacing w:after="0" w:line="273" w:lineRule="auto"/>
        <w:tabs>
          <w:tab w:leader="none" w:pos="2336"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person will be eligible to be nominated by a stockholder for election as a director of the Company unless nominated in accordance with the procedures set forth in this Section 2.4. No business proposed by a stockholder will be conducted at a stockholder meeting except in accordance with this Section 2.4.</w:t>
      </w:r>
    </w:p>
    <w:p>
      <w:pPr>
        <w:spacing w:after="0" w:line="140" w:lineRule="exact"/>
        <w:rPr>
          <w:rFonts w:ascii="Times New Roman" w:cs="Times New Roman" w:eastAsia="Times New Roman" w:hAnsi="Times New Roman"/>
          <w:sz w:val="15"/>
          <w:szCs w:val="15"/>
          <w:color w:val="auto"/>
        </w:rPr>
      </w:pPr>
    </w:p>
    <w:p>
      <w:pPr>
        <w:jc w:val="both"/>
        <w:ind w:firstLine="1606"/>
        <w:spacing w:after="0" w:line="260" w:lineRule="auto"/>
        <w:tabs>
          <w:tab w:leader="none" w:pos="2129"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49" w:lineRule="exact"/>
        <w:rPr>
          <w:rFonts w:ascii="Times New Roman" w:cs="Times New Roman" w:eastAsia="Times New Roman" w:hAnsi="Times New Roman"/>
          <w:sz w:val="15"/>
          <w:szCs w:val="15"/>
          <w:color w:val="auto"/>
        </w:rPr>
      </w:pPr>
    </w:p>
    <w:p>
      <w:pPr>
        <w:jc w:val="both"/>
        <w:ind w:firstLine="1606"/>
        <w:spacing w:after="0" w:line="252" w:lineRule="auto"/>
        <w:tabs>
          <w:tab w:leader="none" w:pos="2247"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55" w:lineRule="exact"/>
        <w:rPr>
          <w:rFonts w:ascii="Times New Roman" w:cs="Times New Roman" w:eastAsia="Times New Roman" w:hAnsi="Times New Roman"/>
          <w:sz w:val="15"/>
          <w:szCs w:val="15"/>
          <w:color w:val="auto"/>
        </w:rPr>
      </w:pPr>
    </w:p>
    <w:p>
      <w:pPr>
        <w:jc w:val="both"/>
        <w:ind w:firstLine="1606"/>
        <w:spacing w:after="0" w:line="255" w:lineRule="auto"/>
        <w:tabs>
          <w:tab w:leader="none" w:pos="219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54" w:lineRule="exact"/>
        <w:rPr>
          <w:rFonts w:ascii="Times New Roman" w:cs="Times New Roman" w:eastAsia="Times New Roman" w:hAnsi="Times New Roman"/>
          <w:sz w:val="15"/>
          <w:szCs w:val="15"/>
          <w:color w:val="auto"/>
        </w:rPr>
      </w:pPr>
    </w:p>
    <w:p>
      <w:pPr>
        <w:jc w:val="both"/>
        <w:ind w:firstLine="1606"/>
        <w:spacing w:after="0" w:line="180" w:lineRule="exact"/>
        <w:tabs>
          <w:tab w:leader="none" w:pos="2151"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5" w:name="page186"/>
    <w:bookmarkEnd w:id="185"/>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2.5</w:t>
      </w:r>
      <w:r>
        <w:rPr>
          <w:sz w:val="20"/>
          <w:szCs w:val="20"/>
          <w:color w:val="auto"/>
        </w:rPr>
        <w:tab/>
      </w:r>
      <w:r>
        <w:rPr>
          <w:rFonts w:ascii="Times New Roman" w:cs="Times New Roman" w:eastAsia="Times New Roman" w:hAnsi="Times New Roman"/>
          <w:sz w:val="14"/>
          <w:szCs w:val="14"/>
          <w:color w:val="auto"/>
        </w:rPr>
        <w:t>NOTICE OF STOCKHOLDERS’ MEETINGS</w:t>
      </w:r>
    </w:p>
    <w:p>
      <w:pPr>
        <w:spacing w:after="0" w:line="182" w:lineRule="exact"/>
        <w:rPr>
          <w:sz w:val="20"/>
          <w:szCs w:val="20"/>
          <w:color w:val="auto"/>
        </w:rPr>
      </w:pPr>
    </w:p>
    <w:p>
      <w:pPr>
        <w:jc w:val="both"/>
        <w:ind w:firstLine="532"/>
        <w:spacing w:after="0" w:line="252" w:lineRule="auto"/>
        <w:rPr>
          <w:sz w:val="20"/>
          <w:szCs w:val="20"/>
          <w:color w:val="auto"/>
        </w:rPr>
      </w:pPr>
      <w:r>
        <w:rPr>
          <w:rFonts w:ascii="Times New Roman" w:cs="Times New Roman" w:eastAsia="Times New Roman" w:hAnsi="Times New Roman"/>
          <w:sz w:val="15"/>
          <w:szCs w:val="15"/>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2.6</w:t>
      </w:r>
      <w:r>
        <w:rPr>
          <w:sz w:val="20"/>
          <w:szCs w:val="20"/>
          <w:color w:val="auto"/>
        </w:rPr>
        <w:tab/>
      </w:r>
      <w:r>
        <w:rPr>
          <w:rFonts w:ascii="Times New Roman" w:cs="Times New Roman" w:eastAsia="Times New Roman" w:hAnsi="Times New Roman"/>
          <w:sz w:val="14"/>
          <w:szCs w:val="14"/>
          <w:color w:val="auto"/>
        </w:rPr>
        <w:t>QUORUM</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54"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2.7</w:t>
      </w:r>
      <w:r>
        <w:rPr>
          <w:sz w:val="20"/>
          <w:szCs w:val="20"/>
          <w:color w:val="auto"/>
        </w:rPr>
        <w:tab/>
      </w:r>
      <w:r>
        <w:rPr>
          <w:rFonts w:ascii="Times New Roman" w:cs="Times New Roman" w:eastAsia="Times New Roman" w:hAnsi="Times New Roman"/>
          <w:sz w:val="14"/>
          <w:szCs w:val="14"/>
          <w:color w:val="auto"/>
        </w:rPr>
        <w:t>ADJOURNED MEETING; NOTICE</w:t>
      </w:r>
    </w:p>
    <w:p>
      <w:pPr>
        <w:spacing w:after="0" w:line="182" w:lineRule="exact"/>
        <w:rPr>
          <w:sz w:val="20"/>
          <w:szCs w:val="20"/>
          <w:color w:val="auto"/>
        </w:rPr>
      </w:pPr>
    </w:p>
    <w:p>
      <w:pPr>
        <w:jc w:val="both"/>
        <w:ind w:firstLine="532"/>
        <w:spacing w:after="0" w:line="251" w:lineRule="auto"/>
        <w:rPr>
          <w:sz w:val="20"/>
          <w:szCs w:val="20"/>
          <w:color w:val="auto"/>
        </w:rPr>
      </w:pPr>
      <w:r>
        <w:rPr>
          <w:rFonts w:ascii="Times New Roman" w:cs="Times New Roman" w:eastAsia="Times New Roman" w:hAnsi="Times New Roman"/>
          <w:sz w:val="15"/>
          <w:szCs w:val="15"/>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5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2.8</w:t>
      </w:r>
      <w:r>
        <w:rPr>
          <w:sz w:val="20"/>
          <w:szCs w:val="20"/>
          <w:color w:val="auto"/>
        </w:rPr>
        <w:tab/>
      </w:r>
      <w:r>
        <w:rPr>
          <w:rFonts w:ascii="Times New Roman" w:cs="Times New Roman" w:eastAsia="Times New Roman" w:hAnsi="Times New Roman"/>
          <w:sz w:val="14"/>
          <w:szCs w:val="14"/>
          <w:color w:val="auto"/>
        </w:rPr>
        <w:t>CONDUCT OF BUSINESS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86" w:name="page187"/>
    <w:bookmarkEnd w:id="186"/>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2.9</w:t>
      </w:r>
      <w:r>
        <w:rPr>
          <w:sz w:val="20"/>
          <w:szCs w:val="20"/>
          <w:color w:val="auto"/>
        </w:rPr>
        <w:tab/>
      </w:r>
      <w:r>
        <w:rPr>
          <w:rFonts w:ascii="Times New Roman" w:cs="Times New Roman" w:eastAsia="Times New Roman" w:hAnsi="Times New Roman"/>
          <w:sz w:val="14"/>
          <w:szCs w:val="14"/>
          <w:color w:val="auto"/>
        </w:rPr>
        <w:t>VOTING</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40"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Except as may be otherwise provided in the certificate of incorporation or these bylaws, each stockholder shall be entitled to one vote for each share of capital stock held by such stockholder.</w:t>
      </w:r>
    </w:p>
    <w:p>
      <w:pPr>
        <w:spacing w:after="0" w:line="140" w:lineRule="exact"/>
        <w:rPr>
          <w:sz w:val="20"/>
          <w:szCs w:val="20"/>
          <w:color w:val="auto"/>
        </w:rPr>
      </w:pPr>
    </w:p>
    <w:p>
      <w:pPr>
        <w:jc w:val="both"/>
        <w:ind w:firstLine="532"/>
        <w:spacing w:after="0" w:line="251" w:lineRule="auto"/>
        <w:rPr>
          <w:sz w:val="20"/>
          <w:szCs w:val="20"/>
          <w:color w:val="auto"/>
        </w:rPr>
      </w:pPr>
      <w:r>
        <w:rPr>
          <w:rFonts w:ascii="Times New Roman" w:cs="Times New Roman" w:eastAsia="Times New Roman" w:hAnsi="Times New Roman"/>
          <w:sz w:val="15"/>
          <w:szCs w:val="15"/>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15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2.10</w:t>
      </w:r>
      <w:r>
        <w:rPr>
          <w:sz w:val="20"/>
          <w:szCs w:val="20"/>
          <w:color w:val="auto"/>
        </w:rPr>
        <w:tab/>
      </w:r>
      <w:r>
        <w:rPr>
          <w:rFonts w:ascii="Times New Roman" w:cs="Times New Roman" w:eastAsia="Times New Roman" w:hAnsi="Times New Roman"/>
          <w:sz w:val="14"/>
          <w:szCs w:val="14"/>
          <w:color w:val="auto"/>
        </w:rPr>
        <w:t>STOCKHOLDER ACTION BY WRITTEN CONSENT WITHOUT A MEETING</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2.11</w:t>
      </w:r>
      <w:r>
        <w:rPr>
          <w:sz w:val="20"/>
          <w:szCs w:val="20"/>
          <w:color w:val="auto"/>
        </w:rPr>
        <w:tab/>
      </w:r>
      <w:r>
        <w:rPr>
          <w:rFonts w:ascii="Times New Roman" w:cs="Times New Roman" w:eastAsia="Times New Roman" w:hAnsi="Times New Roman"/>
          <w:sz w:val="14"/>
          <w:szCs w:val="14"/>
          <w:color w:val="auto"/>
        </w:rPr>
        <w:t>RECORD DATES</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87" w:name="page188"/>
    <w:bookmarkEnd w:id="187"/>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8" w:lineRule="exact"/>
        <w:rPr>
          <w:sz w:val="20"/>
          <w:szCs w:val="20"/>
          <w:color w:val="auto"/>
        </w:rPr>
      </w:pPr>
    </w:p>
    <w:p>
      <w:pPr>
        <w:jc w:val="both"/>
        <w:ind w:firstLine="532"/>
        <w:spacing w:after="0" w:line="256" w:lineRule="auto"/>
        <w:rPr>
          <w:sz w:val="20"/>
          <w:szCs w:val="20"/>
          <w:color w:val="auto"/>
        </w:rPr>
      </w:pPr>
      <w:r>
        <w:rPr>
          <w:rFonts w:ascii="Times New Roman" w:cs="Times New Roman" w:eastAsia="Times New Roman" w:hAnsi="Times New Roman"/>
          <w:sz w:val="15"/>
          <w:szCs w:val="15"/>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53"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2.12</w:t>
      </w:r>
      <w:r>
        <w:rPr>
          <w:sz w:val="20"/>
          <w:szCs w:val="20"/>
          <w:color w:val="auto"/>
        </w:rPr>
        <w:tab/>
      </w:r>
      <w:r>
        <w:rPr>
          <w:rFonts w:ascii="Times New Roman" w:cs="Times New Roman" w:eastAsia="Times New Roman" w:hAnsi="Times New Roman"/>
          <w:sz w:val="14"/>
          <w:szCs w:val="14"/>
          <w:color w:val="auto"/>
        </w:rPr>
        <w:t>PROXIES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2.13</w:t>
      </w:r>
      <w:r>
        <w:rPr>
          <w:sz w:val="20"/>
          <w:szCs w:val="20"/>
          <w:color w:val="auto"/>
        </w:rPr>
        <w:tab/>
      </w:r>
      <w:r>
        <w:rPr>
          <w:rFonts w:ascii="Times New Roman" w:cs="Times New Roman" w:eastAsia="Times New Roman" w:hAnsi="Times New Roman"/>
          <w:sz w:val="14"/>
          <w:szCs w:val="14"/>
          <w:color w:val="auto"/>
        </w:rPr>
        <w:t>LIST OF STOCKHOLDERS ENTITLED TO VOTE</w:t>
      </w:r>
    </w:p>
    <w:p>
      <w:pPr>
        <w:spacing w:after="0" w:line="180"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5"/>
          <w:szCs w:val="15"/>
          <w:color w:val="auto"/>
        </w:rPr>
        <w:t xml:space="preserve">The Company shall prepare, at least 10 days before every meeting of stockholders, a complete list of the stockholders entitled to vote at the meeting;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8" w:name="page189"/>
    <w:bookmarkEnd w:id="188"/>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2.14</w:t>
      </w:r>
      <w:r>
        <w:rPr>
          <w:sz w:val="20"/>
          <w:szCs w:val="20"/>
          <w:color w:val="auto"/>
        </w:rPr>
        <w:tab/>
      </w:r>
      <w:r>
        <w:rPr>
          <w:rFonts w:ascii="Times New Roman" w:cs="Times New Roman" w:eastAsia="Times New Roman" w:hAnsi="Times New Roman"/>
          <w:sz w:val="14"/>
          <w:szCs w:val="14"/>
          <w:color w:val="auto"/>
        </w:rPr>
        <w:t>INSPECTORS OF ELECTION</w:t>
      </w:r>
    </w:p>
    <w:p>
      <w:pPr>
        <w:spacing w:after="0" w:line="182" w:lineRule="exact"/>
        <w:rPr>
          <w:sz w:val="20"/>
          <w:szCs w:val="20"/>
          <w:color w:val="auto"/>
        </w:rPr>
      </w:pPr>
    </w:p>
    <w:p>
      <w:pPr>
        <w:ind w:firstLine="532"/>
        <w:spacing w:after="0" w:line="273" w:lineRule="auto"/>
        <w:rPr>
          <w:sz w:val="20"/>
          <w:szCs w:val="20"/>
          <w:color w:val="auto"/>
        </w:rPr>
      </w:pPr>
      <w:r>
        <w:rPr>
          <w:rFonts w:ascii="Times New Roman" w:cs="Times New Roman" w:eastAsia="Times New Roman" w:hAnsi="Times New Roman"/>
          <w:sz w:val="15"/>
          <w:szCs w:val="15"/>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Such inspectors shall:</w:t>
      </w:r>
    </w:p>
    <w:p>
      <w:pPr>
        <w:spacing w:after="0" w:line="182" w:lineRule="exact"/>
        <w:rPr>
          <w:sz w:val="20"/>
          <w:szCs w:val="20"/>
          <w:color w:val="auto"/>
        </w:rPr>
      </w:pPr>
    </w:p>
    <w:p>
      <w:pPr>
        <w:ind w:left="1600" w:hanging="526"/>
        <w:spacing w:after="0"/>
        <w:tabs>
          <w:tab w:leader="none" w:pos="16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ascertain the number of shares outstanding and the voting power of each;</w:t>
      </w:r>
    </w:p>
    <w:p>
      <w:pPr>
        <w:spacing w:after="0" w:line="182" w:lineRule="exact"/>
        <w:rPr>
          <w:rFonts w:ascii="Times New Roman" w:cs="Times New Roman" w:eastAsia="Times New Roman" w:hAnsi="Times New Roman"/>
          <w:sz w:val="15"/>
          <w:szCs w:val="15"/>
          <w:color w:val="auto"/>
        </w:rPr>
      </w:pPr>
    </w:p>
    <w:p>
      <w:pPr>
        <w:ind w:left="1620" w:hanging="546"/>
        <w:spacing w:after="0"/>
        <w:tabs>
          <w:tab w:leader="none" w:pos="162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shares represented at the meeting and the validity of proxies and ballots;</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count all votes and ballots;</w:t>
      </w:r>
    </w:p>
    <w:p>
      <w:pPr>
        <w:spacing w:after="0" w:line="182" w:lineRule="exact"/>
        <w:rPr>
          <w:rFonts w:ascii="Times New Roman" w:cs="Times New Roman" w:eastAsia="Times New Roman" w:hAnsi="Times New Roman"/>
          <w:sz w:val="15"/>
          <w:szCs w:val="15"/>
          <w:color w:val="auto"/>
        </w:rPr>
      </w:pPr>
    </w:p>
    <w:p>
      <w:pPr>
        <w:ind w:left="1500" w:hanging="426"/>
        <w:spacing w:after="0"/>
        <w:tabs>
          <w:tab w:leader="none" w:pos="15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and retain for a reasonable period a record of the disposition of any challenges made to any determination by the inspectors; and</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certify their determination of the number of shares represented at the meeting, and their count of all votes and ballots.</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5"/>
          <w:szCs w:val="15"/>
          <w:i w:val="1"/>
          <w:iCs w:val="1"/>
          <w:color w:val="auto"/>
        </w:rPr>
        <w:t>prima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facie </w:t>
      </w:r>
      <w:r>
        <w:rPr>
          <w:rFonts w:ascii="Times New Roman" w:cs="Times New Roman" w:eastAsia="Times New Roman" w:hAnsi="Times New Roman"/>
          <w:sz w:val="15"/>
          <w:szCs w:val="15"/>
          <w:color w:val="auto"/>
        </w:rPr>
        <w:t>evidence of the facts stated therein.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III - DIRECTORS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4"/>
          <w:szCs w:val="14"/>
          <w:color w:val="auto"/>
        </w:rPr>
        <w:t>POWERS</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business and affairs of the Company shall be managed by or under the direction of the Board of Directors, except as may be otherwise provided in the DGCL or the certificate of incorporation.</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4"/>
          <w:szCs w:val="14"/>
          <w:color w:val="auto"/>
        </w:rPr>
        <w:t>NUMBER OF DIRECTORS</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89" w:name="page190"/>
    <w:bookmarkEnd w:id="189"/>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3.3</w:t>
      </w:r>
      <w:r>
        <w:rPr>
          <w:sz w:val="20"/>
          <w:szCs w:val="20"/>
          <w:color w:val="auto"/>
        </w:rPr>
        <w:tab/>
      </w:r>
      <w:r>
        <w:rPr>
          <w:rFonts w:ascii="Times New Roman" w:cs="Times New Roman" w:eastAsia="Times New Roman" w:hAnsi="Times New Roman"/>
          <w:sz w:val="14"/>
          <w:szCs w:val="14"/>
          <w:color w:val="auto"/>
        </w:rPr>
        <w:t>ELECTION, QUALIFICATION AND TERM OF OFFICE OF DIRECTORS</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If so provided in the certificate of incorporation, the directors of the Company shall be divided into three classes.</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3.4</w:t>
      </w:r>
      <w:r>
        <w:rPr>
          <w:sz w:val="20"/>
          <w:szCs w:val="20"/>
          <w:color w:val="auto"/>
        </w:rPr>
        <w:tab/>
      </w:r>
      <w:r>
        <w:rPr>
          <w:rFonts w:ascii="Times New Roman" w:cs="Times New Roman" w:eastAsia="Times New Roman" w:hAnsi="Times New Roman"/>
          <w:sz w:val="14"/>
          <w:szCs w:val="14"/>
          <w:color w:val="auto"/>
        </w:rPr>
        <w:t>RESIGNATION AND VACANCIES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56"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3.5</w:t>
      </w:r>
      <w:r>
        <w:rPr>
          <w:sz w:val="20"/>
          <w:szCs w:val="20"/>
          <w:color w:val="auto"/>
        </w:rPr>
        <w:tab/>
      </w:r>
      <w:r>
        <w:rPr>
          <w:rFonts w:ascii="Times New Roman" w:cs="Times New Roman" w:eastAsia="Times New Roman" w:hAnsi="Times New Roman"/>
          <w:sz w:val="14"/>
          <w:szCs w:val="14"/>
          <w:color w:val="auto"/>
        </w:rPr>
        <w:t>PLACE OF MEETINGS; MEETINGS BY TELEPHONE</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Board of Directors may hold meetings, both regular and special, either within or outside the State of Delaware.</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3.6</w:t>
      </w:r>
      <w:r>
        <w:rPr>
          <w:sz w:val="20"/>
          <w:szCs w:val="20"/>
          <w:color w:val="auto"/>
        </w:rPr>
        <w:tab/>
      </w:r>
      <w:r>
        <w:rPr>
          <w:rFonts w:ascii="Times New Roman" w:cs="Times New Roman" w:eastAsia="Times New Roman" w:hAnsi="Times New Roman"/>
          <w:sz w:val="14"/>
          <w:szCs w:val="14"/>
          <w:color w:val="auto"/>
        </w:rPr>
        <w:t>REGULAR MEETINGS</w:t>
      </w:r>
    </w:p>
    <w:p>
      <w:pPr>
        <w:spacing w:after="0" w:line="1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Regular meetings of the Board of Directors may be held without notice at such time and at such place as shall from time to time be determined by the Board of Directors.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90" w:name="page191"/>
    <w:bookmarkEnd w:id="190"/>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3.7</w:t>
      </w:r>
      <w:r>
        <w:rPr>
          <w:sz w:val="20"/>
          <w:szCs w:val="20"/>
          <w:color w:val="auto"/>
        </w:rPr>
        <w:tab/>
      </w:r>
      <w:r>
        <w:rPr>
          <w:rFonts w:ascii="Times New Roman" w:cs="Times New Roman" w:eastAsia="Times New Roman" w:hAnsi="Times New Roman"/>
          <w:sz w:val="14"/>
          <w:szCs w:val="14"/>
          <w:color w:val="auto"/>
        </w:rPr>
        <w:t>SPECIAL MEETINGS; NOTICE</w:t>
      </w:r>
    </w:p>
    <w:p>
      <w:pPr>
        <w:spacing w:after="0" w:line="182" w:lineRule="exact"/>
        <w:rPr>
          <w:sz w:val="20"/>
          <w:szCs w:val="20"/>
          <w:color w:val="auto"/>
        </w:rPr>
      </w:pPr>
    </w:p>
    <w:p>
      <w:pPr>
        <w:ind w:firstLine="532"/>
        <w:spacing w:after="0" w:line="273" w:lineRule="auto"/>
        <w:rPr>
          <w:sz w:val="20"/>
          <w:szCs w:val="20"/>
          <w:color w:val="auto"/>
        </w:rPr>
      </w:pPr>
      <w:r>
        <w:rPr>
          <w:rFonts w:ascii="Times New Roman" w:cs="Times New Roman" w:eastAsia="Times New Roman" w:hAnsi="Times New Roman"/>
          <w:sz w:val="15"/>
          <w:szCs w:val="15"/>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Notice of the time and place of special meetings shall be:</w:t>
      </w:r>
    </w:p>
    <w:p>
      <w:pPr>
        <w:spacing w:after="0" w:line="182" w:lineRule="exact"/>
        <w:rPr>
          <w:sz w:val="20"/>
          <w:szCs w:val="20"/>
          <w:color w:val="auto"/>
        </w:rPr>
      </w:pPr>
    </w:p>
    <w:p>
      <w:pPr>
        <w:ind w:left="1600" w:hanging="526"/>
        <w:spacing w:after="0"/>
        <w:tabs>
          <w:tab w:leader="none" w:pos="16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delivered personally by hand, by courier or by telephone;</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sent by United States first-class mail, postage prepaid;</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sent by facsimile;</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sent by electronic mail; or</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given by electronic transmission (as defined in Section 232 of the DGCL),</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40"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3.8</w:t>
      </w:r>
      <w:r>
        <w:rPr>
          <w:sz w:val="20"/>
          <w:szCs w:val="20"/>
          <w:color w:val="auto"/>
        </w:rPr>
        <w:tab/>
      </w:r>
      <w:r>
        <w:rPr>
          <w:rFonts w:ascii="Times New Roman" w:cs="Times New Roman" w:eastAsia="Times New Roman" w:hAnsi="Times New Roman"/>
          <w:sz w:val="14"/>
          <w:szCs w:val="14"/>
          <w:color w:val="auto"/>
        </w:rPr>
        <w:t>QUORUM; VOTING</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40"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40"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91" w:name="page192"/>
    <w:bookmarkEnd w:id="191"/>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3.9</w:t>
      </w:r>
      <w:r>
        <w:rPr>
          <w:sz w:val="20"/>
          <w:szCs w:val="20"/>
          <w:color w:val="auto"/>
        </w:rPr>
        <w:tab/>
      </w:r>
      <w:r>
        <w:rPr>
          <w:rFonts w:ascii="Times New Roman" w:cs="Times New Roman" w:eastAsia="Times New Roman" w:hAnsi="Times New Roman"/>
          <w:sz w:val="14"/>
          <w:szCs w:val="14"/>
          <w:color w:val="auto"/>
        </w:rPr>
        <w:t>BOARD ACTION BY WRITTEN CONSENT WITHOUT A MEETING</w:t>
      </w:r>
    </w:p>
    <w:p>
      <w:pPr>
        <w:spacing w:after="0" w:line="182" w:lineRule="exact"/>
        <w:rPr>
          <w:sz w:val="20"/>
          <w:szCs w:val="20"/>
          <w:color w:val="auto"/>
        </w:rPr>
      </w:pPr>
    </w:p>
    <w:p>
      <w:pPr>
        <w:ind w:firstLine="532"/>
        <w:spacing w:after="0" w:line="256" w:lineRule="auto"/>
        <w:rPr>
          <w:sz w:val="20"/>
          <w:szCs w:val="20"/>
          <w:color w:val="auto"/>
        </w:rPr>
      </w:pPr>
      <w:r>
        <w:rPr>
          <w:rFonts w:ascii="Times New Roman" w:cs="Times New Roman" w:eastAsia="Times New Roman" w:hAnsi="Times New Roman"/>
          <w:sz w:val="15"/>
          <w:szCs w:val="15"/>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w:t>
      </w:r>
    </w:p>
    <w:p>
      <w:pPr>
        <w:spacing w:after="0" w:line="1" w:lineRule="exact"/>
        <w:rPr>
          <w:sz w:val="20"/>
          <w:szCs w:val="20"/>
          <w:color w:val="auto"/>
        </w:rPr>
      </w:pPr>
    </w:p>
    <w:p>
      <w:pPr>
        <w:jc w:val="both"/>
        <w:ind w:firstLine="9"/>
        <w:spacing w:after="0" w:line="248" w:lineRule="auto"/>
        <w:tabs>
          <w:tab w:leader="none" w:pos="226"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or subcommittee thereof, in the same paper or electronic form as the minutes are maintained.</w:t>
      </w:r>
    </w:p>
    <w:p>
      <w:pPr>
        <w:spacing w:after="0" w:line="15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3.10</w:t>
      </w:r>
      <w:r>
        <w:rPr>
          <w:sz w:val="20"/>
          <w:szCs w:val="20"/>
          <w:color w:val="auto"/>
        </w:rPr>
        <w:tab/>
      </w:r>
      <w:r>
        <w:rPr>
          <w:rFonts w:ascii="Times New Roman" w:cs="Times New Roman" w:eastAsia="Times New Roman" w:hAnsi="Times New Roman"/>
          <w:sz w:val="14"/>
          <w:szCs w:val="14"/>
          <w:color w:val="auto"/>
        </w:rPr>
        <w:t>FEES AND COMPENSATION OF DIRECTORS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Unless otherwise restricted by the certificate of incorporation or these bylaws, the Board of Directors shall have the authority to fix the compensation of directors.</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3.11</w:t>
      </w:r>
      <w:r>
        <w:rPr>
          <w:sz w:val="20"/>
          <w:szCs w:val="20"/>
          <w:color w:val="auto"/>
        </w:rPr>
        <w:tab/>
      </w:r>
      <w:r>
        <w:rPr>
          <w:rFonts w:ascii="Times New Roman" w:cs="Times New Roman" w:eastAsia="Times New Roman" w:hAnsi="Times New Roman"/>
          <w:sz w:val="14"/>
          <w:szCs w:val="14"/>
          <w:color w:val="auto"/>
        </w:rPr>
        <w:t>REMOVAL OF DIRECTORS</w:t>
      </w:r>
    </w:p>
    <w:p>
      <w:pPr>
        <w:spacing w:after="0" w:line="182" w:lineRule="exact"/>
        <w:rPr>
          <w:sz w:val="20"/>
          <w:szCs w:val="20"/>
          <w:color w:val="auto"/>
        </w:rPr>
      </w:pPr>
    </w:p>
    <w:p>
      <w:pPr>
        <w:jc w:val="both"/>
        <w:ind w:right="20" w:firstLine="532"/>
        <w:spacing w:after="0" w:line="273" w:lineRule="auto"/>
        <w:rPr>
          <w:sz w:val="20"/>
          <w:szCs w:val="20"/>
          <w:color w:val="auto"/>
        </w:rPr>
      </w:pPr>
      <w:r>
        <w:rPr>
          <w:rFonts w:ascii="Times New Roman" w:cs="Times New Roman" w:eastAsia="Times New Roman" w:hAnsi="Times New Roman"/>
          <w:sz w:val="15"/>
          <w:szCs w:val="15"/>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IV - COMMITTEES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4.1</w:t>
      </w:r>
      <w:r>
        <w:rPr>
          <w:sz w:val="20"/>
          <w:szCs w:val="20"/>
          <w:color w:val="auto"/>
        </w:rPr>
        <w:tab/>
      </w:r>
      <w:r>
        <w:rPr>
          <w:rFonts w:ascii="Times New Roman" w:cs="Times New Roman" w:eastAsia="Times New Roman" w:hAnsi="Times New Roman"/>
          <w:sz w:val="14"/>
          <w:szCs w:val="14"/>
          <w:color w:val="auto"/>
        </w:rPr>
        <w:t>COMMITTEES OF DIRECTORS</w:t>
      </w:r>
    </w:p>
    <w:p>
      <w:pPr>
        <w:spacing w:after="0" w:line="182"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5"/>
          <w:szCs w:val="15"/>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92" w:name="page193"/>
    <w:bookmarkEnd w:id="192"/>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4.2</w:t>
      </w:r>
      <w:r>
        <w:rPr>
          <w:sz w:val="20"/>
          <w:szCs w:val="20"/>
          <w:color w:val="auto"/>
        </w:rPr>
        <w:tab/>
      </w:r>
      <w:r>
        <w:rPr>
          <w:rFonts w:ascii="Times New Roman" w:cs="Times New Roman" w:eastAsia="Times New Roman" w:hAnsi="Times New Roman"/>
          <w:sz w:val="14"/>
          <w:szCs w:val="14"/>
          <w:color w:val="auto"/>
        </w:rPr>
        <w:t>COMMITTEE MINUTES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Each committee and subcommittee shall keep regular minutes of its meetings.</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4.3</w:t>
      </w:r>
      <w:r>
        <w:rPr>
          <w:sz w:val="20"/>
          <w:szCs w:val="20"/>
          <w:color w:val="auto"/>
        </w:rPr>
        <w:tab/>
      </w:r>
      <w:r>
        <w:rPr>
          <w:rFonts w:ascii="Times New Roman" w:cs="Times New Roman" w:eastAsia="Times New Roman" w:hAnsi="Times New Roman"/>
          <w:sz w:val="14"/>
          <w:szCs w:val="14"/>
          <w:color w:val="auto"/>
        </w:rPr>
        <w:t>MEETINGS AND ACTION OF COMMITTEES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Meetings and actions of committees and subcommittees shall be governed by, and held and taken in accordance with, the provisions of:</w:t>
      </w:r>
    </w:p>
    <w:p>
      <w:pPr>
        <w:spacing w:after="0" w:line="182" w:lineRule="exact"/>
        <w:rPr>
          <w:sz w:val="20"/>
          <w:szCs w:val="20"/>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3.5 (place of meetings and meetings by telephone);</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3.6 (regular meetings);</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3.7 (special meetings and notice);</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3.8 (quorum; voting);</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3.9 (action without a meeting); and</w:t>
      </w:r>
    </w:p>
    <w:p>
      <w:pPr>
        <w:spacing w:after="0" w:line="182"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7.4 (waiver of notice)</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 xml:space="preserve">with such changes in the context of those bylaws as are necessary to substitute the committee or subcommittee and its members for the Board of Directors and its members.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(i) the time and place of regular meetings of committees or subcommittees may be determined either by resolution of the Board of Directors or by resolution of the committee or subcommittee;</w:t>
      </w:r>
    </w:p>
    <w:p>
      <w:pPr>
        <w:spacing w:after="0" w:line="1" w:lineRule="exact"/>
        <w:rPr>
          <w:sz w:val="20"/>
          <w:szCs w:val="20"/>
          <w:color w:val="auto"/>
        </w:rPr>
      </w:pPr>
    </w:p>
    <w:p>
      <w:pPr>
        <w:jc w:val="both"/>
        <w:ind w:firstLine="9"/>
        <w:spacing w:after="0" w:line="249" w:lineRule="auto"/>
        <w:tabs>
          <w:tab w:leader="none" w:pos="22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in the absence of any such action by the Board of Directors, the applicable committee or subcommittee, may adopt rules for the government of any committee or subcommittee not inconsistent with the provisions of these bylaws.</w:t>
      </w:r>
    </w:p>
    <w:p>
      <w:pPr>
        <w:spacing w:after="0" w:line="157" w:lineRule="exact"/>
        <w:rPr>
          <w:sz w:val="20"/>
          <w:szCs w:val="20"/>
          <w:color w:val="auto"/>
        </w:rPr>
      </w:pPr>
    </w:p>
    <w:p>
      <w:pPr>
        <w:ind w:firstLine="532"/>
        <w:spacing w:after="0" w:line="273" w:lineRule="auto"/>
        <w:rPr>
          <w:sz w:val="20"/>
          <w:szCs w:val="20"/>
          <w:color w:val="auto"/>
        </w:rPr>
      </w:pPr>
      <w:r>
        <w:rPr>
          <w:rFonts w:ascii="Times New Roman" w:cs="Times New Roman" w:eastAsia="Times New Roman" w:hAnsi="Times New Roman"/>
          <w:sz w:val="15"/>
          <w:szCs w:val="15"/>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4.4</w:t>
      </w:r>
      <w:r>
        <w:rPr>
          <w:sz w:val="20"/>
          <w:szCs w:val="20"/>
          <w:color w:val="auto"/>
        </w:rPr>
        <w:tab/>
      </w:r>
      <w:r>
        <w:rPr>
          <w:rFonts w:ascii="Times New Roman" w:cs="Times New Roman" w:eastAsia="Times New Roman" w:hAnsi="Times New Roman"/>
          <w:sz w:val="14"/>
          <w:szCs w:val="14"/>
          <w:color w:val="auto"/>
        </w:rPr>
        <w:t>SUBCOMMITTEES</w:t>
      </w:r>
    </w:p>
    <w:p>
      <w:pPr>
        <w:spacing w:after="0" w:line="182" w:lineRule="exact"/>
        <w:rPr>
          <w:sz w:val="20"/>
          <w:szCs w:val="20"/>
          <w:color w:val="auto"/>
        </w:rPr>
      </w:pPr>
    </w:p>
    <w:p>
      <w:pPr>
        <w:ind w:firstLine="532"/>
        <w:spacing w:after="0" w:line="273" w:lineRule="auto"/>
        <w:rPr>
          <w:sz w:val="20"/>
          <w:szCs w:val="20"/>
          <w:color w:val="auto"/>
        </w:rPr>
      </w:pPr>
      <w:r>
        <w:rPr>
          <w:rFonts w:ascii="Times New Roman" w:cs="Times New Roman" w:eastAsia="Times New Roman" w:hAnsi="Times New Roman"/>
          <w:sz w:val="15"/>
          <w:szCs w:val="15"/>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5"/>
          <w:szCs w:val="15"/>
          <w:b w:val="1"/>
          <w:bCs w:val="1"/>
          <w:color w:val="auto"/>
        </w:rPr>
        <w:t>ARTICLE V - OFFICERS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5.1</w:t>
      </w:r>
      <w:r>
        <w:rPr>
          <w:sz w:val="20"/>
          <w:szCs w:val="20"/>
          <w:color w:val="auto"/>
        </w:rPr>
        <w:tab/>
      </w:r>
      <w:r>
        <w:rPr>
          <w:rFonts w:ascii="Times New Roman" w:cs="Times New Roman" w:eastAsia="Times New Roman" w:hAnsi="Times New Roman"/>
          <w:sz w:val="14"/>
          <w:szCs w:val="14"/>
          <w:color w:val="auto"/>
        </w:rPr>
        <w:t>OFFICERS</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4"/>
          <w:szCs w:val="14"/>
          <w:color w:val="auto"/>
        </w:rPr>
        <w:t>APPOINTMENT OF OFFICERS</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5.3</w:t>
      </w:r>
      <w:r>
        <w:rPr>
          <w:sz w:val="20"/>
          <w:szCs w:val="20"/>
          <w:color w:val="auto"/>
        </w:rPr>
        <w:tab/>
      </w:r>
      <w:r>
        <w:rPr>
          <w:rFonts w:ascii="Times New Roman" w:cs="Times New Roman" w:eastAsia="Times New Roman" w:hAnsi="Times New Roman"/>
          <w:sz w:val="14"/>
          <w:szCs w:val="14"/>
          <w:color w:val="auto"/>
        </w:rPr>
        <w:t>SUBORDINATE OFFICERS</w:t>
      </w:r>
    </w:p>
    <w:p>
      <w:pPr>
        <w:spacing w:after="0" w:line="182" w:lineRule="exact"/>
        <w:rPr>
          <w:sz w:val="20"/>
          <w:szCs w:val="20"/>
          <w:color w:val="auto"/>
        </w:rPr>
      </w:pPr>
    </w:p>
    <w:p>
      <w:pPr>
        <w:jc w:val="both"/>
        <w:ind w:right="20" w:firstLine="532"/>
        <w:spacing w:after="0" w:line="260" w:lineRule="auto"/>
        <w:rPr>
          <w:sz w:val="20"/>
          <w:szCs w:val="20"/>
          <w:color w:val="auto"/>
        </w:rPr>
      </w:pPr>
      <w:r>
        <w:rPr>
          <w:rFonts w:ascii="Times New Roman" w:cs="Times New Roman" w:eastAsia="Times New Roman" w:hAnsi="Times New Roman"/>
          <w:sz w:val="15"/>
          <w:szCs w:val="15"/>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5.4</w:t>
      </w:r>
      <w:r>
        <w:rPr>
          <w:sz w:val="20"/>
          <w:szCs w:val="20"/>
          <w:color w:val="auto"/>
        </w:rPr>
        <w:tab/>
      </w:r>
      <w:r>
        <w:rPr>
          <w:rFonts w:ascii="Times New Roman" w:cs="Times New Roman" w:eastAsia="Times New Roman" w:hAnsi="Times New Roman"/>
          <w:sz w:val="14"/>
          <w:szCs w:val="14"/>
          <w:color w:val="auto"/>
        </w:rPr>
        <w:t>REMOVAL AND RESIGNATION OF OFFICERS</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40"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5.5</w:t>
      </w:r>
      <w:r>
        <w:rPr>
          <w:sz w:val="20"/>
          <w:szCs w:val="20"/>
          <w:color w:val="auto"/>
        </w:rPr>
        <w:tab/>
      </w:r>
      <w:r>
        <w:rPr>
          <w:rFonts w:ascii="Times New Roman" w:cs="Times New Roman" w:eastAsia="Times New Roman" w:hAnsi="Times New Roman"/>
          <w:sz w:val="14"/>
          <w:szCs w:val="14"/>
          <w:color w:val="auto"/>
        </w:rPr>
        <w:t>VACANCIES IN OFFICES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Any vacancy occurring in any office of the Company shall be filled by the Board of Directors or as provided in Section 5.3.</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5.6</w:t>
      </w:r>
      <w:r>
        <w:rPr>
          <w:sz w:val="20"/>
          <w:szCs w:val="20"/>
          <w:color w:val="auto"/>
        </w:rPr>
        <w:tab/>
      </w:r>
      <w:r>
        <w:rPr>
          <w:rFonts w:ascii="Times New Roman" w:cs="Times New Roman" w:eastAsia="Times New Roman" w:hAnsi="Times New Roman"/>
          <w:sz w:val="14"/>
          <w:szCs w:val="14"/>
          <w:color w:val="auto"/>
        </w:rPr>
        <w:t>REPRESENTATION OF SECURITIES OF OTHER ENTITIES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4" w:name="page195"/>
    <w:bookmarkEnd w:id="194"/>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5.7</w:t>
      </w:r>
      <w:r>
        <w:rPr>
          <w:sz w:val="20"/>
          <w:szCs w:val="20"/>
          <w:color w:val="auto"/>
        </w:rPr>
        <w:tab/>
      </w:r>
      <w:r>
        <w:rPr>
          <w:rFonts w:ascii="Times New Roman" w:cs="Times New Roman" w:eastAsia="Times New Roman" w:hAnsi="Times New Roman"/>
          <w:sz w:val="14"/>
          <w:szCs w:val="14"/>
          <w:color w:val="auto"/>
        </w:rPr>
        <w:t>AUTHORITY AND DUTIES OF OFFICERS</w:t>
      </w:r>
    </w:p>
    <w:p>
      <w:pPr>
        <w:spacing w:after="0" w:line="182" w:lineRule="exact"/>
        <w:rPr>
          <w:sz w:val="20"/>
          <w:szCs w:val="20"/>
          <w:color w:val="auto"/>
        </w:rPr>
      </w:pPr>
    </w:p>
    <w:p>
      <w:pPr>
        <w:jc w:val="both"/>
        <w:ind w:right="20" w:firstLine="532"/>
        <w:spacing w:after="0" w:line="273" w:lineRule="auto"/>
        <w:rPr>
          <w:sz w:val="20"/>
          <w:szCs w:val="20"/>
          <w:color w:val="auto"/>
        </w:rPr>
      </w:pPr>
      <w:r>
        <w:rPr>
          <w:rFonts w:ascii="Times New Roman" w:cs="Times New Roman" w:eastAsia="Times New Roman" w:hAnsi="Times New Roman"/>
          <w:sz w:val="15"/>
          <w:szCs w:val="15"/>
          <w:color w:val="auto"/>
        </w:rPr>
        <w:t>All officers of the Company shall respectively have such authority and perform such duties in the management of the business of the Company as may be designated from time to time by the Board of Directors and, to the extent not so provided, as generally pertain to their respective offices, subject to the control of the Board of Directors.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 - STOCK</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6.1</w:t>
      </w:r>
      <w:r>
        <w:rPr>
          <w:sz w:val="20"/>
          <w:szCs w:val="20"/>
          <w:color w:val="auto"/>
        </w:rPr>
        <w:tab/>
      </w:r>
      <w:r>
        <w:rPr>
          <w:rFonts w:ascii="Times New Roman" w:cs="Times New Roman" w:eastAsia="Times New Roman" w:hAnsi="Times New Roman"/>
          <w:sz w:val="14"/>
          <w:szCs w:val="14"/>
          <w:color w:val="auto"/>
        </w:rPr>
        <w:t>STOCK CERTIFICATES; PARTLY PAID SHARES</w:t>
      </w:r>
    </w:p>
    <w:p>
      <w:pPr>
        <w:spacing w:after="0" w:line="182" w:lineRule="exact"/>
        <w:rPr>
          <w:sz w:val="20"/>
          <w:szCs w:val="20"/>
          <w:color w:val="auto"/>
        </w:rPr>
      </w:pPr>
    </w:p>
    <w:p>
      <w:pPr>
        <w:jc w:val="both"/>
        <w:ind w:firstLine="532"/>
        <w:spacing w:after="0" w:line="251" w:lineRule="auto"/>
        <w:rPr>
          <w:sz w:val="20"/>
          <w:szCs w:val="20"/>
          <w:color w:val="auto"/>
        </w:rPr>
      </w:pPr>
      <w:r>
        <w:rPr>
          <w:rFonts w:ascii="Times New Roman" w:cs="Times New Roman" w:eastAsia="Times New Roman" w:hAnsi="Times New Roman"/>
          <w:sz w:val="15"/>
          <w:szCs w:val="15"/>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57"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6.2</w:t>
      </w:r>
      <w:r>
        <w:rPr>
          <w:sz w:val="20"/>
          <w:szCs w:val="20"/>
          <w:color w:val="auto"/>
        </w:rPr>
        <w:tab/>
      </w:r>
      <w:r>
        <w:rPr>
          <w:rFonts w:ascii="Times New Roman" w:cs="Times New Roman" w:eastAsia="Times New Roman" w:hAnsi="Times New Roman"/>
          <w:sz w:val="14"/>
          <w:szCs w:val="14"/>
          <w:color w:val="auto"/>
        </w:rPr>
        <w:t>SPECIAL DESIGNATION ON CERTIFICATES</w:t>
      </w:r>
    </w:p>
    <w:p>
      <w:pPr>
        <w:spacing w:after="0" w:line="182" w:lineRule="exact"/>
        <w:rPr>
          <w:sz w:val="20"/>
          <w:szCs w:val="20"/>
          <w:color w:val="auto"/>
        </w:rPr>
      </w:pPr>
    </w:p>
    <w:p>
      <w:pPr>
        <w:jc w:val="both"/>
        <w:ind w:firstLine="532"/>
        <w:spacing w:after="0" w:line="249" w:lineRule="auto"/>
        <w:rPr>
          <w:sz w:val="20"/>
          <w:szCs w:val="20"/>
          <w:color w:val="auto"/>
        </w:rPr>
      </w:pPr>
      <w:r>
        <w:rPr>
          <w:rFonts w:ascii="Times New Roman" w:cs="Times New Roman" w:eastAsia="Times New Roman" w:hAnsi="Times New Roman"/>
          <w:sz w:val="15"/>
          <w:szCs w:val="15"/>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195" w:name="page196"/>
    <w:bookmarkEnd w:id="195"/>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6.3</w:t>
      </w:r>
      <w:r>
        <w:rPr>
          <w:sz w:val="20"/>
          <w:szCs w:val="20"/>
          <w:color w:val="auto"/>
        </w:rPr>
        <w:tab/>
      </w:r>
      <w:r>
        <w:rPr>
          <w:rFonts w:ascii="Times New Roman" w:cs="Times New Roman" w:eastAsia="Times New Roman" w:hAnsi="Times New Roman"/>
          <w:sz w:val="14"/>
          <w:szCs w:val="14"/>
          <w:color w:val="auto"/>
        </w:rPr>
        <w:t>LOST CERTIFICATES</w:t>
      </w:r>
    </w:p>
    <w:p>
      <w:pPr>
        <w:spacing w:after="0" w:line="182" w:lineRule="exact"/>
        <w:rPr>
          <w:sz w:val="20"/>
          <w:szCs w:val="20"/>
          <w:color w:val="auto"/>
        </w:rPr>
      </w:pPr>
    </w:p>
    <w:p>
      <w:pPr>
        <w:jc w:val="both"/>
        <w:ind w:firstLine="532"/>
        <w:spacing w:after="0" w:line="279" w:lineRule="auto"/>
        <w:rPr>
          <w:sz w:val="20"/>
          <w:szCs w:val="20"/>
          <w:color w:val="auto"/>
        </w:rPr>
      </w:pPr>
      <w:r>
        <w:rPr>
          <w:rFonts w:ascii="Times New Roman" w:cs="Times New Roman" w:eastAsia="Times New Roman" w:hAnsi="Times New Roman"/>
          <w:sz w:val="14"/>
          <w:szCs w:val="14"/>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3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6.4</w:t>
      </w:r>
      <w:r>
        <w:rPr>
          <w:sz w:val="20"/>
          <w:szCs w:val="20"/>
          <w:color w:val="auto"/>
        </w:rPr>
        <w:tab/>
      </w:r>
      <w:r>
        <w:rPr>
          <w:rFonts w:ascii="Times New Roman" w:cs="Times New Roman" w:eastAsia="Times New Roman" w:hAnsi="Times New Roman"/>
          <w:sz w:val="14"/>
          <w:szCs w:val="14"/>
          <w:color w:val="auto"/>
        </w:rPr>
        <w:t>DIVIDENDS</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6.5</w:t>
      </w:r>
      <w:r>
        <w:rPr>
          <w:sz w:val="20"/>
          <w:szCs w:val="20"/>
          <w:color w:val="auto"/>
        </w:rPr>
        <w:tab/>
      </w:r>
      <w:r>
        <w:rPr>
          <w:rFonts w:ascii="Times New Roman" w:cs="Times New Roman" w:eastAsia="Times New Roman" w:hAnsi="Times New Roman"/>
          <w:sz w:val="14"/>
          <w:szCs w:val="14"/>
          <w:color w:val="auto"/>
        </w:rPr>
        <w:t>TRANSFER OF STOCK</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6.6</w:t>
      </w:r>
      <w:r>
        <w:rPr>
          <w:sz w:val="20"/>
          <w:szCs w:val="20"/>
          <w:color w:val="auto"/>
        </w:rPr>
        <w:tab/>
      </w:r>
      <w:r>
        <w:rPr>
          <w:rFonts w:ascii="Times New Roman" w:cs="Times New Roman" w:eastAsia="Times New Roman" w:hAnsi="Times New Roman"/>
          <w:sz w:val="14"/>
          <w:szCs w:val="14"/>
          <w:color w:val="auto"/>
        </w:rPr>
        <w:t>STOCK TRANSFER AGREEMENTS</w:t>
      </w:r>
    </w:p>
    <w:p>
      <w:pPr>
        <w:spacing w:after="0" w:line="182" w:lineRule="exact"/>
        <w:rPr>
          <w:sz w:val="20"/>
          <w:szCs w:val="20"/>
          <w:color w:val="auto"/>
        </w:rPr>
      </w:pPr>
    </w:p>
    <w:p>
      <w:pPr>
        <w:jc w:val="both"/>
        <w:ind w:right="20" w:firstLine="532"/>
        <w:spacing w:after="0" w:line="273" w:lineRule="auto"/>
        <w:rPr>
          <w:sz w:val="20"/>
          <w:szCs w:val="20"/>
          <w:color w:val="auto"/>
        </w:rPr>
      </w:pPr>
      <w:r>
        <w:rPr>
          <w:rFonts w:ascii="Times New Roman" w:cs="Times New Roman" w:eastAsia="Times New Roman" w:hAnsi="Times New Roman"/>
          <w:sz w:val="15"/>
          <w:szCs w:val="15"/>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96" w:name="page197"/>
    <w:bookmarkEnd w:id="196"/>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6.7</w:t>
      </w:r>
      <w:r>
        <w:rPr>
          <w:sz w:val="20"/>
          <w:szCs w:val="20"/>
          <w:color w:val="auto"/>
        </w:rPr>
        <w:tab/>
      </w:r>
      <w:r>
        <w:rPr>
          <w:rFonts w:ascii="Times New Roman" w:cs="Times New Roman" w:eastAsia="Times New Roman" w:hAnsi="Times New Roman"/>
          <w:sz w:val="14"/>
          <w:szCs w:val="14"/>
          <w:color w:val="auto"/>
        </w:rPr>
        <w:t>REGISTERED STOCKHOLDERS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w:t>
      </w:r>
    </w:p>
    <w:p>
      <w:pPr>
        <w:spacing w:after="0" w:line="182" w:lineRule="exact"/>
        <w:rPr>
          <w:sz w:val="20"/>
          <w:szCs w:val="20"/>
          <w:color w:val="auto"/>
        </w:rPr>
      </w:pPr>
    </w:p>
    <w:p>
      <w:pPr>
        <w:ind w:left="1700" w:hanging="626"/>
        <w:spacing w:after="0"/>
        <w:tabs>
          <w:tab w:leader="none" w:pos="170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be entitled to recognize the exclusive right of a person registered on its books as the owner of shares to receive dividends and notices and to vote as such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owner; and</w:t>
      </w:r>
    </w:p>
    <w:p>
      <w:pPr>
        <w:spacing w:after="0" w:line="168" w:lineRule="exact"/>
        <w:rPr>
          <w:sz w:val="20"/>
          <w:szCs w:val="20"/>
          <w:color w:val="auto"/>
        </w:rPr>
      </w:pPr>
    </w:p>
    <w:p>
      <w:pPr>
        <w:ind w:firstLine="1074"/>
        <w:spacing w:after="0" w:line="273" w:lineRule="auto"/>
        <w:tabs>
          <w:tab w:leader="none" w:pos="1617"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6.8</w:t>
      </w:r>
      <w:r>
        <w:rPr>
          <w:sz w:val="20"/>
          <w:szCs w:val="20"/>
          <w:color w:val="auto"/>
        </w:rPr>
        <w:tab/>
      </w:r>
      <w:r>
        <w:rPr>
          <w:rFonts w:ascii="Times New Roman" w:cs="Times New Roman" w:eastAsia="Times New Roman" w:hAnsi="Times New Roman"/>
          <w:sz w:val="14"/>
          <w:szCs w:val="14"/>
          <w:color w:val="auto"/>
        </w:rPr>
        <w:t>LOCK-UP</w:t>
      </w:r>
    </w:p>
    <w:p>
      <w:pPr>
        <w:spacing w:after="0" w:line="180" w:lineRule="exact"/>
        <w:rPr>
          <w:sz w:val="20"/>
          <w:szCs w:val="20"/>
          <w:color w:val="auto"/>
        </w:rPr>
      </w:pPr>
    </w:p>
    <w:p>
      <w:pPr>
        <w:jc w:val="both"/>
        <w:ind w:firstLine="1074"/>
        <w:spacing w:after="0" w:line="254" w:lineRule="auto"/>
        <w:tabs>
          <w:tab w:leader="none" w:pos="1735" w:val="left"/>
        </w:tabs>
        <w:numPr>
          <w:ilvl w:val="1"/>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6.8(b), the holders (the “</w:t>
      </w:r>
      <w:r>
        <w:rPr>
          <w:rFonts w:ascii="Times New Roman" w:cs="Times New Roman" w:eastAsia="Times New Roman" w:hAnsi="Times New Roman"/>
          <w:sz w:val="15"/>
          <w:szCs w:val="15"/>
          <w:b w:val="1"/>
          <w:bCs w:val="1"/>
          <w:color w:val="auto"/>
        </w:rPr>
        <w:t>Lock-up Holders</w:t>
      </w:r>
      <w:r>
        <w:rPr>
          <w:rFonts w:ascii="Times New Roman" w:cs="Times New Roman" w:eastAsia="Times New Roman" w:hAnsi="Times New Roman"/>
          <w:sz w:val="15"/>
          <w:szCs w:val="15"/>
          <w:color w:val="auto"/>
        </w:rPr>
        <w:t>”) of common stock of the Company issued (i) as the Adjusted Transaction Share Consideration pursuant to the Merger (each, as defined in the Business Combination Agreement) or (ii) to directors, officers and employees of the Company or its subsidiaries upon the settlement or exercise of stock options, restricted stock units, or other equity awards outstanding as of immediately following the closing of the Business Combination Transaction in respect of awards of a subsidiary of the Company formerly known as Nautilus Biotechnology, Inc. outstanding immediately prior to the closing of the Business Combination Transaction (such shares referred to in this Section 6.8(a)(ii), the “</w:t>
      </w:r>
      <w:r>
        <w:rPr>
          <w:rFonts w:ascii="Times New Roman" w:cs="Times New Roman" w:eastAsia="Times New Roman" w:hAnsi="Times New Roman"/>
          <w:sz w:val="15"/>
          <w:szCs w:val="15"/>
          <w:b w:val="1"/>
          <w:bCs w:val="1"/>
          <w:color w:val="auto"/>
        </w:rPr>
        <w:t>Existing Equity Award Shares</w:t>
      </w:r>
      <w:r>
        <w:rPr>
          <w:rFonts w:ascii="Times New Roman" w:cs="Times New Roman" w:eastAsia="Times New Roman" w:hAnsi="Times New Roman"/>
          <w:sz w:val="15"/>
          <w:szCs w:val="15"/>
          <w:color w:val="auto"/>
        </w:rPr>
        <w:t>”), may not Transfer any Lock-up Shares until the end of the Lock-up Period (the “</w:t>
      </w:r>
      <w:r>
        <w:rPr>
          <w:rFonts w:ascii="Times New Roman" w:cs="Times New Roman" w:eastAsia="Times New Roman" w:hAnsi="Times New Roman"/>
          <w:sz w:val="15"/>
          <w:szCs w:val="15"/>
          <w:b w:val="1"/>
          <w:bCs w:val="1"/>
          <w:color w:val="auto"/>
        </w:rPr>
        <w:t>Lock-up</w:t>
      </w:r>
      <w:r>
        <w:rPr>
          <w:rFonts w:ascii="Times New Roman" w:cs="Times New Roman" w:eastAsia="Times New Roman" w:hAnsi="Times New Roman"/>
          <w:sz w:val="15"/>
          <w:szCs w:val="15"/>
          <w:color w:val="auto"/>
        </w:rPr>
        <w:t>”).</w:t>
      </w:r>
    </w:p>
    <w:p>
      <w:pPr>
        <w:spacing w:after="0" w:line="154" w:lineRule="exact"/>
        <w:rPr>
          <w:rFonts w:ascii="Times New Roman" w:cs="Times New Roman" w:eastAsia="Times New Roman" w:hAnsi="Times New Roman"/>
          <w:sz w:val="15"/>
          <w:szCs w:val="15"/>
          <w:color w:val="auto"/>
        </w:rPr>
      </w:pPr>
    </w:p>
    <w:p>
      <w:pPr>
        <w:jc w:val="both"/>
        <w:ind w:firstLine="1074"/>
        <w:spacing w:after="0" w:line="266" w:lineRule="auto"/>
        <w:tabs>
          <w:tab w:leader="none" w:pos="1629" w:val="left"/>
        </w:tabs>
        <w:numPr>
          <w:ilvl w:val="1"/>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provisions set forth in Section 6.8(a), the Lock-up Holders or their respective Permitted Transferees may Transfer the Lock-up Shares during the Lock-up Period (i) as a bona fide gift or charitable contribution; (ii) to a trust, or other entity formed for estate planning purposes for the primary benefit of the spouse, domestic partner, parent, sibling, child or grandchild of such Lock-up Holder or any other person with whom such Lock-up Holder has a relationship by blood, marriage or adoption not more remote than first cousin; (iii) by will or intestate succession upon the death of the Lock-up Holder; (iv) pursuant to a qualified domestic order, court order or in connection with a divorce settlement; (v) if such Lock-up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Lock-up Holder, or (B) to partners, limited liability company members or stockholders of the Lock-up Holder, including, for the avoidance of doubt, where the Lock-up Holder is a partnership, to its general partner or a successor partnership or fund, or any other funds managed by such partnership; (vi) if such Lock-up Holder is a trust, to a trustor or beneficiary of the trust or to the estate of a beneficiary of such trust; (vii) to the Company’s officers, directors or their affiliates; (viii) to a nominee or custodian of a person or entity to whom a disposition or transfer would be permissible under subsections (i) through</w:t>
      </w:r>
    </w:p>
    <w:p>
      <w:pPr>
        <w:spacing w:after="0" w:line="5" w:lineRule="exact"/>
        <w:rPr>
          <w:rFonts w:ascii="Times New Roman" w:cs="Times New Roman" w:eastAsia="Times New Roman" w:hAnsi="Times New Roman"/>
          <w:sz w:val="14"/>
          <w:szCs w:val="14"/>
          <w:color w:val="auto"/>
        </w:rPr>
      </w:pPr>
    </w:p>
    <w:p>
      <w:pPr>
        <w:jc w:val="both"/>
        <w:ind w:firstLine="9"/>
        <w:spacing w:after="0" w:line="268" w:lineRule="auto"/>
        <w:tabs>
          <w:tab w:leader="none" w:pos="304"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this Section 6.8(b); (ix) as a pledge of shares of common stock as security or collateral in connection with any borrowing or the incurrence of any indebtedness by such Lock-up Holder;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such borrowing or incurrence of indebtedness is secured by a portfolio of assets or equity interests issued by multiple issuers; (x) pursuant to a bona fide third-party tender offer, merger, stock sale, recapitalization, consolidation or other transaction involving a change in control of the Company; (xi) to the Company in connection with the repurchase of such Lock-up Holder’s shares in connection with the termination of the Lock-up Holder’s employment with the Company pursuant to contractual agreements with the Company; (xii) to satisfy tax withholding obligations in connection with the exercise of options to purchase shares of common stock of the Company or the vesting of Company stock-based awards; or (xiii) in payment on a “net exercise” or “cashless” basis of the exercise or purchase price with respect to the exercise of options to purchase shares of common stock of the Company. Notwithstanding the provisions set forth in Section 6.8(a), the Lock-up Holders or their respective Permitted Transferees may also establish a trading plan pursuant to Rule 10b5-1 promulgated under the Exchange Act during the Lock-up Period;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such plan does not provide for the Transfer of Lock-up Shares during the Lock-Up Period.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97" w:name="page198"/>
    <w:bookmarkEnd w:id="197"/>
    <w:p>
      <w:pPr>
        <w:jc w:val="both"/>
        <w:ind w:firstLine="1122"/>
        <w:spacing w:after="0" w:line="253" w:lineRule="auto"/>
        <w:tabs>
          <w:tab w:leader="none" w:pos="1777" w:val="left"/>
        </w:tabs>
        <w:numPr>
          <w:ilvl w:val="1"/>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other provisions set forth in this Section 6.8 or any other provision contained herein, the Board of Directors may, in its sole discretion, determine to waive, amend, or repeal the Lock-up obligations set forth in this Section 6.8, whether in whole or in part; provided, that, (i) during the Lock-up Period, any such waiver, amendment or repeal of any Lock-up obligations set forth in Section 6.8, and any waiver, amendment or repeal of this Section 6.8(c), shall require the unanimous approval of the directors present at any meeting at which a quorum is present, and (ii) following the Lock-up Period, any such waiver, amendment or repeal of any Lock-up obligations set forth in Section 6.8, and any waiver, amendment or repeal of this Section 6.8(c), shall require the affirmative vote of a majority of the directors present at any meeting at which a quorum is present.</w:t>
      </w:r>
    </w:p>
    <w:p>
      <w:pPr>
        <w:spacing w:after="0" w:line="155"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 of this Section 6.8:</w:t>
      </w:r>
    </w:p>
    <w:p>
      <w:pPr>
        <w:spacing w:after="0" w:line="180" w:lineRule="exact"/>
        <w:rPr>
          <w:rFonts w:ascii="Times New Roman" w:cs="Times New Roman" w:eastAsia="Times New Roman" w:hAnsi="Times New Roman"/>
          <w:sz w:val="15"/>
          <w:szCs w:val="15"/>
          <w:color w:val="auto"/>
        </w:rPr>
      </w:pPr>
    </w:p>
    <w:p>
      <w:pPr>
        <w:ind w:firstLine="1606"/>
        <w:spacing w:after="0" w:line="276" w:lineRule="auto"/>
        <w:tabs>
          <w:tab w:leader="none" w:pos="2033" w:val="left"/>
        </w:tabs>
        <w:numPr>
          <w:ilvl w:val="2"/>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color w:val="auto"/>
        </w:rPr>
        <w:t>Lock-up Period</w:t>
      </w:r>
      <w:r>
        <w:rPr>
          <w:rFonts w:ascii="Times New Roman" w:cs="Times New Roman" w:eastAsia="Times New Roman" w:hAnsi="Times New Roman"/>
          <w:sz w:val="15"/>
          <w:szCs w:val="15"/>
          <w:color w:val="auto"/>
        </w:rPr>
        <w:t>” means the period beginning on the closing date of the Business Combination Transaction and ending at the close of business on the date that is 180 days after the closing date of the Business Combination Transaction;</w:t>
      </w:r>
    </w:p>
    <w:p>
      <w:pPr>
        <w:spacing w:after="0" w:line="135" w:lineRule="exact"/>
        <w:rPr>
          <w:rFonts w:ascii="Times New Roman" w:cs="Times New Roman" w:eastAsia="Times New Roman" w:hAnsi="Times New Roman"/>
          <w:sz w:val="15"/>
          <w:szCs w:val="15"/>
          <w:color w:val="auto"/>
        </w:rPr>
      </w:pPr>
    </w:p>
    <w:p>
      <w:pPr>
        <w:jc w:val="both"/>
        <w:ind w:firstLine="1606"/>
        <w:spacing w:after="0" w:line="251" w:lineRule="auto"/>
        <w:tabs>
          <w:tab w:leader="none" w:pos="2218" w:val="left"/>
        </w:tabs>
        <w:numPr>
          <w:ilvl w:val="2"/>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color w:val="auto"/>
        </w:rPr>
        <w:t>Lock-up Shares</w:t>
      </w:r>
      <w:r>
        <w:rPr>
          <w:rFonts w:ascii="Times New Roman" w:cs="Times New Roman" w:eastAsia="Times New Roman" w:hAnsi="Times New Roman"/>
          <w:sz w:val="15"/>
          <w:szCs w:val="15"/>
          <w:color w:val="auto"/>
        </w:rPr>
        <w:t xml:space="preserve">” means the shares of common stock held by the Lock-up Holders immediately following the closing of the Business Combination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Business Combination Transaction) and the Existing Equity Award Shares;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for clarity, shares of common stock issued in connection with the Domestication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Times New Roman" w:cs="Times New Roman" w:eastAsia="Times New Roman" w:hAnsi="Times New Roman"/>
          <w:sz w:val="15"/>
          <w:szCs w:val="15"/>
          <w:b w:val="1"/>
          <w:bCs w:val="1"/>
          <w:color w:val="auto"/>
        </w:rPr>
        <w:t>Business Combination Agreement</w:t>
      </w:r>
      <w:r>
        <w:rPr>
          <w:rFonts w:ascii="Times New Roman" w:cs="Times New Roman" w:eastAsia="Times New Roman" w:hAnsi="Times New Roman"/>
          <w:sz w:val="15"/>
          <w:szCs w:val="15"/>
          <w:color w:val="auto"/>
        </w:rPr>
        <w:t>”)) or the PIPE Financing (as defined in the Business Combination Agreement) shall not constitute Lock-up Shares;</w:t>
      </w:r>
    </w:p>
    <w:p>
      <w:pPr>
        <w:spacing w:after="0" w:line="157" w:lineRule="exact"/>
        <w:rPr>
          <w:rFonts w:ascii="Times New Roman" w:cs="Times New Roman" w:eastAsia="Times New Roman" w:hAnsi="Times New Roman"/>
          <w:sz w:val="15"/>
          <w:szCs w:val="15"/>
          <w:color w:val="auto"/>
        </w:rPr>
      </w:pPr>
    </w:p>
    <w:p>
      <w:pPr>
        <w:ind w:firstLine="1606"/>
        <w:spacing w:after="0" w:line="276" w:lineRule="auto"/>
        <w:tabs>
          <w:tab w:leader="none" w:pos="2170" w:val="left"/>
        </w:tabs>
        <w:numPr>
          <w:ilvl w:val="2"/>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color w:val="auto"/>
        </w:rPr>
        <w:t>Permitted Transferees</w:t>
      </w:r>
      <w:r>
        <w:rPr>
          <w:rFonts w:ascii="Times New Roman" w:cs="Times New Roman" w:eastAsia="Times New Roman" w:hAnsi="Times New Roman"/>
          <w:sz w:val="15"/>
          <w:szCs w:val="15"/>
          <w:color w:val="auto"/>
        </w:rPr>
        <w:t>” means, prior to the expiration of the Lock-up Period, any person or entity to whom such Lock-up Holder is permitted to transfer such shares of common stock prior to the expiration of the Lock-up Period pursuant to Section 6.8(b); and</w:t>
      </w:r>
    </w:p>
    <w:p>
      <w:pPr>
        <w:spacing w:after="0" w:line="135" w:lineRule="exact"/>
        <w:rPr>
          <w:rFonts w:ascii="Times New Roman" w:cs="Times New Roman" w:eastAsia="Times New Roman" w:hAnsi="Times New Roman"/>
          <w:sz w:val="15"/>
          <w:szCs w:val="15"/>
          <w:color w:val="auto"/>
        </w:rPr>
      </w:pPr>
    </w:p>
    <w:p>
      <w:pPr>
        <w:jc w:val="both"/>
        <w:ind w:firstLine="1606"/>
        <w:spacing w:after="0" w:line="256" w:lineRule="auto"/>
        <w:tabs>
          <w:tab w:leader="none" w:pos="2189" w:val="left"/>
        </w:tabs>
        <w:numPr>
          <w:ilvl w:val="2"/>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means, with respect to a Lock-Up Share, to, directly or indirectly, sell, transfer, assign, pledge, encumber, hypothecate or similarly dispose of such share, whether or not for value, either voluntarily or involuntarily or by operation of law, or to enter into any contract, option or other arrangement or understanding with respect to the sale, transfer, assignment, pledge, encumbrance, hypothecation or similar disposition of, any right or interest owned by a person or any right or interest (including a beneficial interest) in, or the ownership, control or possession of, such Lock-Up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8" w:name="page199"/>
    <w:bookmarkEnd w:id="198"/>
    <w:p>
      <w:pPr>
        <w:ind w:left="3560"/>
        <w:spacing w:after="0"/>
        <w:rPr>
          <w:sz w:val="20"/>
          <w:szCs w:val="20"/>
          <w:color w:val="auto"/>
        </w:rPr>
      </w:pPr>
      <w:r>
        <w:rPr>
          <w:rFonts w:ascii="Times New Roman" w:cs="Times New Roman" w:eastAsia="Times New Roman" w:hAnsi="Times New Roman"/>
          <w:sz w:val="15"/>
          <w:szCs w:val="15"/>
          <w:b w:val="1"/>
          <w:bCs w:val="1"/>
          <w:color w:val="auto"/>
        </w:rPr>
        <w:t>ARTICLE VII - MANNER OF GIVING NOTICE AND WAIVER</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4"/>
          <w:szCs w:val="14"/>
          <w:color w:val="auto"/>
        </w:rPr>
        <w:t>NOTICE OF STOCKHOLDERS’ MEETINGS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Notice of any meeting of stockholders shall be given in the manner set forth in the DGCL.</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4"/>
          <w:szCs w:val="14"/>
          <w:color w:val="auto"/>
        </w:rPr>
        <w:t>NOTICE TO STOCKHOLDERS SHARING AN ADDRESS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7.3</w:t>
      </w:r>
      <w:r>
        <w:rPr>
          <w:sz w:val="20"/>
          <w:szCs w:val="20"/>
          <w:color w:val="auto"/>
        </w:rPr>
        <w:tab/>
      </w:r>
      <w:r>
        <w:rPr>
          <w:rFonts w:ascii="Times New Roman" w:cs="Times New Roman" w:eastAsia="Times New Roman" w:hAnsi="Times New Roman"/>
          <w:sz w:val="14"/>
          <w:szCs w:val="14"/>
          <w:color w:val="auto"/>
        </w:rPr>
        <w:t>NOTICE TO PERSON WITH WHOM COMMUNICATION IS UNLAWFUL</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7.4</w:t>
      </w:r>
      <w:r>
        <w:rPr>
          <w:sz w:val="20"/>
          <w:szCs w:val="20"/>
          <w:color w:val="auto"/>
        </w:rPr>
        <w:tab/>
      </w:r>
      <w:r>
        <w:rPr>
          <w:rFonts w:ascii="Times New Roman" w:cs="Times New Roman" w:eastAsia="Times New Roman" w:hAnsi="Times New Roman"/>
          <w:sz w:val="14"/>
          <w:szCs w:val="14"/>
          <w:color w:val="auto"/>
        </w:rPr>
        <w:t>WAIVER OF NOTICE</w:t>
      </w:r>
    </w:p>
    <w:p>
      <w:pPr>
        <w:spacing w:after="0" w:line="182" w:lineRule="exact"/>
        <w:rPr>
          <w:sz w:val="20"/>
          <w:szCs w:val="20"/>
          <w:color w:val="auto"/>
        </w:rPr>
      </w:pPr>
    </w:p>
    <w:p>
      <w:pPr>
        <w:jc w:val="both"/>
        <w:ind w:firstLine="532"/>
        <w:spacing w:after="0" w:line="276" w:lineRule="auto"/>
        <w:rPr>
          <w:sz w:val="20"/>
          <w:szCs w:val="20"/>
          <w:color w:val="auto"/>
        </w:rPr>
      </w:pPr>
      <w:r>
        <w:rPr>
          <w:rFonts w:ascii="Times New Roman" w:cs="Times New Roman" w:eastAsia="Times New Roman" w:hAnsi="Times New Roman"/>
          <w:sz w:val="14"/>
          <w:szCs w:val="14"/>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9" w:name="page200"/>
    <w:bookmarkEnd w:id="199"/>
    <w:p>
      <w:pPr>
        <w:ind w:left="4380"/>
        <w:spacing w:after="0"/>
        <w:rPr>
          <w:sz w:val="20"/>
          <w:szCs w:val="20"/>
          <w:color w:val="auto"/>
        </w:rPr>
      </w:pPr>
      <w:r>
        <w:rPr>
          <w:rFonts w:ascii="Times New Roman" w:cs="Times New Roman" w:eastAsia="Times New Roman" w:hAnsi="Times New Roman"/>
          <w:sz w:val="15"/>
          <w:szCs w:val="15"/>
          <w:b w:val="1"/>
          <w:bCs w:val="1"/>
          <w:color w:val="auto"/>
        </w:rPr>
        <w:t>ARTICLE VIII - INDEMNIFICATION</w:t>
      </w:r>
    </w:p>
    <w:p>
      <w:pPr>
        <w:spacing w:after="0" w:line="184" w:lineRule="exact"/>
        <w:rPr>
          <w:sz w:val="20"/>
          <w:szCs w:val="20"/>
          <w:color w:val="auto"/>
        </w:rPr>
      </w:pPr>
    </w:p>
    <w:p>
      <w:pPr>
        <w:ind w:left="540"/>
        <w:spacing w:after="0"/>
        <w:tabs>
          <w:tab w:leader="none" w:pos="1080" w:val="left"/>
        </w:tabs>
        <w:rPr>
          <w:sz w:val="20"/>
          <w:szCs w:val="20"/>
          <w:color w:val="auto"/>
        </w:rPr>
      </w:pPr>
      <w:r>
        <w:rPr>
          <w:rFonts w:ascii="Times New Roman" w:cs="Times New Roman" w:eastAsia="Times New Roman" w:hAnsi="Times New Roman"/>
          <w:sz w:val="15"/>
          <w:szCs w:val="15"/>
          <w:color w:val="auto"/>
        </w:rPr>
        <w:t>8.1</w:t>
      </w:r>
      <w:r>
        <w:rPr>
          <w:sz w:val="20"/>
          <w:szCs w:val="20"/>
          <w:color w:val="auto"/>
        </w:rPr>
        <w:tab/>
      </w:r>
      <w:r>
        <w:rPr>
          <w:rFonts w:ascii="Times New Roman" w:cs="Times New Roman" w:eastAsia="Times New Roman" w:hAnsi="Times New Roman"/>
          <w:sz w:val="14"/>
          <w:szCs w:val="14"/>
          <w:color w:val="auto"/>
        </w:rPr>
        <w:t>INDEMNIFICATION OF DIRECTORS AND OFFICERS IN THIRD PARTY PROCEEDINGS</w:t>
      </w:r>
    </w:p>
    <w:p>
      <w:pPr>
        <w:spacing w:after="0" w:line="182"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5"/>
          <w:szCs w:val="15"/>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5"/>
          <w:szCs w:val="15"/>
          <w:b w:val="1"/>
          <w:bCs w:val="1"/>
          <w:color w:val="auto"/>
        </w:rPr>
        <w:t>Proceeding</w:t>
      </w:r>
      <w:r>
        <w:rPr>
          <w:rFonts w:ascii="Times New Roman" w:cs="Times New Roman" w:eastAsia="Times New Roman" w:hAnsi="Times New Roman"/>
          <w:sz w:val="15"/>
          <w:szCs w:val="15"/>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5"/>
          <w:szCs w:val="15"/>
          <w:i w:val="1"/>
          <w:iCs w:val="1"/>
          <w:color w:val="auto"/>
        </w:rPr>
        <w:t>nolo contendere</w:t>
      </w:r>
      <w:r>
        <w:rPr>
          <w:rFonts w:ascii="Times New Roman" w:cs="Times New Roman" w:eastAsia="Times New Roman" w:hAnsi="Times New Roman"/>
          <w:sz w:val="15"/>
          <w:szCs w:val="15"/>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58"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5"/>
          <w:szCs w:val="15"/>
          <w:color w:val="auto"/>
        </w:rPr>
        <w:t>8.2</w:t>
      </w:r>
      <w:r>
        <w:rPr>
          <w:sz w:val="20"/>
          <w:szCs w:val="20"/>
          <w:color w:val="auto"/>
        </w:rPr>
        <w:tab/>
      </w:r>
      <w:r>
        <w:rPr>
          <w:rFonts w:ascii="Times New Roman" w:cs="Times New Roman" w:eastAsia="Times New Roman" w:hAnsi="Times New Roman"/>
          <w:sz w:val="14"/>
          <w:szCs w:val="14"/>
          <w:color w:val="auto"/>
        </w:rPr>
        <w:t>INDEMNIFICATION OF DIRECTORS AND OFFICERS IN ACTIONS BY OR IN THE RIGHT OF THE COMPANY</w:t>
      </w:r>
    </w:p>
    <w:p>
      <w:pPr>
        <w:spacing w:after="0" w:line="182" w:lineRule="exact"/>
        <w:rPr>
          <w:sz w:val="20"/>
          <w:szCs w:val="20"/>
          <w:color w:val="auto"/>
        </w:rPr>
      </w:pPr>
    </w:p>
    <w:p>
      <w:pPr>
        <w:jc w:val="both"/>
        <w:ind w:firstLine="532"/>
        <w:spacing w:after="0" w:line="271" w:lineRule="auto"/>
        <w:rPr>
          <w:sz w:val="20"/>
          <w:szCs w:val="20"/>
          <w:color w:val="auto"/>
        </w:rPr>
      </w:pPr>
      <w:r>
        <w:rPr>
          <w:rFonts w:ascii="Times New Roman" w:cs="Times New Roman" w:eastAsia="Times New Roman" w:hAnsi="Times New Roman"/>
          <w:sz w:val="14"/>
          <w:szCs w:val="14"/>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43"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8.3</w:t>
      </w:r>
      <w:r>
        <w:rPr>
          <w:sz w:val="20"/>
          <w:szCs w:val="20"/>
          <w:color w:val="auto"/>
        </w:rPr>
        <w:tab/>
      </w:r>
      <w:r>
        <w:rPr>
          <w:rFonts w:ascii="Times New Roman" w:cs="Times New Roman" w:eastAsia="Times New Roman" w:hAnsi="Times New Roman"/>
          <w:sz w:val="14"/>
          <w:szCs w:val="14"/>
          <w:color w:val="auto"/>
        </w:rPr>
        <w:t>SUCCESSFUL DEFENSE</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0" w:name="page201"/>
    <w:bookmarkEnd w:id="200"/>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8.4</w:t>
      </w:r>
      <w:r>
        <w:rPr>
          <w:sz w:val="20"/>
          <w:szCs w:val="20"/>
          <w:color w:val="auto"/>
        </w:rPr>
        <w:tab/>
      </w:r>
      <w:r>
        <w:rPr>
          <w:rFonts w:ascii="Times New Roman" w:cs="Times New Roman" w:eastAsia="Times New Roman" w:hAnsi="Times New Roman"/>
          <w:sz w:val="14"/>
          <w:szCs w:val="14"/>
          <w:color w:val="auto"/>
        </w:rPr>
        <w:t>INDEMNIFICATION OF OTHERS</w:t>
      </w:r>
    </w:p>
    <w:p>
      <w:pPr>
        <w:spacing w:after="0" w:line="182"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5"/>
          <w:szCs w:val="15"/>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4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8.5</w:t>
      </w:r>
      <w:r>
        <w:rPr>
          <w:sz w:val="20"/>
          <w:szCs w:val="20"/>
          <w:color w:val="auto"/>
        </w:rPr>
        <w:tab/>
      </w:r>
      <w:r>
        <w:rPr>
          <w:rFonts w:ascii="Times New Roman" w:cs="Times New Roman" w:eastAsia="Times New Roman" w:hAnsi="Times New Roman"/>
          <w:sz w:val="14"/>
          <w:szCs w:val="14"/>
          <w:color w:val="auto"/>
        </w:rPr>
        <w:t>ADVANCED PAYMENT OF EXPENSES</w:t>
      </w:r>
    </w:p>
    <w:p>
      <w:pPr>
        <w:spacing w:after="0" w:line="182" w:lineRule="exact"/>
        <w:rPr>
          <w:sz w:val="20"/>
          <w:szCs w:val="20"/>
          <w:color w:val="auto"/>
        </w:rPr>
      </w:pPr>
    </w:p>
    <w:p>
      <w:pPr>
        <w:jc w:val="both"/>
        <w:ind w:firstLine="532"/>
        <w:spacing w:after="0" w:line="272" w:lineRule="auto"/>
        <w:rPr>
          <w:sz w:val="20"/>
          <w:szCs w:val="20"/>
          <w:color w:val="auto"/>
        </w:rPr>
      </w:pPr>
      <w:r>
        <w:rPr>
          <w:rFonts w:ascii="Times New Roman" w:cs="Times New Roman" w:eastAsia="Times New Roman" w:hAnsi="Times New Roman"/>
          <w:sz w:val="14"/>
          <w:szCs w:val="14"/>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43" w:lineRule="exact"/>
        <w:rPr>
          <w:sz w:val="20"/>
          <w:szCs w:val="20"/>
          <w:color w:val="auto"/>
        </w:rPr>
      </w:pPr>
    </w:p>
    <w:p>
      <w:pPr>
        <w:jc w:val="both"/>
        <w:ind w:firstLine="532"/>
        <w:spacing w:after="0" w:line="252" w:lineRule="auto"/>
        <w:rPr>
          <w:sz w:val="20"/>
          <w:szCs w:val="20"/>
          <w:color w:val="auto"/>
        </w:rPr>
      </w:pPr>
      <w:r>
        <w:rPr>
          <w:rFonts w:ascii="Times New Roman" w:cs="Times New Roman" w:eastAsia="Times New Roman" w:hAnsi="Times New Roman"/>
          <w:sz w:val="15"/>
          <w:szCs w:val="15"/>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201" w:name="page202"/>
    <w:bookmarkEnd w:id="201"/>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8.6</w:t>
      </w:r>
      <w:r>
        <w:rPr>
          <w:sz w:val="20"/>
          <w:szCs w:val="20"/>
          <w:color w:val="auto"/>
        </w:rPr>
        <w:tab/>
      </w:r>
      <w:r>
        <w:rPr>
          <w:rFonts w:ascii="Times New Roman" w:cs="Times New Roman" w:eastAsia="Times New Roman" w:hAnsi="Times New Roman"/>
          <w:sz w:val="14"/>
          <w:szCs w:val="14"/>
          <w:color w:val="auto"/>
        </w:rPr>
        <w:t>LIMITATION ON INDEMNIFICATION</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Subject to the requirements in Section 8.3 and the DGCL, the Company shall not be obligated to indemnify any person pursuant to this Article VIII in connection with 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Proceeding (or any part of any Proceeding):</w:t>
      </w:r>
    </w:p>
    <w:p>
      <w:pPr>
        <w:spacing w:after="0" w:line="168" w:lineRule="exact"/>
        <w:rPr>
          <w:sz w:val="20"/>
          <w:szCs w:val="20"/>
          <w:color w:val="auto"/>
        </w:rPr>
      </w:pPr>
    </w:p>
    <w:p>
      <w:pPr>
        <w:ind w:firstLine="1074"/>
        <w:spacing w:after="0" w:line="273" w:lineRule="auto"/>
        <w:tabs>
          <w:tab w:leader="none" w:pos="1631"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which payment has actually been made to or on behalf of such person under any statute, insurance policy, indemnity provision, vote or otherwise, except with respect to any excess beyond the amount paid;</w:t>
      </w:r>
    </w:p>
    <w:p>
      <w:pPr>
        <w:spacing w:after="0" w:line="140" w:lineRule="exact"/>
        <w:rPr>
          <w:rFonts w:ascii="Times New Roman" w:cs="Times New Roman" w:eastAsia="Times New Roman" w:hAnsi="Times New Roman"/>
          <w:sz w:val="15"/>
          <w:szCs w:val="15"/>
          <w:color w:val="auto"/>
        </w:rPr>
      </w:pPr>
    </w:p>
    <w:p>
      <w:pPr>
        <w:ind w:firstLine="1074"/>
        <w:spacing w:after="0" w:line="273" w:lineRule="auto"/>
        <w:tabs>
          <w:tab w:leader="none" w:pos="1607"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40" w:lineRule="exact"/>
        <w:rPr>
          <w:rFonts w:ascii="Times New Roman" w:cs="Times New Roman" w:eastAsia="Times New Roman" w:hAnsi="Times New Roman"/>
          <w:sz w:val="15"/>
          <w:szCs w:val="15"/>
          <w:color w:val="auto"/>
        </w:rPr>
      </w:pPr>
    </w:p>
    <w:p>
      <w:pPr>
        <w:jc w:val="both"/>
        <w:ind w:firstLine="1074"/>
        <w:spacing w:after="0" w:line="255" w:lineRule="auto"/>
        <w:tabs>
          <w:tab w:leader="none" w:pos="1697"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 w:cs="Times New Roman" w:eastAsia="Times New Roman" w:hAnsi="Times New Roman"/>
          <w:sz w:val="15"/>
          <w:szCs w:val="15"/>
          <w:b w:val="1"/>
          <w:bCs w:val="1"/>
          <w:color w:val="auto"/>
        </w:rPr>
        <w:t>Sarbanes-Oxley Act</w:t>
      </w:r>
      <w:r>
        <w:rPr>
          <w:rFonts w:ascii="Times New Roman" w:cs="Times New Roman" w:eastAsia="Times New Roman" w:hAnsi="Times New Roman"/>
          <w:sz w:val="15"/>
          <w:szCs w:val="15"/>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54" w:lineRule="exact"/>
        <w:rPr>
          <w:rFonts w:ascii="Times New Roman" w:cs="Times New Roman" w:eastAsia="Times New Roman" w:hAnsi="Times New Roman"/>
          <w:sz w:val="15"/>
          <w:szCs w:val="15"/>
          <w:color w:val="auto"/>
        </w:rPr>
      </w:pPr>
    </w:p>
    <w:p>
      <w:pPr>
        <w:jc w:val="both"/>
        <w:ind w:firstLine="1074"/>
        <w:spacing w:after="0" w:line="255" w:lineRule="auto"/>
        <w:tabs>
          <w:tab w:leader="none" w:pos="1789"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54"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prohibited by applicable law.</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8.7</w:t>
      </w:r>
      <w:r>
        <w:rPr>
          <w:sz w:val="20"/>
          <w:szCs w:val="20"/>
          <w:color w:val="auto"/>
        </w:rPr>
        <w:tab/>
      </w:r>
      <w:r>
        <w:rPr>
          <w:rFonts w:ascii="Times New Roman" w:cs="Times New Roman" w:eastAsia="Times New Roman" w:hAnsi="Times New Roman"/>
          <w:sz w:val="14"/>
          <w:szCs w:val="14"/>
          <w:color w:val="auto"/>
        </w:rPr>
        <w:t>DETERMINATION; CLAIM</w:t>
      </w:r>
    </w:p>
    <w:p>
      <w:pPr>
        <w:spacing w:after="0" w:line="182" w:lineRule="exact"/>
        <w:rPr>
          <w:sz w:val="20"/>
          <w:szCs w:val="20"/>
          <w:color w:val="auto"/>
        </w:rPr>
      </w:pPr>
    </w:p>
    <w:p>
      <w:pPr>
        <w:jc w:val="both"/>
        <w:ind w:right="20" w:firstLine="532"/>
        <w:spacing w:after="0" w:line="253" w:lineRule="auto"/>
        <w:rPr>
          <w:sz w:val="20"/>
          <w:szCs w:val="20"/>
          <w:color w:val="auto"/>
        </w:rPr>
      </w:pPr>
      <w:r>
        <w:rPr>
          <w:rFonts w:ascii="Times New Roman" w:cs="Times New Roman" w:eastAsia="Times New Roman" w:hAnsi="Times New Roman"/>
          <w:sz w:val="15"/>
          <w:szCs w:val="15"/>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56"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8.8</w:t>
      </w:r>
      <w:r>
        <w:rPr>
          <w:sz w:val="20"/>
          <w:szCs w:val="20"/>
          <w:color w:val="auto"/>
        </w:rPr>
        <w:tab/>
      </w:r>
      <w:r>
        <w:rPr>
          <w:rFonts w:ascii="Times New Roman" w:cs="Times New Roman" w:eastAsia="Times New Roman" w:hAnsi="Times New Roman"/>
          <w:sz w:val="14"/>
          <w:szCs w:val="14"/>
          <w:color w:val="auto"/>
        </w:rPr>
        <w:t>NON-EXCLUSIVITY OF RIGHTS</w:t>
      </w:r>
    </w:p>
    <w:p>
      <w:pPr>
        <w:spacing w:after="0" w:line="182" w:lineRule="exact"/>
        <w:rPr>
          <w:sz w:val="20"/>
          <w:szCs w:val="20"/>
          <w:color w:val="auto"/>
        </w:rPr>
      </w:pPr>
    </w:p>
    <w:p>
      <w:pPr>
        <w:jc w:val="both"/>
        <w:ind w:firstLine="532"/>
        <w:spacing w:after="0" w:line="253" w:lineRule="auto"/>
        <w:rPr>
          <w:sz w:val="20"/>
          <w:szCs w:val="20"/>
          <w:color w:val="auto"/>
        </w:rPr>
      </w:pPr>
      <w:r>
        <w:rPr>
          <w:rFonts w:ascii="Times New Roman" w:cs="Times New Roman" w:eastAsia="Times New Roman" w:hAnsi="Times New Roman"/>
          <w:sz w:val="15"/>
          <w:szCs w:val="15"/>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202" w:name="page203"/>
    <w:bookmarkEnd w:id="202"/>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8.9</w:t>
      </w:r>
      <w:r>
        <w:rPr>
          <w:sz w:val="20"/>
          <w:szCs w:val="20"/>
          <w:color w:val="auto"/>
        </w:rPr>
        <w:tab/>
      </w:r>
      <w:r>
        <w:rPr>
          <w:rFonts w:ascii="Times New Roman" w:cs="Times New Roman" w:eastAsia="Times New Roman" w:hAnsi="Times New Roman"/>
          <w:sz w:val="14"/>
          <w:szCs w:val="14"/>
          <w:color w:val="auto"/>
        </w:rPr>
        <w:t>INSURANCE</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8.10</w:t>
      </w:r>
      <w:r>
        <w:rPr>
          <w:sz w:val="20"/>
          <w:szCs w:val="20"/>
          <w:color w:val="auto"/>
        </w:rPr>
        <w:tab/>
      </w:r>
      <w:r>
        <w:rPr>
          <w:rFonts w:ascii="Times New Roman" w:cs="Times New Roman" w:eastAsia="Times New Roman" w:hAnsi="Times New Roman"/>
          <w:sz w:val="14"/>
          <w:szCs w:val="14"/>
          <w:color w:val="auto"/>
        </w:rPr>
        <w:t>SURVIVAL</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8.11</w:t>
      </w:r>
      <w:r>
        <w:rPr>
          <w:sz w:val="20"/>
          <w:szCs w:val="20"/>
          <w:color w:val="auto"/>
        </w:rPr>
        <w:tab/>
      </w:r>
      <w:r>
        <w:rPr>
          <w:rFonts w:ascii="Times New Roman" w:cs="Times New Roman" w:eastAsia="Times New Roman" w:hAnsi="Times New Roman"/>
          <w:sz w:val="14"/>
          <w:szCs w:val="14"/>
          <w:color w:val="auto"/>
        </w:rPr>
        <w:t>EFFECT OF REPEAL OR MODIFICATION</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8.12</w:t>
      </w:r>
      <w:r>
        <w:rPr>
          <w:sz w:val="20"/>
          <w:szCs w:val="20"/>
          <w:color w:val="auto"/>
        </w:rPr>
        <w:tab/>
      </w:r>
      <w:r>
        <w:rPr>
          <w:rFonts w:ascii="Times New Roman" w:cs="Times New Roman" w:eastAsia="Times New Roman" w:hAnsi="Times New Roman"/>
          <w:sz w:val="14"/>
          <w:szCs w:val="14"/>
          <w:color w:val="auto"/>
        </w:rPr>
        <w:t>CERTAIN DEFINITIONS</w:t>
      </w:r>
    </w:p>
    <w:p>
      <w:pPr>
        <w:spacing w:after="0" w:line="180"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5"/>
          <w:szCs w:val="15"/>
          <w:color w:val="auto"/>
        </w:rPr>
        <w:t>For purposes of this Article VIII, references to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Times New Roman" w:cs="Times New Roman" w:eastAsia="Times New Roman" w:hAnsi="Times New Roman"/>
          <w:sz w:val="15"/>
          <w:szCs w:val="15"/>
          <w:b w:val="1"/>
          <w:bCs w:val="1"/>
          <w:color w:val="auto"/>
        </w:rPr>
        <w:t>other enterprises</w:t>
      </w:r>
      <w:r>
        <w:rPr>
          <w:rFonts w:ascii="Times New Roman" w:cs="Times New Roman" w:eastAsia="Times New Roman" w:hAnsi="Times New Roman"/>
          <w:sz w:val="15"/>
          <w:szCs w:val="15"/>
          <w:color w:val="auto"/>
        </w:rPr>
        <w:t>” shall include employee benefit plans; references to “</w:t>
      </w:r>
      <w:r>
        <w:rPr>
          <w:rFonts w:ascii="Times New Roman" w:cs="Times New Roman" w:eastAsia="Times New Roman" w:hAnsi="Times New Roman"/>
          <w:sz w:val="15"/>
          <w:szCs w:val="15"/>
          <w:b w:val="1"/>
          <w:bCs w:val="1"/>
          <w:color w:val="auto"/>
        </w:rPr>
        <w:t>fines</w:t>
      </w:r>
      <w:r>
        <w:rPr>
          <w:rFonts w:ascii="Times New Roman" w:cs="Times New Roman" w:eastAsia="Times New Roman" w:hAnsi="Times New Roman"/>
          <w:sz w:val="15"/>
          <w:szCs w:val="15"/>
          <w:color w:val="auto"/>
        </w:rPr>
        <w:t>” shall include any excise taxes assessed on a person with respect to an employee benefit plan; and references to “</w:t>
      </w:r>
      <w:r>
        <w:rPr>
          <w:rFonts w:ascii="Times New Roman" w:cs="Times New Roman" w:eastAsia="Times New Roman" w:hAnsi="Times New Roman"/>
          <w:sz w:val="15"/>
          <w:szCs w:val="15"/>
          <w:b w:val="1"/>
          <w:bCs w:val="1"/>
          <w:color w:val="auto"/>
        </w:rPr>
        <w:t>serving at the request of the Company</w:t>
      </w:r>
      <w:r>
        <w:rPr>
          <w:rFonts w:ascii="Times New Roman" w:cs="Times New Roman" w:eastAsia="Times New Roman" w:hAnsi="Times New Roman"/>
          <w:sz w:val="15"/>
          <w:szCs w:val="15"/>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5"/>
          <w:szCs w:val="15"/>
          <w:b w:val="1"/>
          <w:bCs w:val="1"/>
          <w:color w:val="auto"/>
        </w:rPr>
        <w:t>not opposed to the best interests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as referred to in this Article VIII.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203" w:name="page204"/>
    <w:bookmarkEnd w:id="203"/>
    <w:p>
      <w:pPr>
        <w:ind w:left="4400"/>
        <w:spacing w:after="0"/>
        <w:rPr>
          <w:sz w:val="20"/>
          <w:szCs w:val="20"/>
          <w:color w:val="auto"/>
        </w:rPr>
      </w:pPr>
      <w:r>
        <w:rPr>
          <w:rFonts w:ascii="Times New Roman" w:cs="Times New Roman" w:eastAsia="Times New Roman" w:hAnsi="Times New Roman"/>
          <w:sz w:val="15"/>
          <w:szCs w:val="15"/>
          <w:b w:val="1"/>
          <w:bCs w:val="1"/>
          <w:color w:val="auto"/>
        </w:rPr>
        <w:t>ARTICLE IX - GENERAL MATTERS</w:t>
      </w:r>
    </w:p>
    <w:p>
      <w:pPr>
        <w:spacing w:after="0" w:line="18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9.1</w:t>
      </w:r>
      <w:r>
        <w:rPr>
          <w:sz w:val="20"/>
          <w:szCs w:val="20"/>
          <w:color w:val="auto"/>
        </w:rPr>
        <w:tab/>
      </w:r>
      <w:r>
        <w:rPr>
          <w:rFonts w:ascii="Times New Roman" w:cs="Times New Roman" w:eastAsia="Times New Roman" w:hAnsi="Times New Roman"/>
          <w:sz w:val="14"/>
          <w:szCs w:val="14"/>
          <w:color w:val="auto"/>
        </w:rPr>
        <w:t>EXECUTION OF CORPORATE CONTRACTS AND INSTRUMENTS</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9.2</w:t>
      </w:r>
      <w:r>
        <w:rPr>
          <w:sz w:val="20"/>
          <w:szCs w:val="20"/>
          <w:color w:val="auto"/>
        </w:rPr>
        <w:tab/>
      </w:r>
      <w:r>
        <w:rPr>
          <w:rFonts w:ascii="Times New Roman" w:cs="Times New Roman" w:eastAsia="Times New Roman" w:hAnsi="Times New Roman"/>
          <w:sz w:val="14"/>
          <w:szCs w:val="14"/>
          <w:color w:val="auto"/>
        </w:rPr>
        <w:t>FISCAL YEAR</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fiscal year of the Company shall be fixed by resolution of the Board of Directors and may be changed by the Board of Directors.</w:t>
      </w:r>
    </w:p>
    <w:p>
      <w:pPr>
        <w:spacing w:after="0" w:line="182"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9.3</w:t>
      </w:r>
      <w:r>
        <w:rPr>
          <w:sz w:val="20"/>
          <w:szCs w:val="20"/>
          <w:color w:val="auto"/>
        </w:rPr>
        <w:tab/>
      </w:r>
      <w:r>
        <w:rPr>
          <w:rFonts w:ascii="Times New Roman" w:cs="Times New Roman" w:eastAsia="Times New Roman" w:hAnsi="Times New Roman"/>
          <w:sz w:val="14"/>
          <w:szCs w:val="14"/>
          <w:color w:val="auto"/>
        </w:rPr>
        <w:t>SEAL</w:t>
      </w:r>
    </w:p>
    <w:p>
      <w:pPr>
        <w:spacing w:after="0" w:line="182" w:lineRule="exact"/>
        <w:rPr>
          <w:sz w:val="20"/>
          <w:szCs w:val="20"/>
          <w:color w:val="auto"/>
        </w:rPr>
      </w:pPr>
    </w:p>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40"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9.4</w:t>
      </w:r>
      <w:r>
        <w:rPr>
          <w:sz w:val="20"/>
          <w:szCs w:val="20"/>
          <w:color w:val="auto"/>
        </w:rPr>
        <w:tab/>
      </w:r>
      <w:r>
        <w:rPr>
          <w:rFonts w:ascii="Times New Roman" w:cs="Times New Roman" w:eastAsia="Times New Roman" w:hAnsi="Times New Roman"/>
          <w:sz w:val="14"/>
          <w:szCs w:val="14"/>
          <w:color w:val="auto"/>
        </w:rPr>
        <w:t>CONSTRUCTION; DEFINITIONS</w:t>
      </w:r>
    </w:p>
    <w:p>
      <w:pPr>
        <w:spacing w:after="0" w:line="182"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5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5"/>
          <w:szCs w:val="15"/>
          <w:color w:val="auto"/>
        </w:rPr>
        <w:t>9.5</w:t>
      </w:r>
      <w:r>
        <w:rPr>
          <w:sz w:val="20"/>
          <w:szCs w:val="20"/>
          <w:color w:val="auto"/>
        </w:rPr>
        <w:tab/>
      </w:r>
      <w:r>
        <w:rPr>
          <w:rFonts w:ascii="Times New Roman" w:cs="Times New Roman" w:eastAsia="Times New Roman" w:hAnsi="Times New Roman"/>
          <w:sz w:val="14"/>
          <w:szCs w:val="14"/>
          <w:color w:val="auto"/>
        </w:rPr>
        <w:t>FORUM SELECTION</w:t>
      </w:r>
    </w:p>
    <w:p>
      <w:pPr>
        <w:spacing w:after="0" w:line="182" w:lineRule="exact"/>
        <w:rPr>
          <w:sz w:val="20"/>
          <w:szCs w:val="20"/>
          <w:color w:val="auto"/>
        </w:rPr>
      </w:pPr>
    </w:p>
    <w:p>
      <w:pPr>
        <w:jc w:val="both"/>
        <w:ind w:firstLine="532"/>
        <w:spacing w:after="0" w:line="250" w:lineRule="auto"/>
        <w:rPr>
          <w:sz w:val="20"/>
          <w:szCs w:val="20"/>
          <w:color w:val="auto"/>
        </w:rPr>
      </w:pPr>
      <w:r>
        <w:rPr>
          <w:rFonts w:ascii="Times New Roman" w:cs="Times New Roman" w:eastAsia="Times New Roman" w:hAnsi="Times New Roman"/>
          <w:sz w:val="15"/>
          <w:szCs w:val="15"/>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4" w:name="page205"/>
    <w:bookmarkEnd w:id="204"/>
    <w:p>
      <w:pPr>
        <w:jc w:val="both"/>
        <w:ind w:firstLine="532"/>
        <w:spacing w:after="0" w:line="273" w:lineRule="auto"/>
        <w:rPr>
          <w:sz w:val="20"/>
          <w:szCs w:val="20"/>
          <w:color w:val="auto"/>
        </w:rPr>
      </w:pPr>
      <w:r>
        <w:rPr>
          <w:rFonts w:ascii="Times New Roman" w:cs="Times New Roman" w:eastAsia="Times New Roman" w:hAnsi="Times New Roman"/>
          <w:sz w:val="15"/>
          <w:szCs w:val="15"/>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spacing w:after="0" w:line="140" w:lineRule="exact"/>
        <w:rPr>
          <w:sz w:val="20"/>
          <w:szCs w:val="20"/>
          <w:color w:val="auto"/>
        </w:rPr>
      </w:pPr>
    </w:p>
    <w:p>
      <w:pPr>
        <w:jc w:val="both"/>
        <w:ind w:firstLine="532"/>
        <w:spacing w:after="0" w:line="310"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X - AMENDMENTS</w:t>
      </w:r>
    </w:p>
    <w:p>
      <w:pPr>
        <w:spacing w:after="0" w:line="184" w:lineRule="exact"/>
        <w:rPr>
          <w:sz w:val="20"/>
          <w:szCs w:val="20"/>
          <w:color w:val="auto"/>
        </w:rPr>
      </w:pPr>
    </w:p>
    <w:p>
      <w:pPr>
        <w:jc w:val="both"/>
        <w:ind w:firstLine="532"/>
        <w:spacing w:after="0" w:line="252" w:lineRule="auto"/>
        <w:rPr>
          <w:sz w:val="20"/>
          <w:szCs w:val="20"/>
          <w:color w:val="auto"/>
        </w:rPr>
      </w:pPr>
      <w:r>
        <w:rPr>
          <w:rFonts w:ascii="Times New Roman" w:cs="Times New Roman" w:eastAsia="Times New Roman" w:hAnsi="Times New Roman"/>
          <w:sz w:val="15"/>
          <w:szCs w:val="15"/>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 3.1, Section 3.2, Section 3.4, Section 3.11, Article VIII, Section 9.5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405765</wp:posOffset>
            </wp:positionV>
            <wp:extent cx="7157085" cy="139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5"/>
          <w:szCs w:val="15"/>
          <w:b w:val="1"/>
          <w:bCs w:val="1"/>
          <w:color w:val="auto"/>
        </w:rPr>
        <w:t>ACTION BY WRITTEN CONSENT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STOCKHOLDERS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NAUTILUS BIOTECHNOLOGY,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 Delaware corporation)</w:t>
      </w:r>
    </w:p>
    <w:p>
      <w:pPr>
        <w:spacing w:after="0" w:line="164" w:lineRule="exact"/>
        <w:rPr>
          <w:sz w:val="20"/>
          <w:szCs w:val="20"/>
          <w:color w:val="auto"/>
        </w:rPr>
      </w:pPr>
    </w:p>
    <w:p>
      <w:pPr>
        <w:jc w:val="both"/>
        <w:ind w:firstLine="532"/>
        <w:spacing w:after="0" w:line="257" w:lineRule="auto"/>
        <w:rPr>
          <w:sz w:val="20"/>
          <w:szCs w:val="20"/>
          <w:color w:val="auto"/>
        </w:rPr>
      </w:pPr>
      <w:r>
        <w:rPr>
          <w:rFonts w:ascii="Times New Roman" w:cs="Times New Roman" w:eastAsia="Times New Roman" w:hAnsi="Times New Roman"/>
          <w:sz w:val="15"/>
          <w:szCs w:val="15"/>
          <w:color w:val="auto"/>
        </w:rPr>
        <w:t>The undersigned, being the Stockholders (the “</w:t>
      </w:r>
      <w:r>
        <w:rPr>
          <w:rFonts w:ascii="Times New Roman" w:cs="Times New Roman" w:eastAsia="Times New Roman" w:hAnsi="Times New Roman"/>
          <w:sz w:val="15"/>
          <w:szCs w:val="15"/>
          <w:b w:val="1"/>
          <w:bCs w:val="1"/>
          <w:i w:val="1"/>
          <w:iCs w:val="1"/>
          <w:color w:val="auto"/>
        </w:rPr>
        <w:t>Stockholders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of Nautilus Biotechnology,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constituting the holders of the outstanding shares having not less than the minimum number of votes that would be necessary to authorize or take such actions at a meeting at which all the shares entitled to vote thereon were present and voted, by written consent in lieu of a meeting, hereby, pursuant to the provisions of Sections 228 and 251 of the General Corporation Law of the State of Delaware (“</w:t>
      </w:r>
      <w:r>
        <w:rPr>
          <w:rFonts w:ascii="Times New Roman" w:cs="Times New Roman" w:eastAsia="Times New Roman" w:hAnsi="Times New Roman"/>
          <w:sz w:val="15"/>
          <w:szCs w:val="15"/>
          <w:b w:val="1"/>
          <w:bCs w:val="1"/>
          <w:i w:val="1"/>
          <w:iCs w:val="1"/>
          <w:color w:val="auto"/>
        </w:rPr>
        <w:t>DGCL</w:t>
      </w:r>
      <w:r>
        <w:rPr>
          <w:rFonts w:ascii="Times New Roman" w:cs="Times New Roman" w:eastAsia="Times New Roman" w:hAnsi="Times New Roman"/>
          <w:sz w:val="15"/>
          <w:szCs w:val="15"/>
          <w:color w:val="auto"/>
        </w:rPr>
        <w:t>”) and the bylaws of the Company, consent to and approve the following resolutions and each and every action effected thereby: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Approval of the Business Combination Agreement and Related Agreements</w:t>
      </w:r>
    </w:p>
    <w:p>
      <w:pPr>
        <w:spacing w:after="0" w:line="180" w:lineRule="exact"/>
        <w:rPr>
          <w:sz w:val="20"/>
          <w:szCs w:val="20"/>
          <w:color w:val="auto"/>
        </w:rPr>
      </w:pPr>
    </w:p>
    <w:p>
      <w:pPr>
        <w:jc w:val="both"/>
        <w:ind w:firstLine="532"/>
        <w:spacing w:after="0" w:line="255"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Board of Directors of the Company (the “</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has determined that it is advisable, fair to, and in the best interests of, the Company and its Stockholders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Company to enter into that certain Business Combination Agreement, in the form attached hereto as </w:t>
      </w:r>
      <w:r>
        <w:rPr>
          <w:rFonts w:ascii="Times New Roman" w:cs="Times New Roman" w:eastAsia="Times New Roman" w:hAnsi="Times New Roman"/>
          <w:sz w:val="15"/>
          <w:szCs w:val="15"/>
          <w:b w:val="1"/>
          <w:bCs w:val="1"/>
          <w:u w:val="single" w:color="auto"/>
          <w:color w:val="auto"/>
        </w:rPr>
        <w:t>Exhibit A</w:t>
      </w:r>
      <w:r>
        <w:rPr>
          <w:rFonts w:ascii="Times New Roman" w:cs="Times New Roman" w:eastAsia="Times New Roman" w:hAnsi="Times New Roman"/>
          <w:sz w:val="15"/>
          <w:szCs w:val="15"/>
          <w:color w:val="auto"/>
        </w:rPr>
        <w:t xml:space="preserve"> (together with all the schedules, exhibits and attachments thereto, the “</w:t>
      </w:r>
      <w:r>
        <w:rPr>
          <w:rFonts w:ascii="Times New Roman" w:cs="Times New Roman" w:eastAsia="Times New Roman" w:hAnsi="Times New Roman"/>
          <w:sz w:val="15"/>
          <w:szCs w:val="15"/>
          <w:b w:val="1"/>
          <w:bCs w:val="1"/>
          <w:i w:val="1"/>
          <w:iCs w:val="1"/>
          <w:color w:val="auto"/>
        </w:rPr>
        <w:t>Business Combination Agreement</w:t>
      </w:r>
      <w:r>
        <w:rPr>
          <w:rFonts w:ascii="Times New Roman" w:cs="Times New Roman" w:eastAsia="Times New Roman" w:hAnsi="Times New Roman"/>
          <w:sz w:val="15"/>
          <w:szCs w:val="15"/>
          <w:color w:val="auto"/>
        </w:rPr>
        <w:t>”), by and among ARYA Sciences Acquisition Corp III, a blank check company incorporated in the Cayman Islands with limited liability as an exempted company (“</w:t>
      </w:r>
      <w:r>
        <w:rPr>
          <w:rFonts w:ascii="Times New Roman" w:cs="Times New Roman" w:eastAsia="Times New Roman" w:hAnsi="Times New Roman"/>
          <w:sz w:val="15"/>
          <w:szCs w:val="15"/>
          <w:b w:val="1"/>
          <w:bCs w:val="1"/>
          <w:i w:val="1"/>
          <w:iCs w:val="1"/>
          <w:color w:val="auto"/>
        </w:rPr>
        <w:t>ARYA</w:t>
      </w:r>
      <w:r>
        <w:rPr>
          <w:rFonts w:ascii="Times New Roman" w:cs="Times New Roman" w:eastAsia="Times New Roman" w:hAnsi="Times New Roman"/>
          <w:sz w:val="15"/>
          <w:szCs w:val="15"/>
          <w:color w:val="auto"/>
        </w:rPr>
        <w:t>”), Mako Merger Sub, Inc., a Delaware corporation and wholly owned subsidiary of ARYA (“</w:t>
      </w:r>
      <w:r>
        <w:rPr>
          <w:rFonts w:ascii="Times New Roman" w:cs="Times New Roman" w:eastAsia="Times New Roman" w:hAnsi="Times New Roman"/>
          <w:sz w:val="15"/>
          <w:szCs w:val="15"/>
          <w:b w:val="1"/>
          <w:bCs w:val="1"/>
          <w:i w:val="1"/>
          <w:iCs w:val="1"/>
          <w:color w:val="auto"/>
        </w:rPr>
        <w:t>Merger Sub</w:t>
      </w:r>
      <w:r>
        <w:rPr>
          <w:rFonts w:ascii="Times New Roman" w:cs="Times New Roman" w:eastAsia="Times New Roman" w:hAnsi="Times New Roman"/>
          <w:sz w:val="15"/>
          <w:szCs w:val="15"/>
          <w:color w:val="auto"/>
        </w:rPr>
        <w:t>”) and the Company, pursuant to which Merger Sub will merge with and into the Company with the Company surviving as a wholly owned subsidiary of ARYA (the entire transaction, the “</w:t>
      </w:r>
      <w:r>
        <w:rPr>
          <w:rFonts w:ascii="Times New Roman" w:cs="Times New Roman" w:eastAsia="Times New Roman" w:hAnsi="Times New Roman"/>
          <w:sz w:val="15"/>
          <w:szCs w:val="15"/>
          <w:b w:val="1"/>
          <w:bCs w:val="1"/>
          <w:i w:val="1"/>
          <w:iCs w:val="1"/>
          <w:color w:val="auto"/>
        </w:rPr>
        <w:t>Merger</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capitalized terms used herein and not otherwise defined shall have the meaning assigned to them in the Business Combination Agreement;</w:t>
      </w:r>
    </w:p>
    <w:p>
      <w:pPr>
        <w:spacing w:after="0" w:line="182" w:lineRule="exact"/>
        <w:rPr>
          <w:sz w:val="20"/>
          <w:szCs w:val="20"/>
          <w:color w:val="auto"/>
        </w:rPr>
      </w:pPr>
    </w:p>
    <w:p>
      <w:pPr>
        <w:jc w:val="both"/>
        <w:ind w:firstLine="532"/>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WHEREAS, </w:t>
      </w:r>
      <w:r>
        <w:rPr>
          <w:rFonts w:ascii="Times New Roman" w:cs="Times New Roman" w:eastAsia="Times New Roman" w:hAnsi="Times New Roman"/>
          <w:sz w:val="15"/>
          <w:szCs w:val="15"/>
          <w:color w:val="auto"/>
        </w:rPr>
        <w:t>the Board has approved and declared the transactions contemplated by the Business Combination Agreement, including the Merger, to be advisable, fair to, and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best interests of the Company and the Stockholders of the Company and has recommended that the Stockholders of the Company adopt the Business Combination Agreement and approve the transactions contemplated thereby, including the Merger;</w:t>
      </w:r>
    </w:p>
    <w:p>
      <w:pPr>
        <w:spacing w:after="0" w:line="147" w:lineRule="exact"/>
        <w:rPr>
          <w:sz w:val="20"/>
          <w:szCs w:val="20"/>
          <w:color w:val="auto"/>
        </w:rPr>
      </w:pPr>
    </w:p>
    <w:p>
      <w:pPr>
        <w:jc w:val="both"/>
        <w:ind w:firstLine="532"/>
        <w:spacing w:after="0" w:line="25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2.1(b)(vii)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Business Combination Agreement, at the Effective Time each Company Share (other than Company Shares cancelled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extinguished pursuant to Section 2.1(b)(viii) of the Business Combination Agreement and any Company Dissenting Shares) issued and outstanding as of immediately prior to the Effective Time shall be automatically canceled and extinguished and converted into the right to receive a number of ARYA Shares equal to the Exchange Ratio, in accordance with the terms of the Business Combination Agreement;</w:t>
      </w:r>
    </w:p>
    <w:p>
      <w:pPr>
        <w:spacing w:after="0" w:line="151" w:lineRule="exact"/>
        <w:rPr>
          <w:sz w:val="20"/>
          <w:szCs w:val="20"/>
          <w:color w:val="auto"/>
        </w:rPr>
      </w:pPr>
    </w:p>
    <w:p>
      <w:pPr>
        <w:jc w:val="both"/>
        <w:ind w:firstLine="532"/>
        <w:spacing w:after="0" w:line="254"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2.4(a)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Business Combination Agreement, at the Effective Time, each Company Option that is outstanding immediately prior to the Effective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Time, whether vested or unvested shall be assumed by ARYA and converted into an option to purchase a number of ARYA Shares equal to the product (rounded down to the nearest whole number) of (x) the number of Company Common Shares subject to such Company Option immediately prior to the Effective Time, </w:t>
      </w:r>
      <w:r>
        <w:rPr>
          <w:rFonts w:ascii="Times New Roman" w:cs="Times New Roman" w:eastAsia="Times New Roman" w:hAnsi="Times New Roman"/>
          <w:sz w:val="15"/>
          <w:szCs w:val="15"/>
          <w:u w:val="single" w:color="auto"/>
          <w:color w:val="auto"/>
        </w:rPr>
        <w:t>multiplied</w:t>
      </w:r>
      <w:r>
        <w:rPr>
          <w:rFonts w:ascii="Times New Roman" w:cs="Times New Roman" w:eastAsia="Times New Roman" w:hAnsi="Times New Roman"/>
          <w:sz w:val="15"/>
          <w:szCs w:val="15"/>
          <w:color w:val="auto"/>
        </w:rPr>
        <w:t xml:space="preserve"> by (y) the Exchange Ratio, at an exercise price per share (rounded up to the nearest whole cent) equal to the quotient of (i) the exercise price per share of such Company Option immediately prior to the Effective Time, </w:t>
      </w:r>
      <w:r>
        <w:rPr>
          <w:rFonts w:ascii="Times New Roman" w:cs="Times New Roman" w:eastAsia="Times New Roman" w:hAnsi="Times New Roman"/>
          <w:sz w:val="15"/>
          <w:szCs w:val="15"/>
          <w:u w:val="single" w:color="auto"/>
          <w:color w:val="auto"/>
        </w:rPr>
        <w:t>divided</w:t>
      </w:r>
      <w:r>
        <w:rPr>
          <w:rFonts w:ascii="Times New Roman" w:cs="Times New Roman" w:eastAsia="Times New Roman" w:hAnsi="Times New Roman"/>
          <w:sz w:val="15"/>
          <w:szCs w:val="15"/>
          <w:color w:val="auto"/>
        </w:rPr>
        <w:t xml:space="preserve"> by (ii) the Exchange Ratio, in accordance with the terms of the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93345</wp:posOffset>
            </wp:positionV>
            <wp:extent cx="7157085" cy="139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67" w:right="319" w:bottom="1440" w:gutter="0" w:footer="0" w:header="0"/>
        </w:sectPr>
      </w:pPr>
    </w:p>
    <w:bookmarkStart w:id="207" w:name="page208"/>
    <w:bookmarkEnd w:id="207"/>
    <w:p>
      <w:pPr>
        <w:jc w:val="both"/>
        <w:ind w:firstLine="569"/>
        <w:spacing w:after="0" w:line="261"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Section 2.4(b)</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Business Combination Agreement, each Company Warrant that is outstanding immediately prior to the Effective Time shall be “net”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exercised for Company Common Shares pursuant to its terms, and shall no longer be outstanding and shall automatically be cancelled, extinguished and retired and shall cease to exist, in accordance with the terms of the Business Combination Agreement;</w:t>
      </w:r>
    </w:p>
    <w:p>
      <w:pPr>
        <w:spacing w:after="0" w:line="147" w:lineRule="exact"/>
        <w:rPr>
          <w:sz w:val="20"/>
          <w:szCs w:val="20"/>
          <w:color w:val="auto"/>
        </w:rPr>
      </w:pPr>
    </w:p>
    <w:p>
      <w:pPr>
        <w:jc w:val="both"/>
        <w:ind w:firstLine="532"/>
        <w:spacing w:after="0" w:line="27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undersigned Stockholders are aware of the material facts related to the Business Combination Agreement and the transactions contemplated thereby, including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Merger, and have had adequate opportunity to ask questions regarding the Merger; and</w:t>
      </w:r>
    </w:p>
    <w:p>
      <w:pPr>
        <w:spacing w:after="0" w:line="134"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Article V, Section 6(a)(i)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amended and restated certificate of incorporation of the Company (the “</w:t>
      </w:r>
      <w:r>
        <w:rPr>
          <w:rFonts w:ascii="Times New Roman" w:cs="Times New Roman" w:eastAsia="Times New Roman" w:hAnsi="Times New Roman"/>
          <w:sz w:val="15"/>
          <w:szCs w:val="15"/>
          <w:b w:val="1"/>
          <w:bCs w:val="1"/>
          <w:i w:val="1"/>
          <w:iCs w:val="1"/>
          <w:color w:val="auto"/>
        </w:rPr>
        <w:t>Current Certificate</w:t>
      </w:r>
      <w:r>
        <w:rPr>
          <w:rFonts w:ascii="Times New Roman" w:cs="Times New Roman" w:eastAsia="Times New Roman" w:hAnsi="Times New Roman"/>
          <w:sz w:val="15"/>
          <w:szCs w:val="15"/>
          <w:color w:val="auto"/>
        </w:rPr>
        <w:t>”) provides that the Company, without first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obtaining the approval of the majority of holders of Preferred Stock, voting as a singles class on an as-converted basis (the “</w:t>
      </w:r>
      <w:r>
        <w:rPr>
          <w:rFonts w:ascii="Times New Roman" w:cs="Times New Roman" w:eastAsia="Times New Roman" w:hAnsi="Times New Roman"/>
          <w:sz w:val="15"/>
          <w:szCs w:val="15"/>
          <w:b w:val="1"/>
          <w:bCs w:val="1"/>
          <w:i w:val="1"/>
          <w:iCs w:val="1"/>
          <w:color w:val="auto"/>
        </w:rPr>
        <w:t>Requisite Investors</w:t>
      </w:r>
      <w:r>
        <w:rPr>
          <w:rFonts w:ascii="Times New Roman" w:cs="Times New Roman" w:eastAsia="Times New Roman" w:hAnsi="Times New Roman"/>
          <w:sz w:val="15"/>
          <w:szCs w:val="15"/>
          <w:color w:val="auto"/>
        </w:rPr>
        <w:t>”), shall not, among other things, amend, alter or repeal any provision of the Current Certificate, or bylaws of the Company whether by merger or otherwise.</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undersigned Stockholders represent the Requisite Investors.</w:t>
      </w:r>
    </w:p>
    <w:p>
      <w:pPr>
        <w:spacing w:after="0" w:line="182" w:lineRule="exact"/>
        <w:rPr>
          <w:sz w:val="20"/>
          <w:szCs w:val="20"/>
          <w:color w:val="auto"/>
        </w:rPr>
      </w:pPr>
    </w:p>
    <w:p>
      <w:pPr>
        <w:jc w:val="both"/>
        <w:ind w:left="540"/>
        <w:spacing w:after="0" w:line="276" w:lineRule="auto"/>
        <w:rPr>
          <w:sz w:val="20"/>
          <w:szCs w:val="20"/>
          <w:color w:val="auto"/>
        </w:rPr>
      </w:pPr>
      <w:r>
        <w:rPr>
          <w:rFonts w:ascii="Times New Roman" w:cs="Times New Roman" w:eastAsia="Times New Roman" w:hAnsi="Times New Roman"/>
          <w:sz w:val="15"/>
          <w:szCs w:val="15"/>
          <w:b w:val="1"/>
          <w:bCs w:val="1"/>
          <w:color w:val="auto"/>
        </w:rPr>
        <w:t>NOW, THEREFORE, BE IT RESOLVED</w:t>
      </w:r>
      <w:r>
        <w:rPr>
          <w:rFonts w:ascii="Times New Roman" w:cs="Times New Roman" w:eastAsia="Times New Roman" w:hAnsi="Times New Roman"/>
          <w:sz w:val="15"/>
          <w:szCs w:val="15"/>
          <w:color w:val="auto"/>
        </w:rPr>
        <w:t>: That the undersigned Stockholders of the Company, representing the Requisite Investors, do hereby adopt the Business Combination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and hereby approve the principal terms of the Merger and the other transactions contemplated by the Business Combination Agreement.</w:t>
      </w:r>
    </w:p>
    <w:p>
      <w:pPr>
        <w:spacing w:after="0" w:line="136" w:lineRule="exact"/>
        <w:rPr>
          <w:sz w:val="20"/>
          <w:szCs w:val="20"/>
          <w:color w:val="auto"/>
        </w:rPr>
      </w:pPr>
    </w:p>
    <w:p>
      <w:pPr>
        <w:jc w:val="both"/>
        <w:ind w:left="540"/>
        <w:spacing w:after="0" w:line="276" w:lineRule="auto"/>
        <w:rPr>
          <w:sz w:val="20"/>
          <w:szCs w:val="20"/>
          <w:color w:val="auto"/>
        </w:rPr>
      </w:pPr>
      <w:r>
        <w:rPr>
          <w:rFonts w:ascii="Times New Roman" w:cs="Times New Roman" w:eastAsia="Times New Roman" w:hAnsi="Times New Roman"/>
          <w:sz w:val="15"/>
          <w:szCs w:val="15"/>
          <w:b w:val="1"/>
          <w:bCs w:val="1"/>
          <w:color w:val="auto"/>
        </w:rPr>
        <w:t>RESOLVED FURTHER</w:t>
      </w:r>
      <w:r>
        <w:rPr>
          <w:rFonts w:ascii="Times New Roman" w:cs="Times New Roman" w:eastAsia="Times New Roman" w:hAnsi="Times New Roman"/>
          <w:sz w:val="15"/>
          <w:szCs w:val="15"/>
          <w:color w:val="auto"/>
        </w:rPr>
        <w:t>: That the Stockholders have determined that the consideration payable in accordance with the terms of the Business Combination Agreement, is fair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reasonable to the Company and the Stockholders.</w:t>
      </w:r>
    </w:p>
    <w:p>
      <w:pPr>
        <w:spacing w:after="0" w:line="136" w:lineRule="exact"/>
        <w:rPr>
          <w:sz w:val="20"/>
          <w:szCs w:val="20"/>
          <w:color w:val="auto"/>
        </w:rPr>
      </w:pPr>
    </w:p>
    <w:p>
      <w:pPr>
        <w:jc w:val="both"/>
        <w:ind w:left="540"/>
        <w:spacing w:after="0" w:line="256" w:lineRule="auto"/>
        <w:rPr>
          <w:sz w:val="20"/>
          <w:szCs w:val="20"/>
          <w:color w:val="auto"/>
        </w:rPr>
      </w:pPr>
      <w:r>
        <w:rPr>
          <w:rFonts w:ascii="Times New Roman" w:cs="Times New Roman" w:eastAsia="Times New Roman" w:hAnsi="Times New Roman"/>
          <w:sz w:val="15"/>
          <w:szCs w:val="15"/>
          <w:b w:val="1"/>
          <w:bCs w:val="1"/>
          <w:color w:val="auto"/>
        </w:rPr>
        <w:t>RESOLVED FURTHER</w:t>
      </w:r>
      <w:r>
        <w:rPr>
          <w:rFonts w:ascii="Times New Roman" w:cs="Times New Roman" w:eastAsia="Times New Roman" w:hAnsi="Times New Roman"/>
          <w:sz w:val="15"/>
          <w:szCs w:val="15"/>
          <w:color w:val="auto"/>
        </w:rPr>
        <w:t>: That each of the officers, be, and each hereby is, authorized, empowered, and directed for, on behalf of and in the name of the Company to (a) negotiate,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execute, deliver and file any agreements, certificates, other instruments or documents, (b) pay expenses and taxes and (c) do or cause to be done any and all such other acts and things as he may deem necessary, appropriate or advisable to effect or implement the Merger and the other transactions contemplated by the Business Combination Agreement, any such action taken by any such officer to be conclusive evidence of such determination.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Waiver of Notice Requirements</w:t>
      </w:r>
    </w:p>
    <w:p>
      <w:pPr>
        <w:spacing w:after="0" w:line="182"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5"/>
          <w:szCs w:val="15"/>
          <w:b w:val="1"/>
          <w:bCs w:val="1"/>
          <w:color w:val="auto"/>
        </w:rPr>
        <w:t>RESOLVED</w:t>
      </w:r>
      <w:r>
        <w:rPr>
          <w:rFonts w:ascii="Times New Roman" w:cs="Times New Roman" w:eastAsia="Times New Roman" w:hAnsi="Times New Roman"/>
          <w:sz w:val="15"/>
          <w:szCs w:val="15"/>
          <w:color w:val="auto"/>
        </w:rPr>
        <w:t>: That each undersigned Company Stockholder hereby waives any and all notice requirements applicable to, or triggered by, the Merger, the Business Combination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and the transactions contemplated thereby that are required under the Bylaws of the Company, any applicable law or any Contract between the undersigned Company Stockholder and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Waiver of Appraisal and Dissenters Rights</w:t>
      </w:r>
    </w:p>
    <w:p>
      <w:pPr>
        <w:spacing w:after="0" w:line="182" w:lineRule="exact"/>
        <w:rPr>
          <w:sz w:val="20"/>
          <w:szCs w:val="20"/>
          <w:color w:val="auto"/>
        </w:rPr>
      </w:pPr>
    </w:p>
    <w:p>
      <w:pPr>
        <w:jc w:val="both"/>
        <w:ind w:firstLine="532"/>
        <w:spacing w:after="0" w:line="254"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 Stockholder of the Company who does not vote in favor of the Merger and is in compliance with all the provisions of the DGCL concerning the right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dissenting Stockholder to demand appraisal of such shares in connection with the Merger (a “</w:t>
      </w:r>
      <w:r>
        <w:rPr>
          <w:rFonts w:ascii="Times New Roman" w:cs="Times New Roman" w:eastAsia="Times New Roman" w:hAnsi="Times New Roman"/>
          <w:sz w:val="15"/>
          <w:szCs w:val="15"/>
          <w:b w:val="1"/>
          <w:bCs w:val="1"/>
          <w:i w:val="1"/>
          <w:iCs w:val="1"/>
          <w:color w:val="auto"/>
        </w:rPr>
        <w:t>Dissenting Stockholder</w:t>
      </w:r>
      <w:r>
        <w:rPr>
          <w:rFonts w:ascii="Times New Roman" w:cs="Times New Roman" w:eastAsia="Times New Roman" w:hAnsi="Times New Roman"/>
          <w:sz w:val="15"/>
          <w:szCs w:val="15"/>
          <w:color w:val="auto"/>
        </w:rPr>
        <w:t xml:space="preserve">”) may, under certain circumstances by following procedures prescribed by Section 262 of the DGCL, excerpts of which are attached hereto as </w:t>
      </w:r>
      <w:r>
        <w:rPr>
          <w:rFonts w:ascii="Times New Roman" w:cs="Times New Roman" w:eastAsia="Times New Roman" w:hAnsi="Times New Roman"/>
          <w:sz w:val="15"/>
          <w:szCs w:val="15"/>
          <w:b w:val="1"/>
          <w:bCs w:val="1"/>
          <w:u w:val="single" w:color="auto"/>
          <w:color w:val="auto"/>
        </w:rPr>
        <w:t>Exhibit B</w:t>
      </w:r>
      <w:r>
        <w:rPr>
          <w:rFonts w:ascii="Times New Roman" w:cs="Times New Roman" w:eastAsia="Times New Roman" w:hAnsi="Times New Roman"/>
          <w:sz w:val="15"/>
          <w:szCs w:val="15"/>
          <w:color w:val="auto"/>
        </w:rPr>
        <w:t>, exercise appraisal rights under the DGCL to receive cash in an amount equal to the “fair value” of such Company Shares as to which such Stockholder has exercised such appraisal rights (such “fair value” will exclude any element of value arising from the accomplishment or expectation of the Merger);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8" w:name="page209"/>
    <w:bookmarkEnd w:id="208"/>
    <w:p>
      <w:pPr>
        <w:ind w:firstLine="569"/>
        <w:spacing w:after="0" w:line="276"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 Dissenting Stockholder must follow the appropriate procedures under the DGCL, or suffer the termination or waiver of such appraisal rights or dissenters’ rights,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respectively.</w:t>
      </w:r>
    </w:p>
    <w:p>
      <w:pPr>
        <w:spacing w:after="0" w:line="136" w:lineRule="exact"/>
        <w:rPr>
          <w:sz w:val="20"/>
          <w:szCs w:val="20"/>
          <w:color w:val="auto"/>
        </w:rPr>
      </w:pPr>
    </w:p>
    <w:p>
      <w:pPr>
        <w:ind w:left="540"/>
        <w:spacing w:after="0" w:line="276" w:lineRule="auto"/>
        <w:rPr>
          <w:sz w:val="20"/>
          <w:szCs w:val="20"/>
          <w:color w:val="auto"/>
        </w:rPr>
      </w:pPr>
      <w:r>
        <w:rPr>
          <w:rFonts w:ascii="Times New Roman" w:cs="Times New Roman" w:eastAsia="Times New Roman" w:hAnsi="Times New Roman"/>
          <w:sz w:val="15"/>
          <w:szCs w:val="15"/>
          <w:b w:val="1"/>
          <w:bCs w:val="1"/>
          <w:color w:val="auto"/>
        </w:rPr>
        <w:t>NOW, THEREFORE, BE IT RESOLVED</w:t>
      </w:r>
      <w:r>
        <w:rPr>
          <w:rFonts w:ascii="Times New Roman" w:cs="Times New Roman" w:eastAsia="Times New Roman" w:hAnsi="Times New Roman"/>
          <w:sz w:val="15"/>
          <w:szCs w:val="15"/>
          <w:color w:val="auto"/>
        </w:rPr>
        <w:t>: That each undersigned Stockholder, with respect only to himself, herself or itself, hereby waives and agrees not to assert any appraisal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dissenters’ rights or any rights similar that the undersigned Stockholders may have in connection with the Merger, whether under the DGCL or other applicable Law.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Additional Agreements and Acknowledgements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Each undersigned Company Stockholder understands, agrees to and acknowledges the following:</w:t>
      </w:r>
    </w:p>
    <w:p>
      <w:pPr>
        <w:spacing w:after="0" w:line="182" w:lineRule="exact"/>
        <w:rPr>
          <w:sz w:val="20"/>
          <w:szCs w:val="20"/>
          <w:color w:val="auto"/>
        </w:rPr>
      </w:pPr>
    </w:p>
    <w:p>
      <w:pPr>
        <w:ind w:firstLine="541"/>
        <w:spacing w:after="0" w:line="273" w:lineRule="auto"/>
        <w:tabs>
          <w:tab w:leader="none" w:pos="1107"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undersigned Company Stockholder has had the opportunity to ask representatives of the Company questions with regard to all the resolutions, agreements, consents and other provisions in this Action by Written Consent and that all such questions have been answered fully and to the satisfaction of such undersigned Company Stockholder.</w:t>
      </w:r>
    </w:p>
    <w:p>
      <w:pPr>
        <w:spacing w:after="0" w:line="140" w:lineRule="exact"/>
        <w:rPr>
          <w:rFonts w:ascii="Times New Roman" w:cs="Times New Roman" w:eastAsia="Times New Roman" w:hAnsi="Times New Roman"/>
          <w:sz w:val="15"/>
          <w:szCs w:val="15"/>
          <w:color w:val="auto"/>
        </w:rPr>
      </w:pPr>
    </w:p>
    <w:p>
      <w:pPr>
        <w:ind w:firstLine="541"/>
        <w:spacing w:after="0" w:line="273" w:lineRule="auto"/>
        <w:tabs>
          <w:tab w:leader="none" w:pos="1057"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undersigned Company Stockholder has had a reasonable time and opportunity to consult with such undersigned Company Stockholder’s financial, legal, tax and other advisors, if desired, before signing this Action by Written Consent.</w:t>
      </w:r>
    </w:p>
    <w:p>
      <w:pPr>
        <w:spacing w:after="0" w:line="140" w:lineRule="exact"/>
        <w:rPr>
          <w:rFonts w:ascii="Times New Roman" w:cs="Times New Roman" w:eastAsia="Times New Roman" w:hAnsi="Times New Roman"/>
          <w:sz w:val="15"/>
          <w:szCs w:val="15"/>
          <w:color w:val="auto"/>
        </w:rPr>
      </w:pPr>
    </w:p>
    <w:p>
      <w:pPr>
        <w:jc w:val="both"/>
        <w:ind w:firstLine="541"/>
        <w:spacing w:after="0" w:line="260" w:lineRule="auto"/>
        <w:tabs>
          <w:tab w:leader="none" w:pos="1172"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undersigned Company Stockholder has received and reviewed and understands, accepts, consents to, adopts, approves and ratifies the terms of the Business Combination Agreement and all schedules and exhibits thereto, the transactions contemplated by the Business Combination Agreement, and any other agreement entered into by the Company in connection with the transactions contemplated by the Business Combination Agreement.</w:t>
      </w:r>
    </w:p>
    <w:p>
      <w:pPr>
        <w:spacing w:after="0" w:line="149" w:lineRule="exact"/>
        <w:rPr>
          <w:rFonts w:ascii="Times New Roman" w:cs="Times New Roman" w:eastAsia="Times New Roman" w:hAnsi="Times New Roman"/>
          <w:sz w:val="15"/>
          <w:szCs w:val="15"/>
          <w:color w:val="auto"/>
        </w:rPr>
      </w:pPr>
    </w:p>
    <w:p>
      <w:pPr>
        <w:ind w:firstLine="541"/>
        <w:spacing w:after="0" w:line="273" w:lineRule="auto"/>
        <w:tabs>
          <w:tab w:leader="none" w:pos="1065"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undersigned Company Stockholder agrees to be bound by the terms of the Business Combination Agreement and confirms that it has no objections to the terms of the Business Combination Agreement or the transactions contemplated by the Business Combination Agreement.</w:t>
      </w:r>
    </w:p>
    <w:p>
      <w:pPr>
        <w:spacing w:after="0" w:line="140" w:lineRule="exact"/>
        <w:rPr>
          <w:rFonts w:ascii="Times New Roman" w:cs="Times New Roman" w:eastAsia="Times New Roman" w:hAnsi="Times New Roman"/>
          <w:sz w:val="15"/>
          <w:szCs w:val="15"/>
          <w:color w:val="auto"/>
        </w:rPr>
      </w:pPr>
    </w:p>
    <w:p>
      <w:pPr>
        <w:ind w:firstLine="541"/>
        <w:spacing w:after="0" w:line="273" w:lineRule="auto"/>
        <w:tabs>
          <w:tab w:leader="none" w:pos="103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ARYA and Merger Sub will be relying on such undersigned Company Stockholder’s execution and delivery to the Company of this Action by Written Consent, and such undersigned Company Stockholder’s agreement to be bound by the terms hereof, in determining whether to proceed to consummate the Merger.</w:t>
      </w:r>
    </w:p>
    <w:p>
      <w:pPr>
        <w:spacing w:after="0" w:line="140" w:lineRule="exact"/>
        <w:rPr>
          <w:rFonts w:ascii="Times New Roman" w:cs="Times New Roman" w:eastAsia="Times New Roman" w:hAnsi="Times New Roman"/>
          <w:sz w:val="15"/>
          <w:szCs w:val="15"/>
          <w:color w:val="auto"/>
        </w:rPr>
      </w:pPr>
    </w:p>
    <w:p>
      <w:pPr>
        <w:jc w:val="both"/>
        <w:ind w:firstLine="541"/>
        <w:spacing w:after="0" w:line="260" w:lineRule="auto"/>
        <w:tabs>
          <w:tab w:leader="none" w:pos="113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fullest extent permitted by applicable law, this Action by Written Consent shall become null and void, and shall have no effect whatsoever and the undersigned Company Stockholder shall have no liability whatsoever hereunder, without any action on the part of any person, upon termination of the Business Combination Agreement in accordance with its terms.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Corporate Name Change</w:t>
      </w:r>
    </w:p>
    <w:p>
      <w:pPr>
        <w:spacing w:after="0" w:line="184" w:lineRule="exact"/>
        <w:rPr>
          <w:sz w:val="20"/>
          <w:szCs w:val="20"/>
          <w:color w:val="auto"/>
        </w:rPr>
      </w:pPr>
    </w:p>
    <w:p>
      <w:pPr>
        <w:jc w:val="both"/>
        <w:ind w:firstLine="532"/>
        <w:spacing w:after="0" w:line="261"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in connection with the Merger and other transactions contemplated by the Business Combination Agreement, the undersigned stockholders deem it advisable and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best interest of the Company to amend the Current Certificate in connection with the closing of the Merger to change the Company’s name from “Nautilus Biotechnology, Inc.” to “Nautilus Subsidiary, Inc.” (the “</w:t>
      </w:r>
      <w:r>
        <w:rPr>
          <w:rFonts w:ascii="Times New Roman" w:cs="Times New Roman" w:eastAsia="Times New Roman" w:hAnsi="Times New Roman"/>
          <w:sz w:val="15"/>
          <w:szCs w:val="15"/>
          <w:b w:val="1"/>
          <w:bCs w:val="1"/>
          <w:i w:val="1"/>
          <w:iCs w:val="1"/>
          <w:color w:val="auto"/>
        </w:rPr>
        <w:t>Name Change</w:t>
      </w:r>
      <w:r>
        <w:rPr>
          <w:rFonts w:ascii="Times New Roman" w:cs="Times New Roman" w:eastAsia="Times New Roman" w:hAnsi="Times New Roman"/>
          <w:sz w:val="15"/>
          <w:szCs w:val="15"/>
          <w:color w:val="auto"/>
        </w:rPr>
        <w: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9" w:name="page210"/>
    <w:bookmarkEnd w:id="209"/>
    <w:p>
      <w:pPr>
        <w:ind w:left="540"/>
        <w:spacing w:after="0"/>
        <w:rPr>
          <w:sz w:val="20"/>
          <w:szCs w:val="20"/>
          <w:color w:val="auto"/>
        </w:rPr>
      </w:pPr>
      <w:r>
        <w:rPr>
          <w:rFonts w:ascii="Times New Roman" w:cs="Times New Roman" w:eastAsia="Times New Roman" w:hAnsi="Times New Roman"/>
          <w:sz w:val="15"/>
          <w:szCs w:val="15"/>
          <w:b w:val="1"/>
          <w:bCs w:val="1"/>
          <w:color w:val="auto"/>
        </w:rPr>
        <w:t>NOW, THEREFORE, BE IT RESOLVED</w:t>
      </w:r>
      <w:r>
        <w:rPr>
          <w:rFonts w:ascii="Times New Roman" w:cs="Times New Roman" w:eastAsia="Times New Roman" w:hAnsi="Times New Roman"/>
          <w:sz w:val="15"/>
          <w:szCs w:val="15"/>
          <w:color w:val="auto"/>
        </w:rPr>
        <w:t>: That the undersigned stockholders hereby approve the Name Change.</w:t>
      </w:r>
    </w:p>
    <w:p>
      <w:pPr>
        <w:spacing w:after="0" w:line="182"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5"/>
          <w:szCs w:val="15"/>
          <w:b w:val="1"/>
          <w:bCs w:val="1"/>
          <w:color w:val="auto"/>
        </w:rPr>
        <w:t>RESOLVED FURTHER</w:t>
      </w:r>
      <w:r>
        <w:rPr>
          <w:rFonts w:ascii="Times New Roman" w:cs="Times New Roman" w:eastAsia="Times New Roman" w:hAnsi="Times New Roman"/>
          <w:sz w:val="15"/>
          <w:szCs w:val="15"/>
          <w:color w:val="auto"/>
        </w:rPr>
        <w:t>: That the appropriate officers of the Company are authorized and directed to take whatever steps may be necessary or desirable in consultation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counsel to carry out the above resolution, including the execution and filing of an amendment to the Current Certificate with the Delaware Secretary of State to effect the Name Change.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General Resolutions</w:t>
      </w:r>
    </w:p>
    <w:p>
      <w:pPr>
        <w:spacing w:after="0" w:line="182" w:lineRule="exact"/>
        <w:rPr>
          <w:sz w:val="20"/>
          <w:szCs w:val="20"/>
          <w:color w:val="auto"/>
        </w:rPr>
      </w:pPr>
    </w:p>
    <w:p>
      <w:pPr>
        <w:jc w:val="both"/>
        <w:ind w:left="540"/>
        <w:spacing w:after="0" w:line="276" w:lineRule="auto"/>
        <w:rPr>
          <w:sz w:val="20"/>
          <w:szCs w:val="20"/>
          <w:color w:val="auto"/>
        </w:rPr>
      </w:pPr>
      <w:r>
        <w:rPr>
          <w:rFonts w:ascii="Times New Roman" w:cs="Times New Roman" w:eastAsia="Times New Roman" w:hAnsi="Times New Roman"/>
          <w:sz w:val="15"/>
          <w:szCs w:val="15"/>
          <w:b w:val="1"/>
          <w:bCs w:val="1"/>
          <w:color w:val="auto"/>
        </w:rPr>
        <w:t>RESOLVED</w:t>
      </w:r>
      <w:r>
        <w:rPr>
          <w:rFonts w:ascii="Times New Roman" w:cs="Times New Roman" w:eastAsia="Times New Roman" w:hAnsi="Times New Roman"/>
          <w:sz w:val="15"/>
          <w:szCs w:val="15"/>
          <w:color w:val="auto"/>
        </w:rPr>
        <w:t>: That all actions previously taken by the Company that are approved by the resolutions set forth in this Action by Written Consent are hereby ratified, confirmed,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approved and adopted.</w:t>
      </w:r>
    </w:p>
    <w:p>
      <w:pPr>
        <w:spacing w:after="0" w:line="136" w:lineRule="exact"/>
        <w:rPr>
          <w:sz w:val="20"/>
          <w:szCs w:val="20"/>
          <w:color w:val="auto"/>
        </w:rPr>
      </w:pPr>
    </w:p>
    <w:p>
      <w:pPr>
        <w:jc w:val="both"/>
        <w:ind w:left="540"/>
        <w:spacing w:after="0" w:line="276" w:lineRule="auto"/>
        <w:rPr>
          <w:sz w:val="20"/>
          <w:szCs w:val="20"/>
          <w:color w:val="auto"/>
        </w:rPr>
      </w:pPr>
      <w:r>
        <w:rPr>
          <w:rFonts w:ascii="Times New Roman" w:cs="Times New Roman" w:eastAsia="Times New Roman" w:hAnsi="Times New Roman"/>
          <w:sz w:val="15"/>
          <w:szCs w:val="15"/>
          <w:b w:val="1"/>
          <w:bCs w:val="1"/>
          <w:color w:val="auto"/>
        </w:rPr>
        <w:t>RESOLVED FURTHER</w:t>
      </w:r>
      <w:r>
        <w:rPr>
          <w:rFonts w:ascii="Times New Roman" w:cs="Times New Roman" w:eastAsia="Times New Roman" w:hAnsi="Times New Roman"/>
          <w:sz w:val="15"/>
          <w:szCs w:val="15"/>
          <w:color w:val="auto"/>
        </w:rPr>
        <w:t>: That the Company is hereby authorized to do or cause to be done any and all such further acts and to do all things necessary or desirable, in its sole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discretion, to otherwise carry out the purposes and intent of the resolutions in this Action by Written Consent.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0" w:name="page211"/>
    <w:bookmarkEnd w:id="210"/>
    <w:p>
      <w:pPr>
        <w:jc w:val="both"/>
        <w:ind w:firstLine="567"/>
        <w:spacing w:after="0" w:line="255" w:lineRule="auto"/>
        <w:rPr>
          <w:sz w:val="20"/>
          <w:szCs w:val="20"/>
          <w:color w:val="auto"/>
        </w:rPr>
      </w:pPr>
      <w:r>
        <w:rPr>
          <w:rFonts w:ascii="Times New Roman" w:cs="Times New Roman" w:eastAsia="Times New Roman" w:hAnsi="Times New Roman"/>
          <w:sz w:val="15"/>
          <w:szCs w:val="15"/>
          <w:color w:val="auto"/>
        </w:rPr>
        <w:t>This Action by Written Consent may be executed in any number of counterparts, each of which shall constitute an original and all of which together shall constitute one action. Any copy, facsimile or other reliable reproduction of this Action by Written Consent may be substituted or used in lieu of the original writing for any and all purposes for which the original writing could be used, provided that such copy, facsimile or other reproduction is a complete reproduction of the entire original writing. This Action by Written Consent shall be filed with the minutes of the proceedings of the Stockholders of the Company.</w:t>
      </w:r>
    </w:p>
    <w:p>
      <w:pPr>
        <w:spacing w:after="0" w:line="330"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20955</wp:posOffset>
            </wp:positionV>
            <wp:extent cx="2359660" cy="139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59660" cy="13970"/>
                    </a:xfrm>
                    <a:prstGeom prst="rect">
                      <a:avLst/>
                    </a:prstGeom>
                    <a:noFill/>
                  </pic:spPr>
                </pic:pic>
              </a:graphicData>
            </a:graphic>
          </wp:anchor>
        </w:drawing>
      </w:r>
    </w:p>
    <w:p>
      <w:pPr>
        <w:spacing w:after="0" w:line="19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By:</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-106680</wp:posOffset>
            </wp:positionV>
            <wp:extent cx="2359660" cy="139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359660" cy="1397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7157085" cy="139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Business Combination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40640</wp:posOffset>
            </wp:positionV>
            <wp:extent cx="7157085" cy="139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2" w:name="page213"/>
    <w:bookmarkEnd w:id="212"/>
    <w:p>
      <w:pPr>
        <w:jc w:val="center"/>
        <w:ind w:right="-39"/>
        <w:spacing w:after="0"/>
        <w:rPr>
          <w:sz w:val="20"/>
          <w:szCs w:val="20"/>
          <w:color w:val="auto"/>
        </w:rPr>
      </w:pPr>
      <w:r>
        <w:rPr>
          <w:rFonts w:ascii="Times New Roman" w:cs="Times New Roman" w:eastAsia="Times New Roman" w:hAnsi="Times New Roman"/>
          <w:sz w:val="15"/>
          <w:szCs w:val="15"/>
          <w:b w:val="1"/>
          <w:bCs w:val="1"/>
          <w:u w:val="single" w:color="auto"/>
          <w:color w:val="auto"/>
        </w:rPr>
        <w:t>Exhibit B</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General Company Law of the State of Delaware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262. Appraisal Rights.</w:t>
      </w:r>
    </w:p>
    <w:p>
      <w:pPr>
        <w:spacing w:after="0" w:line="184" w:lineRule="exact"/>
        <w:rPr>
          <w:sz w:val="20"/>
          <w:szCs w:val="20"/>
          <w:color w:val="auto"/>
        </w:rPr>
      </w:pPr>
    </w:p>
    <w:p>
      <w:pPr>
        <w:jc w:val="both"/>
        <w:ind w:firstLine="9"/>
        <w:spacing w:after="0" w:line="252" w:lineRule="auto"/>
        <w:tabs>
          <w:tab w:leader="none" w:pos="204"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55" w:lineRule="exact"/>
        <w:rPr>
          <w:rFonts w:ascii="Times New Roman" w:cs="Times New Roman" w:eastAsia="Times New Roman" w:hAnsi="Times New Roman"/>
          <w:sz w:val="15"/>
          <w:szCs w:val="15"/>
          <w:color w:val="auto"/>
        </w:rPr>
      </w:pPr>
    </w:p>
    <w:p>
      <w:pPr>
        <w:ind w:firstLine="9"/>
        <w:spacing w:after="0" w:line="273" w:lineRule="auto"/>
        <w:tabs>
          <w:tab w:leader="none" w:pos="22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140" w:lineRule="exact"/>
        <w:rPr>
          <w:sz w:val="20"/>
          <w:szCs w:val="20"/>
          <w:color w:val="auto"/>
        </w:rPr>
      </w:pPr>
    </w:p>
    <w:p>
      <w:pPr>
        <w:jc w:val="both"/>
        <w:ind w:firstLine="9"/>
        <w:spacing w:after="0" w:line="253" w:lineRule="auto"/>
        <w:tabs>
          <w:tab w:leader="none" w:pos="214"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55" w:lineRule="exact"/>
        <w:rPr>
          <w:rFonts w:ascii="Times New Roman" w:cs="Times New Roman" w:eastAsia="Times New Roman" w:hAnsi="Times New Roman"/>
          <w:sz w:val="15"/>
          <w:szCs w:val="15"/>
          <w:color w:val="auto"/>
        </w:rPr>
      </w:pPr>
    </w:p>
    <w:p>
      <w:pPr>
        <w:jc w:val="both"/>
        <w:ind w:firstLine="9"/>
        <w:spacing w:after="0" w:line="260" w:lineRule="auto"/>
        <w:tabs>
          <w:tab w:leader="none" w:pos="224"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Shares of stock of the corporation surviving or resulting from such merger or consolidation, or depository receipts in respect thereof;</w:t>
      </w:r>
    </w:p>
    <w:p>
      <w:pPr>
        <w:spacing w:after="0" w:line="18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b. 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5"/>
          <w:szCs w:val="15"/>
          <w:color w:val="auto"/>
        </w:rPr>
        <w:t>c. Cash in lieu of fractional shares or fractional depository receipts described in the foregoing paragraphs (b)(2)a. and b. of this section; or</w:t>
      </w:r>
    </w:p>
    <w:p>
      <w:pPr>
        <w:spacing w:after="0" w:line="18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d. Any combination of the shares of stock, depository receipts and cash in lieu of fractional shares or fractional depository receipts described in the foregoing paragraphs (b)(2)a., b. and c. of this section.</w:t>
      </w:r>
    </w:p>
    <w:p>
      <w:pPr>
        <w:spacing w:after="0" w:line="140" w:lineRule="exact"/>
        <w:rPr>
          <w:sz w:val="20"/>
          <w:szCs w:val="20"/>
          <w:color w:val="auto"/>
        </w:rPr>
      </w:pPr>
    </w:p>
    <w:p>
      <w:pPr>
        <w:ind w:firstLine="9"/>
        <w:spacing w:after="0" w:line="273" w:lineRule="auto"/>
        <w:tabs>
          <w:tab w:leader="none" w:pos="213"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40" w:lineRule="exact"/>
        <w:rPr>
          <w:rFonts w:ascii="Times New Roman" w:cs="Times New Roman" w:eastAsia="Times New Roman" w:hAnsi="Times New Roman"/>
          <w:sz w:val="15"/>
          <w:szCs w:val="15"/>
          <w:color w:val="auto"/>
        </w:rPr>
      </w:pPr>
    </w:p>
    <w:p>
      <w:pPr>
        <w:ind w:left="220" w:hanging="211"/>
        <w:spacing w:after="0"/>
        <w:tabs>
          <w:tab w:leader="none" w:pos="220"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[Repealed.]</w:t>
      </w:r>
    </w:p>
    <w:p>
      <w:pPr>
        <w:spacing w:after="0" w:line="182" w:lineRule="exact"/>
        <w:rPr>
          <w:sz w:val="20"/>
          <w:szCs w:val="20"/>
          <w:color w:val="auto"/>
        </w:rPr>
      </w:pPr>
    </w:p>
    <w:p>
      <w:pPr>
        <w:jc w:val="both"/>
        <w:ind w:firstLine="9"/>
        <w:spacing w:after="0" w:line="255" w:lineRule="auto"/>
        <w:tabs>
          <w:tab w:leader="none" w:pos="209"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(d),(e), and (g) of this section, shall apply as nearly as is practicable.</w:t>
      </w:r>
    </w:p>
    <w:p>
      <w:pPr>
        <w:spacing w:after="0" w:line="154" w:lineRule="exact"/>
        <w:rPr>
          <w:rFonts w:ascii="Times New Roman" w:cs="Times New Roman" w:eastAsia="Times New Roman" w:hAnsi="Times New Roman"/>
          <w:sz w:val="15"/>
          <w:szCs w:val="15"/>
          <w:color w:val="auto"/>
        </w:rPr>
      </w:pPr>
    </w:p>
    <w:p>
      <w:pPr>
        <w:ind w:left="220" w:hanging="211"/>
        <w:spacing w:after="0"/>
        <w:tabs>
          <w:tab w:leader="none" w:pos="220"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Appraisal rights shall be perfected as follows:</w:t>
      </w:r>
    </w:p>
    <w:p>
      <w:pPr>
        <w:spacing w:after="0" w:line="182" w:lineRule="exact"/>
        <w:rPr>
          <w:sz w:val="20"/>
          <w:szCs w:val="20"/>
          <w:color w:val="auto"/>
        </w:rPr>
      </w:pPr>
    </w:p>
    <w:p>
      <w:pPr>
        <w:ind w:left="220" w:hanging="211"/>
        <w:spacing w:after="0"/>
        <w:tabs>
          <w:tab w:leader="none" w:pos="2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proposed merger or consolidation for which appraisal rights are provided under this section is to be submitted for approval at a meeting of stockholders, the corporation, not less than</w:t>
      </w:r>
    </w:p>
    <w:p>
      <w:pPr>
        <w:spacing w:after="0" w:line="30" w:lineRule="exact"/>
        <w:rPr>
          <w:rFonts w:ascii="Times New Roman" w:cs="Times New Roman" w:eastAsia="Times New Roman" w:hAnsi="Times New Roman"/>
          <w:sz w:val="14"/>
          <w:szCs w:val="14"/>
          <w:color w:val="auto"/>
        </w:rPr>
      </w:pPr>
    </w:p>
    <w:p>
      <w:pPr>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4" w:name="page215"/>
    <w:bookmarkEnd w:id="214"/>
    <w:p>
      <w:pPr>
        <w:jc w:val="both"/>
        <w:ind w:firstLine="9"/>
        <w:spacing w:after="0" w:line="248" w:lineRule="auto"/>
        <w:tabs>
          <w:tab w:leader="none" w:pos="223"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63" w:lineRule="exact"/>
        <w:rPr>
          <w:sz w:val="20"/>
          <w:szCs w:val="20"/>
          <w:color w:val="auto"/>
        </w:rPr>
      </w:pPr>
    </w:p>
    <w:p>
      <w:pPr>
        <w:jc w:val="both"/>
        <w:ind w:firstLine="9"/>
        <w:spacing w:after="0" w:line="267" w:lineRule="auto"/>
        <w:tabs>
          <w:tab w:leader="none" w:pos="211"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w:t>
      </w:r>
    </w:p>
    <w:p>
      <w:pPr>
        <w:spacing w:after="0" w:line="1" w:lineRule="exact"/>
        <w:rPr>
          <w:rFonts w:ascii="Times New Roman" w:cs="Times New Roman" w:eastAsia="Times New Roman" w:hAnsi="Times New Roman"/>
          <w:sz w:val="14"/>
          <w:szCs w:val="14"/>
          <w:color w:val="auto"/>
        </w:rPr>
      </w:pPr>
    </w:p>
    <w:p>
      <w:pPr>
        <w:jc w:val="both"/>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5" w:name="page216"/>
    <w:bookmarkEnd w:id="215"/>
    <w:p>
      <w:pPr>
        <w:jc w:val="both"/>
        <w:ind w:firstLine="9"/>
        <w:spacing w:after="0" w:line="272" w:lineRule="auto"/>
        <w:tabs>
          <w:tab w:leader="none" w:pos="186"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42" w:lineRule="exact"/>
        <w:rPr>
          <w:rFonts w:ascii="Times New Roman" w:cs="Times New Roman" w:eastAsia="Times New Roman" w:hAnsi="Times New Roman"/>
          <w:sz w:val="14"/>
          <w:szCs w:val="14"/>
          <w:color w:val="auto"/>
        </w:rPr>
      </w:pPr>
    </w:p>
    <w:p>
      <w:pPr>
        <w:jc w:val="both"/>
        <w:ind w:firstLine="9"/>
        <w:spacing w:after="0" w:line="251" w:lineRule="auto"/>
        <w:tabs>
          <w:tab w:leader="none" w:pos="213"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57" w:lineRule="exact"/>
        <w:rPr>
          <w:rFonts w:ascii="Times New Roman" w:cs="Times New Roman" w:eastAsia="Times New Roman" w:hAnsi="Times New Roman"/>
          <w:sz w:val="15"/>
          <w:szCs w:val="15"/>
          <w:color w:val="auto"/>
        </w:rPr>
      </w:pPr>
    </w:p>
    <w:p>
      <w:pPr>
        <w:jc w:val="both"/>
        <w:ind w:firstLine="9"/>
        <w:spacing w:after="0" w:line="249" w:lineRule="auto"/>
        <w:tabs>
          <w:tab w:leader="none" w:pos="21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6" w:name="page217"/>
    <w:bookmarkEnd w:id="216"/>
    <w:p>
      <w:pPr>
        <w:jc w:val="both"/>
        <w:ind w:firstLine="9"/>
        <w:spacing w:after="0" w:line="255" w:lineRule="auto"/>
        <w:tabs>
          <w:tab w:leader="none" w:pos="179"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54" w:lineRule="exact"/>
        <w:rPr>
          <w:rFonts w:ascii="Times New Roman" w:cs="Times New Roman" w:eastAsia="Times New Roman" w:hAnsi="Times New Roman"/>
          <w:sz w:val="15"/>
          <w:szCs w:val="15"/>
          <w:color w:val="auto"/>
        </w:rPr>
      </w:pPr>
    </w:p>
    <w:p>
      <w:pPr>
        <w:jc w:val="both"/>
        <w:ind w:firstLine="9"/>
        <w:spacing w:after="0" w:line="260" w:lineRule="auto"/>
        <w:tabs>
          <w:tab w:leader="none" w:pos="184"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49" w:lineRule="exact"/>
        <w:rPr>
          <w:rFonts w:ascii="Times New Roman" w:cs="Times New Roman" w:eastAsia="Times New Roman" w:hAnsi="Times New Roman"/>
          <w:sz w:val="15"/>
          <w:szCs w:val="15"/>
          <w:color w:val="auto"/>
        </w:rPr>
      </w:pPr>
    </w:p>
    <w:p>
      <w:pPr>
        <w:jc w:val="both"/>
        <w:ind w:firstLine="9"/>
        <w:spacing w:after="0" w:line="250" w:lineRule="auto"/>
        <w:tabs>
          <w:tab w:leader="none" w:pos="216"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57" w:lineRule="exact"/>
        <w:rPr>
          <w:rFonts w:ascii="Times New Roman" w:cs="Times New Roman" w:eastAsia="Times New Roman" w:hAnsi="Times New Roman"/>
          <w:sz w:val="15"/>
          <w:szCs w:val="15"/>
          <w:color w:val="auto"/>
        </w:rPr>
      </w:pPr>
    </w:p>
    <w:p>
      <w:pPr>
        <w:ind w:firstLine="9"/>
        <w:spacing w:after="0" w:line="273" w:lineRule="auto"/>
        <w:tabs>
          <w:tab w:leader="none" w:pos="182"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7157085" cy="13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7" w:name="page218"/>
    <w:bookmarkEnd w:id="217"/>
    <w:p>
      <w:pPr>
        <w:jc w:val="both"/>
        <w:spacing w:after="0" w:line="276" w:lineRule="auto"/>
        <w:rPr>
          <w:sz w:val="20"/>
          <w:szCs w:val="20"/>
          <w:color w:val="auto"/>
        </w:rPr>
      </w:pPr>
      <w:r>
        <w:rPr>
          <w:rFonts w:ascii="Times New Roman" w:cs="Times New Roman" w:eastAsia="Times New Roman" w:hAnsi="Times New Roman"/>
          <w:sz w:val="14"/>
          <w:szCs w:val="14"/>
          <w:color w:val="auto"/>
        </w:rPr>
        <w:t>8 Del. C. 1953, § 262; 56 Del. Laws, c. 50; 56 Del. Laws, c. 186, § 24; 57 Del. Laws, c. 148, §§ 27-29; 59 Del. Laws, c. 106, § 12; 60 Del. Laws, c. 371, §§ 3-12; 63 Del. Laws, c. 25, § 14; 63 Del. Laws, c. 152, §§ 1, 2; 64 Del. Laws, c. 112, §§ 46-54; 66 Del. Laws, c. 136, §§ 30-32; 66 Del. Laws, c. 352, § 9; 67 Del. Laws, c. 376, §§ 19, 20; 68 Del. Laws, c. 337, §§ 3, 4; 69 Del. Laws, c. 61, § 10; 69 Del. Laws, c. 262, §§ 1-9; 70 Del. Laws, c. 79, § 16; 70 Del. Laws, c. 186, § 1; 70 Del. Laws, c. 299, §§ 2, 3; 70 Del. Laws, c. 349, § 22; 71 Del. Laws, c. 120, § 15; 71 Del. Laws, c. 339, §§ 49-52; 73 Del. Laws, c. 82, § 21; 76 Del. Laws, c. 145, §§ 11-16; 77 Del. Laws, c. 14, §§ 12, 13; 77 Del. Laws, c. 253, §§ 47-50; 77 Del. Laws, c. 290, §§ 16, 17; 79 Del. Laws, c. 72, §§ 10, 11; 79 Del. Laws, c. 122, §§ 6, 7; 80 Del. Laws, c. 265, §§ 8-11; 81 Laws 2018, ch. 354, §§ 9, 10; 82 Laws 2019, ch. 45, § 15; 82 Laws 2020, ch. 256, § 15.</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5"/>
          <w:szCs w:val="15"/>
          <w:i w:val="1"/>
          <w:iCs w:val="1"/>
          <w:color w:val="auto"/>
        </w:rPr>
        <w:t>(Execution)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1" w:lineRule="exact"/>
        <w:rPr>
          <w:sz w:val="20"/>
          <w:szCs w:val="20"/>
          <w:color w:val="auto"/>
        </w:rPr>
      </w:pPr>
    </w:p>
    <w:p>
      <w:pPr>
        <w:ind w:left="1080" w:hanging="539"/>
        <w:spacing w:after="0"/>
        <w:tabs>
          <w:tab w:leader="none" w:pos="1080"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Purposes of the Plan</w:t>
      </w:r>
      <w:r>
        <w:rPr>
          <w:rFonts w:ascii="Times New Roman" w:cs="Times New Roman" w:eastAsia="Times New Roman" w:hAnsi="Times New Roman"/>
          <w:sz w:val="15"/>
          <w:szCs w:val="15"/>
          <w:color w:val="auto"/>
        </w:rPr>
        <w:t>. The purposes of this Plan are:</w:t>
      </w:r>
    </w:p>
    <w:p>
      <w:pPr>
        <w:spacing w:after="0" w:line="206"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attract and retain the best available personnel for positions of substantial responsibility,</w:t>
      </w:r>
    </w:p>
    <w:p>
      <w:pPr>
        <w:spacing w:after="0" w:line="204"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additional incentive to Employees, Directors and Consultants, and</w:t>
      </w:r>
    </w:p>
    <w:p>
      <w:pPr>
        <w:spacing w:after="0" w:line="204" w:lineRule="exact"/>
        <w:rPr>
          <w:rFonts w:ascii="Times New Roman" w:cs="Times New Roman" w:eastAsia="Times New Roman" w:hAnsi="Times New Roman"/>
          <w:sz w:val="15"/>
          <w:szCs w:val="15"/>
          <w:color w:val="auto"/>
        </w:rPr>
      </w:pPr>
    </w:p>
    <w:p>
      <w:pPr>
        <w:ind w:left="1600" w:hanging="526"/>
        <w:spacing w:after="0"/>
        <w:tabs>
          <w:tab w:leader="none" w:pos="1600"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promote the success of the Company’s business.</w:t>
      </w:r>
    </w:p>
    <w:p>
      <w:pPr>
        <w:spacing w:after="0" w:line="196" w:lineRule="exact"/>
        <w:rPr>
          <w:sz w:val="20"/>
          <w:szCs w:val="20"/>
          <w:color w:val="auto"/>
        </w:rPr>
      </w:pPr>
    </w:p>
    <w:p>
      <w:pPr>
        <w:ind w:firstLine="1065"/>
        <w:spacing w:after="0" w:line="260"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Restricted Stock Units and Performance Awards.</w:t>
      </w:r>
    </w:p>
    <w:p>
      <w:pPr>
        <w:spacing w:after="0" w:line="157" w:lineRule="exact"/>
        <w:rPr>
          <w:sz w:val="20"/>
          <w:szCs w:val="20"/>
          <w:color w:val="auto"/>
        </w:rPr>
      </w:pPr>
    </w:p>
    <w:p>
      <w:pPr>
        <w:ind w:left="1080" w:hanging="539"/>
        <w:spacing w:after="0"/>
        <w:tabs>
          <w:tab w:leader="none" w:pos="1080"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Definitions</w:t>
      </w:r>
      <w:r>
        <w:rPr>
          <w:rFonts w:ascii="Times New Roman" w:cs="Times New Roman" w:eastAsia="Times New Roman" w:hAnsi="Times New Roman"/>
          <w:sz w:val="15"/>
          <w:szCs w:val="15"/>
          <w:color w:val="auto"/>
        </w:rPr>
        <w:t>. As used herein, the following definitions will apply:</w:t>
      </w:r>
    </w:p>
    <w:p>
      <w:pPr>
        <w:spacing w:after="0" w:line="196"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70"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64"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Performance Awards.</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45"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192"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the occurrence of any of the following events:</w:t>
      </w:r>
    </w:p>
    <w:p>
      <w:pPr>
        <w:spacing w:after="0" w:line="192" w:lineRule="exact"/>
        <w:rPr>
          <w:sz w:val="20"/>
          <w:szCs w:val="20"/>
          <w:color w:val="auto"/>
        </w:rPr>
      </w:pPr>
    </w:p>
    <w:p>
      <w:pPr>
        <w:jc w:val="both"/>
        <w:ind w:firstLine="1606"/>
        <w:spacing w:after="0" w:line="234" w:lineRule="auto"/>
        <w:tabs>
          <w:tab w:leader="none" w:pos="228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more than one person acting as a group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90805</wp:posOffset>
            </wp:positionV>
            <wp:extent cx="7157085" cy="139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9" w:name="page220"/>
    <w:bookmarkEnd w:id="219"/>
    <w:p>
      <w:pPr>
        <w:jc w:val="both"/>
        <w:ind w:firstLine="1606"/>
        <w:spacing w:after="0" w:line="239" w:lineRule="auto"/>
        <w:tabs>
          <w:tab w:leader="none" w:pos="228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68" w:lineRule="exact"/>
        <w:rPr>
          <w:rFonts w:ascii="Times New Roman" w:cs="Times New Roman" w:eastAsia="Times New Roman" w:hAnsi="Times New Roman"/>
          <w:sz w:val="18"/>
          <w:szCs w:val="18"/>
          <w:color w:val="auto"/>
        </w:rPr>
      </w:pPr>
    </w:p>
    <w:p>
      <w:pPr>
        <w:jc w:val="both"/>
        <w:ind w:firstLine="1606"/>
        <w:spacing w:after="0" w:line="234" w:lineRule="auto"/>
        <w:tabs>
          <w:tab w:leader="none" w:pos="239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76" w:lineRule="exact"/>
        <w:rPr>
          <w:sz w:val="20"/>
          <w:szCs w:val="20"/>
          <w:color w:val="auto"/>
        </w:rPr>
      </w:pPr>
    </w:p>
    <w:p>
      <w:pPr>
        <w:ind w:firstLine="1597"/>
        <w:spacing w:after="0" w:line="260" w:lineRule="auto"/>
        <w:rPr>
          <w:sz w:val="20"/>
          <w:szCs w:val="20"/>
          <w:color w:val="auto"/>
        </w:rPr>
      </w:pPr>
      <w:r>
        <w:rPr>
          <w:rFonts w:ascii="Times New Roman" w:cs="Times New Roman" w:eastAsia="Times New Roman" w:hAnsi="Times New Roman"/>
          <w:sz w:val="18"/>
          <w:szCs w:val="18"/>
          <w:color w:val="auto"/>
        </w:rPr>
        <w:t>For purposes of this Section 2.7, persons will be considered to be acting as a group if they are owners of a corporation that enters into a merger, consolidation, purchase or acquisition of stock, or similar business transaction with the Company.</w:t>
      </w:r>
    </w:p>
    <w:p>
      <w:pPr>
        <w:spacing w:after="0" w:line="151" w:lineRule="exact"/>
        <w:rPr>
          <w:sz w:val="20"/>
          <w:szCs w:val="20"/>
          <w:color w:val="auto"/>
        </w:rPr>
      </w:pPr>
    </w:p>
    <w:p>
      <w:pPr>
        <w:ind w:firstLine="1597"/>
        <w:spacing w:after="0" w:line="260"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0" w:name="page221"/>
    <w:bookmarkEnd w:id="220"/>
    <w:p>
      <w:pPr>
        <w:jc w:val="both"/>
        <w:ind w:firstLine="1597"/>
        <w:spacing w:after="0" w:line="245"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6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145"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w:t>
      </w:r>
    </w:p>
    <w:p>
      <w:pPr>
        <w:spacing w:after="0" w:line="19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160"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67"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19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means the date of the consummation of the merger by and between the Company,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and certain other parties, pursuant to that certain Business Combination Agreement dated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(such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45" w:lineRule="exact"/>
        <w:rPr>
          <w:sz w:val="20"/>
          <w:szCs w:val="20"/>
          <w:color w:val="auto"/>
        </w:rPr>
      </w:pPr>
    </w:p>
    <w:p>
      <w:pPr>
        <w:ind w:left="1080"/>
        <w:spacing w:after="0"/>
        <w:tabs>
          <w:tab w:leader="none" w:pos="188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21" w:name="page222"/>
    <w:bookmarkEnd w:id="221"/>
    <w:p>
      <w:pPr>
        <w:jc w:val="both"/>
        <w:ind w:firstLine="1117"/>
        <w:spacing w:after="0" w:line="242"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Exchange Program</w:t>
      </w:r>
      <w:r>
        <w:rPr>
          <w:rFonts w:ascii="Times New Roman" w:cs="Times New Roman" w:eastAsia="Times New Roman" w:hAnsi="Times New Roman"/>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6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Common Stock determined as follows:</w:t>
      </w:r>
    </w:p>
    <w:p>
      <w:pPr>
        <w:spacing w:after="0" w:line="147" w:lineRule="exact"/>
        <w:rPr>
          <w:sz w:val="20"/>
          <w:szCs w:val="20"/>
          <w:color w:val="auto"/>
        </w:rPr>
      </w:pPr>
    </w:p>
    <w:p>
      <w:pPr>
        <w:jc w:val="both"/>
        <w:ind w:firstLine="1606"/>
        <w:spacing w:after="0" w:line="239" w:lineRule="auto"/>
        <w:tabs>
          <w:tab w:leader="none" w:pos="226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67" w:lineRule="exact"/>
        <w:rPr>
          <w:rFonts w:ascii="Times New Roman" w:cs="Times New Roman" w:eastAsia="Times New Roman" w:hAnsi="Times New Roman"/>
          <w:sz w:val="18"/>
          <w:szCs w:val="18"/>
          <w:color w:val="auto"/>
        </w:rPr>
      </w:pPr>
    </w:p>
    <w:p>
      <w:pPr>
        <w:jc w:val="both"/>
        <w:ind w:firstLine="1606"/>
        <w:spacing w:after="0" w:line="241" w:lineRule="auto"/>
        <w:tabs>
          <w:tab w:leader="none" w:pos="229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66" w:lineRule="exact"/>
        <w:rPr>
          <w:rFonts w:ascii="Times New Roman" w:cs="Times New Roman" w:eastAsia="Times New Roman" w:hAnsi="Times New Roman"/>
          <w:sz w:val="18"/>
          <w:szCs w:val="18"/>
          <w:color w:val="auto"/>
        </w:rPr>
      </w:pPr>
    </w:p>
    <w:p>
      <w:pPr>
        <w:ind w:left="2280" w:hanging="674"/>
        <w:spacing w:after="0"/>
        <w:tabs>
          <w:tab w:leader="none" w:pos="228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 by the</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Administrator.</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65"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fiscal year of the Company.</w:t>
      </w:r>
    </w:p>
    <w:p>
      <w:pPr>
        <w:spacing w:after="0" w:line="192"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45"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Inside Director</w:t>
      </w:r>
      <w:r>
        <w:rPr>
          <w:rFonts w:ascii="Times New Roman" w:cs="Times New Roman" w:eastAsia="Times New Roman" w:hAnsi="Times New Roman"/>
          <w:sz w:val="17"/>
          <w:szCs w:val="17"/>
          <w:color w:val="auto"/>
        </w:rPr>
        <w:t>” means a Director who is an Employee.</w:t>
      </w:r>
    </w:p>
    <w:p>
      <w:pPr>
        <w:spacing w:after="0" w:line="192" w:lineRule="exact"/>
        <w:rPr>
          <w:sz w:val="20"/>
          <w:szCs w:val="20"/>
          <w:color w:val="auto"/>
        </w:rPr>
      </w:pPr>
    </w:p>
    <w:p>
      <w:pPr>
        <w:ind w:left="1080"/>
        <w:spacing w:after="0"/>
        <w:tabs>
          <w:tab w:leader="none" w:pos="178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Nonstatutory Stock Option</w:t>
      </w:r>
      <w:r>
        <w:rPr>
          <w:rFonts w:ascii="Times New Roman" w:cs="Times New Roman" w:eastAsia="Times New Roman" w:hAnsi="Times New Roman"/>
          <w:sz w:val="17"/>
          <w:szCs w:val="17"/>
          <w:color w:val="auto"/>
        </w:rPr>
        <w:t>” means an Option that by its terms does not qualify or is not intended to qualify as an Incentive Stock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2" w:name="page223"/>
    <w:bookmarkEnd w:id="222"/>
    <w:p>
      <w:pPr>
        <w:jc w:val="both"/>
        <w:ind w:firstLine="1065"/>
        <w:spacing w:after="0" w:line="264"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45"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 stock option granted pursuant to the Plan.</w:t>
      </w:r>
    </w:p>
    <w:p>
      <w:pPr>
        <w:spacing w:after="0" w:line="192"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Outside Director</w:t>
      </w:r>
      <w:r>
        <w:rPr>
          <w:rFonts w:ascii="Times New Roman" w:cs="Times New Roman" w:eastAsia="Times New Roman" w:hAnsi="Times New Roman"/>
          <w:sz w:val="17"/>
          <w:szCs w:val="17"/>
          <w:color w:val="auto"/>
        </w:rPr>
        <w:t>” means a Director who is not an Employee.</w:t>
      </w:r>
    </w:p>
    <w:p>
      <w:pPr>
        <w:spacing w:after="0" w:line="192"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means a “parent corporation,” whether now or hereafter existing, as defined in Code Section 424(e).</w:t>
      </w:r>
    </w:p>
    <w:p>
      <w:pPr>
        <w:spacing w:after="0" w:line="192"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the holder of an outstanding Award.</w:t>
      </w:r>
    </w:p>
    <w:p>
      <w:pPr>
        <w:spacing w:after="0" w:line="19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60"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means Performance Period as defined in Section 10.1.</w:t>
      </w:r>
    </w:p>
    <w:p>
      <w:pPr>
        <w:spacing w:after="0" w:line="19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60"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2021 Equity Incentive Plan, as may be amended from time to time.</w:t>
      </w:r>
    </w:p>
    <w:p>
      <w:pPr>
        <w:spacing w:after="0" w:line="192" w:lineRule="exact"/>
        <w:rPr>
          <w:sz w:val="20"/>
          <w:szCs w:val="20"/>
          <w:color w:val="auto"/>
        </w:rPr>
      </w:pPr>
    </w:p>
    <w:p>
      <w:pPr>
        <w:jc w:val="both"/>
        <w:ind w:right="20" w:firstLine="1065"/>
        <w:spacing w:after="0" w:line="263"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30" w:lineRule="exact"/>
        <w:rPr>
          <w:sz w:val="20"/>
          <w:szCs w:val="20"/>
          <w:color w:val="auto"/>
        </w:rPr>
      </w:pPr>
    </w:p>
    <w:p>
      <w:pPr>
        <w:jc w:val="both"/>
        <w:ind w:firstLine="1065"/>
        <w:spacing w:after="0" w:line="230" w:lineRule="exact"/>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color w:val="auto"/>
        </w:rPr>
        <w:t>Rule 16b</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means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the Exchange Act or any successor to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as in effect when discretion is being exercised with respect to the Plan.</w:t>
      </w:r>
    </w:p>
    <w:p>
      <w:pPr>
        <w:spacing w:after="0" w:line="167"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Section 16b</w:t>
      </w:r>
      <w:r>
        <w:rPr>
          <w:rFonts w:ascii="Times New Roman" w:cs="Times New Roman" w:eastAsia="Times New Roman" w:hAnsi="Times New Roman"/>
          <w:sz w:val="17"/>
          <w:szCs w:val="17"/>
          <w:color w:val="auto"/>
        </w:rPr>
        <w:t>” means Section 16(b) of the Exchange Act.</w:t>
      </w:r>
    </w:p>
    <w:p>
      <w:pPr>
        <w:spacing w:after="0" w:line="192"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145" w:lineRule="exact"/>
        <w:rPr>
          <w:sz w:val="20"/>
          <w:szCs w:val="20"/>
          <w:color w:val="auto"/>
        </w:rPr>
      </w:pPr>
    </w:p>
    <w:p>
      <w:pPr>
        <w:ind w:left="1080"/>
        <w:spacing w:after="0"/>
        <w:tabs>
          <w:tab w:leader="none" w:pos="1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U.S. Securities Act of 1933, as amended, including the rules and regulations promulgated thereunder.</w:t>
      </w:r>
    </w:p>
    <w:p>
      <w:pPr>
        <w:spacing w:after="0" w:line="192" w:lineRule="exact"/>
        <w:rPr>
          <w:sz w:val="20"/>
          <w:szCs w:val="20"/>
          <w:color w:val="auto"/>
        </w:rPr>
      </w:pPr>
    </w:p>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means an Employee, Director or Consultant.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3" w:name="page224"/>
    <w:bookmarkEnd w:id="223"/>
    <w:p>
      <w:pPr>
        <w:ind w:left="1080"/>
        <w:spacing w:after="0"/>
        <w:tabs>
          <w:tab w:leader="none" w:pos="180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means a share of the Common Stock, as adjusted in accordance with Section 15 of the Plan.</w:t>
      </w:r>
    </w:p>
    <w:p>
      <w:pPr>
        <w:spacing w:after="0" w:line="192"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145" w:lineRule="exact"/>
        <w:rPr>
          <w:sz w:val="20"/>
          <w:szCs w:val="20"/>
          <w:color w:val="auto"/>
        </w:rPr>
      </w:pPr>
    </w:p>
    <w:p>
      <w:pPr>
        <w:ind w:left="1080"/>
        <w:spacing w:after="0"/>
        <w:tabs>
          <w:tab w:leader="none" w:pos="15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 “subsidiary corporation,” whether now or hereafter exist-ing, as defined in Code Section 424(f).</w:t>
      </w:r>
    </w:p>
    <w:p>
      <w:pPr>
        <w:spacing w:after="0" w:line="192" w:lineRule="exact"/>
        <w:rPr>
          <w:sz w:val="20"/>
          <w:szCs w:val="20"/>
          <w:color w:val="auto"/>
        </w:rPr>
      </w:pPr>
    </w:p>
    <w:p>
      <w:pPr>
        <w:jc w:val="both"/>
        <w:ind w:right="20" w:firstLine="1065"/>
        <w:spacing w:after="0" w:line="263"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45"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60" w:lineRule="exact"/>
        <w:rPr>
          <w:sz w:val="20"/>
          <w:szCs w:val="20"/>
          <w:color w:val="auto"/>
        </w:rPr>
      </w:pPr>
    </w:p>
    <w:p>
      <w:pPr>
        <w:ind w:left="1120" w:hanging="579"/>
        <w:spacing w:after="0"/>
        <w:tabs>
          <w:tab w:leader="none" w:pos="11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1065"/>
        <w:spacing w:after="0" w:line="25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b w:val="1"/>
          <w:bCs w:val="1"/>
          <w:color w:val="auto"/>
        </w:rPr>
        <w:t>Stock Subject to the Plan</w:t>
      </w:r>
      <w:r>
        <w:rPr>
          <w:rFonts w:ascii="Times New Roman" w:cs="Times New Roman" w:eastAsia="Times New Roman" w:hAnsi="Times New Roman"/>
          <w:sz w:val="17"/>
          <w:szCs w:val="17"/>
          <w:color w:val="auto"/>
        </w:rPr>
        <w:t>. Subject to adjustment upon changes in capitalization of the Company as provided in Section 15 and the automatic increase set forth in Section 3.2, the maximum aggregate number of Shares that may be subject to Awards and sold under the Plan will be equal to</w:t>
      </w:r>
    </w:p>
    <w:p>
      <w:pPr>
        <w:spacing w:after="0" w:line="1" w:lineRule="exact"/>
        <w:rPr>
          <w:sz w:val="20"/>
          <w:szCs w:val="20"/>
          <w:color w:val="auto"/>
        </w:rPr>
      </w:pPr>
    </w:p>
    <w:p>
      <w:pPr>
        <w:jc w:val="both"/>
        <w:ind w:firstLine="9"/>
        <w:spacing w:after="0" w:line="234" w:lineRule="auto"/>
        <w:tabs>
          <w:tab w:leader="none" w:pos="26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16,182,600 Shares1, plus (b) any shares of the Company’s common stock subject to stock options or other awards that are assumed in the Merger (“</w:t>
      </w:r>
      <w:r>
        <w:rPr>
          <w:rFonts w:ascii="Times New Roman" w:cs="Times New Roman" w:eastAsia="Times New Roman" w:hAnsi="Times New Roman"/>
          <w:sz w:val="18"/>
          <w:szCs w:val="18"/>
          <w:b w:val="1"/>
          <w:bCs w:val="1"/>
          <w:color w:val="auto"/>
        </w:rPr>
        <w:t>Assumed Awards</w:t>
      </w:r>
      <w:r>
        <w:rPr>
          <w:rFonts w:ascii="Times New Roman" w:cs="Times New Roman" w:eastAsia="Times New Roman" w:hAnsi="Times New Roman"/>
          <w:sz w:val="18"/>
          <w:szCs w:val="18"/>
          <w:color w:val="auto"/>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7,500,000 Shares2. In addition, Shares may become available for issuance under Sections 3.2 and 3.3. The Shares may be authorized but unissued, or reacquired Common Stock.</w:t>
      </w:r>
    </w:p>
    <w:p>
      <w:pPr>
        <w:spacing w:after="0" w:line="167"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Automatic Share Reserve Increase</w:t>
      </w:r>
      <w:r>
        <w:rPr>
          <w:rFonts w:ascii="Times New Roman" w:cs="Times New Roman" w:eastAsia="Times New Roman" w:hAnsi="Times New Roman"/>
          <w:sz w:val="18"/>
          <w:szCs w:val="18"/>
          <w:color w:val="auto"/>
        </w:rPr>
        <w:t>. Subject to adjustment upon changes in capitalization of the Company as provided in Section 15, the number of Shares available for issuance under the Plan will be increased on the first day of each Fiscal Year beginning with the 2022 Fiscal Year, in an amount equal to the least of (a) 18,672,200 Shares, (b) a number of Shares equal to five percent (5%) of the total number of shares of all classes of common stock of the Company outstanding on the last day of the immediately preceding Fiscal Year, or (c) such number of Shares determined by the Administrator no later than the last day of the immediately preceding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35255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525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1 NTD: Post-transaction number; not to be adjusted in connection with the transaction.</w:t>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2 NTD: Post-transaction number; not to be adjusted in connection with the transaction.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224" w:name="page225"/>
    <w:bookmarkEnd w:id="224"/>
    <w:p>
      <w:pPr>
        <w:jc w:val="both"/>
        <w:ind w:firstLine="1065"/>
        <w:spacing w:after="0" w:line="248"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b w:val="1"/>
          <w:bCs w:val="1"/>
          <w:color w:val="auto"/>
        </w:rPr>
        <w:t>Lapsed Awards</w:t>
      </w:r>
      <w:r>
        <w:rPr>
          <w:rFonts w:ascii="Times New Roman" w:cs="Times New Roman" w:eastAsia="Times New Roman" w:hAnsi="Times New Roman"/>
          <w:sz w:val="17"/>
          <w:szCs w:val="17"/>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168"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45" w:lineRule="exact"/>
        <w:rPr>
          <w:sz w:val="20"/>
          <w:szCs w:val="20"/>
          <w:color w:val="auto"/>
        </w:rPr>
      </w:pPr>
    </w:p>
    <w:p>
      <w:pPr>
        <w:ind w:left="1120" w:hanging="579"/>
        <w:spacing w:after="0"/>
        <w:tabs>
          <w:tab w:leader="none" w:pos="11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the Plan</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7"/>
          <w:szCs w:val="17"/>
          <w:b w:val="1"/>
          <w:bCs w:val="1"/>
          <w:color w:val="auto"/>
        </w:rPr>
        <w:t>Procedure</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1600"/>
        <w:spacing w:after="0"/>
        <w:tabs>
          <w:tab w:leader="none" w:pos="2620" w:val="left"/>
          <w:tab w:leader="none" w:pos="526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color w:val="auto"/>
        </w:rPr>
        <w:t>Multiple Administrative Bodies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Different Committees with respect to different groups of Service Providers may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 the Plan.</w:t>
      </w:r>
    </w:p>
    <w:p>
      <w:pPr>
        <w:spacing w:after="0" w:line="170" w:lineRule="exact"/>
        <w:rPr>
          <w:sz w:val="20"/>
          <w:szCs w:val="20"/>
          <w:color w:val="auto"/>
        </w:rPr>
      </w:pPr>
    </w:p>
    <w:p>
      <w:pPr>
        <w:ind w:firstLine="1597"/>
        <w:spacing w:after="0" w:line="26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45" w:lineRule="exact"/>
        <w:rPr>
          <w:sz w:val="20"/>
          <w:szCs w:val="20"/>
          <w:color w:val="auto"/>
        </w:rPr>
      </w:pPr>
    </w:p>
    <w:p>
      <w:pPr>
        <w:ind w:firstLine="1597"/>
        <w:spacing w:after="0" w:line="263"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comply with Applicable Laws.</w:t>
      </w:r>
    </w:p>
    <w:p>
      <w:pPr>
        <w:spacing w:after="0" w:line="145" w:lineRule="exact"/>
        <w:rPr>
          <w:sz w:val="20"/>
          <w:szCs w:val="20"/>
          <w:color w:val="auto"/>
        </w:rPr>
      </w:pPr>
    </w:p>
    <w:p>
      <w:pPr>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56" w:lineRule="exact"/>
        <w:rPr>
          <w:sz w:val="20"/>
          <w:szCs w:val="20"/>
          <w:color w:val="auto"/>
        </w:rPr>
      </w:pPr>
    </w:p>
    <w:p>
      <w:pPr>
        <w:ind w:left="2140" w:hanging="534"/>
        <w:spacing w:after="0"/>
        <w:tabs>
          <w:tab w:leader="none" w:pos="214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determine the Fair Market Value;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5" w:name="page226"/>
    <w:bookmarkEnd w:id="225"/>
    <w:p>
      <w:pPr>
        <w:ind w:left="2240" w:hanging="654"/>
        <w:spacing w:after="0"/>
        <w:tabs>
          <w:tab w:leader="none" w:pos="22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192" w:lineRule="exact"/>
        <w:rPr>
          <w:rFonts w:ascii="Times New Roman" w:cs="Times New Roman" w:eastAsia="Times New Roman" w:hAnsi="Times New Roman"/>
          <w:sz w:val="18"/>
          <w:szCs w:val="18"/>
          <w:color w:val="auto"/>
        </w:rPr>
      </w:pPr>
    </w:p>
    <w:p>
      <w:pPr>
        <w:ind w:left="2220" w:hanging="634"/>
        <w:spacing w:after="0"/>
        <w:tabs>
          <w:tab w:leader="none" w:pos="22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dollar amounts to be covered by each Award granted hereunder;</w:t>
      </w:r>
    </w:p>
    <w:p>
      <w:pPr>
        <w:spacing w:after="0" w:line="192" w:lineRule="exact"/>
        <w:rPr>
          <w:rFonts w:ascii="Times New Roman" w:cs="Times New Roman" w:eastAsia="Times New Roman" w:hAnsi="Times New Roman"/>
          <w:sz w:val="18"/>
          <w:szCs w:val="18"/>
          <w:color w:val="auto"/>
        </w:rPr>
      </w:pPr>
    </w:p>
    <w:p>
      <w:pPr>
        <w:ind w:left="2240" w:hanging="654"/>
        <w:spacing w:after="0"/>
        <w:tabs>
          <w:tab w:leader="none" w:pos="22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192" w:lineRule="exact"/>
        <w:rPr>
          <w:rFonts w:ascii="Times New Roman" w:cs="Times New Roman" w:eastAsia="Times New Roman" w:hAnsi="Times New Roman"/>
          <w:sz w:val="18"/>
          <w:szCs w:val="18"/>
          <w:color w:val="auto"/>
        </w:rPr>
      </w:pPr>
    </w:p>
    <w:p>
      <w:pPr>
        <w:jc w:val="both"/>
        <w:ind w:left="-20" w:firstLine="1606"/>
        <w:spacing w:after="0" w:line="254" w:lineRule="auto"/>
        <w:tabs>
          <w:tab w:leader="none" w:pos="2355"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56" w:lineRule="exact"/>
        <w:rPr>
          <w:rFonts w:ascii="Times New Roman" w:cs="Times New Roman" w:eastAsia="Times New Roman" w:hAnsi="Times New Roman"/>
          <w:sz w:val="17"/>
          <w:szCs w:val="17"/>
          <w:color w:val="auto"/>
        </w:rPr>
      </w:pPr>
    </w:p>
    <w:p>
      <w:pPr>
        <w:ind w:left="-20" w:right="20" w:firstLine="1606"/>
        <w:spacing w:after="0" w:line="260" w:lineRule="auto"/>
        <w:tabs>
          <w:tab w:leader="none" w:pos="223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 including, subject to Section 20.3, to unilaterally implement an Exchange Program without the consent of the applicable Award holder;</w:t>
      </w:r>
    </w:p>
    <w:p>
      <w:pPr>
        <w:spacing w:after="0" w:line="150" w:lineRule="exact"/>
        <w:rPr>
          <w:rFonts w:ascii="Times New Roman" w:cs="Times New Roman" w:eastAsia="Times New Roman" w:hAnsi="Times New Roman"/>
          <w:sz w:val="18"/>
          <w:szCs w:val="18"/>
          <w:color w:val="auto"/>
        </w:rPr>
      </w:pPr>
    </w:p>
    <w:p>
      <w:pPr>
        <w:ind w:left="2240" w:hanging="654"/>
        <w:spacing w:after="0"/>
        <w:tabs>
          <w:tab w:leader="none" w:pos="22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192" w:lineRule="exact"/>
        <w:rPr>
          <w:rFonts w:ascii="Times New Roman" w:cs="Times New Roman" w:eastAsia="Times New Roman" w:hAnsi="Times New Roman"/>
          <w:sz w:val="18"/>
          <w:szCs w:val="18"/>
          <w:color w:val="auto"/>
        </w:rPr>
      </w:pPr>
    </w:p>
    <w:p>
      <w:pPr>
        <w:jc w:val="both"/>
        <w:ind w:left="-20" w:firstLine="1606"/>
        <w:spacing w:after="0" w:line="224" w:lineRule="exact"/>
        <w:tabs>
          <w:tab w:leader="none" w:pos="225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laws, easing the administration of the Plan and/or for qualifying for favorable tax treatment under applicable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laws, in each case as the Administrator may deem necessary or advisable;</w:t>
      </w:r>
    </w:p>
    <w:p>
      <w:pPr>
        <w:spacing w:after="0" w:line="150" w:lineRule="exact"/>
        <w:rPr>
          <w:rFonts w:ascii="Times New Roman" w:cs="Times New Roman" w:eastAsia="Times New Roman" w:hAnsi="Times New Roman"/>
          <w:sz w:val="18"/>
          <w:szCs w:val="18"/>
          <w:color w:val="auto"/>
        </w:rPr>
      </w:pPr>
    </w:p>
    <w:p>
      <w:pPr>
        <w:jc w:val="both"/>
        <w:ind w:left="-20" w:right="20" w:firstLine="1606"/>
        <w:spacing w:after="0" w:line="290" w:lineRule="auto"/>
        <w:tabs>
          <w:tab w:leader="none" w:pos="2214"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26" w:lineRule="exact"/>
        <w:rPr>
          <w:rFonts w:ascii="Times New Roman" w:cs="Times New Roman" w:eastAsia="Times New Roman" w:hAnsi="Times New Roman"/>
          <w:sz w:val="17"/>
          <w:szCs w:val="17"/>
          <w:color w:val="auto"/>
        </w:rPr>
      </w:pPr>
    </w:p>
    <w:p>
      <w:pPr>
        <w:ind w:left="2200" w:hanging="614"/>
        <w:spacing w:after="0"/>
        <w:tabs>
          <w:tab w:leader="none" w:pos="22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a manner prescribed in Section 16;</w:t>
      </w:r>
    </w:p>
    <w:p>
      <w:pPr>
        <w:spacing w:after="0" w:line="192" w:lineRule="exact"/>
        <w:rPr>
          <w:rFonts w:ascii="Times New Roman" w:cs="Times New Roman" w:eastAsia="Times New Roman" w:hAnsi="Times New Roman"/>
          <w:sz w:val="18"/>
          <w:szCs w:val="18"/>
          <w:color w:val="auto"/>
        </w:rPr>
      </w:pPr>
    </w:p>
    <w:p>
      <w:pPr>
        <w:ind w:left="-20" w:right="20" w:firstLine="1606"/>
        <w:spacing w:after="0" w:line="260" w:lineRule="auto"/>
        <w:tabs>
          <w:tab w:leader="none" w:pos="247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50" w:lineRule="exact"/>
        <w:rPr>
          <w:rFonts w:ascii="Times New Roman" w:cs="Times New Roman" w:eastAsia="Times New Roman" w:hAnsi="Times New Roman"/>
          <w:sz w:val="18"/>
          <w:szCs w:val="18"/>
          <w:color w:val="auto"/>
        </w:rPr>
      </w:pPr>
    </w:p>
    <w:p>
      <w:pPr>
        <w:ind w:left="-20" w:right="20" w:firstLine="1606"/>
        <w:spacing w:after="0" w:line="260" w:lineRule="auto"/>
        <w:tabs>
          <w:tab w:leader="none" w:pos="222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50" w:lineRule="exact"/>
        <w:rPr>
          <w:rFonts w:ascii="Times New Roman" w:cs="Times New Roman" w:eastAsia="Times New Roman" w:hAnsi="Times New Roman"/>
          <w:sz w:val="18"/>
          <w:szCs w:val="18"/>
          <w:color w:val="auto"/>
        </w:rPr>
      </w:pPr>
    </w:p>
    <w:p>
      <w:pPr>
        <w:ind w:left="2280" w:hanging="694"/>
        <w:spacing w:after="0"/>
        <w:tabs>
          <w:tab w:leader="none" w:pos="22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157085" cy="139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226" w:name="page227"/>
    <w:bookmarkEnd w:id="226"/>
    <w:p>
      <w:pPr>
        <w:ind w:firstLine="1065"/>
        <w:spacing w:after="0" w:line="26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45" w:lineRule="exact"/>
        <w:rPr>
          <w:sz w:val="20"/>
          <w:szCs w:val="20"/>
          <w:color w:val="auto"/>
        </w:rPr>
      </w:pPr>
    </w:p>
    <w:p>
      <w:pPr>
        <w:ind w:firstLine="541"/>
        <w:spacing w:after="0" w:line="263" w:lineRule="auto"/>
        <w:tabs>
          <w:tab w:leader="none" w:pos="11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or Performance Awards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Service Providers. Incentive Stock Options may be granted only to Employees.</w:t>
      </w:r>
    </w:p>
    <w:p>
      <w:pPr>
        <w:spacing w:after="0" w:line="153"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Stock Options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45"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60"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67"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67"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b w:val="1"/>
          <w:bCs w:val="1"/>
          <w:color w:val="auto"/>
        </w:rPr>
        <w:t>Option Exercise Price and Consideration</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both"/>
        <w:ind w:firstLine="1597"/>
        <w:spacing w:after="0" w:line="237"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7" w:name="page228"/>
    <w:bookmarkEnd w:id="227"/>
    <w:p>
      <w:pPr>
        <w:jc w:val="both"/>
        <w:ind w:firstLine="1646"/>
        <w:spacing w:after="0" w:line="264"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b w:val="1"/>
          <w:bCs w:val="1"/>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45" w:lineRule="exact"/>
        <w:rPr>
          <w:sz w:val="20"/>
          <w:szCs w:val="20"/>
          <w:color w:val="auto"/>
        </w:rPr>
      </w:pPr>
    </w:p>
    <w:p>
      <w:pPr>
        <w:jc w:val="both"/>
        <w:ind w:firstLine="1597"/>
        <w:spacing w:after="0" w:line="235" w:lineRule="auto"/>
        <w:rPr>
          <w:sz w:val="20"/>
          <w:szCs w:val="20"/>
          <w:color w:val="auto"/>
        </w:rPr>
      </w:pPr>
      <w:r>
        <w:rPr>
          <w:rFonts w:ascii="Times New Roman" w:cs="Times New Roman" w:eastAsia="Times New Roman" w:hAnsi="Times New Roman"/>
          <w:sz w:val="18"/>
          <w:szCs w:val="18"/>
          <w:color w:val="auto"/>
        </w:rPr>
        <w:t xml:space="preserve">6.5.3 </w:t>
      </w:r>
      <w:r>
        <w:rPr>
          <w:rFonts w:ascii="Times New Roman" w:cs="Times New Roman" w:eastAsia="Times New Roman" w:hAnsi="Times New Roman"/>
          <w:sz w:val="18"/>
          <w:szCs w:val="18"/>
          <w:b w:val="1"/>
          <w:bCs w:val="1"/>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78" w:lineRule="exact"/>
        <w:rPr>
          <w:sz w:val="20"/>
          <w:szCs w:val="20"/>
          <w:color w:val="auto"/>
        </w:rPr>
      </w:pPr>
    </w:p>
    <w:p>
      <w:pPr>
        <w:ind w:left="1080"/>
        <w:spacing w:after="0"/>
        <w:tabs>
          <w:tab w:leader="none" w:pos="1580" w:val="left"/>
        </w:tabs>
        <w:rPr>
          <w:sz w:val="20"/>
          <w:szCs w:val="20"/>
          <w:color w:val="auto"/>
        </w:rPr>
      </w:pPr>
      <w:r>
        <w:rPr>
          <w:rFonts w:ascii="Times New Roman" w:cs="Times New Roman" w:eastAsia="Times New Roman" w:hAnsi="Times New Roman"/>
          <w:sz w:val="15"/>
          <w:szCs w:val="15"/>
          <w:color w:val="auto"/>
        </w:rPr>
        <w:t>6.6</w:t>
      </w:r>
      <w:r>
        <w:rPr>
          <w:sz w:val="20"/>
          <w:szCs w:val="20"/>
          <w:color w:val="auto"/>
        </w:rPr>
        <w:tab/>
      </w:r>
      <w:r>
        <w:rPr>
          <w:rFonts w:ascii="Times New Roman" w:cs="Times New Roman" w:eastAsia="Times New Roman" w:hAnsi="Times New Roman"/>
          <w:sz w:val="14"/>
          <w:szCs w:val="14"/>
          <w:b w:val="1"/>
          <w:bCs w:val="1"/>
          <w:color w:val="auto"/>
        </w:rPr>
        <w:t>Exercise of Option</w:t>
      </w:r>
      <w:r>
        <w:rPr>
          <w:rFonts w:ascii="Times New Roman" w:cs="Times New Roman" w:eastAsia="Times New Roman" w:hAnsi="Times New Roman"/>
          <w:sz w:val="14"/>
          <w:szCs w:val="14"/>
          <w:color w:val="auto"/>
        </w:rPr>
        <w:t>.</w:t>
      </w:r>
    </w:p>
    <w:p>
      <w:pPr>
        <w:spacing w:after="0" w:line="196" w:lineRule="exact"/>
        <w:rPr>
          <w:sz w:val="20"/>
          <w:szCs w:val="20"/>
          <w:color w:val="auto"/>
        </w:rPr>
      </w:pPr>
    </w:p>
    <w:p>
      <w:pPr>
        <w:jc w:val="both"/>
        <w:ind w:firstLine="1597"/>
        <w:spacing w:after="0" w:line="247" w:lineRule="auto"/>
        <w:rPr>
          <w:sz w:val="20"/>
          <w:szCs w:val="20"/>
          <w:color w:val="auto"/>
        </w:rPr>
      </w:pPr>
      <w:r>
        <w:rPr>
          <w:rFonts w:ascii="Times New Roman" w:cs="Times New Roman" w:eastAsia="Times New Roman" w:hAnsi="Times New Roman"/>
          <w:sz w:val="18"/>
          <w:szCs w:val="18"/>
          <w:color w:val="auto"/>
        </w:rPr>
        <w:t xml:space="preserve">6.6.1 </w:t>
      </w:r>
      <w:r>
        <w:rPr>
          <w:rFonts w:ascii="Times New Roman" w:cs="Times New Roman" w:eastAsia="Times New Roman" w:hAnsi="Times New Roman"/>
          <w:sz w:val="18"/>
          <w:szCs w:val="18"/>
          <w:b w:val="1"/>
          <w:bCs w:val="1"/>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62" w:lineRule="exact"/>
        <w:rPr>
          <w:sz w:val="20"/>
          <w:szCs w:val="20"/>
          <w:color w:val="auto"/>
        </w:rPr>
      </w:pPr>
    </w:p>
    <w:p>
      <w:pPr>
        <w:jc w:val="both"/>
        <w:ind w:firstLine="1597"/>
        <w:spacing w:after="0" w:line="235"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73" w:lineRule="exact"/>
        <w:rPr>
          <w:sz w:val="20"/>
          <w:szCs w:val="20"/>
          <w:color w:val="auto"/>
        </w:rPr>
      </w:pPr>
    </w:p>
    <w:p>
      <w:pPr>
        <w:jc w:val="both"/>
        <w:ind w:firstLine="1597"/>
        <w:spacing w:after="0" w:line="260"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8" w:name="page229"/>
    <w:bookmarkEnd w:id="228"/>
    <w:p>
      <w:pPr>
        <w:jc w:val="both"/>
        <w:ind w:firstLine="1643"/>
        <w:spacing w:after="0" w:line="236" w:lineRule="auto"/>
        <w:rPr>
          <w:sz w:val="20"/>
          <w:szCs w:val="20"/>
          <w:color w:val="auto"/>
        </w:rPr>
      </w:pPr>
      <w:r>
        <w:rPr>
          <w:rFonts w:ascii="Times New Roman" w:cs="Times New Roman" w:eastAsia="Times New Roman" w:hAnsi="Times New Roman"/>
          <w:sz w:val="18"/>
          <w:szCs w:val="18"/>
          <w:color w:val="auto"/>
        </w:rPr>
        <w:t xml:space="preserve">6.6.2 </w:t>
      </w:r>
      <w:r>
        <w:rPr>
          <w:rFonts w:ascii="Times New Roman" w:cs="Times New Roman" w:eastAsia="Times New Roman" w:hAnsi="Times New Roman"/>
          <w:sz w:val="18"/>
          <w:szCs w:val="18"/>
          <w:b w:val="1"/>
          <w:bCs w:val="1"/>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170" w:lineRule="exact"/>
        <w:rPr>
          <w:sz w:val="20"/>
          <w:szCs w:val="20"/>
          <w:color w:val="auto"/>
        </w:rPr>
      </w:pPr>
    </w:p>
    <w:p>
      <w:pPr>
        <w:jc w:val="both"/>
        <w:ind w:firstLine="1597"/>
        <w:spacing w:after="0" w:line="236" w:lineRule="auto"/>
        <w:rPr>
          <w:sz w:val="20"/>
          <w:szCs w:val="20"/>
          <w:color w:val="auto"/>
        </w:rPr>
      </w:pPr>
      <w:r>
        <w:rPr>
          <w:rFonts w:ascii="Times New Roman" w:cs="Times New Roman" w:eastAsia="Times New Roman" w:hAnsi="Times New Roman"/>
          <w:sz w:val="18"/>
          <w:szCs w:val="18"/>
          <w:color w:val="auto"/>
        </w:rPr>
        <w:t xml:space="preserve">6.6.3 </w:t>
      </w:r>
      <w:r>
        <w:rPr>
          <w:rFonts w:ascii="Times New Roman" w:cs="Times New Roman" w:eastAsia="Times New Roman" w:hAnsi="Times New Roman"/>
          <w:sz w:val="18"/>
          <w:szCs w:val="18"/>
          <w:b w:val="1"/>
          <w:bCs w:val="1"/>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 after such cessation the Participant does not exercise his or her Option within the time specified herein, the Option will terminate, and the Shares covered by such Option will revert to the Plan.</w:t>
      </w:r>
    </w:p>
    <w:p>
      <w:pPr>
        <w:spacing w:after="0" w:line="169" w:lineRule="exact"/>
        <w:rPr>
          <w:sz w:val="20"/>
          <w:szCs w:val="20"/>
          <w:color w:val="auto"/>
        </w:rPr>
      </w:pPr>
    </w:p>
    <w:p>
      <w:pPr>
        <w:jc w:val="both"/>
        <w:ind w:firstLine="1597"/>
        <w:spacing w:after="0" w:line="249" w:lineRule="auto"/>
        <w:rPr>
          <w:sz w:val="20"/>
          <w:szCs w:val="20"/>
          <w:color w:val="auto"/>
        </w:rPr>
      </w:pPr>
      <w:r>
        <w:rPr>
          <w:rFonts w:ascii="Times New Roman" w:cs="Times New Roman" w:eastAsia="Times New Roman" w:hAnsi="Times New Roman"/>
          <w:sz w:val="17"/>
          <w:szCs w:val="17"/>
          <w:color w:val="auto"/>
        </w:rPr>
        <w:t xml:space="preserve">6.6.4 </w:t>
      </w:r>
      <w:r>
        <w:rPr>
          <w:rFonts w:ascii="Times New Roman" w:cs="Times New Roman" w:eastAsia="Times New Roman" w:hAnsi="Times New Roman"/>
          <w:sz w:val="17"/>
          <w:szCs w:val="17"/>
          <w:b w:val="1"/>
          <w:bCs w:val="1"/>
          <w:color w:val="auto"/>
        </w:rPr>
        <w:t>Death of Participant</w:t>
      </w:r>
      <w:r>
        <w:rPr>
          <w:rFonts w:ascii="Times New Roman" w:cs="Times New Roman" w:eastAsia="Times New Roman" w:hAnsi="Times New Roman"/>
          <w:sz w:val="17"/>
          <w:szCs w:val="17"/>
          <w:color w:val="auto"/>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17"/>
          <w:szCs w:val="17"/>
          <w:b w:val="1"/>
          <w:bCs w:val="1"/>
          <w:color w:val="auto"/>
        </w:rPr>
        <w:t>Legal Representative</w:t>
      </w:r>
      <w:r>
        <w:rPr>
          <w:rFonts w:ascii="Times New Roman" w:cs="Times New Roman" w:eastAsia="Times New Roman" w:hAnsi="Times New Roman"/>
          <w:sz w:val="17"/>
          <w:szCs w:val="17"/>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29" w:name="page230"/>
    <w:bookmarkEnd w:id="229"/>
    <w:p>
      <w:pPr>
        <w:ind w:left="1600"/>
        <w:spacing w:after="0"/>
        <w:tabs>
          <w:tab w:leader="none" w:pos="2120" w:val="left"/>
        </w:tabs>
        <w:rPr>
          <w:sz w:val="20"/>
          <w:szCs w:val="20"/>
          <w:color w:val="auto"/>
        </w:rPr>
      </w:pPr>
      <w:r>
        <w:rPr>
          <w:rFonts w:ascii="Times New Roman" w:cs="Times New Roman" w:eastAsia="Times New Roman" w:hAnsi="Times New Roman"/>
          <w:sz w:val="15"/>
          <w:szCs w:val="15"/>
          <w:color w:val="auto"/>
        </w:rPr>
        <w:t>6.6.5</w:t>
      </w:r>
      <w:r>
        <w:rPr>
          <w:sz w:val="20"/>
          <w:szCs w:val="20"/>
          <w:color w:val="auto"/>
        </w:rPr>
        <w:tab/>
      </w:r>
      <w:r>
        <w:rPr>
          <w:rFonts w:ascii="Times New Roman" w:cs="Times New Roman" w:eastAsia="Times New Roman" w:hAnsi="Times New Roman"/>
          <w:sz w:val="14"/>
          <w:szCs w:val="14"/>
          <w:b w:val="1"/>
          <w:bCs w:val="1"/>
          <w:color w:val="auto"/>
        </w:rPr>
        <w:t>Tolling Expiration</w:t>
      </w:r>
      <w:r>
        <w:rPr>
          <w:rFonts w:ascii="Times New Roman" w:cs="Times New Roman" w:eastAsia="Times New Roman" w:hAnsi="Times New Roman"/>
          <w:sz w:val="14"/>
          <w:szCs w:val="14"/>
          <w:color w:val="auto"/>
        </w:rPr>
        <w:t>. A Participant’s Award Agreement may also provide that:</w:t>
      </w:r>
    </w:p>
    <w:p>
      <w:pPr>
        <w:spacing w:after="0" w:line="198" w:lineRule="exact"/>
        <w:rPr>
          <w:sz w:val="20"/>
          <w:szCs w:val="20"/>
          <w:color w:val="auto"/>
        </w:rPr>
      </w:pPr>
    </w:p>
    <w:p>
      <w:pPr>
        <w:jc w:val="both"/>
        <w:ind w:firstLine="2139"/>
        <w:spacing w:after="0" w:line="268" w:lineRule="auto"/>
        <w:tabs>
          <w:tab w:leader="none" w:pos="2847"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after the last date on which such exercise would result in liability under Section 16b; or</w:t>
      </w:r>
    </w:p>
    <w:p>
      <w:pPr>
        <w:spacing w:after="0" w:line="2" w:lineRule="exact"/>
        <w:rPr>
          <w:rFonts w:ascii="Times New Roman" w:cs="Times New Roman" w:eastAsia="Times New Roman" w:hAnsi="Times New Roman"/>
          <w:sz w:val="17"/>
          <w:szCs w:val="17"/>
          <w:color w:val="auto"/>
        </w:rPr>
      </w:pPr>
    </w:p>
    <w:p>
      <w:pPr>
        <w:jc w:val="both"/>
        <w:ind w:firstLine="2139"/>
        <w:spacing w:after="0" w:line="239" w:lineRule="auto"/>
        <w:tabs>
          <w:tab w:leader="none" w:pos="285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p>
    <w:p>
      <w:pPr>
        <w:spacing w:after="0" w:line="173"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Stock Appreciation Rights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145"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64"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30" w:name="page231"/>
    <w:bookmarkEnd w:id="230"/>
    <w:p>
      <w:pPr>
        <w:ind w:left="2240" w:hanging="589"/>
        <w:spacing w:after="0"/>
        <w:tabs>
          <w:tab w:leader="none" w:pos="224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191" w:lineRule="exact"/>
        <w:rPr>
          <w:rFonts w:ascii="Times New Roman" w:cs="Times New Roman" w:eastAsia="Times New Roman" w:hAnsi="Times New Roman"/>
          <w:sz w:val="18"/>
          <w:szCs w:val="18"/>
          <w:color w:val="auto"/>
        </w:rPr>
      </w:pPr>
    </w:p>
    <w:p>
      <w:pPr>
        <w:ind w:left="2260" w:hanging="654"/>
        <w:spacing w:after="0"/>
        <w:tabs>
          <w:tab w:leader="none" w:pos="22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192" w:lineRule="exact"/>
        <w:rPr>
          <w:sz w:val="20"/>
          <w:szCs w:val="20"/>
          <w:color w:val="auto"/>
        </w:rPr>
      </w:pPr>
    </w:p>
    <w:p>
      <w:pPr>
        <w:ind w:firstLine="1597"/>
        <w:spacing w:after="0" w:line="260"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57" w:lineRule="exact"/>
        <w:rPr>
          <w:sz w:val="20"/>
          <w:szCs w:val="20"/>
          <w:color w:val="auto"/>
        </w:rPr>
      </w:pPr>
    </w:p>
    <w:p>
      <w:pPr>
        <w:ind w:left="1080" w:hanging="539"/>
        <w:spacing w:after="0"/>
        <w:tabs>
          <w:tab w:leader="none" w:pos="1080" w:val="left"/>
        </w:tabs>
        <w:numPr>
          <w:ilvl w:val="0"/>
          <w:numId w:val="2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Restricted Stock</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5"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167"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45"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45"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31" w:name="page232"/>
    <w:bookmarkEnd w:id="231"/>
    <w:p>
      <w:pPr>
        <w:ind w:right="20" w:firstLine="1065"/>
        <w:spacing w:after="0" w:line="264"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53" w:lineRule="exact"/>
        <w:rPr>
          <w:sz w:val="20"/>
          <w:szCs w:val="20"/>
          <w:color w:val="auto"/>
        </w:rPr>
      </w:pPr>
    </w:p>
    <w:p>
      <w:pPr>
        <w:ind w:left="1080" w:hanging="539"/>
        <w:spacing w:after="0"/>
        <w:tabs>
          <w:tab w:leader="none" w:pos="1080"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Restricted Stock Units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60"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64"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60"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b w:val="1"/>
          <w:bCs w:val="1"/>
          <w:color w:val="auto"/>
        </w:rPr>
        <w:t>Cancellation</w:t>
      </w:r>
      <w:r>
        <w:rPr>
          <w:rFonts w:ascii="Times New Roman" w:cs="Times New Roman" w:eastAsia="Times New Roman" w:hAnsi="Times New Roman"/>
          <w:sz w:val="17"/>
          <w:szCs w:val="17"/>
          <w:color w:val="auto"/>
        </w:rPr>
        <w:t>. On the date set forth in the Award Agreement, all unearned Restricted Stock Units will be forfeited to the Company.</w:t>
      </w:r>
    </w:p>
    <w:p>
      <w:pPr>
        <w:spacing w:after="0" w:line="201" w:lineRule="exact"/>
        <w:rPr>
          <w:sz w:val="20"/>
          <w:szCs w:val="20"/>
          <w:color w:val="auto"/>
        </w:rPr>
      </w:pPr>
    </w:p>
    <w:p>
      <w:pPr>
        <w:ind w:left="1080" w:hanging="539"/>
        <w:spacing w:after="0"/>
        <w:tabs>
          <w:tab w:leader="none" w:pos="1080"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Performance Awards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160"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Objectives or Vesting Provisions and Other Terms.</w:t>
      </w:r>
      <w:r>
        <w:rPr>
          <w:rFonts w:ascii="Times New Roman" w:cs="Times New Roman" w:eastAsia="Times New Roman" w:hAnsi="Times New Roman"/>
          <w:sz w:val="18"/>
          <w:szCs w:val="18"/>
          <w:color w:val="auto"/>
        </w:rPr>
        <w:t xml:space="preserve">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32" w:name="page233"/>
    <w:bookmarkEnd w:id="232"/>
    <w:p>
      <w:pPr>
        <w:jc w:val="both"/>
        <w:ind w:firstLine="1131"/>
        <w:spacing w:after="0" w:line="24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Earning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Awards</w:t>
      </w:r>
      <w:r>
        <w:rPr>
          <w:rFonts w:ascii="Times New Roman" w:cs="Times New Roman" w:eastAsia="Times New Roman" w:hAnsi="Times New Roman"/>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61"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color w:val="auto"/>
        </w:rPr>
        <w:t>Form and Timing of Payment</w:t>
      </w:r>
      <w:r>
        <w:rPr>
          <w:rFonts w:ascii="Times New Roman" w:cs="Times New Roman" w:eastAsia="Times New Roman" w:hAnsi="Times New Roman"/>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60" w:lineRule="exact"/>
        <w:rPr>
          <w:sz w:val="20"/>
          <w:szCs w:val="20"/>
          <w:color w:val="auto"/>
        </w:rPr>
      </w:pPr>
    </w:p>
    <w:p>
      <w:pPr>
        <w:jc w:val="both"/>
        <w:ind w:right="20" w:firstLine="1065"/>
        <w:spacing w:after="0" w:line="26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Cancellation of Performance Awards</w:t>
      </w:r>
      <w:r>
        <w:rPr>
          <w:rFonts w:ascii="Times New Roman" w:cs="Times New Roman" w:eastAsia="Times New Roman" w:hAnsi="Times New Roman"/>
          <w:sz w:val="18"/>
          <w:szCs w:val="18"/>
          <w:color w:val="auto"/>
        </w:rPr>
        <w:t>. On the date set forth in the Award Agreement, all unearned or unvested Performance Awards will be forfeited to the Company, and again will be available for grant under the Plan.</w:t>
      </w:r>
    </w:p>
    <w:p>
      <w:pPr>
        <w:spacing w:after="0" w:line="145" w:lineRule="exact"/>
        <w:rPr>
          <w:sz w:val="20"/>
          <w:szCs w:val="20"/>
          <w:color w:val="auto"/>
        </w:rPr>
      </w:pPr>
    </w:p>
    <w:p>
      <w:pPr>
        <w:jc w:val="both"/>
        <w:ind w:firstLine="541"/>
        <w:spacing w:after="0" w:line="238" w:lineRule="auto"/>
        <w:tabs>
          <w:tab w:leader="none" w:pos="132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Outside Director Award Limitations</w:t>
      </w:r>
      <w:r>
        <w:rPr>
          <w:rFonts w:ascii="Times New Roman" w:cs="Times New Roman" w:eastAsia="Times New Roman" w:hAnsi="Times New Roman"/>
          <w:sz w:val="18"/>
          <w:szCs w:val="18"/>
          <w:color w:val="auto"/>
        </w:rPr>
        <w:t>. No Outside Director may be granted, in any Fiscal Year, equity awards (including any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closing of the Merger, will be excluded for purposes of this Section 11.</w:t>
      </w:r>
    </w:p>
    <w:p>
      <w:pPr>
        <w:spacing w:after="0" w:line="166" w:lineRule="exact"/>
        <w:rPr>
          <w:rFonts w:ascii="Times New Roman" w:cs="Times New Roman" w:eastAsia="Times New Roman" w:hAnsi="Times New Roman"/>
          <w:sz w:val="18"/>
          <w:szCs w:val="18"/>
          <w:color w:val="auto"/>
        </w:rPr>
      </w:pPr>
    </w:p>
    <w:p>
      <w:pPr>
        <w:jc w:val="both"/>
        <w:ind w:firstLine="541"/>
        <w:spacing w:after="0" w:line="235" w:lineRule="auto"/>
        <w:tabs>
          <w:tab w:leader="none" w:pos="125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w:t>
      </w:r>
      <w:r>
        <w:rPr>
          <w:rFonts w:ascii="Times New Roman" w:cs="Times New Roman" w:eastAsia="Times New Roman" w:hAnsi="Times New Roman"/>
          <w:sz w:val="18"/>
          <w:szCs w:val="18"/>
          <w:color w:val="auto"/>
        </w:rPr>
        <w:t>. Awards will be designed and operated in such a manner that they are either exempt from the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69" w:lineRule="exact"/>
        <w:rPr>
          <w:rFonts w:ascii="Times New Roman" w:cs="Times New Roman" w:eastAsia="Times New Roman" w:hAnsi="Times New Roman"/>
          <w:sz w:val="18"/>
          <w:szCs w:val="18"/>
          <w:color w:val="auto"/>
        </w:rPr>
      </w:pPr>
    </w:p>
    <w:p>
      <w:pPr>
        <w:jc w:val="both"/>
        <w:ind w:firstLine="541"/>
        <w:spacing w:after="0" w:line="218" w:lineRule="auto"/>
        <w:tabs>
          <w:tab w:leader="none" w:pos="134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Leaves of Absence/Transfer Between Locations</w:t>
      </w:r>
      <w:r>
        <w:rPr>
          <w:rFonts w:ascii="Times New Roman" w:cs="Times New Roman" w:eastAsia="Times New Roman" w:hAnsi="Times New Roman"/>
          <w:sz w:val="18"/>
          <w:szCs w:val="18"/>
          <w:color w:val="auto"/>
        </w:rPr>
        <w:t>. Unless the Administrator provides otherwise or as otherwise required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33" w:name="page234"/>
    <w:bookmarkEnd w:id="233"/>
    <w:p>
      <w:pPr>
        <w:jc w:val="both"/>
        <w:ind w:firstLine="541"/>
        <w:spacing w:after="0" w:line="239" w:lineRule="auto"/>
        <w:tabs>
          <w:tab w:leader="none" w:pos="139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Transferability of Awards</w:t>
      </w:r>
      <w:r>
        <w:rPr>
          <w:rFonts w:ascii="Times New Roman" w:cs="Times New Roman" w:eastAsia="Times New Roman" w:hAnsi="Times New Roman"/>
          <w:sz w:val="18"/>
          <w:szCs w:val="18"/>
          <w:color w:val="auto"/>
        </w:rPr>
        <w:t>. Unless determined otherwise by the Administrator, Awards may not be sold, pledged, assigned,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67" w:lineRule="exact"/>
        <w:rPr>
          <w:rFonts w:ascii="Times New Roman" w:cs="Times New Roman" w:eastAsia="Times New Roman" w:hAnsi="Times New Roman"/>
          <w:sz w:val="18"/>
          <w:szCs w:val="18"/>
          <w:color w:val="auto"/>
        </w:rPr>
      </w:pPr>
    </w:p>
    <w:p>
      <w:pPr>
        <w:ind w:left="1200" w:hanging="659"/>
        <w:spacing w:after="0"/>
        <w:tabs>
          <w:tab w:leader="none" w:pos="12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065"/>
        <w:spacing w:after="0" w:line="23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xml:space="preserve"> .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6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7"/>
          <w:szCs w:val="17"/>
          <w:color w:val="auto"/>
        </w:rPr>
        <w:t xml:space="preserve">15.3 </w:t>
      </w:r>
      <w:r>
        <w:rPr>
          <w:rFonts w:ascii="Times New Roman" w:cs="Times New Roman" w:eastAsia="Times New Roman" w:hAnsi="Times New Roman"/>
          <w:sz w:val="17"/>
          <w:szCs w:val="17"/>
          <w:b w:val="1"/>
          <w:bCs w:val="1"/>
          <w:color w:val="auto"/>
        </w:rPr>
        <w:t>Merger or Change in Control</w:t>
      </w:r>
      <w:r>
        <w:rPr>
          <w:rFonts w:ascii="Times New Roman" w:cs="Times New Roman" w:eastAsia="Times New Roman" w:hAnsi="Times New Roman"/>
          <w:sz w:val="17"/>
          <w:szCs w:val="17"/>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w:t>
      </w:r>
    </w:p>
    <w:p>
      <w:pPr>
        <w:spacing w:after="0" w:line="5" w:lineRule="exact"/>
        <w:rPr>
          <w:sz w:val="20"/>
          <w:szCs w:val="20"/>
          <w:color w:val="auto"/>
        </w:rPr>
      </w:pPr>
    </w:p>
    <w:p>
      <w:pPr>
        <w:jc w:val="both"/>
        <w:ind w:firstLine="9"/>
        <w:spacing w:after="0" w:line="236" w:lineRule="auto"/>
        <w:tabs>
          <w:tab w:leader="none" w:pos="26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234" w:name="page235"/>
    <w:bookmarkEnd w:id="234"/>
    <w:p>
      <w:pPr>
        <w:jc w:val="both"/>
        <w:ind w:firstLine="1120"/>
        <w:spacing w:after="0" w:line="234"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73" w:lineRule="exact"/>
        <w:rPr>
          <w:sz w:val="20"/>
          <w:szCs w:val="20"/>
          <w:color w:val="auto"/>
        </w:rPr>
      </w:pPr>
    </w:p>
    <w:p>
      <w:pPr>
        <w:jc w:val="both"/>
        <w:ind w:firstLine="1065"/>
        <w:spacing w:after="0" w:line="235" w:lineRule="auto"/>
        <w:rPr>
          <w:sz w:val="20"/>
          <w:szCs w:val="20"/>
          <w:color w:val="auto"/>
        </w:rPr>
      </w:pPr>
      <w:r>
        <w:rPr>
          <w:rFonts w:ascii="Times New Roman" w:cs="Times New Roman" w:eastAsia="Times New Roman" w:hAnsi="Times New Roman"/>
          <w:sz w:val="18"/>
          <w:szCs w:val="18"/>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73" w:lineRule="exact"/>
        <w:rPr>
          <w:sz w:val="20"/>
          <w:szCs w:val="20"/>
          <w:color w:val="auto"/>
        </w:rPr>
      </w:pPr>
    </w:p>
    <w:p>
      <w:pPr>
        <w:jc w:val="both"/>
        <w:ind w:firstLine="1065"/>
        <w:spacing w:after="0" w:line="256" w:lineRule="auto"/>
        <w:rPr>
          <w:sz w:val="20"/>
          <w:szCs w:val="20"/>
          <w:color w:val="auto"/>
        </w:rPr>
      </w:pPr>
      <w:r>
        <w:rPr>
          <w:rFonts w:ascii="Times New Roman" w:cs="Times New Roman" w:eastAsia="Times New Roman" w:hAnsi="Times New Roman"/>
          <w:sz w:val="17"/>
          <w:szCs w:val="17"/>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35" w:name="page236"/>
    <w:bookmarkEnd w:id="235"/>
    <w:p>
      <w:pPr>
        <w:jc w:val="both"/>
        <w:ind w:firstLine="1065"/>
        <w:spacing w:after="0" w:line="238" w:lineRule="auto"/>
        <w:rPr>
          <w:sz w:val="20"/>
          <w:szCs w:val="20"/>
          <w:color w:val="auto"/>
        </w:rPr>
      </w:pPr>
      <w:r>
        <w:rPr>
          <w:rFonts w:ascii="Times New Roman" w:cs="Times New Roman" w:eastAsia="Times New Roman" w:hAnsi="Times New Roman"/>
          <w:sz w:val="18"/>
          <w:szCs w:val="18"/>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69" w:lineRule="exact"/>
        <w:rPr>
          <w:sz w:val="20"/>
          <w:szCs w:val="20"/>
          <w:color w:val="auto"/>
        </w:rPr>
      </w:pPr>
    </w:p>
    <w:p>
      <w:pPr>
        <w:jc w:val="both"/>
        <w:ind w:firstLine="1065"/>
        <w:spacing w:after="0" w:line="251" w:lineRule="auto"/>
        <w:rPr>
          <w:sz w:val="20"/>
          <w:szCs w:val="20"/>
          <w:color w:val="auto"/>
        </w:rPr>
      </w:pPr>
      <w:r>
        <w:rPr>
          <w:rFonts w:ascii="Times New Roman" w:cs="Times New Roman" w:eastAsia="Times New Roman" w:hAnsi="Times New Roman"/>
          <w:sz w:val="17"/>
          <w:szCs w:val="17"/>
          <w:color w:val="auto"/>
        </w:rPr>
        <w:t xml:space="preserve">15.4 </w:t>
      </w:r>
      <w:r>
        <w:rPr>
          <w:rFonts w:ascii="Times New Roman" w:cs="Times New Roman" w:eastAsia="Times New Roman" w:hAnsi="Times New Roman"/>
          <w:sz w:val="17"/>
          <w:szCs w:val="17"/>
          <w:b w:val="1"/>
          <w:bCs w:val="1"/>
          <w:color w:val="auto"/>
        </w:rPr>
        <w:t>Outside Director Awards</w:t>
      </w:r>
      <w:r>
        <w:rPr>
          <w:rFonts w:ascii="Times New Roman" w:cs="Times New Roman" w:eastAsia="Times New Roman" w:hAnsi="Times New Roman"/>
          <w:sz w:val="17"/>
          <w:szCs w:val="17"/>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70" w:lineRule="exact"/>
        <w:rPr>
          <w:sz w:val="20"/>
          <w:szCs w:val="20"/>
          <w:color w:val="auto"/>
        </w:rPr>
      </w:pPr>
    </w:p>
    <w:p>
      <w:pPr>
        <w:ind w:left="1080" w:hanging="539"/>
        <w:spacing w:after="0"/>
        <w:tabs>
          <w:tab w:leader="none" w:pos="1080"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Tax Withholding</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09" w:lineRule="exact"/>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and other taxes (including the Participant’s FICA or other social insurance contribution obligation) required to be withheld or paid with respect to such Award (or exercise thereof).</w:t>
      </w:r>
    </w:p>
    <w:p>
      <w:pPr>
        <w:spacing w:after="0" w:line="166" w:lineRule="exact"/>
        <w:rPr>
          <w:sz w:val="20"/>
          <w:szCs w:val="20"/>
          <w:color w:val="auto"/>
        </w:rPr>
      </w:pPr>
    </w:p>
    <w:p>
      <w:pPr>
        <w:jc w:val="both"/>
        <w:ind w:firstLine="1065"/>
        <w:spacing w:after="0" w:line="248"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b w:val="1"/>
          <w:bCs w:val="1"/>
          <w:color w:val="auto"/>
        </w:rPr>
        <w:t>Withholding Arrangements</w:t>
      </w:r>
      <w:r>
        <w:rPr>
          <w:rFonts w:ascii="Times New Roman" w:cs="Times New Roman" w:eastAsia="Times New Roman" w:hAnsi="Times New Roman"/>
          <w:sz w:val="17"/>
          <w:szCs w:val="17"/>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36" w:name="page237"/>
    <w:bookmarkEnd w:id="236"/>
    <w:p>
      <w:pPr>
        <w:jc w:val="both"/>
        <w:ind w:firstLine="541"/>
        <w:spacing w:after="0" w:line="242" w:lineRule="auto"/>
        <w:tabs>
          <w:tab w:leader="none" w:pos="1253"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free from any liability or claim under the Plan.</w:t>
      </w:r>
    </w:p>
    <w:p>
      <w:pPr>
        <w:spacing w:after="0" w:line="163" w:lineRule="exact"/>
        <w:rPr>
          <w:rFonts w:ascii="Times New Roman" w:cs="Times New Roman" w:eastAsia="Times New Roman" w:hAnsi="Times New Roman"/>
          <w:sz w:val="18"/>
          <w:szCs w:val="18"/>
          <w:color w:val="auto"/>
        </w:rPr>
      </w:pPr>
    </w:p>
    <w:p>
      <w:pPr>
        <w:jc w:val="both"/>
        <w:ind w:firstLine="541"/>
        <w:spacing w:after="0" w:line="247" w:lineRule="auto"/>
        <w:tabs>
          <w:tab w:leader="none" w:pos="110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Award, or such other later date as is determined by the Administrator. Notice of the determination will be provided to each Participant within a reasonable time after the date of such grant.</w:t>
      </w:r>
    </w:p>
    <w:p>
      <w:pPr>
        <w:spacing w:after="0" w:line="159" w:lineRule="exact"/>
        <w:rPr>
          <w:rFonts w:ascii="Times New Roman" w:cs="Times New Roman" w:eastAsia="Times New Roman" w:hAnsi="Times New Roman"/>
          <w:sz w:val="18"/>
          <w:szCs w:val="18"/>
          <w:color w:val="auto"/>
        </w:rPr>
      </w:pPr>
    </w:p>
    <w:p>
      <w:pPr>
        <w:ind w:left="1320" w:hanging="779"/>
        <w:spacing w:after="0"/>
        <w:tabs>
          <w:tab w:leader="none" w:pos="132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Subject to Section 23 of the Plan, the Plan will become effective upon the later to occur of (a) its adoption by the Board,</w:t>
      </w:r>
    </w:p>
    <w:p>
      <w:pPr>
        <w:spacing w:after="0" w:line="14" w:lineRule="exact"/>
        <w:rPr>
          <w:rFonts w:ascii="Times New Roman" w:cs="Times New Roman" w:eastAsia="Times New Roman" w:hAnsi="Times New Roman"/>
          <w:sz w:val="18"/>
          <w:szCs w:val="18"/>
          <w:color w:val="auto"/>
        </w:rPr>
      </w:pPr>
    </w:p>
    <w:p>
      <w:pPr>
        <w:jc w:val="both"/>
        <w:ind w:firstLine="9"/>
        <w:spacing w:after="0" w:line="235" w:lineRule="auto"/>
        <w:tabs>
          <w:tab w:leader="none" w:pos="26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Company’s stockholders, or (c) the time as of immediately prior to the completion of the Merger. The Plan will continue in effect until terminated under Section 20 of the Plan, but (i) no Options that qualify as incentive stock options within the meaning of Code Section 422 may be granted after ten (10) years from the earlier of the Board or stockholder approval of the Plan and (ii) Section 3.2 relating to automatic share reserve increase will operate only until the ten (10) year anniversary of the earlier of the Board or stockholder approval of the Plan.</w:t>
      </w:r>
    </w:p>
    <w:p>
      <w:pPr>
        <w:spacing w:after="0" w:line="173"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1"/>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Amendment and Termination of the Plan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065"/>
        <w:spacing w:after="0" w:line="263"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Amendment and Termination</w:t>
      </w:r>
      <w:r>
        <w:rPr>
          <w:rFonts w:ascii="Times New Roman" w:cs="Times New Roman" w:eastAsia="Times New Roman" w:hAnsi="Times New Roman"/>
          <w:sz w:val="18"/>
          <w:szCs w:val="18"/>
          <w:color w:val="auto"/>
        </w:rPr>
        <w:t>. The Administrator, in its sole discretion, may amend, alter, suspend or terminate the Plan, or any part thereof, at any time and for any reason.</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45"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b w:val="1"/>
          <w:bCs w:val="1"/>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37" w:name="page238"/>
    <w:bookmarkEnd w:id="237"/>
    <w:p>
      <w:pPr>
        <w:ind w:left="1080" w:hanging="539"/>
        <w:spacing w:after="0"/>
        <w:tabs>
          <w:tab w:leader="none" w:pos="1080" w:val="left"/>
        </w:tabs>
        <w:numPr>
          <w:ilvl w:val="0"/>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Conditions Upon Issuance of Shares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60" w:lineRule="exact"/>
        <w:rPr>
          <w:sz w:val="20"/>
          <w:szCs w:val="20"/>
          <w:color w:val="auto"/>
        </w:rPr>
      </w:pPr>
    </w:p>
    <w:p>
      <w:pPr>
        <w:jc w:val="both"/>
        <w:ind w:firstLine="541"/>
        <w:spacing w:after="0" w:line="207" w:lineRule="exact"/>
        <w:tabs>
          <w:tab w:leader="none" w:pos="12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Inability to Obtain Authority</w:t>
      </w:r>
      <w:r>
        <w:rPr>
          <w:rFonts w:ascii="Times New Roman" w:cs="Times New Roman" w:eastAsia="Times New Roman" w:hAnsi="Times New Roman"/>
          <w:sz w:val="18"/>
          <w:szCs w:val="18"/>
          <w:color w:val="auto"/>
        </w:rPr>
        <w:t>. If the Company determines it to be impossible or impractical to obtain authority from any regulatory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or to complete or comply with the requirements of any registration or other qualification of the Shares under any U.S. state or federal law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66" w:lineRule="exact"/>
        <w:rPr>
          <w:rFonts w:ascii="Times New Roman" w:cs="Times New Roman" w:eastAsia="Times New Roman" w:hAnsi="Times New Roman"/>
          <w:sz w:val="18"/>
          <w:szCs w:val="18"/>
          <w:color w:val="auto"/>
        </w:rPr>
      </w:pPr>
    </w:p>
    <w:p>
      <w:pPr>
        <w:ind w:firstLine="541"/>
        <w:spacing w:after="0" w:line="263" w:lineRule="auto"/>
        <w:tabs>
          <w:tab w:leader="none" w:pos="125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adopted by the Board. Such stockholder approval will be obtained in the manner and to the degree required under Applicable Laws.</w:t>
      </w:r>
    </w:p>
    <w:p>
      <w:pPr>
        <w:spacing w:after="0" w:line="145" w:lineRule="exact"/>
        <w:rPr>
          <w:rFonts w:ascii="Times New Roman" w:cs="Times New Roman" w:eastAsia="Times New Roman" w:hAnsi="Times New Roman"/>
          <w:sz w:val="18"/>
          <w:szCs w:val="18"/>
          <w:color w:val="auto"/>
        </w:rPr>
      </w:pPr>
    </w:p>
    <w:p>
      <w:pPr>
        <w:jc w:val="both"/>
        <w:ind w:firstLine="541"/>
        <w:spacing w:after="0" w:line="234" w:lineRule="auto"/>
        <w:tabs>
          <w:tab w:leader="none" w:pos="115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Events</w:t>
      </w:r>
      <w:r>
        <w:rPr>
          <w:rFonts w:ascii="Times New Roman" w:cs="Times New Roman" w:eastAsia="Times New Roman" w:hAnsi="Times New Roman"/>
          <w:sz w:val="18"/>
          <w:szCs w:val="18"/>
          <w:color w:val="auto"/>
        </w:rPr>
        <w:t>. The Administrator may specify in an Award Agreement that the Participant’s rights, payments, and benefits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71" w:lineRule="exact"/>
        <w:rPr>
          <w:rFonts w:ascii="Times New Roman" w:cs="Times New Roman" w:eastAsia="Times New Roman" w:hAnsi="Times New Roman"/>
          <w:sz w:val="18"/>
          <w:szCs w:val="18"/>
          <w:color w:val="auto"/>
        </w:rPr>
      </w:pPr>
    </w:p>
    <w:p>
      <w:pPr>
        <w:ind w:left="5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170180</wp:posOffset>
            </wp:positionV>
            <wp:extent cx="7157085" cy="139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i w:val="1"/>
          <w:iCs w:val="1"/>
          <w:color w:val="auto"/>
        </w:rPr>
        <w:t>EXECUTION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94" w:lineRule="exact"/>
        <w:rPr>
          <w:sz w:val="20"/>
          <w:szCs w:val="20"/>
          <w:color w:val="auto"/>
        </w:rPr>
      </w:pPr>
    </w:p>
    <w:p>
      <w:pPr>
        <w:jc w:val="both"/>
        <w:ind w:firstLine="541"/>
        <w:spacing w:after="0" w:line="208" w:lineRule="exact"/>
        <w:tabs>
          <w:tab w:leader="none" w:pos="120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Times New Roman" w:cs="Times New Roman" w:eastAsia="Times New Roman" w:hAnsi="Times New Roman"/>
          <w:sz w:val="18"/>
          <w:szCs w:val="18"/>
          <w:b w:val="1"/>
          <w:bCs w:val="1"/>
          <w:color w:val="auto"/>
        </w:rPr>
        <w:t>423 Component</w:t>
      </w:r>
      <w:r>
        <w:rPr>
          <w:rFonts w:ascii="Times New Roman" w:cs="Times New Roman" w:eastAsia="Times New Roman" w:hAnsi="Times New Roman"/>
          <w:sz w:val="18"/>
          <w:szCs w:val="18"/>
          <w:color w:val="auto"/>
        </w:rPr>
        <w:t>”) and a component that is not intended to qualify as an “employee stock purchase plan” under Code Section 423 (the “</w:t>
      </w: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423 Component</w:t>
      </w:r>
      <w:r>
        <w:rPr>
          <w:rFonts w:ascii="Times New Roman" w:cs="Times New Roman" w:eastAsia="Times New Roman" w:hAnsi="Times New Roman"/>
          <w:sz w:val="18"/>
          <w:szCs w:val="18"/>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that does not qualify as an “employee stock purchase plan” under Code Section 423; an option granted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will provide for substantially the same benefits as an option granted under the 423 Component, except that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option may include features necessary to comply with applicable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laws pursuant to rules, procedures or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plans adopted by the Administrator. Except as otherwise provided herein or by the Administrator,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will operate and be administered in the same manner as the 423 Component.</w:t>
      </w:r>
    </w:p>
    <w:p>
      <w:pPr>
        <w:spacing w:after="0" w:line="179"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Definitions</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left="10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means the Board or any Committee designated by the Board to administer the Plan pursuant to Section 3.</w:t>
      </w:r>
    </w:p>
    <w:p>
      <w:pPr>
        <w:spacing w:after="0" w:line="177" w:lineRule="exact"/>
        <w:rPr>
          <w:sz w:val="20"/>
          <w:szCs w:val="20"/>
          <w:color w:val="auto"/>
        </w:rPr>
      </w:pPr>
    </w:p>
    <w:p>
      <w:pPr>
        <w:jc w:val="both"/>
        <w:ind w:firstLine="1065"/>
        <w:spacing w:after="0" w:line="218" w:lineRule="exact"/>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country or jurisdiction where options are, or will be, granted under the Plan.</w:t>
      </w:r>
    </w:p>
    <w:p>
      <w:pPr>
        <w:spacing w:after="0" w:line="175" w:lineRule="exact"/>
        <w:rPr>
          <w:sz w:val="20"/>
          <w:szCs w:val="20"/>
          <w:color w:val="auto"/>
        </w:rPr>
      </w:pPr>
    </w:p>
    <w:p>
      <w:pPr>
        <w:ind w:left="1080"/>
        <w:spacing w:after="0"/>
        <w:tabs>
          <w:tab w:leader="none" w:pos="1580" w:val="left"/>
        </w:tabs>
        <w:rPr>
          <w:sz w:val="20"/>
          <w:szCs w:val="20"/>
          <w:color w:val="auto"/>
        </w:rPr>
      </w:pPr>
      <w:r>
        <w:rPr>
          <w:rFonts w:ascii="Times New Roman" w:cs="Times New Roman" w:eastAsia="Times New Roman" w:hAnsi="Times New Roman"/>
          <w:sz w:val="15"/>
          <w:szCs w:val="15"/>
          <w:color w:val="auto"/>
        </w:rPr>
        <w:t>2.3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means the Board of Directors of the Company.</w:t>
      </w:r>
    </w:p>
    <w:p>
      <w:pPr>
        <w:spacing w:after="0" w:line="205" w:lineRule="exact"/>
        <w:rPr>
          <w:sz w:val="20"/>
          <w:szCs w:val="20"/>
          <w:color w:val="auto"/>
        </w:rPr>
      </w:pPr>
    </w:p>
    <w:p>
      <w:pPr>
        <w:ind w:left="1080"/>
        <w:spacing w:after="0"/>
        <w:tabs>
          <w:tab w:leader="none" w:pos="1580" w:val="left"/>
        </w:tabs>
        <w:rPr>
          <w:sz w:val="20"/>
          <w:szCs w:val="20"/>
          <w:color w:val="auto"/>
        </w:rPr>
      </w:pPr>
      <w:r>
        <w:rPr>
          <w:rFonts w:ascii="Times New Roman" w:cs="Times New Roman" w:eastAsia="Times New Roman" w:hAnsi="Times New Roman"/>
          <w:sz w:val="15"/>
          <w:szCs w:val="15"/>
          <w:color w:val="auto"/>
        </w:rPr>
        <w:t>2.4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in Control</w:t>
      </w:r>
      <w:r>
        <w:rPr>
          <w:rFonts w:ascii="Times New Roman" w:cs="Times New Roman" w:eastAsia="Times New Roman" w:hAnsi="Times New Roman"/>
          <w:sz w:val="14"/>
          <w:szCs w:val="14"/>
          <w:color w:val="auto"/>
        </w:rPr>
        <w:t>” means the occurrence of any of the following events:</w:t>
      </w:r>
    </w:p>
    <w:p>
      <w:pPr>
        <w:spacing w:after="0" w:line="196" w:lineRule="exact"/>
        <w:rPr>
          <w:sz w:val="20"/>
          <w:szCs w:val="20"/>
          <w:color w:val="auto"/>
        </w:rPr>
      </w:pPr>
    </w:p>
    <w:p>
      <w:pPr>
        <w:jc w:val="both"/>
        <w:ind w:firstLine="1606"/>
        <w:spacing w:after="0" w:line="234" w:lineRule="auto"/>
        <w:tabs>
          <w:tab w:leader="none" w:pos="228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more than one person acting as a group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90805</wp:posOffset>
            </wp:positionV>
            <wp:extent cx="7157085" cy="139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39" w:name="page240"/>
    <w:bookmarkEnd w:id="239"/>
    <w:p>
      <w:pPr>
        <w:jc w:val="both"/>
        <w:ind w:firstLine="1606"/>
        <w:spacing w:after="0" w:line="239" w:lineRule="auto"/>
        <w:tabs>
          <w:tab w:leader="none" w:pos="228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68" w:lineRule="exact"/>
        <w:rPr>
          <w:rFonts w:ascii="Times New Roman" w:cs="Times New Roman" w:eastAsia="Times New Roman" w:hAnsi="Times New Roman"/>
          <w:sz w:val="18"/>
          <w:szCs w:val="18"/>
          <w:color w:val="auto"/>
        </w:rPr>
      </w:pPr>
    </w:p>
    <w:p>
      <w:pPr>
        <w:jc w:val="both"/>
        <w:ind w:firstLine="1606"/>
        <w:spacing w:after="0" w:line="234" w:lineRule="auto"/>
        <w:tabs>
          <w:tab w:leader="none" w:pos="239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76"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51"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0" w:name="page241"/>
    <w:bookmarkEnd w:id="240"/>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61"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a committee of the Board appointed in accordance with Section 3 hereof.</w:t>
      </w:r>
    </w:p>
    <w:p>
      <w:pPr>
        <w:spacing w:after="0" w:line="192"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w:t>
      </w:r>
    </w:p>
    <w:p>
      <w:pPr>
        <w:spacing w:after="0" w:line="192"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Contributions</w:t>
      </w:r>
      <w:r>
        <w:rPr>
          <w:rFonts w:ascii="Times New Roman" w:cs="Times New Roman" w:eastAsia="Times New Roman" w:hAnsi="Times New Roman"/>
          <w:sz w:val="18"/>
          <w:szCs w:val="18"/>
          <w:color w:val="auto"/>
        </w:rPr>
        <w:t>” means the payroll deductions and other additional payments that the Company may permit to be made by a Participant to fund the exercise of options granted pursuant to the Plan.</w:t>
      </w:r>
    </w:p>
    <w:p>
      <w:pPr>
        <w:spacing w:after="0" w:line="145" w:lineRule="exact"/>
        <w:rPr>
          <w:sz w:val="20"/>
          <w:szCs w:val="20"/>
          <w:color w:val="auto"/>
        </w:rPr>
      </w:pPr>
    </w:p>
    <w:p>
      <w:pPr>
        <w:jc w:val="both"/>
        <w:ind w:firstLine="1065"/>
        <w:spacing w:after="0" w:line="215" w:lineRule="exact"/>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Designated Company</w:t>
      </w:r>
      <w:r>
        <w:rPr>
          <w:rFonts w:ascii="Times New Roman" w:cs="Times New Roman" w:eastAsia="Times New Roman" w:hAnsi="Times New Roman"/>
          <w:sz w:val="18"/>
          <w:szCs w:val="18"/>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w:t>
      </w:r>
    </w:p>
    <w:p>
      <w:pPr>
        <w:spacing w:after="0" w:line="150"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192"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means the date of the consummation of the merger by and between the Company,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and certain other parties, pursuant to that certain Business Combination Agreement dated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(such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both"/>
        <w:ind w:firstLine="1065"/>
        <w:spacing w:after="0" w:line="205" w:lineRule="exact"/>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2(e)(2)(ii). Such exclusions may be applied with respect to an Offering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without regard to the limitations of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1" w:name="page242"/>
    <w:bookmarkEnd w:id="241"/>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Employer</w:t>
      </w:r>
      <w:r>
        <w:rPr>
          <w:rFonts w:ascii="Times New Roman" w:cs="Times New Roman" w:eastAsia="Times New Roman" w:hAnsi="Times New Roman"/>
          <w:sz w:val="17"/>
          <w:szCs w:val="17"/>
          <w:color w:val="auto"/>
        </w:rPr>
        <w:t>” means the employer of the applicable Eligible Employee(s).</w:t>
      </w:r>
    </w:p>
    <w:p>
      <w:pPr>
        <w:spacing w:after="0" w:line="194"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Enrollment Date</w:t>
      </w:r>
      <w:r>
        <w:rPr>
          <w:rFonts w:ascii="Times New Roman" w:cs="Times New Roman" w:eastAsia="Times New Roman" w:hAnsi="Times New Roman"/>
          <w:sz w:val="17"/>
          <w:szCs w:val="17"/>
          <w:color w:val="auto"/>
        </w:rPr>
        <w:t>” means the first Trading Day of each Offering Period.</w:t>
      </w:r>
    </w:p>
    <w:p>
      <w:pPr>
        <w:spacing w:after="0" w:line="192"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70"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64"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Common Stock determined as follows:</w:t>
      </w:r>
    </w:p>
    <w:p>
      <w:pPr>
        <w:spacing w:after="0" w:line="147" w:lineRule="exact"/>
        <w:rPr>
          <w:sz w:val="20"/>
          <w:szCs w:val="20"/>
          <w:color w:val="auto"/>
        </w:rPr>
      </w:pPr>
    </w:p>
    <w:p>
      <w:pPr>
        <w:jc w:val="both"/>
        <w:ind w:firstLine="1606"/>
        <w:spacing w:after="0" w:line="239" w:lineRule="auto"/>
        <w:tabs>
          <w:tab w:leader="none" w:pos="2261"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2" w:name="page243"/>
    <w:bookmarkEnd w:id="242"/>
    <w:p>
      <w:pPr>
        <w:jc w:val="both"/>
        <w:ind w:firstLine="1606"/>
        <w:spacing w:after="0"/>
        <w:tabs>
          <w:tab w:leader="none" w:pos="229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69" w:lineRule="exact"/>
        <w:rPr>
          <w:rFonts w:ascii="Times New Roman" w:cs="Times New Roman" w:eastAsia="Times New Roman" w:hAnsi="Times New Roman"/>
          <w:sz w:val="18"/>
          <w:szCs w:val="18"/>
          <w:color w:val="auto"/>
        </w:rPr>
      </w:pPr>
    </w:p>
    <w:p>
      <w:pPr>
        <w:ind w:left="2280" w:hanging="674"/>
        <w:spacing w:after="0"/>
        <w:tabs>
          <w:tab w:leader="none" w:pos="2280"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will be determined in good faith by the</w:t>
      </w:r>
    </w:p>
    <w:p>
      <w:pPr>
        <w:spacing w:after="0" w:line="2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Administrator.</w:t>
      </w:r>
    </w:p>
    <w:p>
      <w:pPr>
        <w:spacing w:after="0" w:line="172" w:lineRule="exact"/>
        <w:rPr>
          <w:sz w:val="20"/>
          <w:szCs w:val="20"/>
          <w:color w:val="auto"/>
        </w:rPr>
      </w:pPr>
    </w:p>
    <w:p>
      <w:pPr>
        <w:ind w:right="280" w:firstLine="1065"/>
        <w:spacing w:after="0" w:line="260" w:lineRule="auto"/>
        <w:rPr>
          <w:sz w:val="20"/>
          <w:szCs w:val="20"/>
          <w:color w:val="auto"/>
        </w:rPr>
      </w:pPr>
      <w:r>
        <w:rPr>
          <w:rFonts w:ascii="Times New Roman" w:cs="Times New Roman" w:eastAsia="Times New Roman" w:hAnsi="Times New Roman"/>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49"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fiscal year of the Company.</w:t>
      </w:r>
    </w:p>
    <w:p>
      <w:pPr>
        <w:spacing w:after="0" w:line="192"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New Exercise Date</w:t>
      </w:r>
      <w:r>
        <w:rPr>
          <w:rFonts w:ascii="Times New Roman" w:cs="Times New Roman" w:eastAsia="Times New Roman" w:hAnsi="Times New Roman"/>
          <w:sz w:val="17"/>
          <w:szCs w:val="17"/>
          <w:color w:val="auto"/>
        </w:rPr>
        <w:t>” means a new Exercise Date if the Administrator shortens any Offering Period then in progress.</w:t>
      </w:r>
    </w:p>
    <w:p>
      <w:pPr>
        <w:spacing w:after="0" w:line="192" w:lineRule="exact"/>
        <w:rPr>
          <w:sz w:val="20"/>
          <w:szCs w:val="20"/>
          <w:color w:val="auto"/>
        </w:rPr>
      </w:pPr>
    </w:p>
    <w:p>
      <w:pPr>
        <w:jc w:val="both"/>
        <w:ind w:firstLine="1065"/>
        <w:spacing w:after="0" w:line="215" w:lineRule="exact"/>
        <w:rPr>
          <w:sz w:val="20"/>
          <w:szCs w:val="20"/>
          <w:color w:val="auto"/>
        </w:rPr>
      </w:pPr>
      <w:r>
        <w:rPr>
          <w:rFonts w:ascii="Times New Roman" w:cs="Times New Roman" w:eastAsia="Times New Roman" w:hAnsi="Times New Roman"/>
          <w:sz w:val="17"/>
          <w:szCs w:val="17"/>
          <w:color w:val="auto"/>
        </w:rPr>
        <w:t>2.22 “</w:t>
      </w:r>
      <w:r>
        <w:rPr>
          <w:rFonts w:ascii="Times New Roman" w:cs="Times New Roman" w:eastAsia="Times New Roman" w:hAnsi="Times New Roman"/>
          <w:sz w:val="17"/>
          <w:szCs w:val="17"/>
          <w:b w:val="1"/>
          <w:bCs w:val="1"/>
          <w:color w:val="auto"/>
        </w:rPr>
        <w:t>Offering</w:t>
      </w:r>
      <w:r>
        <w:rPr>
          <w:rFonts w:ascii="Times New Roman" w:cs="Times New Roman" w:eastAsia="Times New Roman" w:hAnsi="Times New Roman"/>
          <w:sz w:val="17"/>
          <w:szCs w:val="17"/>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2(a)(1), the terms of each Offering need not be identical provided that the terms of the Plan and an Offering together satisfy U.S. Treasury Regulations Section 1.423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2(a)(2) and (a)(3).</w:t>
      </w:r>
    </w:p>
    <w:p>
      <w:pPr>
        <w:spacing w:after="0" w:line="149"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Offering Period</w:t>
      </w:r>
      <w:r>
        <w:rPr>
          <w:rFonts w:ascii="Times New Roman" w:cs="Times New Roman" w:eastAsia="Times New Roman" w:hAnsi="Times New Roman"/>
          <w:sz w:val="18"/>
          <w:szCs w:val="18"/>
          <w:color w:val="auto"/>
        </w:rPr>
        <w:t>” 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spacing w:after="0" w:line="160"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means a “</w:t>
      </w:r>
      <w:r>
        <w:rPr>
          <w:rFonts w:ascii="Times New Roman" w:cs="Times New Roman" w:eastAsia="Times New Roman" w:hAnsi="Times New Roman"/>
          <w:sz w:val="17"/>
          <w:szCs w:val="17"/>
          <w:b w:val="1"/>
          <w:bCs w:val="1"/>
          <w:color w:val="auto"/>
        </w:rPr>
        <w:t>parent corporation,</w:t>
      </w:r>
      <w:r>
        <w:rPr>
          <w:rFonts w:ascii="Times New Roman" w:cs="Times New Roman" w:eastAsia="Times New Roman" w:hAnsi="Times New Roman"/>
          <w:sz w:val="17"/>
          <w:szCs w:val="17"/>
          <w:color w:val="auto"/>
        </w:rPr>
        <w:t>” whether now or hereafter existing, as defined in Code Section 424(e).</w:t>
      </w:r>
    </w:p>
    <w:p>
      <w:pPr>
        <w:spacing w:after="0" w:line="192"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Employee that participates in the Plan.</w:t>
      </w:r>
    </w:p>
    <w:p>
      <w:pPr>
        <w:spacing w:after="0" w:line="192"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Nautilus Biotechnology, Inc. 2021 Employee Stock Purchase Plan.</w:t>
      </w:r>
    </w:p>
    <w:p>
      <w:pPr>
        <w:spacing w:after="0" w:line="192"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Purchase Period</w:t>
      </w:r>
      <w:r>
        <w:rPr>
          <w:rFonts w:ascii="Times New Roman" w:cs="Times New Roman" w:eastAsia="Times New Roman" w:hAnsi="Times New Roman"/>
          <w:sz w:val="18"/>
          <w:szCs w:val="18"/>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43" w:name="page244"/>
    <w:bookmarkEnd w:id="243"/>
    <w:p>
      <w:pPr>
        <w:jc w:val="both"/>
        <w:ind w:firstLine="1065"/>
        <w:spacing w:after="0" w:line="215" w:lineRule="exact"/>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an amount equal to eighty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five percent (85%) of the Fair Market Value of a share of Common Stock on the Enrollment Date or on the Exercise Date, 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p>
    <w:p>
      <w:pPr>
        <w:spacing w:after="0" w:line="166"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U.S. Treasury Regulations and guidance thereunder, and any applicable state law equivalent, as each may be promulgated, amended or modified from time to time.</w:t>
      </w:r>
    </w:p>
    <w:p>
      <w:pPr>
        <w:spacing w:after="0" w:line="145"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 “subsidiary corporation,” whether now or hereafter existing, as defined in Code Section 424(f).</w:t>
      </w:r>
    </w:p>
    <w:p>
      <w:pPr>
        <w:spacing w:after="0" w:line="192" w:lineRule="exact"/>
        <w:rPr>
          <w:sz w:val="20"/>
          <w:szCs w:val="20"/>
          <w:color w:val="auto"/>
        </w:rPr>
      </w:pPr>
    </w:p>
    <w:p>
      <w:pPr>
        <w:jc w:val="both"/>
        <w:ind w:right="20" w:firstLine="1065"/>
        <w:spacing w:after="0" w:line="263"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45"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60" w:lineRule="exact"/>
        <w:rPr>
          <w:sz w:val="20"/>
          <w:szCs w:val="20"/>
          <w:color w:val="auto"/>
        </w:rPr>
      </w:pPr>
    </w:p>
    <w:p>
      <w:pPr>
        <w:ind w:left="1160" w:hanging="619"/>
        <w:spacing w:after="0"/>
        <w:tabs>
          <w:tab w:leader="none" w:pos="11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065"/>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Stock Subject to the Plan</w:t>
      </w:r>
      <w:r>
        <w:rPr>
          <w:rFonts w:ascii="Times New Roman" w:cs="Times New Roman" w:eastAsia="Times New Roman" w:hAnsi="Times New Roman"/>
          <w:sz w:val="18"/>
          <w:szCs w:val="18"/>
          <w:color w:val="auto"/>
        </w:rPr>
        <w:t>. Subject to adjustment upon changes in capitalization of the Company as provided in Section 17 hereof, the maximum number of shares of Common Stock that will be made available for sale under the Plan will be 1,244,900 shares of Common Stock</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jc w:val="both"/>
        <w:ind w:firstLine="1065"/>
        <w:spacing w:after="0" w:line="21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Automatic Share Reserve Increase</w:t>
      </w:r>
      <w:r>
        <w:rPr>
          <w:rFonts w:ascii="Times New Roman" w:cs="Times New Roman" w:eastAsia="Times New Roman" w:hAnsi="Times New Roman"/>
          <w:sz w:val="18"/>
          <w:szCs w:val="18"/>
          <w:color w:val="auto"/>
        </w:rPr>
        <w:t>. Subject to adjustment upon changes in capitalization of the Company as provided in Section 17 hereof, the number of shares of Common Stock available for issuance under the Plan will be increased on the first day of each Fiscal Year beginning with the 2022 Fiscal Year, in an amount equal to the least of (a) 3,734,500 shares of Common Stock</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(b) a number of shares of Common Stock equal to one percent (1%) of the total number of shares of all classes of common stock of the Company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304165</wp:posOffset>
            </wp:positionV>
            <wp:extent cx="135255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525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hanging="125"/>
        <w:spacing w:after="0"/>
        <w:tabs>
          <w:tab w:leader="none" w:pos="400" w:val="left"/>
        </w:tabs>
        <w:numPr>
          <w:ilvl w:val="0"/>
          <w:numId w:val="2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Post-transaction number; not to be adjusted in connection with the transaction.</w:t>
      </w:r>
    </w:p>
    <w:p>
      <w:pPr>
        <w:spacing w:after="0" w:line="54" w:lineRule="exact"/>
        <w:rPr>
          <w:sz w:val="20"/>
          <w:szCs w:val="20"/>
          <w:color w:val="auto"/>
        </w:rPr>
      </w:pPr>
    </w:p>
    <w:p>
      <w:pPr>
        <w:ind w:left="400" w:hanging="125"/>
        <w:spacing w:after="0"/>
        <w:tabs>
          <w:tab w:leader="none" w:pos="400" w:val="left"/>
        </w:tabs>
        <w:numPr>
          <w:ilvl w:val="0"/>
          <w:numId w:val="2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Post-transaction number; not to be adjusted in connection with the transaction.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99" w:right="319" w:bottom="1440" w:gutter="0" w:footer="0" w:header="0"/>
        </w:sectPr>
      </w:pPr>
    </w:p>
    <w:bookmarkStart w:id="244" w:name="page245"/>
    <w:bookmarkEnd w:id="244"/>
    <w:p>
      <w:pPr>
        <w:ind w:firstLine="541"/>
        <w:spacing w:after="0" w:line="264" w:lineRule="auto"/>
        <w:tabs>
          <w:tab w:leader="none" w:pos="110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The Plan will be administered by the Board or a Committee appointed by the Board, which Committee will be constituted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Applicable Laws. The Administrator will have full and exclusive discretionary authority to</w:t>
      </w:r>
    </w:p>
    <w:p>
      <w:pPr>
        <w:spacing w:after="0" w:line="146"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interpret and apply the terms of the Plan,</w:t>
      </w:r>
    </w:p>
    <w:p>
      <w:pPr>
        <w:spacing w:after="0" w:line="192"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ministerial duties to any of the Company’s employees,</w:t>
      </w:r>
    </w:p>
    <w:p>
      <w:pPr>
        <w:spacing w:after="0" w:line="192"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separate Offerings under the Plan,</w:t>
      </w:r>
    </w:p>
    <w:p>
      <w:pPr>
        <w:spacing w:after="0" w:line="174" w:lineRule="exact"/>
        <w:rPr>
          <w:rFonts w:ascii="Times New Roman" w:cs="Times New Roman" w:eastAsia="Times New Roman" w:hAnsi="Times New Roman"/>
          <w:sz w:val="18"/>
          <w:szCs w:val="18"/>
          <w:color w:val="auto"/>
        </w:rPr>
      </w:pPr>
    </w:p>
    <w:p>
      <w:pPr>
        <w:ind w:left="1720" w:hanging="646"/>
        <w:spacing w:after="0" w:line="207" w:lineRule="exact"/>
        <w:tabs>
          <w:tab w:leader="none" w:pos="17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Subsidiaries as participating in the 423 Component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w:t>
      </w:r>
    </w:p>
    <w:p>
      <w:pPr>
        <w:spacing w:after="0" w:line="220"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eligibility,</w:t>
      </w:r>
    </w:p>
    <w:p>
      <w:pPr>
        <w:spacing w:after="0" w:line="192" w:lineRule="exact"/>
        <w:rPr>
          <w:rFonts w:ascii="Times New Roman" w:cs="Times New Roman" w:eastAsia="Times New Roman" w:hAnsi="Times New Roman"/>
          <w:sz w:val="18"/>
          <w:szCs w:val="18"/>
          <w:color w:val="auto"/>
        </w:rPr>
      </w:pPr>
    </w:p>
    <w:p>
      <w:pPr>
        <w:ind w:left="1700" w:hanging="626"/>
        <w:spacing w:after="0"/>
        <w:tabs>
          <w:tab w:leader="none" w:pos="170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adjudicate all disputed claims filed under the Plan, and</w:t>
      </w:r>
    </w:p>
    <w:p>
      <w:pPr>
        <w:spacing w:after="0" w:line="192" w:lineRule="exact"/>
        <w:rPr>
          <w:rFonts w:ascii="Times New Roman" w:cs="Times New Roman" w:eastAsia="Times New Roman" w:hAnsi="Times New Roman"/>
          <w:sz w:val="18"/>
          <w:szCs w:val="18"/>
          <w:color w:val="auto"/>
        </w:rPr>
      </w:pPr>
    </w:p>
    <w:p>
      <w:pPr>
        <w:jc w:val="both"/>
        <w:ind w:firstLine="1074"/>
        <w:spacing w:after="0" w:line="213" w:lineRule="exact"/>
        <w:tabs>
          <w:tab w:leader="none" w:pos="163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such procedures that it deems necessary or advisable for the administration of the Plan (including, without limitation, to adopt such procedures,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plans, and appendices to the enrollment agreement as are necessary or appropriate to permit the participation in the Plan by employees who are foreign nationals or employed outside the U.S., the terms of which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plans and appendices may take precedence over other provisions of this Plan, with the exception of Section 3 hereof, but unless otherwise superseded by the terms of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or appendix, the provisions of this Plan will govern the operation of such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or appendix). Unless otherwise determined by the Administrator, the Eligible Employees eligible to participate in each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will participate in a separate Offering under the 423 Component, or if the terms would not qualify under the 423 Component, in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in either case unless such designation would cause the 423 Component to violate the requirements of Code Section 423.</w:t>
      </w:r>
    </w:p>
    <w:p>
      <w:pPr>
        <w:spacing w:after="0" w:line="168" w:lineRule="exact"/>
        <w:rPr>
          <w:sz w:val="20"/>
          <w:szCs w:val="20"/>
          <w:color w:val="auto"/>
        </w:rPr>
      </w:pPr>
    </w:p>
    <w:p>
      <w:pPr>
        <w:jc w:val="both"/>
        <w:ind w:firstLine="1065"/>
        <w:spacing w:after="0" w:line="207" w:lineRule="exact"/>
        <w:rPr>
          <w:sz w:val="20"/>
          <w:szCs w:val="20"/>
          <w:color w:val="auto"/>
        </w:rPr>
      </w:pPr>
      <w:r>
        <w:rPr>
          <w:rFonts w:ascii="Times New Roman" w:cs="Times New Roman" w:eastAsia="Times New Roman" w:hAnsi="Times New Roman"/>
          <w:sz w:val="18"/>
          <w:szCs w:val="18"/>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2(f), the terms of an option granted under the Plan or an Offering to citizens or residents of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5" w:name="page246"/>
    <w:bookmarkEnd w:id="245"/>
    <w:p>
      <w:pPr>
        <w:ind w:left="1080" w:hanging="539"/>
        <w:spacing w:after="0"/>
        <w:tabs>
          <w:tab w:leader="none" w:pos="1080"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Eligibility</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Offering Periods</w:t>
      </w:r>
      <w:r>
        <w:rPr>
          <w:rFonts w:ascii="Times New Roman" w:cs="Times New Roman" w:eastAsia="Times New Roman" w:hAnsi="Times New Roman"/>
          <w:sz w:val="18"/>
          <w:szCs w:val="18"/>
          <w:color w:val="auto"/>
        </w:rPr>
        <w:t>. Any Eligible Employee on a given Enrollment Date will be eligible to participate in the Plan, subject to the requirements of Section 7.</w:t>
      </w:r>
    </w:p>
    <w:p>
      <w:pPr>
        <w:spacing w:after="0" w:line="130" w:lineRule="exact"/>
        <w:rPr>
          <w:sz w:val="20"/>
          <w:szCs w:val="20"/>
          <w:color w:val="auto"/>
        </w:rPr>
      </w:pPr>
    </w:p>
    <w:p>
      <w:pPr>
        <w:jc w:val="both"/>
        <w:ind w:firstLine="1065"/>
        <w:spacing w:after="0" w:line="212" w:lineRule="exact"/>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U.S. Employees</w:t>
      </w:r>
      <w:r>
        <w:rPr>
          <w:rFonts w:ascii="Times New Roman" w:cs="Times New Roman" w:eastAsia="Times New Roman" w:hAnsi="Times New Roman"/>
          <w:sz w:val="18"/>
          <w:szCs w:val="18"/>
          <w:color w:val="auto"/>
        </w:rPr>
        <w:t>. Eligible Employees who are citizens or residents of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an Eligible Employee may be excluded from participation in the Plan or an Offering if the Administrator has determined that participation of such Eligible Employee is not advisable or practicable.</w:t>
      </w:r>
    </w:p>
    <w:p>
      <w:pPr>
        <w:spacing w:after="0" w:line="168" w:lineRule="exact"/>
        <w:rPr>
          <w:sz w:val="20"/>
          <w:szCs w:val="20"/>
          <w:color w:val="auto"/>
        </w:rPr>
      </w:pPr>
    </w:p>
    <w:p>
      <w:pPr>
        <w:jc w:val="both"/>
        <w:ind w:firstLine="1065"/>
        <w:spacing w:after="0" w:line="206" w:lineRule="exact"/>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66" w:lineRule="exact"/>
        <w:rPr>
          <w:sz w:val="20"/>
          <w:szCs w:val="20"/>
          <w:color w:val="auto"/>
        </w:rPr>
      </w:pPr>
    </w:p>
    <w:p>
      <w:pPr>
        <w:jc w:val="both"/>
        <w:ind w:firstLine="541"/>
        <w:spacing w:after="0" w:line="210" w:lineRule="exact"/>
        <w:tabs>
          <w:tab w:leader="none" w:pos="110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Periods</w:t>
      </w:r>
      <w:r>
        <w:rPr>
          <w:rFonts w:ascii="Times New Roman" w:cs="Times New Roman" w:eastAsia="Times New Roman" w:hAnsi="Times New Roman"/>
          <w:sz w:val="18"/>
          <w:szCs w:val="18"/>
          <w:color w:val="auto"/>
        </w:rPr>
        <w:t>. The Plan will be implemented by Offering Periods as established by the Administrator from time to time. Offering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expire on the earliest to occur of (a) the completion of the purchase of shares on the last Exercise Date occurring within twenty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seven (27) months.</w:t>
      </w:r>
    </w:p>
    <w:p>
      <w:pPr>
        <w:spacing w:after="0" w:line="152" w:lineRule="exact"/>
        <w:rPr>
          <w:rFonts w:ascii="Times New Roman" w:cs="Times New Roman" w:eastAsia="Times New Roman" w:hAnsi="Times New Roman"/>
          <w:sz w:val="18"/>
          <w:szCs w:val="18"/>
          <w:color w:val="auto"/>
        </w:rPr>
      </w:pPr>
    </w:p>
    <w:p>
      <w:pPr>
        <w:jc w:val="both"/>
        <w:ind w:firstLine="541"/>
        <w:spacing w:after="0" w:line="242" w:lineRule="auto"/>
        <w:tabs>
          <w:tab w:leader="none" w:pos="138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An Eligible Employee may participate in the Plan pursuant to Section 5.1 by (a) submitting to the Company’s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administration office (or its designee), a properly completed subscription agreement authorizing Contributions in the form provided by the Administrator for such purpose (which may be similar to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or (b) following an electronic or other enrollment procedure determined by the Administrator, in either case, on or before a date determined by the Administrator prior to an applicable Enrollment Date.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46" w:name="page247"/>
    <w:bookmarkEnd w:id="246"/>
    <w:p>
      <w:pPr>
        <w:ind w:left="1080" w:hanging="539"/>
        <w:spacing w:after="0"/>
        <w:tabs>
          <w:tab w:leader="none" w:pos="1080"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Contributions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Contribution Amounts</w:t>
      </w:r>
      <w:r>
        <w:rPr>
          <w:rFonts w:ascii="Times New Roman" w:cs="Times New Roman" w:eastAsia="Times New Roman" w:hAnsi="Times New Roman"/>
          <w:sz w:val="18"/>
          <w:szCs w:val="18"/>
          <w:color w:val="auto"/>
        </w:rPr>
        <w:t xml:space="preserve"> .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unless and until determined otherwise by the Administrator, should a pay day occur on an Exercise Date, a Participant will have any Contributions made on such day applied to his or her account under the then-current Purchase Period or Offering Period (i.e., for which the Exercise Date occurs on such day).</w:t>
      </w:r>
    </w:p>
    <w:p>
      <w:pPr>
        <w:spacing w:after="0" w:line="167" w:lineRule="exact"/>
        <w:rPr>
          <w:sz w:val="20"/>
          <w:szCs w:val="20"/>
          <w:color w:val="auto"/>
        </w:rPr>
      </w:pPr>
    </w:p>
    <w:p>
      <w:pPr>
        <w:jc w:val="both"/>
        <w:ind w:firstLine="1065"/>
        <w:spacing w:after="0" w:line="24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Contribution Methods</w:t>
      </w:r>
      <w:r>
        <w:rPr>
          <w:rFonts w:ascii="Times New Roman" w:cs="Times New Roman" w:eastAsia="Times New Roman" w:hAnsi="Times New Roman"/>
          <w:sz w:val="18"/>
          <w:szCs w:val="18"/>
          <w:color w:val="auto"/>
        </w:rPr>
        <w:t>.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as provided in Section 13 hereof).</w:t>
      </w:r>
    </w:p>
    <w:p>
      <w:pPr>
        <w:spacing w:after="0" w:line="166" w:lineRule="exact"/>
        <w:rPr>
          <w:sz w:val="20"/>
          <w:szCs w:val="20"/>
          <w:color w:val="auto"/>
        </w:rPr>
      </w:pPr>
    </w:p>
    <w:p>
      <w:pPr>
        <w:jc w:val="both"/>
        <w:ind w:firstLine="1606"/>
        <w:spacing w:after="0" w:line="241" w:lineRule="auto"/>
        <w:tabs>
          <w:tab w:leader="none" w:pos="223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166" w:lineRule="exact"/>
        <w:rPr>
          <w:rFonts w:ascii="Times New Roman" w:cs="Times New Roman" w:eastAsia="Times New Roman" w:hAnsi="Times New Roman"/>
          <w:sz w:val="18"/>
          <w:szCs w:val="18"/>
          <w:color w:val="auto"/>
        </w:rPr>
      </w:pPr>
    </w:p>
    <w:p>
      <w:pPr>
        <w:ind w:firstLine="1606"/>
        <w:spacing w:after="0" w:line="260" w:lineRule="auto"/>
        <w:tabs>
          <w:tab w:leader="none" w:pos="229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49" w:lineRule="exact"/>
        <w:rPr>
          <w:sz w:val="20"/>
          <w:szCs w:val="20"/>
          <w:color w:val="auto"/>
        </w:rPr>
      </w:pPr>
    </w:p>
    <w:p>
      <w:pPr>
        <w:jc w:val="both"/>
        <w:ind w:firstLine="1065"/>
        <w:spacing w:after="0" w:line="23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Participant Changes to Contributions</w:t>
      </w:r>
      <w:r>
        <w:rPr>
          <w:rFonts w:ascii="Times New Roman" w:cs="Times New Roman" w:eastAsia="Times New Roman" w:hAnsi="Times New Roman"/>
          <w:sz w:val="18"/>
          <w:szCs w:val="18"/>
          <w:color w:val="auto"/>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71" w:lineRule="exact"/>
        <w:rPr>
          <w:sz w:val="20"/>
          <w:szCs w:val="20"/>
          <w:color w:val="auto"/>
        </w:rPr>
      </w:pPr>
    </w:p>
    <w:p>
      <w:pPr>
        <w:jc w:val="both"/>
        <w:ind w:firstLine="1606"/>
        <w:spacing w:after="0" w:line="236" w:lineRule="auto"/>
        <w:tabs>
          <w:tab w:leader="none" w:pos="2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47" w:name="page248"/>
    <w:bookmarkEnd w:id="247"/>
    <w:p>
      <w:pPr>
        <w:jc w:val="both"/>
        <w:ind w:firstLine="1606"/>
        <w:spacing w:after="0" w:line="245" w:lineRule="auto"/>
        <w:tabs>
          <w:tab w:leader="none" w:pos="226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64" w:lineRule="exact"/>
        <w:rPr>
          <w:rFonts w:ascii="Times New Roman" w:cs="Times New Roman" w:eastAsia="Times New Roman" w:hAnsi="Times New Roman"/>
          <w:sz w:val="18"/>
          <w:szCs w:val="18"/>
          <w:color w:val="auto"/>
        </w:rPr>
      </w:pPr>
    </w:p>
    <w:p>
      <w:pPr>
        <w:jc w:val="both"/>
        <w:ind w:firstLine="1606"/>
        <w:spacing w:after="0" w:line="246" w:lineRule="auto"/>
        <w:tabs>
          <w:tab w:leader="none" w:pos="229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60" w:lineRule="exact"/>
        <w:rPr>
          <w:sz w:val="20"/>
          <w:szCs w:val="20"/>
          <w:color w:val="auto"/>
        </w:rPr>
      </w:pPr>
    </w:p>
    <w:p>
      <w:pPr>
        <w:jc w:val="both"/>
        <w:ind w:firstLine="1065"/>
        <w:spacing w:after="0" w:line="23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Contribution Changes</w:t>
      </w:r>
      <w:r>
        <w:rPr>
          <w:rFonts w:ascii="Times New Roman" w:cs="Times New Roman" w:eastAsia="Times New Roman" w:hAnsi="Times New Roman"/>
          <w:sz w:val="18"/>
          <w:szCs w:val="18"/>
          <w:color w:val="auto"/>
        </w:rPr>
        <w:t>.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66" w:lineRule="exact"/>
        <w:rPr>
          <w:sz w:val="20"/>
          <w:szCs w:val="20"/>
          <w:color w:val="auto"/>
        </w:rPr>
      </w:pPr>
    </w:p>
    <w:p>
      <w:pPr>
        <w:jc w:val="both"/>
        <w:ind w:firstLine="1065"/>
        <w:spacing w:after="0" w:line="24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Cash Contributions</w:t>
      </w:r>
      <w:r>
        <w:rPr>
          <w:rFonts w:ascii="Times New Roman" w:cs="Times New Roman" w:eastAsia="Times New Roman" w:hAnsi="Times New Roman"/>
          <w:sz w:val="18"/>
          <w:szCs w:val="18"/>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w:t>
      </w:r>
    </w:p>
    <w:p>
      <w:pPr>
        <w:ind w:firstLine="9"/>
        <w:spacing w:after="0" w:line="220" w:lineRule="exact"/>
        <w:tabs>
          <w:tab w:leader="none" w:pos="26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determines that cash contributions are permissible for Participants participating in the 423 Component and/or (c) the Participants are participating in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w:t>
      </w:r>
    </w:p>
    <w:p>
      <w:pPr>
        <w:spacing w:after="0" w:line="148" w:lineRule="exact"/>
        <w:rPr>
          <w:sz w:val="20"/>
          <w:szCs w:val="20"/>
          <w:color w:val="auto"/>
        </w:rPr>
      </w:pPr>
    </w:p>
    <w:p>
      <w:pPr>
        <w:jc w:val="both"/>
        <w:ind w:firstLine="1065"/>
        <w:spacing w:after="0" w:line="206" w:lineRule="exact"/>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Tax Withholdings</w:t>
      </w:r>
      <w:r>
        <w:rPr>
          <w:rFonts w:ascii="Times New Roman" w:cs="Times New Roman" w:eastAsia="Times New Roman" w:hAnsi="Times New Roman"/>
          <w:sz w:val="18"/>
          <w:szCs w:val="18"/>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48" w:name="page249"/>
    <w:bookmarkEnd w:id="248"/>
    <w:p>
      <w:pPr>
        <w:jc w:val="both"/>
        <w:ind w:firstLine="1065"/>
        <w:spacing w:after="0" w:line="209" w:lineRule="exact"/>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Use of Funds</w:t>
      </w:r>
      <w:r>
        <w:rPr>
          <w:rFonts w:ascii="Times New Roman" w:cs="Times New Roman" w:eastAsia="Times New Roman" w:hAnsi="Times New Roman"/>
          <w:sz w:val="18"/>
          <w:szCs w:val="18"/>
          <w:color w:val="auto"/>
        </w:rPr>
        <w:t>. The Company may use all Contributions received or held by it under the Plan for any corporate purpose, and the Company will not be obligated to segregate such Contributions except under Offerings or for Participants in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2(f). Until shares of Common Stock are issued, Participants will have only the rights of an unsecured creditor with respect to such shares.</w:t>
      </w:r>
    </w:p>
    <w:p>
      <w:pPr>
        <w:spacing w:after="0" w:line="169" w:lineRule="exact"/>
        <w:rPr>
          <w:sz w:val="20"/>
          <w:szCs w:val="20"/>
          <w:color w:val="auto"/>
        </w:rPr>
      </w:pPr>
    </w:p>
    <w:p>
      <w:pPr>
        <w:jc w:val="both"/>
        <w:ind w:firstLine="541"/>
        <w:spacing w:after="0" w:line="242" w:lineRule="auto"/>
        <w:tabs>
          <w:tab w:leader="none" w:pos="123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Option</w:t>
      </w:r>
      <w:r>
        <w:rPr>
          <w:rFonts w:ascii="Times New Roman" w:cs="Times New Roman" w:eastAsia="Times New Roman" w:hAnsi="Times New Roman"/>
          <w:sz w:val="18"/>
          <w:szCs w:val="18"/>
          <w:color w:val="auto"/>
        </w:rPr>
        <w:t>. On the Enrollment Date of each Offering Period, each Eligible Employee participating in such Offering Period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64" w:lineRule="exact"/>
        <w:rPr>
          <w:sz w:val="20"/>
          <w:szCs w:val="20"/>
          <w:color w:val="auto"/>
        </w:rPr>
      </w:pPr>
    </w:p>
    <w:p>
      <w:pPr>
        <w:jc w:val="both"/>
        <w:ind w:firstLine="1065"/>
        <w:spacing w:after="0" w:line="209"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Certain Option Limits</w:t>
      </w:r>
      <w:r>
        <w:rPr>
          <w:rFonts w:ascii="Times New Roman" w:cs="Times New Roman" w:eastAsia="Times New Roman" w:hAnsi="Times New Roman"/>
          <w:sz w:val="18"/>
          <w:szCs w:val="18"/>
          <w:color w:val="auto"/>
        </w:rPr>
        <w:t>. In no event will an Eligible Employee be permitted to purchase during each Offering Period more than 1,250 shares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167"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Option Receipt</w:t>
      </w:r>
      <w:r>
        <w:rPr>
          <w:rFonts w:ascii="Times New Roman" w:cs="Times New Roman" w:eastAsia="Times New Roman" w:hAnsi="Times New Roman"/>
          <w:sz w:val="18"/>
          <w:szCs w:val="18"/>
          <w:color w:val="auto"/>
        </w:rPr>
        <w:t>. The Eligible Employee may accept the grant of an option under the Plan by electing to participate in the Plan in accordance with the requirements of Section 7.</w:t>
      </w:r>
    </w:p>
    <w:p>
      <w:pPr>
        <w:spacing w:after="0" w:line="145"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Exercise of the option will occur as provided in Section 10, unless the Participant’s participation has terminated pursuant to Sections 12 or 13. The option will expire on the last day of the Offering Period.</w:t>
      </w:r>
    </w:p>
    <w:p>
      <w:pPr>
        <w:spacing w:after="0" w:line="154" w:lineRule="exact"/>
        <w:rPr>
          <w:sz w:val="20"/>
          <w:szCs w:val="20"/>
          <w:color w:val="auto"/>
        </w:rPr>
      </w:pPr>
    </w:p>
    <w:p>
      <w:pPr>
        <w:ind w:left="1080" w:hanging="539"/>
        <w:spacing w:after="0"/>
        <w:tabs>
          <w:tab w:leader="none" w:pos="1080"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Exercise of Option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color w:val="auto"/>
        </w:rPr>
        <w:t>Automatic Exercise</w:t>
      </w:r>
      <w:r>
        <w:rPr>
          <w:rFonts w:ascii="Times New Roman" w:cs="Times New Roman" w:eastAsia="Times New Roman" w:hAnsi="Times New Roman"/>
          <w:sz w:val="18"/>
          <w:szCs w:val="18"/>
          <w:color w:val="auto"/>
        </w:rPr>
        <w:t>. 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304800</wp:posOffset>
            </wp:positionV>
            <wp:extent cx="135255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525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hanging="125"/>
        <w:spacing w:after="0"/>
        <w:tabs>
          <w:tab w:leader="none" w:pos="400" w:val="left"/>
        </w:tabs>
        <w:numPr>
          <w:ilvl w:val="0"/>
          <w:numId w:val="2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Post-transaction number; not to be adjusted in connection with the transaction.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49" w:name="page250"/>
    <w:bookmarkEnd w:id="249"/>
    <w:p>
      <w:pPr>
        <w:jc w:val="both"/>
        <w:ind w:firstLine="1065"/>
        <w:spacing w:after="0" w:line="249"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b w:val="1"/>
          <w:bCs w:val="1"/>
          <w:color w:val="auto"/>
        </w:rPr>
        <w:t>Pro Rata Allocations</w:t>
      </w:r>
      <w:r>
        <w:rPr>
          <w:rFonts w:ascii="Times New Roman" w:cs="Times New Roman" w:eastAsia="Times New Roman" w:hAnsi="Times New Roman"/>
          <w:sz w:val="17"/>
          <w:szCs w:val="17"/>
          <w:color w:val="auto"/>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w:t>
      </w:r>
    </w:p>
    <w:p>
      <w:pPr>
        <w:spacing w:after="0" w:line="4" w:lineRule="exact"/>
        <w:rPr>
          <w:sz w:val="20"/>
          <w:szCs w:val="20"/>
          <w:color w:val="auto"/>
        </w:rPr>
      </w:pPr>
    </w:p>
    <w:p>
      <w:pPr>
        <w:jc w:val="both"/>
        <w:ind w:firstLine="9"/>
        <w:spacing w:after="0" w:line="233" w:lineRule="auto"/>
        <w:tabs>
          <w:tab w:leader="none" w:pos="267"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70" w:lineRule="exact"/>
        <w:rPr>
          <w:rFonts w:ascii="Times New Roman" w:cs="Times New Roman" w:eastAsia="Times New Roman" w:hAnsi="Times New Roman"/>
          <w:sz w:val="18"/>
          <w:szCs w:val="18"/>
          <w:color w:val="auto"/>
        </w:rPr>
      </w:pPr>
    </w:p>
    <w:p>
      <w:pPr>
        <w:jc w:val="both"/>
        <w:ind w:firstLine="541"/>
        <w:spacing w:after="0" w:line="236" w:lineRule="auto"/>
        <w:tabs>
          <w:tab w:leader="none" w:pos="1202"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As soon as reasonably practicable after each Exercise Date on which a purchase of shares of Common Stock occurs,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76"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1"/>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Withdrawal</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color w:val="auto"/>
        </w:rPr>
        <w:t>Withdrawal Procedures</w:t>
      </w:r>
      <w:r>
        <w:rPr>
          <w:rFonts w:ascii="Times New Roman" w:cs="Times New Roman" w:eastAsia="Times New Roman" w:hAnsi="Times New Roman"/>
          <w:sz w:val="18"/>
          <w:szCs w:val="18"/>
          <w:color w:val="auto"/>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or</w:t>
      </w:r>
    </w:p>
    <w:p>
      <w:pPr>
        <w:jc w:val="both"/>
        <w:ind w:firstLine="9"/>
        <w:spacing w:after="0" w:line="207" w:lineRule="exact"/>
        <w:tabs>
          <w:tab w:leader="none" w:pos="25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enrolls in the Plan in accordance with the provisions of Section 7.</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50" w:name="page251"/>
    <w:bookmarkEnd w:id="250"/>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color w:val="auto"/>
        </w:rPr>
        <w:t>No Effect on Future Participation</w:t>
      </w:r>
      <w:r>
        <w:rPr>
          <w:rFonts w:ascii="Times New Roman" w:cs="Times New Roman" w:eastAsia="Times New Roman" w:hAnsi="Times New Roman"/>
          <w:sz w:val="18"/>
          <w:szCs w:val="18"/>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61" w:lineRule="exact"/>
        <w:rPr>
          <w:sz w:val="20"/>
          <w:szCs w:val="20"/>
          <w:color w:val="auto"/>
        </w:rPr>
      </w:pPr>
    </w:p>
    <w:p>
      <w:pPr>
        <w:jc w:val="both"/>
        <w:ind w:firstLine="541"/>
        <w:spacing w:after="0" w:line="206" w:lineRule="exact"/>
        <w:tabs>
          <w:tab w:leader="none" w:pos="127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r>
        <w:rPr>
          <w:rFonts w:ascii="Times New Roman" w:cs="Times New Roman" w:eastAsia="Times New Roman" w:hAnsi="Times New Roman"/>
          <w:sz w:val="18"/>
          <w:szCs w:val="18"/>
          <w:color w:val="auto"/>
        </w:rPr>
        <w:t>. Upon a Participant’s ceasing to be an Eligible Employee, for any reason, he or she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the exercise of the option will be qualified under the 423 Component only to the extent it complies with Code Section 423; further, no Participant will be deemed to switch from an Offering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423 Component to an Offering under the 423 Component or vice versa unless (and then only to the extent) such switch would not cause the 423 Component or any option thereunder to fail to comply with Code Section 423.</w:t>
      </w:r>
    </w:p>
    <w:p>
      <w:pPr>
        <w:spacing w:after="0" w:line="166" w:lineRule="exact"/>
        <w:rPr>
          <w:rFonts w:ascii="Times New Roman" w:cs="Times New Roman" w:eastAsia="Times New Roman" w:hAnsi="Times New Roman"/>
          <w:sz w:val="18"/>
          <w:szCs w:val="18"/>
          <w:color w:val="auto"/>
        </w:rPr>
      </w:pPr>
    </w:p>
    <w:p>
      <w:pPr>
        <w:jc w:val="both"/>
        <w:ind w:firstLine="541"/>
        <w:spacing w:after="0" w:line="235" w:lineRule="auto"/>
        <w:tabs>
          <w:tab w:leader="none" w:pos="120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 Plan is intended to be exempt from the application of Section 409A, and, to the extent not exempt, is intended to comply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51" w:name="page252"/>
    <w:bookmarkEnd w:id="251"/>
    <w:p>
      <w:pPr>
        <w:jc w:val="both"/>
        <w:ind w:firstLine="541"/>
        <w:spacing w:after="0" w:line="239" w:lineRule="auto"/>
        <w:tabs>
          <w:tab w:leader="none" w:pos="115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Stockholder</w:t>
      </w:r>
      <w:r>
        <w:rPr>
          <w:rFonts w:ascii="Times New Roman" w:cs="Times New Roman" w:eastAsia="Times New Roman" w:hAnsi="Times New Roman"/>
          <w:sz w:val="18"/>
          <w:szCs w:val="18"/>
          <w:color w:val="auto"/>
        </w:rPr>
        <w:t>. Until the shares of Common Stock are issued (as evidenced by the appropriate entry on the books of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68" w:lineRule="exact"/>
        <w:rPr>
          <w:rFonts w:ascii="Times New Roman" w:cs="Times New Roman" w:eastAsia="Times New Roman" w:hAnsi="Times New Roman"/>
          <w:sz w:val="18"/>
          <w:szCs w:val="18"/>
          <w:color w:val="auto"/>
        </w:rPr>
      </w:pPr>
    </w:p>
    <w:p>
      <w:pPr>
        <w:jc w:val="both"/>
        <w:ind w:firstLine="541"/>
        <w:spacing w:after="0" w:line="242" w:lineRule="auto"/>
        <w:tabs>
          <w:tab w:leader="none" w:pos="119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Neither Contributions credited to a Participant’s account nor any rights with regard to the exercise of an option or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71"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Adjustments, Dissolution, Liquidation, Merger or Change in Control</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07" w:lineRule="exact"/>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In the event that any dividend or other distribution (whether in the form of cash,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spin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66"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52" w:name="page253"/>
    <w:bookmarkEnd w:id="252"/>
    <w:p>
      <w:pPr>
        <w:jc w:val="both"/>
        <w:ind w:firstLine="1065"/>
        <w:spacing w:after="0" w:line="23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b w:val="1"/>
          <w:bCs w:val="1"/>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78" w:lineRule="exact"/>
        <w:rPr>
          <w:sz w:val="20"/>
          <w:szCs w:val="20"/>
          <w:color w:val="auto"/>
        </w:rPr>
      </w:pPr>
    </w:p>
    <w:p>
      <w:pPr>
        <w:ind w:left="1080" w:hanging="539"/>
        <w:spacing w:after="0"/>
        <w:tabs>
          <w:tab w:leader="none" w:pos="1080"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Amendment or Termination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b w:val="1"/>
          <w:bCs w:val="1"/>
          <w:color w:val="auto"/>
        </w:rPr>
        <w:t>Amendment, Suspension, Termination</w:t>
      </w:r>
      <w:r>
        <w:rPr>
          <w:rFonts w:ascii="Times New Roman" w:cs="Times New Roman" w:eastAsia="Times New Roman" w:hAnsi="Times New Roman"/>
          <w:sz w:val="18"/>
          <w:szCs w:val="18"/>
          <w:color w:val="auto"/>
        </w:rPr>
        <w:t>. The Administrator, in its sole discretion, may amend, alter,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67"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b w:val="1"/>
          <w:bCs w:val="1"/>
          <w:color w:val="auto"/>
        </w:rPr>
        <w:t>Certain Administrator Changes</w:t>
      </w:r>
      <w:r>
        <w:rPr>
          <w:rFonts w:ascii="Times New Roman" w:cs="Times New Roman" w:eastAsia="Times New Roman" w:hAnsi="Times New Roman"/>
          <w:sz w:val="18"/>
          <w:szCs w:val="18"/>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67"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b w:val="1"/>
          <w:bCs w:val="1"/>
          <w:color w:val="auto"/>
        </w:rPr>
        <w:t>Changes Due to Accounting Consequences</w:t>
      </w:r>
      <w:r>
        <w:rPr>
          <w:rFonts w:ascii="Times New Roman" w:cs="Times New Roman" w:eastAsia="Times New Roman" w:hAnsi="Times New Roman"/>
          <w:sz w:val="18"/>
          <w:szCs w:val="18"/>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62" w:lineRule="exact"/>
        <w:rPr>
          <w:sz w:val="20"/>
          <w:szCs w:val="20"/>
          <w:color w:val="auto"/>
        </w:rPr>
      </w:pPr>
    </w:p>
    <w:p>
      <w:pPr>
        <w:ind w:firstLine="1606"/>
        <w:spacing w:after="0" w:line="260" w:lineRule="auto"/>
        <w:tabs>
          <w:tab w:leader="none" w:pos="235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53" w:name="page254"/>
    <w:bookmarkEnd w:id="253"/>
    <w:p>
      <w:pPr>
        <w:ind w:firstLine="1606"/>
        <w:spacing w:after="0" w:line="259" w:lineRule="auto"/>
        <w:tabs>
          <w:tab w:leader="none" w:pos="244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Purchase Period or Offering Period including a Purchase Period or Offering Period underway at the time of the change in Purchase Price;</w:t>
      </w:r>
    </w:p>
    <w:p>
      <w:pPr>
        <w:spacing w:after="0" w:line="151" w:lineRule="exact"/>
        <w:rPr>
          <w:rFonts w:ascii="Times New Roman" w:cs="Times New Roman" w:eastAsia="Times New Roman" w:hAnsi="Times New Roman"/>
          <w:sz w:val="18"/>
          <w:szCs w:val="18"/>
          <w:color w:val="auto"/>
        </w:rPr>
      </w:pPr>
    </w:p>
    <w:p>
      <w:pPr>
        <w:ind w:firstLine="1606"/>
        <w:spacing w:after="0" w:line="260" w:lineRule="auto"/>
        <w:tabs>
          <w:tab w:leader="none" w:pos="232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Purchase Period or Offering Period by setting a New Exercise Date, including a Purchase Period or Offering Period underway at the time of the Administrator action;</w:t>
      </w:r>
    </w:p>
    <w:p>
      <w:pPr>
        <w:spacing w:after="0" w:line="150" w:lineRule="exact"/>
        <w:rPr>
          <w:rFonts w:ascii="Times New Roman" w:cs="Times New Roman" w:eastAsia="Times New Roman" w:hAnsi="Times New Roman"/>
          <w:sz w:val="18"/>
          <w:szCs w:val="18"/>
          <w:color w:val="auto"/>
        </w:rPr>
      </w:pPr>
    </w:p>
    <w:p>
      <w:pPr>
        <w:ind w:left="2260" w:hanging="654"/>
        <w:spacing w:after="0"/>
        <w:tabs>
          <w:tab w:leader="none" w:pos="22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percentage of Compensation a Participant may elect to set aside as Contributions; and</w:t>
      </w:r>
    </w:p>
    <w:p>
      <w:pPr>
        <w:spacing w:after="0" w:line="192" w:lineRule="exact"/>
        <w:rPr>
          <w:rFonts w:ascii="Times New Roman" w:cs="Times New Roman" w:eastAsia="Times New Roman" w:hAnsi="Times New Roman"/>
          <w:sz w:val="18"/>
          <w:szCs w:val="18"/>
          <w:color w:val="auto"/>
        </w:rPr>
      </w:pPr>
    </w:p>
    <w:p>
      <w:pPr>
        <w:ind w:left="2480" w:hanging="874"/>
        <w:spacing w:after="0"/>
        <w:tabs>
          <w:tab w:leader="none" w:pos="24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number of shares of Common Stock a Participant may purchase during any Purchase Period or</w:t>
      </w:r>
    </w:p>
    <w:p>
      <w:pPr>
        <w:spacing w:after="0" w:line="1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Period.</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Such modifications or amendments will not require stockholder approval or the consent of any Plan Participants.</w:t>
      </w:r>
    </w:p>
    <w:p>
      <w:pPr>
        <w:spacing w:after="0" w:line="199" w:lineRule="exact"/>
        <w:rPr>
          <w:sz w:val="20"/>
          <w:szCs w:val="20"/>
          <w:color w:val="auto"/>
        </w:rPr>
      </w:pPr>
    </w:p>
    <w:p>
      <w:pPr>
        <w:ind w:left="1080" w:hanging="539"/>
        <w:spacing w:after="0"/>
        <w:tabs>
          <w:tab w:leader="none" w:pos="1080"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Conditions Upon Issuance of Shares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b w:val="1"/>
          <w:bCs w:val="1"/>
          <w:color w:val="auto"/>
        </w:rPr>
        <w:t>Legal Compliance</w:t>
      </w:r>
      <w:r>
        <w:rPr>
          <w:rFonts w:ascii="Times New Roman" w:cs="Times New Roman" w:eastAsia="Times New Roman" w:hAnsi="Times New Roman"/>
          <w:sz w:val="18"/>
          <w:szCs w:val="18"/>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60"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b w:val="1"/>
          <w:bCs w:val="1"/>
          <w:color w:val="auto"/>
        </w:rPr>
        <w:t>Investment Representations</w:t>
      </w:r>
      <w:r>
        <w:rPr>
          <w:rFonts w:ascii="Times New Roman" w:cs="Times New Roman" w:eastAsia="Times New Roman" w:hAnsi="Times New Roman"/>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0" w:lineRule="exact"/>
        <w:rPr>
          <w:sz w:val="20"/>
          <w:szCs w:val="20"/>
          <w:color w:val="auto"/>
        </w:rPr>
      </w:pPr>
    </w:p>
    <w:p>
      <w:pPr>
        <w:jc w:val="both"/>
        <w:ind w:firstLine="541"/>
        <w:spacing w:after="0" w:line="247" w:lineRule="auto"/>
        <w:tabs>
          <w:tab w:leader="none" w:pos="129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The Plan will become effective upon the later to occur of (a) its adoption by the Board, (b) approval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or (c) the time as of immediately prior to the completion of the Merger. The Plan will continue in effect for a term of twenty (20) years, unless sooner terminated under Section 18.</w:t>
      </w:r>
    </w:p>
    <w:p>
      <w:pPr>
        <w:spacing w:after="0" w:line="159" w:lineRule="exact"/>
        <w:rPr>
          <w:rFonts w:ascii="Times New Roman" w:cs="Times New Roman" w:eastAsia="Times New Roman" w:hAnsi="Times New Roman"/>
          <w:sz w:val="18"/>
          <w:szCs w:val="18"/>
          <w:color w:val="auto"/>
        </w:rPr>
      </w:pPr>
    </w:p>
    <w:p>
      <w:pPr>
        <w:ind w:firstLine="541"/>
        <w:spacing w:after="0" w:line="263" w:lineRule="auto"/>
        <w:tabs>
          <w:tab w:leader="none" w:pos="1253"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adopted by the Board. Such stockholder approval will be obtained in the manner and to the degree required under Applicable Laws.</w:t>
      </w:r>
    </w:p>
    <w:p>
      <w:pPr>
        <w:spacing w:after="0" w:line="145" w:lineRule="exact"/>
        <w:rPr>
          <w:rFonts w:ascii="Times New Roman" w:cs="Times New Roman" w:eastAsia="Times New Roman" w:hAnsi="Times New Roman"/>
          <w:sz w:val="18"/>
          <w:szCs w:val="18"/>
          <w:color w:val="auto"/>
        </w:rPr>
      </w:pPr>
    </w:p>
    <w:p>
      <w:pPr>
        <w:jc w:val="both"/>
        <w:ind w:firstLine="541"/>
        <w:spacing w:after="0" w:line="221" w:lineRule="exact"/>
        <w:tabs>
          <w:tab w:leader="none" w:pos="139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No interest will accrue on the Contributions of a participant in the Plan, except as may be required by Applicable Laws,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Company, and if so required by the laws of a particular jurisdiction, will apply, with respect to Offerings under the 423 Component, to all Participants in the relevant Offering, except to the extent otherwise permitted by U.S. Treasury Regulations Section 1.423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2(f).</w:t>
      </w:r>
    </w:p>
    <w:p>
      <w:pPr>
        <w:spacing w:after="0" w:line="147" w:lineRule="exact"/>
        <w:rPr>
          <w:rFonts w:ascii="Times New Roman" w:cs="Times New Roman" w:eastAsia="Times New Roman" w:hAnsi="Times New Roman"/>
          <w:sz w:val="18"/>
          <w:szCs w:val="18"/>
          <w:color w:val="auto"/>
        </w:rPr>
      </w:pPr>
    </w:p>
    <w:p>
      <w:pPr>
        <w:jc w:val="both"/>
        <w:ind w:firstLine="541"/>
        <w:spacing w:after="0" w:line="242" w:lineRule="auto"/>
        <w:tabs>
          <w:tab w:leader="none" w:pos="136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Effect on Employment</w:t>
      </w:r>
      <w:r>
        <w:rPr>
          <w:rFonts w:ascii="Times New Roman" w:cs="Times New Roman" w:eastAsia="Times New Roman" w:hAnsi="Times New Roman"/>
          <w:sz w:val="18"/>
          <w:szCs w:val="18"/>
          <w:color w:val="auto"/>
        </w:rPr>
        <w:t>. Neither the Plan nor any option under the Plan will confer upon any Participant any right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4" w:name="page255"/>
    <w:bookmarkEnd w:id="254"/>
    <w:p>
      <w:pPr>
        <w:jc w:val="both"/>
        <w:ind w:firstLine="541"/>
        <w:spacing w:after="0" w:line="247" w:lineRule="auto"/>
        <w:tabs>
          <w:tab w:leader="none" w:pos="13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Individual accounts will be maintained for each Participant in the Plan. Statements of account will be given to participating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Employees at least annually, which statements will set forth the amounts of Contributions, the Purchase Price, the number of shares of Common Stock purchased and the remaining cash balance, if any.</w:t>
      </w:r>
    </w:p>
    <w:p>
      <w:pPr>
        <w:spacing w:after="0" w:line="160" w:lineRule="exact"/>
        <w:rPr>
          <w:rFonts w:ascii="Times New Roman" w:cs="Times New Roman" w:eastAsia="Times New Roman" w:hAnsi="Times New Roman"/>
          <w:sz w:val="18"/>
          <w:szCs w:val="18"/>
          <w:color w:val="auto"/>
        </w:rPr>
      </w:pPr>
    </w:p>
    <w:p>
      <w:pPr>
        <w:jc w:val="both"/>
        <w:ind w:firstLine="541"/>
        <w:spacing w:after="0" w:line="247" w:lineRule="auto"/>
        <w:tabs>
          <w:tab w:leader="none" w:pos="123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when received in the form and manner specified by the Company at the location, or by the person, designated by the Company for the receipt thereof.</w:t>
      </w:r>
    </w:p>
    <w:p>
      <w:pPr>
        <w:spacing w:after="0" w:line="167" w:lineRule="exact"/>
        <w:rPr>
          <w:rFonts w:ascii="Times New Roman" w:cs="Times New Roman" w:eastAsia="Times New Roman" w:hAnsi="Times New Roman"/>
          <w:sz w:val="18"/>
          <w:szCs w:val="18"/>
          <w:color w:val="auto"/>
        </w:rPr>
      </w:pPr>
    </w:p>
    <w:p>
      <w:pPr>
        <w:ind w:left="1080" w:hanging="539"/>
        <w:spacing w:after="0"/>
        <w:tabs>
          <w:tab w:leader="none" w:pos="1080"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Legal Construction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60" w:lineRule="exact"/>
        <w:rPr>
          <w:sz w:val="20"/>
          <w:szCs w:val="20"/>
          <w:color w:val="auto"/>
        </w:rPr>
      </w:pPr>
    </w:p>
    <w:p>
      <w:pPr>
        <w:jc w:val="both"/>
        <w:ind w:firstLine="1065"/>
        <w:spacing w:after="0" w:line="263"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Plan will be governed by, and construed in accordance with, the laws of the State of Delaware, but without regard to its conflict of law provisions.</w:t>
      </w:r>
    </w:p>
    <w:p>
      <w:pPr>
        <w:spacing w:after="0" w:line="145" w:lineRule="exact"/>
        <w:rPr>
          <w:sz w:val="20"/>
          <w:szCs w:val="20"/>
          <w:color w:val="auto"/>
        </w:rPr>
      </w:pPr>
    </w:p>
    <w:p>
      <w:pPr>
        <w:ind w:left="1080"/>
        <w:spacing w:after="0"/>
        <w:tabs>
          <w:tab w:leader="none" w:pos="176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7"/>
          <w:szCs w:val="17"/>
          <w:b w:val="1"/>
          <w:bCs w:val="1"/>
          <w:color w:val="auto"/>
        </w:rPr>
        <w:t>Headings</w:t>
      </w:r>
      <w:r>
        <w:rPr>
          <w:rFonts w:ascii="Times New Roman" w:cs="Times New Roman" w:eastAsia="Times New Roman" w:hAnsi="Times New Roman"/>
          <w:sz w:val="17"/>
          <w:szCs w:val="17"/>
          <w:color w:val="auto"/>
        </w:rPr>
        <w:t>. Headings are provided herein for convenience only, and will not serve as a basis for interpretation of the Plan.</w:t>
      </w:r>
    </w:p>
    <w:p>
      <w:pPr>
        <w:spacing w:after="0" w:line="192" w:lineRule="exact"/>
        <w:rPr>
          <w:sz w:val="20"/>
          <w:szCs w:val="20"/>
          <w:color w:val="auto"/>
        </w:rPr>
      </w:pPr>
    </w:p>
    <w:p>
      <w:pPr>
        <w:ind w:left="1420" w:hanging="879"/>
        <w:spacing w:after="0"/>
        <w:tabs>
          <w:tab w:leader="none" w:pos="142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Applicable Laws</w:t>
      </w:r>
      <w:r>
        <w:rPr>
          <w:rFonts w:ascii="Times New Roman" w:cs="Times New Roman" w:eastAsia="Times New Roman" w:hAnsi="Times New Roman"/>
          <w:sz w:val="18"/>
          <w:szCs w:val="18"/>
          <w:color w:val="auto"/>
        </w:rPr>
        <w:t>.  The terms of this Plan are intended to comply with all Applicable Laws and will be construed</w:t>
      </w:r>
    </w:p>
    <w:p>
      <w:pPr>
        <w:spacing w:after="0" w:line="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w:t>
      </w:r>
    </w:p>
    <w:p>
      <w:pPr>
        <w:spacing w:after="0" w:line="170" w:lineRule="exact"/>
        <w:rPr>
          <w:rFonts w:ascii="Times New Roman" w:cs="Times New Roman" w:eastAsia="Times New Roman" w:hAnsi="Times New Roman"/>
          <w:sz w:val="18"/>
          <w:szCs w:val="18"/>
          <w:color w:val="auto"/>
        </w:rPr>
      </w:pPr>
    </w:p>
    <w:p>
      <w:pPr>
        <w:jc w:val="both"/>
        <w:ind w:firstLine="541"/>
        <w:spacing w:after="0" w:line="207" w:lineRule="exact"/>
        <w:tabs>
          <w:tab w:leader="none" w:pos="137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Automatic Transfer to Low Price Offering Period</w:t>
      </w:r>
      <w:r>
        <w:rPr>
          <w:rFonts w:ascii="Times New Roman" w:cs="Times New Roman" w:eastAsia="Times New Roman" w:hAnsi="Times New Roman"/>
          <w:sz w:val="18"/>
          <w:szCs w:val="18"/>
          <w:color w:val="auto"/>
        </w:rPr>
        <w:t>. Unless determined otherwise by the Administrator, this Section 28 applies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enrolled in the immediately following Offering Period as of the first day thereof.</w:t>
      </w:r>
    </w:p>
    <w:p>
      <w:pPr>
        <w:spacing w:after="0" w:line="169" w:lineRule="exact"/>
        <w:rPr>
          <w:sz w:val="20"/>
          <w:szCs w:val="20"/>
          <w:color w:val="auto"/>
        </w:rPr>
      </w:pPr>
    </w:p>
    <w:p>
      <w:pPr>
        <w:ind w:left="5060"/>
        <w:spacing w:after="0"/>
        <w:tabs>
          <w:tab w:leader="none" w:pos="5580" w:val="left"/>
          <w:tab w:leader="none" w:pos="6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100" w:type="dxa"/>
            <w:vAlign w:val="bottom"/>
            <w:gridSpan w:val="2"/>
          </w:tcPr>
          <w:p>
            <w:pPr>
              <w:jc w:val="center"/>
              <w:ind w:right="5106"/>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20"/>
        </w:trPr>
        <w:tc>
          <w:tcPr>
            <w:tcW w:w="3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22"/>
        </w:trPr>
        <w:tc>
          <w:tcPr>
            <w:tcW w:w="3380" w:type="dxa"/>
            <w:vAlign w:val="bottom"/>
          </w:tcPr>
          <w:p>
            <w:pPr>
              <w:spacing w:after="0"/>
              <w:rPr>
                <w:sz w:val="24"/>
                <w:szCs w:val="24"/>
                <w:color w:val="auto"/>
              </w:rPr>
            </w:pPr>
          </w:p>
        </w:tc>
        <w:tc>
          <w:tcPr>
            <w:tcW w:w="7900" w:type="dxa"/>
            <w:vAlign w:val="bottom"/>
            <w:gridSpan w:val="3"/>
          </w:tcPr>
          <w:p>
            <w:pPr>
              <w:jc w:val="center"/>
              <w:ind w:right="3286"/>
              <w:spacing w:after="0"/>
              <w:rPr>
                <w:sz w:val="20"/>
                <w:szCs w:val="20"/>
                <w:color w:val="auto"/>
              </w:rPr>
            </w:pPr>
            <w:r>
              <w:rPr>
                <w:rFonts w:ascii="Times New Roman" w:cs="Times New Roman" w:eastAsia="Times New Roman" w:hAnsi="Times New Roman"/>
                <w:sz w:val="18"/>
                <w:szCs w:val="18"/>
                <w:b w:val="1"/>
                <w:bCs w:val="1"/>
                <w:color w:val="auto"/>
                <w:w w:val="98"/>
              </w:rPr>
              <w:t>NAUTILUS BIOTECHNOLOGY, INC.</w:t>
            </w:r>
          </w:p>
        </w:tc>
      </w:tr>
      <w:tr>
        <w:trPr>
          <w:trHeight w:val="399"/>
        </w:trPr>
        <w:tc>
          <w:tcPr>
            <w:tcW w:w="3380" w:type="dxa"/>
            <w:vAlign w:val="bottom"/>
          </w:tcPr>
          <w:p>
            <w:pPr>
              <w:spacing w:after="0"/>
              <w:rPr>
                <w:sz w:val="24"/>
                <w:szCs w:val="24"/>
                <w:color w:val="auto"/>
              </w:rPr>
            </w:pPr>
          </w:p>
        </w:tc>
        <w:tc>
          <w:tcPr>
            <w:tcW w:w="7900" w:type="dxa"/>
            <w:vAlign w:val="bottom"/>
            <w:gridSpan w:val="3"/>
          </w:tcPr>
          <w:p>
            <w:pPr>
              <w:jc w:val="center"/>
              <w:ind w:right="3286"/>
              <w:spacing w:after="0"/>
              <w:rPr>
                <w:sz w:val="20"/>
                <w:szCs w:val="20"/>
                <w:color w:val="auto"/>
              </w:rPr>
            </w:pPr>
            <w:r>
              <w:rPr>
                <w:rFonts w:ascii="Times New Roman" w:cs="Times New Roman" w:eastAsia="Times New Roman" w:hAnsi="Times New Roman"/>
                <w:sz w:val="18"/>
                <w:szCs w:val="18"/>
                <w:b w:val="1"/>
                <w:bCs w:val="1"/>
                <w:color w:val="auto"/>
                <w:w w:val="98"/>
              </w:rPr>
              <w:t>2021 EMPLOYEE STOCK PURCHASE PLAN</w:t>
            </w:r>
          </w:p>
        </w:tc>
      </w:tr>
      <w:tr>
        <w:trPr>
          <w:trHeight w:val="399"/>
        </w:trPr>
        <w:tc>
          <w:tcPr>
            <w:tcW w:w="3380" w:type="dxa"/>
            <w:vAlign w:val="bottom"/>
          </w:tcPr>
          <w:p>
            <w:pPr>
              <w:spacing w:after="0"/>
              <w:rPr>
                <w:sz w:val="24"/>
                <w:szCs w:val="24"/>
                <w:color w:val="auto"/>
              </w:rPr>
            </w:pPr>
          </w:p>
        </w:tc>
        <w:tc>
          <w:tcPr>
            <w:tcW w:w="7900" w:type="dxa"/>
            <w:vAlign w:val="bottom"/>
            <w:gridSpan w:val="3"/>
          </w:tcPr>
          <w:p>
            <w:pPr>
              <w:jc w:val="center"/>
              <w:ind w:right="3286"/>
              <w:spacing w:after="0"/>
              <w:rPr>
                <w:sz w:val="20"/>
                <w:szCs w:val="20"/>
                <w:color w:val="auto"/>
              </w:rPr>
            </w:pPr>
            <w:r>
              <w:rPr>
                <w:rFonts w:ascii="Times New Roman" w:cs="Times New Roman" w:eastAsia="Times New Roman" w:hAnsi="Times New Roman"/>
                <w:sz w:val="18"/>
                <w:szCs w:val="18"/>
                <w:b w:val="1"/>
                <w:bCs w:val="1"/>
                <w:color w:val="auto"/>
                <w:w w:val="98"/>
              </w:rPr>
              <w:t>SUBSCRIPTION AGREEMENT</w:t>
            </w:r>
          </w:p>
        </w:tc>
      </w:tr>
      <w:tr>
        <w:trPr>
          <w:trHeight w:val="367"/>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_____ Original Application</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80" w:type="dxa"/>
            <w:vAlign w:val="bottom"/>
          </w:tcPr>
          <w:p>
            <w:pPr>
              <w:ind w:left="2980"/>
              <w:spacing w:after="0"/>
              <w:rPr>
                <w:sz w:val="20"/>
                <w:szCs w:val="20"/>
                <w:color w:val="auto"/>
              </w:rPr>
            </w:pPr>
            <w:r>
              <w:rPr>
                <w:rFonts w:ascii="Times New Roman" w:cs="Times New Roman" w:eastAsia="Times New Roman" w:hAnsi="Times New Roman"/>
                <w:sz w:val="15"/>
                <w:szCs w:val="15"/>
                <w:color w:val="auto"/>
                <w:w w:val="99"/>
              </w:rPr>
              <w:t>Offering Date: _________________</w:t>
            </w:r>
          </w:p>
        </w:tc>
      </w:tr>
      <w:tr>
        <w:trPr>
          <w:trHeight w:val="40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_____ Change in Payroll Deduction Rate</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pacing w:after="0" w:line="165" w:lineRule="exact"/>
        <w:rPr>
          <w:sz w:val="20"/>
          <w:szCs w:val="20"/>
          <w:color w:val="auto"/>
        </w:rPr>
      </w:pPr>
    </w:p>
    <w:p>
      <w:pPr>
        <w:jc w:val="both"/>
        <w:ind w:firstLine="541"/>
        <w:spacing w:after="0" w:line="247" w:lineRule="auto"/>
        <w:tabs>
          <w:tab w:leader="none" w:pos="111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 hereby elects to participate in the Nautilus Biotechnology, Inc. 2021 Employee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61" w:lineRule="exact"/>
        <w:rPr>
          <w:rFonts w:ascii="Times New Roman" w:cs="Times New Roman" w:eastAsia="Times New Roman" w:hAnsi="Times New Roman"/>
          <w:sz w:val="18"/>
          <w:szCs w:val="18"/>
          <w:color w:val="auto"/>
        </w:rPr>
      </w:pPr>
    </w:p>
    <w:p>
      <w:pPr>
        <w:jc w:val="both"/>
        <w:ind w:firstLine="541"/>
        <w:spacing w:after="0" w:line="239" w:lineRule="auto"/>
        <w:tabs>
          <w:tab w:leader="none" w:pos="113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67" w:lineRule="exact"/>
        <w:rPr>
          <w:rFonts w:ascii="Times New Roman" w:cs="Times New Roman" w:eastAsia="Times New Roman" w:hAnsi="Times New Roman"/>
          <w:sz w:val="18"/>
          <w:szCs w:val="18"/>
          <w:color w:val="auto"/>
        </w:rPr>
      </w:pPr>
    </w:p>
    <w:p>
      <w:pPr>
        <w:jc w:val="both"/>
        <w:ind w:firstLine="541"/>
        <w:spacing w:after="0" w:line="241" w:lineRule="auto"/>
        <w:tabs>
          <w:tab w:leader="none" w:pos="120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66" w:lineRule="exact"/>
        <w:rPr>
          <w:rFonts w:ascii="Times New Roman" w:cs="Times New Roman" w:eastAsia="Times New Roman" w:hAnsi="Times New Roman"/>
          <w:sz w:val="18"/>
          <w:szCs w:val="18"/>
          <w:color w:val="auto"/>
        </w:rPr>
      </w:pPr>
    </w:p>
    <w:p>
      <w:pPr>
        <w:ind w:firstLine="541"/>
        <w:spacing w:after="0" w:line="260" w:lineRule="auto"/>
        <w:tabs>
          <w:tab w:leader="none" w:pos="1147"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 copy of the complete Plan and its accompanying prospectus. I understand that my participation in the Plan is in all respects subject to the terms of the Plan.</w:t>
      </w:r>
    </w:p>
    <w:p>
      <w:pPr>
        <w:spacing w:after="0" w:line="150" w:lineRule="exact"/>
        <w:rPr>
          <w:rFonts w:ascii="Times New Roman" w:cs="Times New Roman" w:eastAsia="Times New Roman" w:hAnsi="Times New Roman"/>
          <w:sz w:val="18"/>
          <w:szCs w:val="18"/>
          <w:color w:val="auto"/>
        </w:rPr>
      </w:pPr>
    </w:p>
    <w:p>
      <w:pPr>
        <w:ind w:firstLine="541"/>
        <w:spacing w:after="0" w:line="260" w:lineRule="auto"/>
        <w:tabs>
          <w:tab w:leader="none" w:pos="114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purchased for me under the Plan should be issued in the name(s) of _____________ (Eligible Employee or Eligible Employee and spouse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7157085" cy="139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256" w:name="page257"/>
    <w:bookmarkEnd w:id="256"/>
    <w:p>
      <w:pPr>
        <w:jc w:val="both"/>
        <w:ind w:firstLine="541"/>
        <w:spacing w:after="0" w:line="249" w:lineRule="auto"/>
        <w:tabs>
          <w:tab w:leader="none" w:pos="1136"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cs="Times New Roman" w:eastAsia="Times New Roman" w:hAnsi="Times New Roman"/>
          <w:sz w:val="17"/>
          <w:szCs w:val="17"/>
          <w:b w:val="1"/>
          <w:bCs w:val="1"/>
          <w:color w:val="auto"/>
        </w:rPr>
        <w:t>I hereby agree to notify the Company in writing within thirty (30) days after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 date of any disposition of my shares and I will make adequate provision for federal, state or other tax withholding obligations, if any, which arise upon the disposition of the Common Stock</w:t>
      </w:r>
      <w:r>
        <w:rPr>
          <w:rFonts w:ascii="Times New Roman" w:cs="Times New Roman" w:eastAsia="Times New Roman" w:hAnsi="Times New Roman"/>
          <w:sz w:val="17"/>
          <w:szCs w:val="17"/>
          <w:color w:val="auto"/>
        </w:rPr>
        <w:t>. The Company may, but will not be obligated to, withhold from my compensation the amount necessary to meet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161" w:lineRule="exact"/>
        <w:rPr>
          <w:rFonts w:ascii="Times New Roman" w:cs="Times New Roman" w:eastAsia="Times New Roman" w:hAnsi="Times New Roman"/>
          <w:sz w:val="17"/>
          <w:szCs w:val="17"/>
          <w:color w:val="auto"/>
        </w:rPr>
      </w:pPr>
    </w:p>
    <w:p>
      <w:pPr>
        <w:jc w:val="both"/>
        <w:ind w:firstLine="541"/>
        <w:spacing w:after="0" w:line="209" w:lineRule="exact"/>
        <w:tabs>
          <w:tab w:leader="none" w:pos="129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cs="Times New Roman" w:eastAsia="Times New Roman" w:hAnsi="Times New Roman"/>
          <w:sz w:val="18"/>
          <w:szCs w:val="18"/>
          <w:b w:val="1"/>
          <w:bCs w:val="1"/>
          <w:color w:val="auto"/>
        </w:rPr>
        <w:t>Tax</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Related Items</w:t>
      </w:r>
      <w:r>
        <w:rPr>
          <w:rFonts w:ascii="Times New Roman" w:cs="Times New Roman" w:eastAsia="Times New Roman" w:hAnsi="Times New Roman"/>
          <w:sz w:val="18"/>
          <w:szCs w:val="18"/>
          <w:color w:val="auto"/>
        </w:rPr>
        <w:t>”), the ultimate liability for all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in connection with any aspect of the options under the Plan and (b) do not commit to and are under no obligation to structure the terms of the grant of options or any aspect of my participation in the Plan to reduce or eliminate my liability for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in more than one jurisdiction.</w:t>
      </w:r>
    </w:p>
    <w:p>
      <w:pPr>
        <w:spacing w:after="0" w:line="156" w:lineRule="exact"/>
        <w:rPr>
          <w:sz w:val="20"/>
          <w:szCs w:val="20"/>
          <w:color w:val="auto"/>
        </w:rPr>
      </w:pPr>
    </w:p>
    <w:p>
      <w:pPr>
        <w:jc w:val="both"/>
        <w:ind w:firstLine="532"/>
        <w:spacing w:after="0" w:line="212" w:lineRule="exact"/>
        <w:rPr>
          <w:sz w:val="20"/>
          <w:szCs w:val="20"/>
          <w:color w:val="auto"/>
        </w:rPr>
      </w:pPr>
      <w:r>
        <w:rPr>
          <w:rFonts w:ascii="Times New Roman" w:cs="Times New Roman" w:eastAsia="Times New Roman" w:hAnsi="Times New Roman"/>
          <w:sz w:val="18"/>
          <w:szCs w:val="18"/>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In this regard, I authorize the Company and/or the applicable Designated Company, or their respective agents, at their discretion, to satisfy any applicable withholding obligations with regard to all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by considering applicable maximum withholding rates, in which case I will receive a refund of any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withheld amount in cash and will have no entitlement to the Common Stock equivalent.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7" w:name="page258"/>
    <w:bookmarkEnd w:id="257"/>
    <w:p>
      <w:pPr>
        <w:jc w:val="both"/>
        <w:ind w:firstLine="532"/>
        <w:spacing w:after="0" w:line="222" w:lineRule="exact"/>
        <w:rPr>
          <w:sz w:val="20"/>
          <w:szCs w:val="20"/>
          <w:color w:val="auto"/>
        </w:rPr>
      </w:pPr>
      <w:r>
        <w:rPr>
          <w:rFonts w:ascii="Times New Roman" w:cs="Times New Roman" w:eastAsia="Times New Roman" w:hAnsi="Times New Roman"/>
          <w:sz w:val="18"/>
          <w:szCs w:val="18"/>
          <w:color w:val="auto"/>
        </w:rPr>
        <w:t>Finally, I agree to pay to the Company or the applicable Designated Company any amount of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Items.</w:t>
      </w:r>
    </w:p>
    <w:p>
      <w:pPr>
        <w:spacing w:after="0" w:line="151" w:lineRule="exact"/>
        <w:rPr>
          <w:sz w:val="20"/>
          <w:szCs w:val="20"/>
          <w:color w:val="auto"/>
        </w:rPr>
      </w:pPr>
    </w:p>
    <w:p>
      <w:pPr>
        <w:ind w:left="1120" w:hanging="579"/>
        <w:spacing w:after="0"/>
        <w:tabs>
          <w:tab w:leader="none" w:pos="11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electing to participate in the Plan, I acknowledge, understand and agree that:</w:t>
      </w:r>
    </w:p>
    <w:p>
      <w:pPr>
        <w:spacing w:after="0" w:line="192" w:lineRule="exact"/>
        <w:rPr>
          <w:rFonts w:ascii="Times New Roman" w:cs="Times New Roman" w:eastAsia="Times New Roman" w:hAnsi="Times New Roman"/>
          <w:sz w:val="18"/>
          <w:szCs w:val="18"/>
          <w:color w:val="auto"/>
        </w:rPr>
      </w:pPr>
    </w:p>
    <w:p>
      <w:pPr>
        <w:ind w:left="80" w:right="20" w:firstLine="994"/>
        <w:spacing w:after="0" w:line="260" w:lineRule="auto"/>
        <w:tabs>
          <w:tab w:leader="none" w:pos="189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to the extent provided for in the Plan;</w:t>
      </w:r>
    </w:p>
    <w:p>
      <w:pPr>
        <w:spacing w:after="0" w:line="150"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under the Plan, if applicable, will be at the sole discretion of the Company;</w:t>
      </w:r>
    </w:p>
    <w:p>
      <w:pPr>
        <w:spacing w:after="0" w:line="192" w:lineRule="exact"/>
        <w:rPr>
          <w:rFonts w:ascii="Times New Roman" w:cs="Times New Roman" w:eastAsia="Times New Roman" w:hAnsi="Times New Roman"/>
          <w:sz w:val="18"/>
          <w:szCs w:val="18"/>
          <w:color w:val="auto"/>
        </w:rPr>
      </w:pPr>
    </w:p>
    <w:p>
      <w:pPr>
        <w:jc w:val="both"/>
        <w:ind w:left="80" w:firstLine="994"/>
        <w:spacing w:after="0" w:line="246" w:lineRule="auto"/>
        <w:tabs>
          <w:tab w:leader="none" w:pos="172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62"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voluntarily participating in the Plan;</w:t>
      </w:r>
    </w:p>
    <w:p>
      <w:pPr>
        <w:spacing w:after="0" w:line="192" w:lineRule="exact"/>
        <w:rPr>
          <w:rFonts w:ascii="Times New Roman" w:cs="Times New Roman" w:eastAsia="Times New Roman" w:hAnsi="Times New Roman"/>
          <w:sz w:val="18"/>
          <w:szCs w:val="18"/>
          <w:color w:val="auto"/>
        </w:rPr>
      </w:pPr>
    </w:p>
    <w:p>
      <w:pPr>
        <w:ind w:left="80" w:firstLine="994"/>
        <w:spacing w:after="0" w:line="260" w:lineRule="auto"/>
        <w:tabs>
          <w:tab w:leader="none" w:pos="1774"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under the Plan and the shares of Common Stock underlying such options, and the income and value of same, are not intended to replace any pension rights or compensation;</w:t>
      </w:r>
    </w:p>
    <w:p>
      <w:pPr>
        <w:spacing w:after="0" w:line="150" w:lineRule="exact"/>
        <w:rPr>
          <w:rFonts w:ascii="Times New Roman" w:cs="Times New Roman" w:eastAsia="Times New Roman" w:hAnsi="Times New Roman"/>
          <w:sz w:val="18"/>
          <w:szCs w:val="18"/>
          <w:color w:val="auto"/>
        </w:rPr>
      </w:pPr>
    </w:p>
    <w:p>
      <w:pPr>
        <w:jc w:val="both"/>
        <w:ind w:left="80" w:firstLine="994"/>
        <w:spacing w:after="0" w:line="220" w:lineRule="exact"/>
        <w:tabs>
          <w:tab w:leader="none" w:pos="1762"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payments, bonuses,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awards, pension or retirement benefits or similar payments;</w:t>
      </w:r>
    </w:p>
    <w:p>
      <w:pPr>
        <w:spacing w:after="0" w:line="150" w:lineRule="exact"/>
        <w:rPr>
          <w:rFonts w:ascii="Times New Roman" w:cs="Times New Roman" w:eastAsia="Times New Roman" w:hAnsi="Times New Roman"/>
          <w:sz w:val="18"/>
          <w:szCs w:val="18"/>
          <w:color w:val="auto"/>
        </w:rPr>
      </w:pPr>
    </w:p>
    <w:p>
      <w:pPr>
        <w:ind w:left="1860" w:hanging="786"/>
        <w:spacing w:after="0"/>
        <w:tabs>
          <w:tab w:leader="none" w:pos="18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of Common Stock offered under the Plan is unknown, indeterminable and cannot be predicted with</w:t>
      </w:r>
    </w:p>
    <w:p>
      <w:pPr>
        <w:spacing w:after="0" w:line="12"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172" w:lineRule="exact"/>
        <w:rPr>
          <w:rFonts w:ascii="Times New Roman" w:cs="Times New Roman" w:eastAsia="Times New Roman" w:hAnsi="Times New Roman"/>
          <w:sz w:val="18"/>
          <w:szCs w:val="18"/>
          <w:color w:val="auto"/>
        </w:rPr>
      </w:pPr>
    </w:p>
    <w:p>
      <w:pPr>
        <w:ind w:left="1720" w:hanging="646"/>
        <w:spacing w:after="0"/>
        <w:tabs>
          <w:tab w:leader="none" w:pos="17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that I acquire under the Plan may increase or decrease in value, even below the Purchase Price;</w:t>
      </w:r>
    </w:p>
    <w:p>
      <w:pPr>
        <w:spacing w:after="0" w:line="192" w:lineRule="exact"/>
        <w:rPr>
          <w:rFonts w:ascii="Times New Roman" w:cs="Times New Roman" w:eastAsia="Times New Roman" w:hAnsi="Times New Roman"/>
          <w:sz w:val="18"/>
          <w:szCs w:val="18"/>
          <w:color w:val="auto"/>
        </w:rPr>
      </w:pPr>
    </w:p>
    <w:p>
      <w:pPr>
        <w:jc w:val="both"/>
        <w:ind w:left="80" w:firstLine="994"/>
        <w:spacing w:after="0" w:line="236" w:lineRule="auto"/>
        <w:tabs>
          <w:tab w:leader="none" w:pos="1693"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99" w:right="319" w:bottom="1440" w:gutter="0" w:footer="0" w:header="0"/>
        </w:sectPr>
      </w:pPr>
    </w:p>
    <w:bookmarkStart w:id="258" w:name="page259"/>
    <w:bookmarkEnd w:id="258"/>
    <w:p>
      <w:pPr>
        <w:jc w:val="both"/>
        <w:ind w:left="80" w:firstLine="994"/>
        <w:spacing w:after="0" w:line="236" w:lineRule="auto"/>
        <w:tabs>
          <w:tab w:leader="none" w:pos="182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active employment would not include a period of “</w:t>
      </w:r>
      <w:r>
        <w:rPr>
          <w:rFonts w:ascii="Times New Roman" w:cs="Times New Roman" w:eastAsia="Times New Roman" w:hAnsi="Times New Roman"/>
          <w:sz w:val="18"/>
          <w:szCs w:val="18"/>
          <w:b w:val="1"/>
          <w:bCs w:val="1"/>
          <w:color w:val="auto"/>
        </w:rPr>
        <w:t>garden leave</w:t>
      </w:r>
      <w:r>
        <w:rPr>
          <w:rFonts w:ascii="Times New Roman" w:cs="Times New Roman" w:eastAsia="Times New Roman" w:hAnsi="Times New Roman"/>
          <w:sz w:val="18"/>
          <w:szCs w:val="18"/>
          <w:color w:val="auto"/>
        </w:rPr>
        <w:t>” 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66" w:lineRule="exact"/>
        <w:rPr>
          <w:rFonts w:ascii="Times New Roman" w:cs="Times New Roman" w:eastAsia="Times New Roman" w:hAnsi="Times New Roman"/>
          <w:sz w:val="18"/>
          <w:szCs w:val="18"/>
          <w:color w:val="auto"/>
        </w:rPr>
      </w:pPr>
    </w:p>
    <w:p>
      <w:pPr>
        <w:jc w:val="both"/>
        <w:ind w:firstLine="541"/>
        <w:spacing w:after="0" w:line="233" w:lineRule="auto"/>
        <w:tabs>
          <w:tab w:leader="none" w:pos="1309" w:val="left"/>
        </w:tabs>
        <w:numPr>
          <w:ilvl w:val="0"/>
          <w:numId w:val="2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73"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59" w:name="page260"/>
    <w:bookmarkEnd w:id="259"/>
    <w:p>
      <w:pPr>
        <w:jc w:val="both"/>
        <w:ind w:firstLine="532"/>
        <w:spacing w:after="0" w:line="242" w:lineRule="auto"/>
        <w:rPr>
          <w:sz w:val="20"/>
          <w:szCs w:val="20"/>
          <w:color w:val="auto"/>
        </w:rPr>
      </w:pPr>
      <w:r>
        <w:rPr>
          <w:rFonts w:ascii="Times New Roman" w:cs="Times New Roman" w:eastAsia="Times New Roman" w:hAnsi="Times New Roman"/>
          <w:sz w:val="18"/>
          <w:szCs w:val="18"/>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67" w:lineRule="exact"/>
        <w:rPr>
          <w:sz w:val="20"/>
          <w:szCs w:val="20"/>
          <w:color w:val="auto"/>
        </w:rPr>
      </w:pPr>
    </w:p>
    <w:p>
      <w:pPr>
        <w:ind w:firstLine="541"/>
        <w:spacing w:after="0" w:line="260" w:lineRule="auto"/>
        <w:tabs>
          <w:tab w:leader="none" w:pos="124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50" w:lineRule="exact"/>
        <w:rPr>
          <w:rFonts w:ascii="Times New Roman" w:cs="Times New Roman" w:eastAsia="Times New Roman" w:hAnsi="Times New Roman"/>
          <w:sz w:val="18"/>
          <w:szCs w:val="18"/>
          <w:color w:val="auto"/>
        </w:rPr>
      </w:pPr>
    </w:p>
    <w:p>
      <w:pPr>
        <w:ind w:firstLine="541"/>
        <w:spacing w:after="0" w:line="260" w:lineRule="auto"/>
        <w:tabs>
          <w:tab w:leader="none" w:pos="129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50" w:lineRule="exact"/>
        <w:rPr>
          <w:rFonts w:ascii="Times New Roman" w:cs="Times New Roman" w:eastAsia="Times New Roman" w:hAnsi="Times New Roman"/>
          <w:sz w:val="18"/>
          <w:szCs w:val="18"/>
          <w:color w:val="auto"/>
        </w:rPr>
      </w:pPr>
    </w:p>
    <w:p>
      <w:pPr>
        <w:jc w:val="both"/>
        <w:ind w:firstLine="541"/>
        <w:spacing w:after="0" w:line="237" w:lineRule="auto"/>
        <w:tabs>
          <w:tab w:leader="none" w:pos="1327"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60" w:name="page261"/>
    <w:bookmarkEnd w:id="260"/>
    <w:p>
      <w:pPr>
        <w:ind w:firstLine="541"/>
        <w:spacing w:after="0" w:line="259" w:lineRule="auto"/>
        <w:tabs>
          <w:tab w:leader="none" w:pos="119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be bound by the terms of the Plan. The effectiveness of this Subscription Agreement is dependent upon my eligibility to participate in the Plan.</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Employee’s Social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Security Number</w:t>
      </w:r>
    </w:p>
    <w:p>
      <w:pPr>
        <w:spacing w:after="0" w:line="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(for U.S.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-635</wp:posOffset>
            </wp:positionV>
            <wp:extent cx="3578225" cy="139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578225" cy="139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262890</wp:posOffset>
            </wp:positionV>
            <wp:extent cx="3578225" cy="139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78225" cy="1397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135890</wp:posOffset>
            </wp:positionV>
            <wp:extent cx="3578225" cy="139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578225" cy="1397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9525</wp:posOffset>
            </wp:positionV>
            <wp:extent cx="3578225" cy="139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78225"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I UNDERSTAND THAT THIS SUBSCRIPTION AGREEMENT WILL REMAIN IN EFFECT THROUGHOUT SUCCESSIVE OFFERING PERIODS UNLESS TERMINATED BY 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19685</wp:posOffset>
            </wp:positionV>
            <wp:extent cx="6438265" cy="139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38265" cy="13970"/>
                    </a:xfrm>
                    <a:prstGeom prst="rect">
                      <a:avLst/>
                    </a:prstGeom>
                    <a:noFill/>
                  </pic:spPr>
                </pic:pic>
              </a:graphicData>
            </a:graphic>
          </wp:anchor>
        </w:drawing>
      </w:r>
    </w:p>
    <w:p>
      <w:pPr>
        <w:spacing w:after="0" w:line="1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5"/>
          <w:szCs w:val="15"/>
          <w:color w:val="auto"/>
        </w:rPr>
        <w:t>Signature of Employee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1" w:name="page262"/>
    <w:bookmarkEnd w:id="261"/>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undersigned Participant in the Offering Period of the Nautilus Biotechnology, Inc. 2021 Employee Stock Purchase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that began 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______ (the “</w:t>
      </w:r>
      <w:r>
        <w:rPr>
          <w:rFonts w:ascii="Times New Roman" w:cs="Times New Roman" w:eastAsia="Times New Roman" w:hAnsi="Times New Roman"/>
          <w:sz w:val="18"/>
          <w:szCs w:val="18"/>
          <w:b w:val="1"/>
          <w:bCs w:val="1"/>
          <w:color w:val="auto"/>
        </w:rPr>
        <w:t>Offering Date</w:t>
      </w:r>
      <w:r>
        <w:rPr>
          <w:rFonts w:ascii="Times New Roman" w:cs="Times New Roman" w:eastAsia="Times New Roman" w:hAnsi="Times New Roman"/>
          <w:sz w:val="18"/>
          <w:szCs w:val="18"/>
          <w:color w:val="auto"/>
        </w:rPr>
        <w:t>”) hereby notifies the Company that he or she hereby withdraws from the Offering Period.  He or she hereby</w:t>
      </w:r>
    </w:p>
    <w:p>
      <w:pPr>
        <w:jc w:val="both"/>
        <w:spacing w:after="0" w:line="234" w:lineRule="auto"/>
        <w:rPr>
          <w:sz w:val="20"/>
          <w:szCs w:val="20"/>
          <w:color w:val="auto"/>
        </w:rPr>
      </w:pPr>
      <w:r>
        <w:rPr>
          <w:rFonts w:ascii="Times New Roman" w:cs="Times New Roman" w:eastAsia="Times New Roman" w:hAnsi="Times New Roman"/>
          <w:sz w:val="18"/>
          <w:szCs w:val="18"/>
          <w:color w:val="auto"/>
        </w:rPr>
        <w:t>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386080</wp:posOffset>
            </wp:positionV>
            <wp:extent cx="3571240" cy="139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571240" cy="139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259080</wp:posOffset>
            </wp:positionV>
            <wp:extent cx="3571240" cy="139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571240" cy="139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132080</wp:posOffset>
            </wp:positionV>
            <wp:extent cx="3571240" cy="139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571240" cy="1397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132080</wp:posOffset>
            </wp:positionV>
            <wp:extent cx="3571240" cy="13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571240" cy="13970"/>
                    </a:xfrm>
                    <a:prstGeom prst="rect">
                      <a:avLst/>
                    </a:prstGeom>
                    <a:noFill/>
                  </pic:spPr>
                </pic:pic>
              </a:graphicData>
            </a:graphic>
          </wp:anchor>
        </w:drawing>
      </w:r>
    </w:p>
    <w:p>
      <w:pPr>
        <w:spacing w:after="0" w:line="19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19685</wp:posOffset>
            </wp:positionV>
            <wp:extent cx="3071495" cy="139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071495" cy="139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216535</wp:posOffset>
            </wp:positionV>
            <wp:extent cx="7157085" cy="139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Exhibit 10.1</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SPONSOR LETTER AGREEMENT</w:t>
      </w:r>
    </w:p>
    <w:p>
      <w:pPr>
        <w:spacing w:after="0" w:line="170"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This SPONSOR LETTER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dated as of February 7, 2021, is made by and among ARYA Sciences Holdings III, an exempted company incorporated in the Cayman Islands with limited liability (the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xml:space="preserve">”), the other holders of ARYA Class B Shares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u w:val="single" w:color="auto"/>
          <w:color w:val="auto"/>
        </w:rPr>
        <w:t>Other Class B Holders</w:t>
      </w:r>
      <w:r>
        <w:rPr>
          <w:rFonts w:ascii="Times New Roman" w:cs="Times New Roman" w:eastAsia="Times New Roman" w:hAnsi="Times New Roman"/>
          <w:sz w:val="18"/>
          <w:szCs w:val="18"/>
          <w:color w:val="auto"/>
        </w:rPr>
        <w:t>”, and together with the Sponsor, collectively, the “</w:t>
      </w:r>
      <w:r>
        <w:rPr>
          <w:rFonts w:ascii="Times New Roman" w:cs="Times New Roman" w:eastAsia="Times New Roman" w:hAnsi="Times New Roman"/>
          <w:sz w:val="18"/>
          <w:szCs w:val="18"/>
          <w:b w:val="1"/>
          <w:bCs w:val="1"/>
          <w:u w:val="single" w:color="auto"/>
          <w:color w:val="auto"/>
        </w:rPr>
        <w:t>Shareholders</w:t>
      </w:r>
      <w:r>
        <w:rPr>
          <w:rFonts w:ascii="Times New Roman" w:cs="Times New Roman" w:eastAsia="Times New Roman" w:hAnsi="Times New Roman"/>
          <w:sz w:val="18"/>
          <w:szCs w:val="18"/>
          <w:color w:val="auto"/>
        </w:rPr>
        <w:t>”), ARYA Sciences Acquisition Corp III, an exempted company incorporated in the Cayman Islands with limited liability (“</w:t>
      </w:r>
      <w:r>
        <w:rPr>
          <w:rFonts w:ascii="Times New Roman" w:cs="Times New Roman" w:eastAsia="Times New Roman" w:hAnsi="Times New Roman"/>
          <w:sz w:val="18"/>
          <w:szCs w:val="18"/>
          <w:b w:val="1"/>
          <w:bCs w:val="1"/>
          <w:u w:val="single" w:color="auto"/>
          <w:color w:val="auto"/>
        </w:rPr>
        <w:t>ARYA</w:t>
      </w:r>
      <w:r>
        <w:rPr>
          <w:rFonts w:ascii="Times New Roman" w:cs="Times New Roman" w:eastAsia="Times New Roman" w:hAnsi="Times New Roman"/>
          <w:sz w:val="18"/>
          <w:szCs w:val="18"/>
          <w:color w:val="auto"/>
        </w:rPr>
        <w:t>”), and Nautilus Biotechnology,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The Sponsor, the Other Class B Holders, ARYA and the Company shall be referred to herein from time to time collectively as the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such terms in the Business Combination Agreement (as defined below).</w:t>
      </w:r>
    </w:p>
    <w:p>
      <w:pPr>
        <w:spacing w:after="0" w:line="169"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WHEREAS, ARYA, the Company and certain other Persons party thereto entered into that certain Business Combination Agreement, dated as of the date hereof (as it may be amended, restated or otherwise modified from time to time in accordance with its terms, the “</w:t>
      </w:r>
      <w:r>
        <w:rPr>
          <w:rFonts w:ascii="Times New Roman" w:cs="Times New Roman" w:eastAsia="Times New Roman" w:hAnsi="Times New Roman"/>
          <w:sz w:val="18"/>
          <w:szCs w:val="18"/>
          <w:b w:val="1"/>
          <w:bCs w:val="1"/>
          <w:u w:val="single" w:color="auto"/>
          <w:color w:val="auto"/>
        </w:rPr>
        <w:t>Business Combination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532"/>
        <w:spacing w:after="0" w:line="237" w:lineRule="auto"/>
        <w:rPr>
          <w:sz w:val="20"/>
          <w:szCs w:val="20"/>
          <w:color w:val="auto"/>
        </w:rPr>
      </w:pPr>
      <w:r>
        <w:rPr>
          <w:rFonts w:ascii="Times New Roman" w:cs="Times New Roman" w:eastAsia="Times New Roman" w:hAnsi="Times New Roman"/>
          <w:sz w:val="18"/>
          <w:szCs w:val="18"/>
          <w:color w:val="auto"/>
        </w:rPr>
        <w:t>WHEREAS, the Business Combination Agreement contemplates that the Parties will enter into this Agreement concurrently with the entry into the Business Combination Agreement by the parties thereto, pursuant to which, among other things, (a) the Shareholders agree that they will vote in favor of approval of the Business Combination Agreement and the transactions contemplated thereby (including the Domestication and the Merger) and (b) the Shareholders agree to waive any adjustment to the conversion ratio set forth in the Governing Documents of ARYA, including under Article 12 of the Amended and Restated Articles of Association of ARYA, or any other anti-dilution or similar protection with respect to all of the ARYA Class B Shares related to the transactions contemplated by the Business Combination Agreement.</w:t>
      </w:r>
    </w:p>
    <w:p>
      <w:pPr>
        <w:spacing w:after="0" w:line="171"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51" w:lineRule="exact"/>
        <w:rPr>
          <w:sz w:val="20"/>
          <w:szCs w:val="20"/>
          <w:color w:val="auto"/>
        </w:rPr>
      </w:pPr>
    </w:p>
    <w:p>
      <w:pPr>
        <w:ind w:left="1120" w:hanging="579"/>
        <w:spacing w:after="0"/>
        <w:tabs>
          <w:tab w:leader="none" w:pos="11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jc w:val="both"/>
        <w:ind w:firstLine="1065"/>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Shareholder (in his, her or its capacity as a shareholder of ARYA and on behalf of himself, herself and itself and not the other Shareholders) hereby irrevocably agrees, at any meeting of the shareholders of ARYA duly called and convened in accordance with the Governing Documents of ARYA, whether or not adjourned and however called, including at the ARYA Shareholders Meeting or otherwise, and in any action by written consent of the shareholders of ARYA, (i) to vote, or cause to be voted, or execute and return, or cause to be executed and returned, an action by written consent with respect to, as applicable, all of such Shareholder’s ARYA Class B Shares and ARYA Class A Shares (if any) held of record or beneficially by such Shareholder as of the date of this Agreement, or to which such Shareholder acquires record or beneficial ownership after the date hereof and prior to the Closing (collectively, the “</w:t>
      </w:r>
      <w:r>
        <w:rPr>
          <w:rFonts w:ascii="Times New Roman" w:cs="Times New Roman" w:eastAsia="Times New Roman" w:hAnsi="Times New Roman"/>
          <w:sz w:val="18"/>
          <w:szCs w:val="18"/>
          <w:b w:val="1"/>
          <w:bCs w:val="1"/>
          <w:u w:val="single" w:color="auto"/>
          <w:color w:val="auto"/>
        </w:rPr>
        <w:t>Subject ARYA Equity Securities</w:t>
      </w:r>
      <w:r>
        <w:rPr>
          <w:rFonts w:ascii="Times New Roman" w:cs="Times New Roman" w:eastAsia="Times New Roman" w:hAnsi="Times New Roman"/>
          <w:sz w:val="18"/>
          <w:szCs w:val="18"/>
          <w:color w:val="auto"/>
        </w:rPr>
        <w:t>”) in favor of each of the Transaction Proposals, in each case, to the extent Subject ARYA Equity Securities are entitled to vote thereon or consent thereto and (ii) when such meeting is held, appear at such meeting or otherwise cause the Subject ARYA Equity Securities to be counted as present thereat for the purpose of establishing a quorum, and (iii) to vote, or cause to be voted against, against or withhold written consent, or cause written consent to be withheld, with respect to, as applicable, (A) any ARYA Acquisition Proposal or (B) any other matter, action or proposal that would reasonably be expected to result in (x) a breach of any of the ARYA Parties’ covenants, agreements or obligations under the Business Combination Agreement or (y) any of the conditions to the Closing set forth in Sections 6.1 or 6.3 of the Business Combination Agreement not being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215265</wp:posOffset>
            </wp:positionV>
            <wp:extent cx="7157085" cy="139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6" w:right="319" w:bottom="1440" w:gutter="0" w:footer="0" w:header="0"/>
        </w:sectPr>
      </w:pPr>
    </w:p>
    <w:bookmarkStart w:id="263" w:name="page264"/>
    <w:bookmarkEnd w:id="263"/>
    <w:p>
      <w:pPr>
        <w:jc w:val="both"/>
        <w:ind w:firstLine="1074"/>
        <w:spacing w:after="0" w:line="236" w:lineRule="auto"/>
        <w:tabs>
          <w:tab w:leader="none" w:pos="1827"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the Company, each Shareholder hereby irrevocably appoints the chief executive officer of the Company or any other officer of the Company designated by Company as each Shareholder’s agent, attorney-in-fact and proxy (with full power of substitution and resubstitution), for and in the name, place and stead of each Shareholder, (i) to attend on behalf of each Shareholder any meeting of the ARYA Shareholders with respect to the matters described in Section 1(a), (ii) to include the Subject ARYA Equity Securities in any computation for purposes of establishing a quorum at any such meeting of the holders of ARYA Shares and (iii) to vote (or cause to be voted), or deliver a written consent (or withhold consent) with respect to, as applicable, the ARYA Equity Securities on the matters specified in, and in accordance and consistent with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in connection with any meeting of the holders of ARYA Shares or any action by written consent by the holders of ARYA Shares, in each case, in the event that any Shareholder fails to perform or otherwise comply with the covenants, agreements or obligations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jc w:val="both"/>
        <w:ind w:firstLine="1074"/>
        <w:spacing w:after="0" w:line="235" w:lineRule="auto"/>
        <w:tabs>
          <w:tab w:leader="none" w:pos="1715"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the Shareholder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the Company entering into the Business Combination Agreement and agreeing to consummate the transactions contemplated thereby. The proxy granted by the Shareholder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the Shareholder and shall revoke any and all prior proxies granted by the Shareholder with respect to the Subject ARYA Equity Securities.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ARYA Equity Securities and a vote or consent by the Shareholder of the Subject ARYA Equity Securities (or any other Person with the power to vote or provide consent with respect to the Subject ARYA Equity Securities)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for those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jc w:val="both"/>
        <w:ind w:firstLine="541"/>
        <w:spacing w:after="0" w:line="236" w:lineRule="auto"/>
        <w:tabs>
          <w:tab w:leader="none" w:pos="114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Protection</w:t>
      </w:r>
      <w:r>
        <w:rPr>
          <w:rFonts w:ascii="Times New Roman" w:cs="Times New Roman" w:eastAsia="Times New Roman" w:hAnsi="Times New Roman"/>
          <w:sz w:val="18"/>
          <w:szCs w:val="18"/>
          <w:color w:val="auto"/>
        </w:rPr>
        <w:t>. Each Shareholder hereby (a) waives, subject to, and conditioned upon, the occurrence of the Closing (for himself, herself or itself and for his, her or its, successors, heirs and assigns), and (b) agrees not to assert or perfect, any rights to adjustment or other anti-dilution protections with respect to the rate that the ARYA Class B Shares held by him, her or it convert into ARYA Class A Shares, including those set out in Article 12 of the Amended and Restated Articles of Association of ARYA, in connection with the transactions contemplated by the Business Combination Agreement or otherwise. ARYA hereby acknowledges and agrees to such waiver. Each Shareholder hereby acknowledges and agrees that upon the Domestication, each ARYA Class B Share will be converted into one (1) share of common stock, par value $0.0001 per share, of ARYA (“</w:t>
      </w:r>
      <w:r>
        <w:rPr>
          <w:rFonts w:ascii="Times New Roman" w:cs="Times New Roman" w:eastAsia="Times New Roman" w:hAnsi="Times New Roman"/>
          <w:sz w:val="18"/>
          <w:szCs w:val="18"/>
          <w:b w:val="1"/>
          <w:bCs w:val="1"/>
          <w:u w:val="single" w:color="auto"/>
          <w:color w:val="auto"/>
        </w:rPr>
        <w:t>ARYA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color w:val="auto"/>
        </w:rPr>
        <w:t>”) and following the Domestication, no provision of the Pre-Closing ARYA Governing Documents, including Article 12 of the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Articles of Association of ARYA, will be of any force or effect with respect to the shares of ARYA Common Stock.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4" w:name="page265"/>
    <w:bookmarkEnd w:id="264"/>
    <w:p>
      <w:pPr>
        <w:ind w:left="1120" w:hanging="579"/>
        <w:spacing w:after="0"/>
        <w:tabs>
          <w:tab w:leader="none" w:pos="112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074"/>
        <w:spacing w:after="0" w:line="247" w:lineRule="auto"/>
        <w:tabs>
          <w:tab w:leader="none" w:pos="1747" w:val="left"/>
        </w:tabs>
        <w:numPr>
          <w:ilvl w:val="2"/>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contemplated by the Business Combination Agreement or with the prior written consent of the Company (such consent to be given or withheld in its sole discretion), from and after the date hereof, each Shareholder hereby agrees that he, she or it shall not (i) Transfer any of his, her or its Subject ARYA Equity Securities, (ii) enter into (A) any option, warrant, purchase right, or other Contract that could (either alone or in connection with one or more events, developments or events (including the satisfaction or waiver of any conditions precedent)) require such Shareholder to Transfer his, her or its Subject ARYA Equity Securities or (B) any voting trust, proxy or other Contract with respect to the voting or Transfer of the Subject ARYA Equity Securities in a manner inconsistent with the covenants and obligations of this Agreement, or (iii) enter into any Contract to take, or cause to be taken, any of the actions set forth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foregoing shall not apply to any Transfer (1) to ARYA’s officers or directors, any members or partners of the Sponsor, any affiliates of the Sponsor, or any employees of such affiliate; (2) in the case of an individual, by gift to a member of one of the individual’s immediate family, to a trust, the beneficiary of which is a member of the individual’s immediate family or an Affiliate of such individual; (3) in the case of an individual, by virtue of laws of descent and distribution upon death of the individual; (4) in the case of an individual, pursuant to a qualified domestic relations order; or (5) by virtue of the Sponsor’s organizational documents upon liquidation or dissolution of the Sponsor;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transferring Shareholder shall, and shall cause any transferee of his, her or its Subject ARYA Securities of the type set forth in clauses</w:t>
      </w:r>
    </w:p>
    <w:p>
      <w:pPr>
        <w:spacing w:after="0" w:line="1" w:lineRule="exact"/>
        <w:rPr>
          <w:rFonts w:ascii="Times New Roman" w:cs="Times New Roman" w:eastAsia="Times New Roman" w:hAnsi="Times New Roman"/>
          <w:sz w:val="17"/>
          <w:szCs w:val="17"/>
          <w:color w:val="auto"/>
        </w:rPr>
      </w:pPr>
    </w:p>
    <w:p>
      <w:pPr>
        <w:jc w:val="both"/>
        <w:ind w:firstLine="9"/>
        <w:spacing w:after="0" w:line="249" w:lineRule="auto"/>
        <w:tabs>
          <w:tab w:leader="none" w:pos="269"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through (5), to enter into a written agreement in form and substance reasonably satisfactory to the Company, agreeing to be bound by this Agreement (which will include, for the avoidance of doubt, all of the covenants, agreements and obligations of the transferring Shareholder hereunder and the making of all applicable representations and warranties of the transferring Shareholder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with respect to such transferee and his, her or its Subject ARYA Equity Securities received upon such Transfer, as applicable) prior and as a condition to the occurrence of such Transfer. For purposes of this Agreement, “</w:t>
      </w:r>
      <w:r>
        <w:rPr>
          <w:rFonts w:ascii="Times New Roman" w:cs="Times New Roman" w:eastAsia="Times New Roman" w:hAnsi="Times New Roman"/>
          <w:sz w:val="17"/>
          <w:szCs w:val="17"/>
          <w:b w:val="1"/>
          <w:bCs w:val="1"/>
          <w:u w:val="single" w:color="auto"/>
          <w:color w:val="auto"/>
        </w:rPr>
        <w:t>Transfer</w:t>
      </w:r>
      <w:r>
        <w:rPr>
          <w:rFonts w:ascii="Times New Roman" w:cs="Times New Roman" w:eastAsia="Times New Roman" w:hAnsi="Times New Roman"/>
          <w:sz w:val="17"/>
          <w:szCs w:val="17"/>
          <w:color w:val="auto"/>
        </w:rPr>
        <w:t>” 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w:t>
      </w:r>
    </w:p>
    <w:p>
      <w:pPr>
        <w:spacing w:after="0" w:line="160" w:lineRule="exact"/>
        <w:rPr>
          <w:rFonts w:ascii="Times New Roman" w:cs="Times New Roman" w:eastAsia="Times New Roman" w:hAnsi="Times New Roman"/>
          <w:sz w:val="17"/>
          <w:szCs w:val="17"/>
          <w:color w:val="auto"/>
        </w:rPr>
      </w:pPr>
    </w:p>
    <w:p>
      <w:pPr>
        <w:jc w:val="both"/>
        <w:ind w:firstLine="1074"/>
        <w:spacing w:after="0" w:line="256" w:lineRule="auto"/>
        <w:tabs>
          <w:tab w:leader="none" w:pos="1663" w:val="left"/>
        </w:tabs>
        <w:numPr>
          <w:ilvl w:val="2"/>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furtherance of the foregoing, ARYA hereby agrees to (i) place a revocable stop order on all Subject ARYA Equity Securities subject to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including those which may be covered by a registration statement, and (ii) notify ARYA’s transfer agent in writing of such stop order and the restrictions on such Subject ARYA Equity Securities under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and direct ARYA’s transfer agent not to process any attempts by any such Shareholder to Transfer any Subject ARYA Equity Securities except in compliance with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xml:space="preserve">; for the avoidance of doubt, the obligations of ARYA under this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xml:space="preserve"> shall be deemed to be satisfied by the existence of any similar stop order or restrictions currently existing on the Subject ARYA Equity Securities.</w:t>
      </w:r>
    </w:p>
    <w:p>
      <w:pPr>
        <w:spacing w:after="0" w:line="155" w:lineRule="exact"/>
        <w:rPr>
          <w:rFonts w:ascii="Times New Roman" w:cs="Times New Roman" w:eastAsia="Times New Roman" w:hAnsi="Times New Roman"/>
          <w:sz w:val="17"/>
          <w:szCs w:val="17"/>
          <w:color w:val="auto"/>
        </w:rPr>
      </w:pPr>
    </w:p>
    <w:p>
      <w:pPr>
        <w:ind w:left="1120" w:hanging="579"/>
        <w:spacing w:after="0"/>
        <w:tabs>
          <w:tab w:leader="none" w:pos="112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jc w:val="both"/>
        <w:ind w:firstLine="1074"/>
        <w:spacing w:after="0" w:line="241" w:lineRule="auto"/>
        <w:tabs>
          <w:tab w:leader="none" w:pos="1729"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hereby agrees that he, she or it shall (i) be bound by and subject to Sections 5.3(a) (Confidentiality and Access to Information) and 5.4(a) (Public Announcements) of the Business Combination Agreement to the same extent as such provisions apply to the parties to the Business Combination Agreement, as if such Shareholder is directly a party thereto, and (ii) not, directly or indirectly, take any action that ARYA is prohibited from taking pursuant to Section 5.7(a) (Exclusive Dealing) of the Business Combination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5" w:name="page266"/>
    <w:bookmarkEnd w:id="265"/>
    <w:p>
      <w:pPr>
        <w:jc w:val="both"/>
        <w:ind w:firstLine="1074"/>
        <w:spacing w:after="0" w:line="238" w:lineRule="auto"/>
        <w:tabs>
          <w:tab w:leader="none" w:pos="1707"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acknowledges and agrees that the Company is entering into the Business Combination Agreement in reliance upon each Shareholder entering into this Agreement and agreeing to be bound by, and perform, or otherwise comply with, as applicable, the agreements, covenants and obligations contained in this Agreement and but for each such Shareholder entering into this Agreement and agreeing to be bound by, and perform, or otherwise comply with, as applicable, the agreements, covenants and obligations contained in this Agreement, the Company would not have entered into or agreed to consummate the transactions contemplated by the Business Combination Agreement or the Ancillary Documents.</w:t>
      </w:r>
    </w:p>
    <w:p>
      <w:pPr>
        <w:spacing w:after="0" w:line="170" w:lineRule="exact"/>
        <w:rPr>
          <w:rFonts w:ascii="Times New Roman" w:cs="Times New Roman" w:eastAsia="Times New Roman" w:hAnsi="Times New Roman"/>
          <w:sz w:val="18"/>
          <w:szCs w:val="18"/>
          <w:color w:val="auto"/>
        </w:rPr>
      </w:pPr>
    </w:p>
    <w:p>
      <w:pPr>
        <w:ind w:firstLine="1074"/>
        <w:spacing w:after="0" w:line="260" w:lineRule="auto"/>
        <w:tabs>
          <w:tab w:leader="none" w:pos="1792"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hereby agrees that it shall not exercise or submit a request to exercise the ARYA Shareholder Redemption with respect to any ARYA Class A Shares held by him, her or it.</w:t>
      </w:r>
    </w:p>
    <w:p>
      <w:pPr>
        <w:spacing w:after="0" w:line="150" w:lineRule="exact"/>
        <w:rPr>
          <w:rFonts w:ascii="Times New Roman" w:cs="Times New Roman" w:eastAsia="Times New Roman" w:hAnsi="Times New Roman"/>
          <w:sz w:val="18"/>
          <w:szCs w:val="18"/>
          <w:color w:val="auto"/>
        </w:rPr>
      </w:pPr>
    </w:p>
    <w:p>
      <w:pPr>
        <w:jc w:val="both"/>
        <w:ind w:firstLine="541"/>
        <w:spacing w:after="0" w:line="246" w:lineRule="auto"/>
        <w:tabs>
          <w:tab w:leader="none" w:pos="114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Lock-up Period</w:t>
      </w:r>
      <w:r>
        <w:rPr>
          <w:rFonts w:ascii="Times New Roman" w:cs="Times New Roman" w:eastAsia="Times New Roman" w:hAnsi="Times New Roman"/>
          <w:sz w:val="18"/>
          <w:szCs w:val="18"/>
          <w:color w:val="auto"/>
        </w:rPr>
        <w:t>. Each of the Shareholders hereby agrees that subject to, and conditioned upon the occurrence and effective as of, the Closing, Section 5 of that certain Letter Agreement, dated August 6, 2020 (the “</w:t>
      </w:r>
      <w:r>
        <w:rPr>
          <w:rFonts w:ascii="Times New Roman" w:cs="Times New Roman" w:eastAsia="Times New Roman" w:hAnsi="Times New Roman"/>
          <w:sz w:val="18"/>
          <w:szCs w:val="18"/>
          <w:b w:val="1"/>
          <w:bCs w:val="1"/>
          <w:u w:val="single" w:color="auto"/>
          <w:color w:val="auto"/>
        </w:rPr>
        <w:t>Insider Letter Agreement</w:t>
      </w:r>
      <w:r>
        <w:rPr>
          <w:rFonts w:ascii="Times New Roman" w:cs="Times New Roman" w:eastAsia="Times New Roman" w:hAnsi="Times New Roman"/>
          <w:sz w:val="18"/>
          <w:szCs w:val="18"/>
          <w:color w:val="auto"/>
        </w:rPr>
        <w:t>”), by and among ARYA, the Shareholders and the other members of the ARYA Board, shall be amended and restated in its entirety as follows:</w:t>
      </w:r>
    </w:p>
    <w:p>
      <w:pPr>
        <w:spacing w:after="0" w:line="162"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The amendment and restatement of the Insider Letter Agreement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void and of no force and effect if the Business Combination Agreement is terminated in accordance with its terms.</w:t>
      </w:r>
    </w:p>
    <w:p>
      <w:pPr>
        <w:spacing w:after="0" w:line="151" w:lineRule="exact"/>
        <w:rPr>
          <w:sz w:val="20"/>
          <w:szCs w:val="20"/>
          <w:color w:val="auto"/>
        </w:rPr>
      </w:pPr>
    </w:p>
    <w:p>
      <w:pPr>
        <w:ind w:firstLine="541"/>
        <w:spacing w:after="0" w:line="260" w:lineRule="auto"/>
        <w:tabs>
          <w:tab w:leader="none" w:pos="115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Shareholder represents and warrants, solely with respect to himself, herself or itself and not any of the other Shareholders, to the Company as follows:</w:t>
      </w:r>
    </w:p>
    <w:p>
      <w:pPr>
        <w:spacing w:after="0" w:line="150" w:lineRule="exact"/>
        <w:rPr>
          <w:rFonts w:ascii="Times New Roman" w:cs="Times New Roman" w:eastAsia="Times New Roman" w:hAnsi="Times New Roman"/>
          <w:sz w:val="18"/>
          <w:szCs w:val="18"/>
          <w:color w:val="auto"/>
        </w:rPr>
      </w:pPr>
    </w:p>
    <w:p>
      <w:pPr>
        <w:jc w:val="both"/>
        <w:ind w:firstLine="1074"/>
        <w:spacing w:after="0" w:line="267" w:lineRule="auto"/>
        <w:tabs>
          <w:tab w:leader="none" w:pos="1720"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Shareholder is an entity, such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46" w:lineRule="exact"/>
        <w:rPr>
          <w:rFonts w:ascii="Times New Roman" w:cs="Times New Roman" w:eastAsia="Times New Roman" w:hAnsi="Times New Roman"/>
          <w:sz w:val="17"/>
          <w:szCs w:val="17"/>
          <w:color w:val="auto"/>
        </w:rPr>
      </w:pPr>
    </w:p>
    <w:p>
      <w:pPr>
        <w:jc w:val="both"/>
        <w:ind w:firstLine="1074"/>
        <w:spacing w:after="0" w:line="235" w:lineRule="auto"/>
        <w:tabs>
          <w:tab w:leader="none" w:pos="177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Shareholder is an entity, such Shareholder has the requisite corporate, limited liability company or other similar power and authority or, if such Shareholder is an individual, has the legal capacity and the requisite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If such Shareholder is an entity, the execution and delivery of this Agreement has been duly authorized by all necessary corporate (or other similar) action on the part of such Shareholder. This Agreement has been duly and validly executed and delivered by such Shareholder and constitutes a valid, legal and binding agreement of such Shareholder (assuming that this Agreement is duly authorized, executed and delivered by the other Parties hereto), enforceable against such Shareholder in accordance with its terms (subject to applicable bankruptcy, insolvency, reorganization, moratorium or other Laws affecting generally the enforcement of creditors’ rights and subject to general principles of equity).</w:t>
      </w:r>
    </w:p>
    <w:p>
      <w:pPr>
        <w:spacing w:after="0" w:line="172" w:lineRule="exact"/>
        <w:rPr>
          <w:rFonts w:ascii="Times New Roman" w:cs="Times New Roman" w:eastAsia="Times New Roman" w:hAnsi="Times New Roman"/>
          <w:sz w:val="18"/>
          <w:szCs w:val="18"/>
          <w:color w:val="auto"/>
        </w:rPr>
      </w:pPr>
    </w:p>
    <w:p>
      <w:pPr>
        <w:jc w:val="both"/>
        <w:ind w:firstLine="1074"/>
        <w:spacing w:after="0" w:line="237" w:lineRule="auto"/>
        <w:tabs>
          <w:tab w:leader="none" w:pos="1672"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Entity is required on the part of such Shareholder with respect to such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such Shareholder to perform, or otherwise comply with, any of his, her or its covenants, agreements or obligations hereunder in any material respect.</w:t>
      </w:r>
    </w:p>
    <w:p>
      <w:pPr>
        <w:spacing w:after="0" w:line="171" w:lineRule="exact"/>
        <w:rPr>
          <w:rFonts w:ascii="Times New Roman" w:cs="Times New Roman" w:eastAsia="Times New Roman" w:hAnsi="Times New Roman"/>
          <w:sz w:val="18"/>
          <w:szCs w:val="18"/>
          <w:color w:val="auto"/>
        </w:rPr>
      </w:pPr>
    </w:p>
    <w:p>
      <w:pPr>
        <w:jc w:val="both"/>
        <w:ind w:firstLine="1074"/>
        <w:spacing w:after="0" w:line="235" w:lineRule="auto"/>
        <w:tabs>
          <w:tab w:leader="none" w:pos="164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of this Agreement by such Shareholder, the performance by such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if such Shareholder is an entity, result in any breach of any provision of such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such Shareholder is a party, (iii) violate, or constitute a breach under, any Order or applicable Law to which such Shareholder or any of his, her or its properties or assets are bound or (iv) result in the creation of any Lien upon the Subject ARYA Equity Securities, except, in the case of any of clauses (ii) through (iv) above, as would not adversely affect the ability of such Shareholder to perform, or otherwise comply with, any of his, her or its covenants, agreements or obligations hereunder in any material respect.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6" w:name="page267"/>
    <w:bookmarkEnd w:id="266"/>
    <w:p>
      <w:pPr>
        <w:jc w:val="both"/>
        <w:ind w:firstLine="1074"/>
        <w:spacing w:after="0" w:line="248" w:lineRule="auto"/>
        <w:tabs>
          <w:tab w:leader="none" w:pos="168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Shareholder is the record and/or beneficial owner, as applicable, of the Subject ARYA Equity Securities and has valid, good and marketable title to the Subject ARYA Equity Securities, free and clear of all Liens (other than transfer restrictions under applicable Securities Law, under the ARYA Governing Documents, under the Insider Letter Agreement or under the other Contracts set forth on Section 4.6(c) of the ARYA Disclosure Schedules). Except for the Equity Securities of ARYA set forth on </w:t>
      </w:r>
      <w:r>
        <w:rPr>
          <w:rFonts w:ascii="Times New Roman" w:cs="Times New Roman" w:eastAsia="Times New Roman" w:hAnsi="Times New Roman"/>
          <w:sz w:val="17"/>
          <w:szCs w:val="17"/>
          <w:u w:val="single" w:color="auto"/>
          <w:color w:val="auto"/>
        </w:rPr>
        <w:t>Schedule II</w:t>
      </w:r>
      <w:r>
        <w:rPr>
          <w:rFonts w:ascii="Times New Roman" w:cs="Times New Roman" w:eastAsia="Times New Roman" w:hAnsi="Times New Roman"/>
          <w:sz w:val="17"/>
          <w:szCs w:val="17"/>
          <w:color w:val="auto"/>
        </w:rPr>
        <w:t xml:space="preserve"> hereto, together with any other Equity Securities of ARYA that such Shareholder acquires record or beneficial ownership after the date hereof that is either permitted pursuant to or acquired in accordance with Section 5.11(h) of the Business Combination Agreement, such Shareholder does not own, beneficially or of record, any Equity Securities of ARYA or have the right to acquire any Equity Securities of ARYA. Such Shareholder has the sole right to vote (and provide consent in respect of, as applicable) the Subject ARYA Equity Securities and, except for this Agreement, the Business Combination Agreement, the Governing Documents of ARYA, the Contracts set forth on Section 4.6(c) of the ARYA Disclosure Schedules, or any proxy given for purposes of voting in favor of the Transaction Proposals, such Shareholder is not party to or bound by (i) any option, warrant, purchase right, or other Contract that would (either alone or in connection with one or more events, developments or events (including the satisfaction or waiver of any conditions precedent)) require such Shareholder to Transfer any of the Subject ARYA Equity Securities or (ii) any voting trust, proxy or other Contract with respect to the voting or Transfer of any of the Subject ARYA Equity Securities in a manner inconsistent with the requirements of this Agreement. The Shareholders, collectively, hold 100% of the issued and outstanding ARYA Class B Shares as of the date hereof.</w:t>
      </w:r>
    </w:p>
    <w:p>
      <w:pPr>
        <w:spacing w:after="0" w:line="168" w:lineRule="exact"/>
        <w:rPr>
          <w:rFonts w:ascii="Times New Roman" w:cs="Times New Roman" w:eastAsia="Times New Roman" w:hAnsi="Times New Roman"/>
          <w:sz w:val="17"/>
          <w:szCs w:val="17"/>
          <w:color w:val="auto"/>
        </w:rPr>
      </w:pPr>
    </w:p>
    <w:p>
      <w:pPr>
        <w:jc w:val="both"/>
        <w:ind w:firstLine="1074"/>
        <w:spacing w:after="0" w:line="246" w:lineRule="auto"/>
        <w:tabs>
          <w:tab w:leader="none" w:pos="1708"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such Shareholder’s knowledge, threatened in writing against or involving such Shareholder or any of his, her or its Affiliates that, if adversely decided or resolved, would reasonably be expected to adversely affect the ability of such Shareholder to perform, or otherwise comply with, any of its covenants, agreements or obligations under this Agreement in any material respect.</w:t>
      </w:r>
    </w:p>
    <w:p>
      <w:pPr>
        <w:spacing w:after="0" w:line="162" w:lineRule="exact"/>
        <w:rPr>
          <w:rFonts w:ascii="Times New Roman" w:cs="Times New Roman" w:eastAsia="Times New Roman" w:hAnsi="Times New Roman"/>
          <w:sz w:val="18"/>
          <w:szCs w:val="18"/>
          <w:color w:val="auto"/>
        </w:rPr>
      </w:pPr>
    </w:p>
    <w:p>
      <w:pPr>
        <w:jc w:val="both"/>
        <w:ind w:firstLine="1074"/>
        <w:spacing w:after="0" w:line="236" w:lineRule="auto"/>
        <w:tabs>
          <w:tab w:leader="none" w:pos="1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Company and the transactions contemplated by this Agreement, the Business Combination Agreement and the other Ancillary Documents to which he, she or it is or will be a party and (ii) he, she or it has been furnished with or given access to such documents and information about the Company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72" w:lineRule="exact"/>
        <w:rPr>
          <w:rFonts w:ascii="Times New Roman" w:cs="Times New Roman" w:eastAsia="Times New Roman" w:hAnsi="Times New Roman"/>
          <w:sz w:val="18"/>
          <w:szCs w:val="18"/>
          <w:color w:val="auto"/>
        </w:rPr>
      </w:pPr>
    </w:p>
    <w:p>
      <w:pPr>
        <w:jc w:val="both"/>
        <w:ind w:firstLine="1074"/>
        <w:spacing w:after="0" w:line="235" w:lineRule="auto"/>
        <w:tabs>
          <w:tab w:leader="none" w:pos="173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Ancillary Documents to which he, she or it is or will be a party, such Shareholder has relied solely on his, her or its own investigation and analysis and the representations and warranties expressly set forth in the Ancillary Documents to which he, she or it is or will be a party and no other representations or warranties of the Company (including, for the avoidance of doubt, none of the representations or warranties of the Company set forth in the Business Combination Agreement or any other Ancillary Document to which such Shareholder is not and will not be a party) or any other Person, either express or implied, and such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Company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spacing w:after="0" w:line="172" w:lineRule="exact"/>
        <w:rPr>
          <w:rFonts w:ascii="Times New Roman" w:cs="Times New Roman" w:eastAsia="Times New Roman" w:hAnsi="Times New Roman"/>
          <w:sz w:val="18"/>
          <w:szCs w:val="18"/>
          <w:color w:val="auto"/>
        </w:rPr>
      </w:pPr>
    </w:p>
    <w:p>
      <w:pPr>
        <w:jc w:val="both"/>
        <w:ind w:firstLine="1074"/>
        <w:spacing w:after="0" w:line="239" w:lineRule="auto"/>
        <w:tabs>
          <w:tab w:leader="none" w:pos="185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hereby acknowledges and agrees that he, she, or it shall not receive (whether in his, her or its capacity as a shareholder of ARYA or otherwise) from ARYA any finder’s fee, reimbursement, consulting fee, monies in respect of any repayment of a loan or other compensation prior to, or in connection with any services rendered in order to effectuate the consummation of the transactions contemplated by the Business Combination Agreement, except as otherwise expressly contemplated by the Business Combination Agreement, and excluding, for the avoidance of doubt, his, her or its ARYA Shares.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7" w:name="page268"/>
    <w:bookmarkEnd w:id="267"/>
    <w:p>
      <w:pPr>
        <w:jc w:val="both"/>
        <w:ind w:firstLine="541"/>
        <w:spacing w:after="0" w:line="250" w:lineRule="auto"/>
        <w:tabs>
          <w:tab w:leader="none" w:pos="1187"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This Agreement shall automatically terminate, without any notice or other action by any Party, and be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xml:space="preserve"> shall not affect any Liability on the part of any Party for a Willful Breach of any covenant or agreement set forth in this Agreement prior to such termination,</w:t>
      </w:r>
    </w:p>
    <w:p>
      <w:pPr>
        <w:spacing w:after="0" w:line="3" w:lineRule="exact"/>
        <w:rPr>
          <w:rFonts w:ascii="Times New Roman" w:cs="Times New Roman" w:eastAsia="Times New Roman" w:hAnsi="Times New Roman"/>
          <w:sz w:val="17"/>
          <w:szCs w:val="17"/>
          <w:color w:val="auto"/>
        </w:rPr>
      </w:pPr>
    </w:p>
    <w:p>
      <w:pPr>
        <w:jc w:val="both"/>
        <w:ind w:firstLine="9"/>
        <w:spacing w:after="0" w:line="232" w:lineRule="auto"/>
        <w:tabs>
          <w:tab w:leader="none" w:pos="31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4(a)(i)</w:t>
      </w:r>
      <w:r>
        <w:rPr>
          <w:rFonts w:ascii="Times New Roman" w:cs="Times New Roman" w:eastAsia="Times New Roman" w:hAnsi="Times New Roman"/>
          <w:sz w:val="18"/>
          <w:szCs w:val="18"/>
          <w:color w:val="auto"/>
        </w:rPr>
        <w:t xml:space="preserve"> (solely to the extent that it relates to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(Confidentiality and Access to Information) of the Business Combination Agreement) and the representations and warranties set forth in </w:t>
      </w:r>
      <w:r>
        <w:rPr>
          <w:rFonts w:ascii="Times New Roman" w:cs="Times New Roman" w:eastAsia="Times New Roman" w:hAnsi="Times New Roman"/>
          <w:sz w:val="18"/>
          <w:szCs w:val="18"/>
          <w:u w:val="single" w:color="auto"/>
          <w:color w:val="auto"/>
        </w:rPr>
        <w:t>Sections 6(g)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shall each survive the termination of this Agreement, (iii) </w:t>
      </w:r>
      <w:r>
        <w:rPr>
          <w:rFonts w:ascii="Times New Roman" w:cs="Times New Roman" w:eastAsia="Times New Roman" w:hAnsi="Times New Roman"/>
          <w:sz w:val="18"/>
          <w:szCs w:val="18"/>
          <w:u w:val="single" w:color="auto"/>
          <w:color w:val="auto"/>
        </w:rPr>
        <w:t>Section 4(a)(i)</w:t>
      </w:r>
      <w:r>
        <w:rPr>
          <w:rFonts w:ascii="Times New Roman" w:cs="Times New Roman" w:eastAsia="Times New Roman" w:hAnsi="Times New Roman"/>
          <w:sz w:val="18"/>
          <w:szCs w:val="18"/>
          <w:color w:val="auto"/>
        </w:rPr>
        <w:t xml:space="preserve"> (solely to the extent that it relates to Section 5.4(a) (Public Announcements) of the Business Combination Agreement)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each survive the termination of this Agreement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and (iv)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Sections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(to the extent related to any of the provisions that survive the termination of this Agreement) shall survive any termination of this Agreement. 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 “</w:t>
      </w:r>
      <w:r>
        <w:rPr>
          <w:rFonts w:ascii="Times New Roman" w:cs="Times New Roman" w:eastAsia="Times New Roman" w:hAnsi="Times New Roman"/>
          <w:sz w:val="18"/>
          <w:szCs w:val="18"/>
          <w:b w:val="1"/>
          <w:bCs w:val="1"/>
          <w:u w:val="single" w:color="auto"/>
          <w:color w:val="auto"/>
        </w:rPr>
        <w:t>Willful Breach”</w:t>
      </w:r>
      <w:r>
        <w:rPr>
          <w:rFonts w:ascii="Times New Roman" w:cs="Times New Roman" w:eastAsia="Times New Roman" w:hAnsi="Times New Roman"/>
          <w:sz w:val="18"/>
          <w:szCs w:val="18"/>
          <w:color w:val="auto"/>
        </w:rPr>
        <w:t xml:space="preserve"> means a material breach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Times New Roman" w:cs="Times New Roman" w:eastAsia="Times New Roman" w:hAnsi="Times New Roman"/>
          <w:sz w:val="18"/>
          <w:szCs w:val="18"/>
          <w:b w:val="1"/>
          <w:bCs w:val="1"/>
          <w:u w:val="single" w:color="auto"/>
          <w:color w:val="auto"/>
        </w:rPr>
        <w:t>Fraud</w:t>
      </w:r>
      <w:r>
        <w:rPr>
          <w:rFonts w:ascii="Times New Roman" w:cs="Times New Roman" w:eastAsia="Times New Roman" w:hAnsi="Times New Roman"/>
          <w:sz w:val="18"/>
          <w:szCs w:val="18"/>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73" w:lineRule="exact"/>
        <w:rPr>
          <w:rFonts w:ascii="Times New Roman" w:cs="Times New Roman" w:eastAsia="Times New Roman" w:hAnsi="Times New Roman"/>
          <w:sz w:val="18"/>
          <w:szCs w:val="18"/>
          <w:color w:val="auto"/>
        </w:rPr>
      </w:pPr>
    </w:p>
    <w:p>
      <w:pPr>
        <w:jc w:val="both"/>
        <w:ind w:firstLine="541"/>
        <w:spacing w:after="0" w:line="234" w:lineRule="auto"/>
        <w:tabs>
          <w:tab w:leader="none" w:pos="1131"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Company Affiliated Party or any ARYA Affiliated Party (other than the Shareholders named as parties hereto), and (b) no Company Affiliated Party or ARYA Affiliated Party (other than the Shareholders named as parties hereto),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or for any actual or alleged inaccuracies, misstatements or omissions with respect to any information or materials of any kind furnished in connection with this Agreement, the negotiation hereof or the transactions contemplated hereby. Notwithstanding anything to the contrary in this Agreement, (i) in no event shall any Shareholder have any obligations or Liabilities related to or arising out of the covenants, agreements, obligations, representations or warranties of any other Shareholder under this Agreement (including related to or arising out of the breach of any such covenant, agreement, obligation, representation or warranty by any other Shareholder), (ii) in no event shall ARYA have any obligations or Liabilities related to or arising out of the covenants, agreements, obligations, representations or warrants of any Shareholder under this Agreement (including related to or arising out of any breach of any such covenant, agreement, obligation, representation or warranty by any such Shareholder).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68" w:name="page269"/>
    <w:bookmarkEnd w:id="268"/>
    <w:p>
      <w:pPr>
        <w:spacing w:after="0" w:line="247" w:lineRule="auto"/>
        <w:framePr w:w="1940" w:h="664" w:wrap="auto" w:vAnchor="page" w:hAnchor="page" w:x="3040" w:y="4468"/>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Altman Konstantin Poukalov altman@perceptivelife.com konstantin@perceptivelife.com</w:t>
      </w:r>
    </w:p>
    <w:p>
      <w:pPr>
        <w:jc w:val="both"/>
        <w:ind w:firstLine="541"/>
        <w:spacing w:after="0" w:line="238" w:lineRule="auto"/>
        <w:tabs>
          <w:tab w:leader="none" w:pos="120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each Shareholder makes no agreement or understanding herein in any capacity other than in such Shareholder’s capacity as a record holder and/or beneficial owner of the Subject ARYA Equity Securities, and not, in the case of each Other Class B Shareholder in such Other Class B Shareholder’s capacity as a director, officer or employee of any ARYA Party, and</w:t>
      </w:r>
    </w:p>
    <w:p>
      <w:pPr>
        <w:spacing w:after="0" w:line="2" w:lineRule="exact"/>
        <w:rPr>
          <w:rFonts w:ascii="Times New Roman" w:cs="Times New Roman" w:eastAsia="Times New Roman" w:hAnsi="Times New Roman"/>
          <w:sz w:val="18"/>
          <w:szCs w:val="18"/>
          <w:color w:val="auto"/>
        </w:rPr>
      </w:pPr>
    </w:p>
    <w:p>
      <w:pPr>
        <w:jc w:val="both"/>
        <w:ind w:firstLine="9"/>
        <w:spacing w:after="0" w:line="236" w:lineRule="auto"/>
        <w:tabs>
          <w:tab w:leader="none" w:pos="25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will be construed to limit or affect any action or inaction by each Other Class B Shareholder or any representative of the Sponsor serving as a member of the board of directors (or other similar governing body) of any ARYA Party or as an officer, employee or fiduciary of any ARYA Party, in each case, acting in such person’s capacity as a director, officer, employee or fiduciary of such ARYA Party.</w:t>
      </w:r>
    </w:p>
    <w:p>
      <w:pPr>
        <w:spacing w:after="0" w:line="168" w:lineRule="exact"/>
        <w:rPr>
          <w:rFonts w:ascii="Times New Roman" w:cs="Times New Roman" w:eastAsia="Times New Roman" w:hAnsi="Times New Roman"/>
          <w:sz w:val="18"/>
          <w:szCs w:val="18"/>
          <w:color w:val="auto"/>
        </w:rPr>
      </w:pPr>
    </w:p>
    <w:p>
      <w:pPr>
        <w:jc w:val="both"/>
        <w:ind w:firstLine="541"/>
        <w:spacing w:after="0" w:line="241" w:lineRule="auto"/>
        <w:tabs>
          <w:tab w:leader="none" w:pos="136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166" w:lineRule="exact"/>
        <w:rPr>
          <w:rFonts w:ascii="Times New Roman" w:cs="Times New Roman" w:eastAsia="Times New Roman" w:hAnsi="Times New Roman"/>
          <w:sz w:val="18"/>
          <w:szCs w:val="18"/>
          <w:color w:val="auto"/>
        </w:rPr>
      </w:pPr>
    </w:p>
    <w:p>
      <w:pPr>
        <w:jc w:val="both"/>
        <w:ind w:firstLine="541"/>
        <w:spacing w:after="0" w:line="241" w:lineRule="auto"/>
        <w:tabs>
          <w:tab w:leader="none" w:pos="1291"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67" w:lineRule="exact"/>
        <w:rPr>
          <w:rFonts w:ascii="Times New Roman" w:cs="Times New Roman" w:eastAsia="Times New Roman" w:hAnsi="Times New Roman"/>
          <w:sz w:val="14"/>
          <w:szCs w:val="14"/>
          <w:color w:val="auto"/>
        </w:rPr>
      </w:pPr>
    </w:p>
    <w:p>
      <w:pPr>
        <w:ind w:left="540"/>
        <w:spacing w:after="0"/>
        <w:rPr>
          <w:sz w:val="20"/>
          <w:szCs w:val="20"/>
          <w:color w:val="auto"/>
        </w:rPr>
      </w:pPr>
      <w:r>
        <w:rPr>
          <w:rFonts w:ascii="Times New Roman" w:cs="Times New Roman" w:eastAsia="Times New Roman" w:hAnsi="Times New Roman"/>
          <w:sz w:val="18"/>
          <w:szCs w:val="18"/>
          <w:color w:val="auto"/>
        </w:rPr>
        <w:t>If to any Shareholder, to:</w:t>
      </w:r>
    </w:p>
    <w:p>
      <w:pPr>
        <w:spacing w:after="0" w:line="201"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c/o ARYA Science Acquisition Corp.</w:t>
      </w:r>
    </w:p>
    <w:p>
      <w:pPr>
        <w:spacing w:after="0" w:line="19"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51 Astor Place, 10th Floor</w:t>
      </w:r>
    </w:p>
    <w:p>
      <w:pPr>
        <w:spacing w:after="0" w:line="5" w:lineRule="exact"/>
        <w:rPr>
          <w:rFonts w:ascii="Times New Roman" w:cs="Times New Roman" w:eastAsia="Times New Roman" w:hAnsi="Times New Roman"/>
          <w:sz w:val="14"/>
          <w:szCs w:val="14"/>
          <w:color w:val="auto"/>
        </w:rPr>
      </w:pPr>
    </w:p>
    <w:p>
      <w:pPr>
        <w:ind w:left="1340" w:right="8640"/>
        <w:spacing w:after="0" w:line="253" w:lineRule="auto"/>
        <w:rPr>
          <w:sz w:val="20"/>
          <w:szCs w:val="20"/>
          <w:color w:val="auto"/>
        </w:rPr>
      </w:pPr>
      <w:r>
        <w:rPr>
          <w:rFonts w:ascii="Times New Roman" w:cs="Times New Roman" w:eastAsia="Times New Roman" w:hAnsi="Times New Roman"/>
          <w:sz w:val="15"/>
          <w:szCs w:val="15"/>
          <w:color w:val="auto"/>
        </w:rPr>
        <w:t>New York, NY 10003 Attention:</w:t>
      </w:r>
    </w:p>
    <w:p>
      <w:pPr>
        <w:spacing w:after="0" w:line="155"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Email:</w:t>
      </w:r>
    </w:p>
    <w:p>
      <w:pPr>
        <w:spacing w:after="0" w:line="374" w:lineRule="exact"/>
        <w:rPr>
          <w:rFonts w:ascii="Times New Roman" w:cs="Times New Roman" w:eastAsia="Times New Roman" w:hAnsi="Times New Roman"/>
          <w:sz w:val="14"/>
          <w:szCs w:val="14"/>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1"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Kirkland &amp; Ellis LLP</w:t>
      </w:r>
    </w:p>
    <w:p>
      <w:pPr>
        <w:spacing w:after="0" w:line="19"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601 Lexington Avenue</w:t>
      </w:r>
    </w:p>
    <w:p>
      <w:pPr>
        <w:spacing w:after="0" w:line="5" w:lineRule="exact"/>
        <w:rPr>
          <w:rFonts w:ascii="Times New Roman" w:cs="Times New Roman" w:eastAsia="Times New Roman" w:hAnsi="Times New Roman"/>
          <w:sz w:val="14"/>
          <w:szCs w:val="14"/>
          <w:color w:val="auto"/>
        </w:rPr>
      </w:pPr>
    </w:p>
    <w:p>
      <w:pPr>
        <w:ind w:left="1340"/>
        <w:spacing w:after="0"/>
        <w:rPr>
          <w:sz w:val="20"/>
          <w:szCs w:val="20"/>
          <w:color w:val="auto"/>
        </w:rPr>
      </w:pPr>
      <w:r>
        <w:rPr>
          <w:rFonts w:ascii="Times New Roman" w:cs="Times New Roman" w:eastAsia="Times New Roman" w:hAnsi="Times New Roman"/>
          <w:sz w:val="15"/>
          <w:szCs w:val="15"/>
          <w:color w:val="auto"/>
        </w:rPr>
        <w:t>New York, NY 10022</w:t>
      </w:r>
    </w:p>
    <w:p>
      <w:pPr>
        <w:spacing w:after="0" w:line="5" w:lineRule="exact"/>
        <w:rPr>
          <w:rFonts w:ascii="Times New Roman" w:cs="Times New Roman" w:eastAsia="Times New Roman" w:hAnsi="Times New Roman"/>
          <w:sz w:val="14"/>
          <w:szCs w:val="14"/>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Jonathan Davis, P.C.</w:t>
      </w:r>
    </w:p>
    <w:p>
      <w:pPr>
        <w:spacing w:after="0" w:line="5" w:lineRule="exact"/>
        <w:rPr>
          <w:rFonts w:ascii="Times New Roman" w:cs="Times New Roman" w:eastAsia="Times New Roman" w:hAnsi="Times New Roman"/>
          <w:sz w:val="14"/>
          <w:szCs w:val="14"/>
          <w:color w:val="auto"/>
        </w:rPr>
      </w:pPr>
    </w:p>
    <w:p>
      <w:pPr>
        <w:ind w:left="2820"/>
        <w:spacing w:after="0"/>
        <w:rPr>
          <w:sz w:val="20"/>
          <w:szCs w:val="20"/>
          <w:color w:val="auto"/>
        </w:rPr>
      </w:pPr>
      <w:r>
        <w:rPr>
          <w:rFonts w:ascii="Times New Roman" w:cs="Times New Roman" w:eastAsia="Times New Roman" w:hAnsi="Times New Roman"/>
          <w:sz w:val="15"/>
          <w:szCs w:val="15"/>
          <w:color w:val="auto"/>
        </w:rPr>
        <w:t>Ryan Brissette</w:t>
      </w:r>
    </w:p>
    <w:p>
      <w:pPr>
        <w:spacing w:after="0" w:line="5" w:lineRule="exact"/>
        <w:rPr>
          <w:rFonts w:ascii="Times New Roman" w:cs="Times New Roman" w:eastAsia="Times New Roman" w:hAnsi="Times New Roman"/>
          <w:sz w:val="14"/>
          <w:szCs w:val="14"/>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jonathan.davis@kirkland.com</w:t>
      </w:r>
    </w:p>
    <w:p>
      <w:pPr>
        <w:spacing w:after="0" w:line="5" w:lineRule="exact"/>
        <w:rPr>
          <w:rFonts w:ascii="Times New Roman" w:cs="Times New Roman" w:eastAsia="Times New Roman" w:hAnsi="Times New Roman"/>
          <w:sz w:val="14"/>
          <w:szCs w:val="14"/>
          <w:color w:val="auto"/>
        </w:rPr>
      </w:pPr>
    </w:p>
    <w:p>
      <w:pPr>
        <w:ind w:left="2820"/>
        <w:spacing w:after="0"/>
        <w:rPr>
          <w:sz w:val="20"/>
          <w:szCs w:val="20"/>
          <w:color w:val="auto"/>
        </w:rPr>
      </w:pPr>
      <w:r>
        <w:rPr>
          <w:rFonts w:ascii="Times New Roman" w:cs="Times New Roman" w:eastAsia="Times New Roman" w:hAnsi="Times New Roman"/>
          <w:sz w:val="15"/>
          <w:szCs w:val="15"/>
          <w:color w:val="auto"/>
        </w:rPr>
        <w:t>ryan.brissette@kirkland.com</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87"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9" w:name="page270"/>
    <w:bookmarkEnd w:id="269"/>
    <w:p>
      <w:pPr>
        <w:ind w:left="5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Nautilus Biotechnology, Inc.</w:t>
      </w:r>
    </w:p>
    <w:p>
      <w:pPr>
        <w:spacing w:after="0" w:line="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PO Box 22027</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Seattle, WA 98122</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Sujal Patel, Chief Executive Officer</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smpatel@nautilus.bio</w:t>
      </w:r>
    </w:p>
    <w:p>
      <w:pPr>
        <w:spacing w:after="0" w:line="200" w:lineRule="exact"/>
        <w:rPr>
          <w:sz w:val="20"/>
          <w:szCs w:val="20"/>
          <w:color w:val="auto"/>
        </w:rPr>
      </w:pP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Wilson Sonsini Goodrich &amp; Rosati, P.C.</w:t>
      </w:r>
    </w:p>
    <w:p>
      <w:pPr>
        <w:spacing w:after="0" w:line="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650 Page Mill Road</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Palo Alto, CA 94304</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Robert Kornegay</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rkornegay@wsgr.com</w:t>
      </w:r>
    </w:p>
    <w:p>
      <w:pPr>
        <w:spacing w:after="0" w:line="2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Wilson Sonsini Goodrich &amp; Rosati, P.C.</w:t>
      </w:r>
    </w:p>
    <w:p>
      <w:pPr>
        <w:spacing w:after="0" w:line="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One Market Plaza, Spear Tower, Suite 3300</w:t>
      </w:r>
    </w:p>
    <w:p>
      <w:pPr>
        <w:spacing w:after="0" w:line="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San Francisco, CA 94105</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Attention:</w:t>
      </w:r>
      <w:r>
        <w:rPr>
          <w:sz w:val="20"/>
          <w:szCs w:val="20"/>
          <w:color w:val="auto"/>
        </w:rPr>
        <w:tab/>
      </w:r>
      <w:r>
        <w:rPr>
          <w:rFonts w:ascii="Times New Roman" w:cs="Times New Roman" w:eastAsia="Times New Roman" w:hAnsi="Times New Roman"/>
          <w:sz w:val="15"/>
          <w:szCs w:val="15"/>
          <w:color w:val="auto"/>
        </w:rPr>
        <w:t>Robert T. Ishii</w:t>
      </w:r>
    </w:p>
    <w:p>
      <w:pPr>
        <w:spacing w:after="0" w:line="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color w:val="auto"/>
        </w:rPr>
        <w:t>Brian Keyes</w:t>
      </w:r>
    </w:p>
    <w:p>
      <w:pPr>
        <w:spacing w:after="0" w:line="5" w:lineRule="exact"/>
        <w:rPr>
          <w:sz w:val="20"/>
          <w:szCs w:val="20"/>
          <w:color w:val="auto"/>
        </w:rPr>
      </w:pPr>
    </w:p>
    <w:p>
      <w:pPr>
        <w:ind w:left="1340"/>
        <w:spacing w:after="0"/>
        <w:tabs>
          <w:tab w:leader="none" w:pos="280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rishii@wsgr.com</w:t>
      </w:r>
    </w:p>
    <w:p>
      <w:pPr>
        <w:spacing w:after="0" w:line="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color w:val="auto"/>
        </w:rPr>
        <w:t>bkeyes@wsgr.com</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192" w:lineRule="exact"/>
        <w:rPr>
          <w:sz w:val="20"/>
          <w:szCs w:val="20"/>
          <w:color w:val="auto"/>
        </w:rPr>
      </w:pPr>
    </w:p>
    <w:p>
      <w:pPr>
        <w:jc w:val="both"/>
        <w:ind w:firstLine="541"/>
        <w:spacing w:after="0" w:line="246" w:lineRule="auto"/>
        <w:tabs>
          <w:tab w:leader="none" w:pos="122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Business Combination Agreement and documents referred to herein or therein, constitutes the entire agreement of the Parties with respect to the subject matter of this Agreement, and supersedes all prior agreements and undertakings, both written and oral, among the Parties with respect to the subject matter of this Agreement, except as otherwise expressly provided in this Agreement.</w:t>
      </w:r>
    </w:p>
    <w:p>
      <w:pPr>
        <w:spacing w:after="0" w:line="162" w:lineRule="exact"/>
        <w:rPr>
          <w:rFonts w:ascii="Times New Roman" w:cs="Times New Roman" w:eastAsia="Times New Roman" w:hAnsi="Times New Roman"/>
          <w:sz w:val="18"/>
          <w:szCs w:val="18"/>
          <w:color w:val="auto"/>
        </w:rPr>
      </w:pPr>
    </w:p>
    <w:p>
      <w:pPr>
        <w:jc w:val="both"/>
        <w:ind w:firstLine="541"/>
        <w:spacing w:after="0" w:line="239" w:lineRule="auto"/>
        <w:tabs>
          <w:tab w:leader="none" w:pos="129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xml:space="preserve"> Any provision of this Agreement may be amended or waived if, and only if, such amendment or waiver is in writing and signed by each Party hereto.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the other Party’s prior written consent (to be withheld or given in its sole discretion). Any attempted assignment of this Agreement not in accordance with the terms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void.</w:t>
      </w:r>
    </w:p>
    <w:p>
      <w:pPr>
        <w:spacing w:after="0" w:line="167" w:lineRule="exact"/>
        <w:rPr>
          <w:rFonts w:ascii="Times New Roman" w:cs="Times New Roman" w:eastAsia="Times New Roman" w:hAnsi="Times New Roman"/>
          <w:sz w:val="18"/>
          <w:szCs w:val="18"/>
          <w:color w:val="auto"/>
        </w:rPr>
      </w:pPr>
    </w:p>
    <w:p>
      <w:pPr>
        <w:jc w:val="both"/>
        <w:ind w:firstLine="541"/>
        <w:spacing w:after="0" w:line="246" w:lineRule="auto"/>
        <w:tabs>
          <w:tab w:leader="none" w:pos="125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All fees and expenses incurred in connection with this Agreement and the transactions contemplated hereby, including the fees and disbursements of counsel, financial advisors and accountants, shall be paid by the Party incurring such fees or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fees and expenses incurred by the Shareholders shall be deemed to be ARYA Expenses.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0" w:name="page271"/>
    <w:bookmarkEnd w:id="270"/>
    <w:p>
      <w:pPr>
        <w:jc w:val="both"/>
        <w:ind w:firstLine="541"/>
        <w:spacing w:after="0" w:line="235" w:lineRule="auto"/>
        <w:tabs>
          <w:tab w:leader="none" w:pos="130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shall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shall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68" w:lineRule="exact"/>
        <w:rPr>
          <w:rFonts w:ascii="Times New Roman" w:cs="Times New Roman" w:eastAsia="Times New Roman" w:hAnsi="Times New Roman"/>
          <w:sz w:val="18"/>
          <w:szCs w:val="18"/>
          <w:color w:val="auto"/>
        </w:rPr>
      </w:pPr>
    </w:p>
    <w:p>
      <w:pPr>
        <w:jc w:val="both"/>
        <w:ind w:firstLine="541"/>
        <w:spacing w:after="0" w:line="236" w:lineRule="auto"/>
        <w:tabs>
          <w:tab w:leader="none" w:pos="1287"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xml:space="preserve">. Nothing contained in this Agreement will be deemed to vest in the Company any direct or indirect ownership or incidents of ownership of or with respect to the Subject ARYA Equity Securities. All rights, ownership and economic benefits of and relating to the Subject ARYA Equity Securities shall remain vested in and belong to the applicable Shareholder, and the Company shall have no authority to manage, direct, superintend, restrict, regulate, govern or administer any of the policies or operations of ARYA or exercise any power or authority to direct such Shareholder in the voting of any of the Subject ARYA Equity Securities, except as otherwise expressly provided herein with respect to the Subject ARYA Equity Securities. Except as otherwise expressly provided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such Shareholder shall not be restricted from voting in favor of, against or abstaining with respect to or giving (or withholding) its written consent to any other matters presented to the shareholders of ARYA.</w:t>
      </w:r>
    </w:p>
    <w:p>
      <w:pPr>
        <w:spacing w:after="0" w:line="172" w:lineRule="exact"/>
        <w:rPr>
          <w:rFonts w:ascii="Times New Roman" w:cs="Times New Roman" w:eastAsia="Times New Roman" w:hAnsi="Times New Roman"/>
          <w:sz w:val="18"/>
          <w:szCs w:val="18"/>
          <w:color w:val="auto"/>
        </w:rPr>
      </w:pPr>
    </w:p>
    <w:p>
      <w:pPr>
        <w:jc w:val="both"/>
        <w:ind w:firstLine="541"/>
        <w:spacing w:after="0" w:line="236" w:lineRule="auto"/>
        <w:tabs>
          <w:tab w:leader="none" w:pos="1242"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Each Party acknowledges that (a) Kirkland &amp; Ellis LLP, counsel for ARYA and ARYA Sponsor, is representing ARYA and ARYA Sponsor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Agreement, the Business Combination Agreement, the Ancillary Documents and the transactions contemplated hereby and thereby, (c) none of the foregoing firms is representing the Other Class B Shareholders in connection with this Agreement, the Merger, the Business Combination Agreement, the Ancillary Documents or the transactions contemplated hereby, thereby or otherwise and (d) each Other Class B Shareholder acknowledges that he, she or it has had the opportunity to consult with its, his or her own counsel.</w:t>
      </w:r>
    </w:p>
    <w:p>
      <w:pPr>
        <w:spacing w:after="0" w:line="172" w:lineRule="exact"/>
        <w:rPr>
          <w:rFonts w:ascii="Times New Roman" w:cs="Times New Roman" w:eastAsia="Times New Roman" w:hAnsi="Times New Roman"/>
          <w:sz w:val="18"/>
          <w:szCs w:val="18"/>
          <w:color w:val="auto"/>
        </w:rPr>
      </w:pPr>
    </w:p>
    <w:p>
      <w:pPr>
        <w:jc w:val="both"/>
        <w:ind w:firstLine="541"/>
        <w:spacing w:after="0" w:line="241" w:lineRule="auto"/>
        <w:tabs>
          <w:tab w:leader="none" w:pos="1353"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Non-Survival</w:t>
      </w:r>
      <w:r>
        <w:rPr>
          <w:rFonts w:ascii="Times New Roman" w:cs="Times New Roman" w:eastAsia="Times New Roman" w:hAnsi="Times New Roman"/>
          <w:sz w:val="18"/>
          <w:szCs w:val="18"/>
          <w:color w:val="auto"/>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66" w:lineRule="exact"/>
        <w:rPr>
          <w:rFonts w:ascii="Times New Roman" w:cs="Times New Roman" w:eastAsia="Times New Roman" w:hAnsi="Times New Roman"/>
          <w:sz w:val="18"/>
          <w:szCs w:val="18"/>
          <w:color w:val="auto"/>
        </w:rPr>
      </w:pPr>
    </w:p>
    <w:p>
      <w:pPr>
        <w:jc w:val="both"/>
        <w:ind w:firstLine="541"/>
        <w:spacing w:after="0" w:line="246" w:lineRule="auto"/>
        <w:tabs>
          <w:tab w:leader="none" w:pos="127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1" w:name="page272"/>
    <w:bookmarkEnd w:id="271"/>
    <w:p>
      <w:pPr>
        <w:jc w:val="both"/>
        <w:ind w:firstLine="541"/>
        <w:spacing w:after="0" w:line="248" w:lineRule="auto"/>
        <w:tabs>
          <w:tab w:leader="none" w:pos="1265"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 Interpretation</w:t>
      </w:r>
      <w:r>
        <w:rPr>
          <w:rFonts w:ascii="Times New Roman" w:cs="Times New Roman" w:eastAsia="Times New Roman" w:hAnsi="Times New Roman"/>
          <w:sz w:val="17"/>
          <w:szCs w:val="17"/>
          <w:color w:val="auto"/>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63" w:lineRule="exact"/>
        <w:rPr>
          <w:rFonts w:ascii="Times New Roman" w:cs="Times New Roman" w:eastAsia="Times New Roman" w:hAnsi="Times New Roman"/>
          <w:sz w:val="17"/>
          <w:szCs w:val="17"/>
          <w:color w:val="auto"/>
        </w:rPr>
      </w:pPr>
    </w:p>
    <w:p>
      <w:pPr>
        <w:jc w:val="both"/>
        <w:ind w:firstLine="541"/>
        <w:spacing w:after="0" w:line="254" w:lineRule="auto"/>
        <w:tabs>
          <w:tab w:leader="none" w:pos="1276"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56" w:lineRule="exact"/>
        <w:rPr>
          <w:rFonts w:ascii="Times New Roman" w:cs="Times New Roman" w:eastAsia="Times New Roman" w:hAnsi="Times New Roman"/>
          <w:sz w:val="17"/>
          <w:szCs w:val="17"/>
          <w:color w:val="auto"/>
        </w:rPr>
      </w:pPr>
    </w:p>
    <w:p>
      <w:pPr>
        <w:jc w:val="both"/>
        <w:ind w:firstLine="541"/>
        <w:spacing w:after="0" w:line="246" w:lineRule="auto"/>
        <w:tabs>
          <w:tab w:leader="none" w:pos="123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2" w:name="page273"/>
    <w:bookmarkEnd w:id="272"/>
    <w:p>
      <w:pPr>
        <w:jc w:val="both"/>
        <w:ind w:firstLine="541"/>
        <w:spacing w:after="0" w:line="248" w:lineRule="auto"/>
        <w:tabs>
          <w:tab w:leader="none" w:pos="1220"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xml:space="preserve">.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jc w:val="both"/>
        <w:ind w:firstLine="541"/>
        <w:spacing w:after="0" w:line="248" w:lineRule="auto"/>
        <w:tabs>
          <w:tab w:leader="none" w:pos="1253"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w:t>
      </w:r>
    </w:p>
    <w:p>
      <w:pPr>
        <w:spacing w:after="0" w:line="1" w:lineRule="exact"/>
        <w:rPr>
          <w:rFonts w:ascii="Times New Roman" w:cs="Times New Roman" w:eastAsia="Times New Roman" w:hAnsi="Times New Roman"/>
          <w:sz w:val="17"/>
          <w:szCs w:val="17"/>
          <w:color w:val="auto"/>
        </w:rPr>
      </w:pPr>
    </w:p>
    <w:p>
      <w:pPr>
        <w:jc w:val="both"/>
        <w:ind w:firstLine="9"/>
        <w:spacing w:after="0" w:line="233" w:lineRule="auto"/>
        <w:tabs>
          <w:tab w:leader="none" w:pos="2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effective service of process for any such Proceeding, claim, demand, action or cause of action.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73" w:name="page274"/>
    <w:bookmarkEnd w:id="273"/>
    <w:p>
      <w:pPr>
        <w:ind w:left="540"/>
        <w:spacing w:after="0"/>
        <w:rPr>
          <w:sz w:val="20"/>
          <w:szCs w:val="20"/>
          <w:color w:val="auto"/>
        </w:rPr>
      </w:pPr>
      <w:r>
        <w:rPr>
          <w:rFonts w:ascii="Times New Roman" w:cs="Times New Roman" w:eastAsia="Times New Roman" w:hAnsi="Times New Roman"/>
          <w:sz w:val="17"/>
          <w:szCs w:val="17"/>
          <w:color w:val="auto"/>
        </w:rPr>
        <w:t>IN WITNESS WHEREOF, each of the Parties has caused this Agreement to be duly executed on its behalf as of the day and year first above written.</w:t>
      </w:r>
    </w:p>
    <w:p>
      <w:pPr>
        <w:sectPr>
          <w:pgSz w:w="11900" w:h="16838" w:orient="portrait"/>
          <w:cols w:equalWidth="0" w:num="1">
            <w:col w:w="11280"/>
          </w:cols>
          <w:pgMar w:left="300" w:top="118" w:right="319" w:bottom="1440" w:gutter="0" w:footer="0" w:header="0"/>
        </w:sectPr>
      </w:pPr>
    </w:p>
    <w:p>
      <w:pPr>
        <w:spacing w:after="0" w:line="20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ARYA SCIENCES HOLDINGS III</w:t>
      </w:r>
    </w:p>
    <w:p>
      <w:pPr>
        <w:spacing w:after="0" w:line="189" w:lineRule="exact"/>
        <w:rPr>
          <w:sz w:val="20"/>
          <w:szCs w:val="20"/>
          <w:color w:val="auto"/>
        </w:rPr>
      </w:pPr>
    </w:p>
    <w:tbl>
      <w:tblPr>
        <w:tblLayout w:type="fixed"/>
        <w:tblInd w:w="320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8"/>
              </w:rPr>
              <w:t>/s/ Michael Altman</w:t>
            </w:r>
          </w:p>
        </w:tc>
        <w:tc>
          <w:tcPr>
            <w:tcW w:w="120" w:type="dxa"/>
            <w:vAlign w:val="bottom"/>
          </w:tcPr>
          <w:p>
            <w:pPr>
              <w:spacing w:after="0"/>
              <w:rPr>
                <w:sz w:val="15"/>
                <w:szCs w:val="15"/>
                <w:color w:val="auto"/>
              </w:rPr>
            </w:pPr>
          </w:p>
        </w:tc>
      </w:tr>
      <w:tr>
        <w:trPr>
          <w:trHeight w:val="176"/>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Altman</w:t>
            </w:r>
          </w:p>
        </w:tc>
      </w:tr>
      <w:tr>
        <w:trPr>
          <w:trHeight w:val="192"/>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128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Authorized Signatory</w:t>
            </w:r>
          </w:p>
        </w:tc>
      </w:tr>
    </w:tbl>
    <w:p>
      <w:pPr>
        <w:spacing w:after="0" w:line="1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189" w:lineRule="exact"/>
        <w:rPr>
          <w:sz w:val="20"/>
          <w:szCs w:val="20"/>
          <w:color w:val="auto"/>
        </w:rPr>
      </w:pPr>
    </w:p>
    <w:tbl>
      <w:tblPr>
        <w:tblLayout w:type="fixed"/>
        <w:tblInd w:w="320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Sujal Patel</w:t>
            </w:r>
          </w:p>
        </w:tc>
      </w:tr>
      <w:tr>
        <w:trPr>
          <w:trHeight w:val="176"/>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Sujal Patel</w:t>
            </w:r>
          </w:p>
        </w:tc>
        <w:tc>
          <w:tcPr>
            <w:tcW w:w="600" w:type="dxa"/>
            <w:vAlign w:val="bottom"/>
          </w:tcPr>
          <w:p>
            <w:pPr>
              <w:spacing w:after="0"/>
              <w:rPr>
                <w:sz w:val="15"/>
                <w:szCs w:val="15"/>
                <w:color w:val="auto"/>
              </w:rPr>
            </w:pPr>
          </w:p>
        </w:tc>
      </w:tr>
      <w:tr>
        <w:trPr>
          <w:trHeight w:val="192"/>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Chief Executive Officer</w:t>
            </w:r>
          </w:p>
        </w:tc>
      </w:tr>
    </w:tbl>
    <w:p>
      <w:pPr>
        <w:spacing w:after="0" w:line="37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ARYA SCIENCES ACQUISITION CORP III</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8"/>
              </w:rPr>
              <w:t>/s/ Michael Altman</w:t>
            </w:r>
          </w:p>
        </w:tc>
        <w:tc>
          <w:tcPr>
            <w:tcW w:w="6260" w:type="dxa"/>
            <w:vAlign w:val="bottom"/>
          </w:tcPr>
          <w:p>
            <w:pPr>
              <w:spacing w:after="0"/>
              <w:rPr>
                <w:sz w:val="15"/>
                <w:szCs w:val="15"/>
                <w:color w:val="auto"/>
              </w:rPr>
            </w:pPr>
          </w:p>
        </w:tc>
      </w:tr>
      <w:tr>
        <w:trPr>
          <w:trHeight w:val="176"/>
        </w:trPr>
        <w:tc>
          <w:tcPr>
            <w:tcW w:w="386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Name:</w:t>
            </w:r>
          </w:p>
        </w:tc>
        <w:tc>
          <w:tcPr>
            <w:tcW w:w="7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Altman</w:t>
            </w:r>
          </w:p>
        </w:tc>
      </w:tr>
      <w:tr>
        <w:trPr>
          <w:trHeight w:val="192"/>
        </w:trPr>
        <w:tc>
          <w:tcPr>
            <w:tcW w:w="3860" w:type="dxa"/>
            <w:vAlign w:val="bottom"/>
          </w:tcPr>
          <w:p>
            <w:pPr>
              <w:ind w:left="3200"/>
              <w:spacing w:after="0"/>
              <w:rPr>
                <w:sz w:val="20"/>
                <w:szCs w:val="20"/>
                <w:color w:val="auto"/>
              </w:rPr>
            </w:pPr>
            <w:r>
              <w:rPr>
                <w:rFonts w:ascii="Times New Roman" w:cs="Times New Roman" w:eastAsia="Times New Roman" w:hAnsi="Times New Roman"/>
                <w:sz w:val="15"/>
                <w:szCs w:val="15"/>
                <w:color w:val="auto"/>
              </w:rPr>
              <w:t>Title:</w:t>
            </w:r>
          </w:p>
        </w:tc>
        <w:tc>
          <w:tcPr>
            <w:tcW w:w="7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409"/>
        </w:trPr>
        <w:tc>
          <w:tcPr>
            <w:tcW w:w="3860" w:type="dxa"/>
            <w:vAlign w:val="bottom"/>
          </w:tcPr>
          <w:p>
            <w:pPr>
              <w:spacing w:after="0"/>
              <w:rPr>
                <w:sz w:val="24"/>
                <w:szCs w:val="24"/>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[Signature Page to Sponsor Letter Agreement]</w:t>
            </w:r>
          </w:p>
        </w:tc>
      </w:tr>
      <w:tr>
        <w:trPr>
          <w:trHeight w:val="336"/>
        </w:trPr>
        <w:tc>
          <w:tcPr>
            <w:tcW w:w="3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type w:val="continuous"/>
        </w:sectPr>
      </w:pPr>
    </w:p>
    <w:bookmarkStart w:id="274" w:name="page275"/>
    <w:bookmarkEnd w:id="274"/>
    <w:p>
      <w:pPr>
        <w:ind w:left="2060"/>
        <w:spacing w:after="0"/>
        <w:rPr>
          <w:sz w:val="20"/>
          <w:szCs w:val="20"/>
          <w:color w:val="auto"/>
        </w:rPr>
      </w:pPr>
      <w:r>
        <w:rPr>
          <w:rFonts w:ascii="Times New Roman" w:cs="Times New Roman" w:eastAsia="Times New Roman" w:hAnsi="Times New Roman"/>
          <w:sz w:val="18"/>
          <w:szCs w:val="18"/>
          <w:b w:val="1"/>
          <w:bCs w:val="1"/>
          <w:color w:val="auto"/>
        </w:rPr>
        <w:t>OTHER CLASS B SHAREHOLDERS</w:t>
      </w:r>
    </w:p>
    <w:p>
      <w:pPr>
        <w:spacing w:after="0" w:line="2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u w:val="single" w:color="auto"/>
          <w:color w:val="auto"/>
        </w:rPr>
        <w:t>/s/ Saqib Islam</w:t>
      </w:r>
    </w:p>
    <w:p>
      <w:pPr>
        <w:spacing w:after="0" w:line="1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Saqib Islam</w:t>
      </w:r>
    </w:p>
    <w:p>
      <w:pPr>
        <w:spacing w:after="0" w:line="19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u w:val="single" w:color="auto"/>
          <w:color w:val="auto"/>
        </w:rPr>
        <w:t>/s/ Todd Wider</w:t>
      </w:r>
    </w:p>
    <w:p>
      <w:pPr>
        <w:spacing w:after="0" w:line="1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Todd Wider</w:t>
      </w:r>
    </w:p>
    <w:p>
      <w:pPr>
        <w:spacing w:after="0" w:line="19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u w:val="single" w:color="auto"/>
          <w:color w:val="auto"/>
        </w:rPr>
        <w:t>/s/ Bradley Campbell</w:t>
      </w:r>
    </w:p>
    <w:p>
      <w:pPr>
        <w:spacing w:after="0" w:line="1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Bradley Campbell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Sponsor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235585</wp:posOffset>
            </wp:positionV>
            <wp:extent cx="7157085" cy="139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5" w:name="page276"/>
    <w:bookmarkEnd w:id="275"/>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194"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b w:val="1"/>
          <w:bCs w:val="1"/>
          <w:color w:val="auto"/>
        </w:rPr>
        <w:t>Other Class B Holders</w:t>
      </w:r>
    </w:p>
    <w:p>
      <w:pPr>
        <w:spacing w:after="0" w:line="203" w:lineRule="exact"/>
        <w:rPr>
          <w:sz w:val="20"/>
          <w:szCs w:val="20"/>
          <w:color w:val="auto"/>
        </w:rPr>
      </w:pPr>
    </w:p>
    <w:p>
      <w:pPr>
        <w:ind w:left="540" w:hanging="531"/>
        <w:spacing w:after="0"/>
        <w:tabs>
          <w:tab w:leader="none" w:pos="54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Bradley Campbell</w:t>
      </w:r>
    </w:p>
    <w:p>
      <w:pPr>
        <w:spacing w:after="0" w:line="204" w:lineRule="exact"/>
        <w:rPr>
          <w:rFonts w:ascii="Times New Roman" w:cs="Times New Roman" w:eastAsia="Times New Roman" w:hAnsi="Times New Roman"/>
          <w:sz w:val="15"/>
          <w:szCs w:val="15"/>
          <w:color w:val="auto"/>
        </w:rPr>
      </w:pPr>
    </w:p>
    <w:p>
      <w:pPr>
        <w:ind w:left="540" w:hanging="531"/>
        <w:spacing w:after="0"/>
        <w:tabs>
          <w:tab w:leader="none" w:pos="54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Saqib Islam</w:t>
      </w:r>
    </w:p>
    <w:p>
      <w:pPr>
        <w:spacing w:after="0" w:line="204" w:lineRule="exact"/>
        <w:rPr>
          <w:rFonts w:ascii="Times New Roman" w:cs="Times New Roman" w:eastAsia="Times New Roman" w:hAnsi="Times New Roman"/>
          <w:sz w:val="15"/>
          <w:szCs w:val="15"/>
          <w:color w:val="auto"/>
        </w:rPr>
      </w:pPr>
    </w:p>
    <w:p>
      <w:pPr>
        <w:ind w:left="540" w:hanging="531"/>
        <w:spacing w:after="0"/>
        <w:tabs>
          <w:tab w:leader="none" w:pos="54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231140</wp:posOffset>
            </wp:positionV>
            <wp:extent cx="7157085" cy="139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9"/>
          </w:cols>
          <w:pgMar w:left="300" w:top="114" w:right="1440"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ARYA Equity Securities as of February 7, 2021</w:t>
      </w: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340" w:type="dxa"/>
            <w:vAlign w:val="bottom"/>
            <w:tcBorders>
              <w:top w:val="single" w:sz="8" w:color="auto"/>
              <w:left w:val="single" w:sz="8" w:color="auto"/>
            </w:tcBorders>
          </w:tcPr>
          <w:p>
            <w:pPr>
              <w:spacing w:after="0"/>
              <w:rPr>
                <w:sz w:val="21"/>
                <w:szCs w:val="21"/>
                <w:color w:val="auto"/>
              </w:rPr>
            </w:pPr>
          </w:p>
        </w:tc>
        <w:tc>
          <w:tcPr>
            <w:tcW w:w="24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Shareholder</w:t>
            </w:r>
          </w:p>
        </w:tc>
        <w:tc>
          <w:tcPr>
            <w:tcW w:w="700" w:type="dxa"/>
            <w:vAlign w:val="bottom"/>
            <w:tcBorders>
              <w:top w:val="single" w:sz="8" w:color="auto"/>
            </w:tcBorders>
          </w:tcPr>
          <w:p>
            <w:pPr>
              <w:spacing w:after="0"/>
              <w:rPr>
                <w:sz w:val="21"/>
                <w:szCs w:val="21"/>
                <w:color w:val="auto"/>
              </w:rPr>
            </w:pPr>
          </w:p>
        </w:tc>
        <w:tc>
          <w:tcPr>
            <w:tcW w:w="30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Number of ARYA Class A Shares</w:t>
            </w:r>
          </w:p>
        </w:tc>
        <w:tc>
          <w:tcPr>
            <w:tcW w:w="376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5"/>
                <w:szCs w:val="15"/>
                <w:color w:val="auto"/>
              </w:rPr>
              <w:t>Number of ARYA Class B Shares</w:t>
            </w:r>
          </w:p>
        </w:tc>
      </w:tr>
      <w:tr>
        <w:trPr>
          <w:trHeight w:val="47"/>
        </w:trPr>
        <w:tc>
          <w:tcPr>
            <w:tcW w:w="134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21"/>
        </w:trPr>
        <w:tc>
          <w:tcPr>
            <w:tcW w:w="13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Sponsor</w:t>
            </w:r>
          </w:p>
        </w:tc>
        <w:tc>
          <w:tcPr>
            <w:tcW w:w="2440" w:type="dxa"/>
            <w:vAlign w:val="bottom"/>
            <w:tcBorders>
              <w:right w:val="single" w:sz="8" w:color="auto"/>
            </w:tcBorders>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499,000</w:t>
            </w:r>
          </w:p>
        </w:tc>
        <w:tc>
          <w:tcPr>
            <w:tcW w:w="30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3,647,500</w:t>
            </w:r>
          </w:p>
        </w:tc>
      </w:tr>
      <w:tr>
        <w:trPr>
          <w:trHeight w:val="47"/>
        </w:trPr>
        <w:tc>
          <w:tcPr>
            <w:tcW w:w="134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21"/>
        </w:trPr>
        <w:tc>
          <w:tcPr>
            <w:tcW w:w="13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Bradley Campbell</w:t>
            </w:r>
          </w:p>
        </w:tc>
        <w:tc>
          <w:tcPr>
            <w:tcW w:w="2440" w:type="dxa"/>
            <w:vAlign w:val="bottom"/>
            <w:tcBorders>
              <w:right w:val="single" w:sz="8" w:color="auto"/>
            </w:tcBorders>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0</w:t>
            </w:r>
          </w:p>
        </w:tc>
        <w:tc>
          <w:tcPr>
            <w:tcW w:w="30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30,000</w:t>
            </w:r>
          </w:p>
        </w:tc>
      </w:tr>
      <w:tr>
        <w:trPr>
          <w:trHeight w:val="47"/>
        </w:trPr>
        <w:tc>
          <w:tcPr>
            <w:tcW w:w="134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21"/>
        </w:trPr>
        <w:tc>
          <w:tcPr>
            <w:tcW w:w="13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Saqib Islam</w:t>
            </w:r>
          </w:p>
        </w:tc>
        <w:tc>
          <w:tcPr>
            <w:tcW w:w="2440" w:type="dxa"/>
            <w:vAlign w:val="bottom"/>
            <w:tcBorders>
              <w:right w:val="single" w:sz="8" w:color="auto"/>
            </w:tcBorders>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0</w:t>
            </w:r>
          </w:p>
        </w:tc>
        <w:tc>
          <w:tcPr>
            <w:tcW w:w="30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30,000</w:t>
            </w:r>
          </w:p>
        </w:tc>
      </w:tr>
      <w:tr>
        <w:trPr>
          <w:trHeight w:val="47"/>
        </w:trPr>
        <w:tc>
          <w:tcPr>
            <w:tcW w:w="134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21"/>
        </w:trPr>
        <w:tc>
          <w:tcPr>
            <w:tcW w:w="13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Todd Wider</w:t>
            </w:r>
          </w:p>
        </w:tc>
        <w:tc>
          <w:tcPr>
            <w:tcW w:w="2440" w:type="dxa"/>
            <w:vAlign w:val="bottom"/>
            <w:tcBorders>
              <w:right w:val="single" w:sz="8" w:color="auto"/>
            </w:tcBorders>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0</w:t>
            </w:r>
          </w:p>
        </w:tc>
        <w:tc>
          <w:tcPr>
            <w:tcW w:w="3040" w:type="dxa"/>
            <w:vAlign w:val="bottom"/>
            <w:tcBorders>
              <w:right w:val="single" w:sz="8" w:color="auto"/>
            </w:tcBorders>
          </w:tcPr>
          <w:p>
            <w:pPr>
              <w:spacing w:after="0"/>
              <w:rPr>
                <w:sz w:val="19"/>
                <w:szCs w:val="19"/>
                <w:color w:val="auto"/>
              </w:rPr>
            </w:pPr>
          </w:p>
        </w:tc>
        <w:tc>
          <w:tcPr>
            <w:tcW w:w="37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30,000</w:t>
            </w:r>
          </w:p>
        </w:tc>
      </w:tr>
      <w:tr>
        <w:trPr>
          <w:trHeight w:val="47"/>
        </w:trPr>
        <w:tc>
          <w:tcPr>
            <w:tcW w:w="134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490"/>
        </w:trPr>
        <w:tc>
          <w:tcPr>
            <w:tcW w:w="1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4" w:right="31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10.2</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and Lock-Up Agreement</w:t>
      </w:r>
    </w:p>
    <w:p>
      <w:pPr>
        <w:spacing w:after="0" w:line="19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This Amended and Restated Registration Rights and Lock-Up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February 7, 2021, is among ARYA Sciences Acquisition Corp III, a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other parties hereto identified as a “Holder” on the signature pages and Schedule A hereto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Capitalized terms used but not defined herein have the meanings assigned to them in the Business Combination Agreement dated as of the date hereof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among the Company, Mako Merger Sub,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Nautilus Biotechnology, Inc., a Delaware corporation (“</w:t>
      </w:r>
      <w:r>
        <w:rPr>
          <w:rFonts w:ascii="Times New Roman" w:cs="Times New Roman" w:eastAsia="Times New Roman" w:hAnsi="Times New Roman"/>
          <w:sz w:val="18"/>
          <w:szCs w:val="18"/>
          <w:b w:val="1"/>
          <w:bCs w:val="1"/>
          <w:color w:val="auto"/>
        </w:rPr>
        <w:t>Nautilus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532"/>
        <w:spacing w:after="0" w:line="246" w:lineRule="auto"/>
        <w:rPr>
          <w:sz w:val="20"/>
          <w:szCs w:val="20"/>
          <w:color w:val="auto"/>
        </w:rPr>
      </w:pPr>
      <w:r>
        <w:rPr>
          <w:rFonts w:ascii="Times New Roman" w:cs="Times New Roman" w:eastAsia="Times New Roman" w:hAnsi="Times New Roman"/>
          <w:sz w:val="18"/>
          <w:szCs w:val="18"/>
          <w:color w:val="auto"/>
        </w:rPr>
        <w:t>WHEREAS, the Company, Merger Sub and Nautilus are parties to the Business Combination Agreement, pursuant to which, among other things, on the Closing Date, Merger Sub will merge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and into Nautilus, with Nautilus surviving the Merger as a wholly-owned subsidiary of the Company, and the Company will redomesticate as a Delaware corporation and change its name to “Nautilus Biotechnology, Inc.”;</w:t>
      </w:r>
    </w:p>
    <w:p>
      <w:pPr>
        <w:spacing w:after="0" w:line="16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color w:val="auto"/>
        </w:rPr>
        <w:t>WHEREAS, the Company, ARYA Sciences Holdings III, a Cayman Islands exempted limited company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and the Independent Directors (as defined herein, and, together with the Sponsor, the “</w:t>
      </w:r>
      <w:r>
        <w:rPr>
          <w:rFonts w:ascii="Times New Roman" w:cs="Times New Roman" w:eastAsia="Times New Roman" w:hAnsi="Times New Roman"/>
          <w:sz w:val="18"/>
          <w:szCs w:val="18"/>
          <w:b w:val="1"/>
          <w:bCs w:val="1"/>
          <w:color w:val="auto"/>
        </w:rPr>
        <w:t>Original Holders</w:t>
      </w:r>
      <w:r>
        <w:rPr>
          <w:rFonts w:ascii="Times New Roman" w:cs="Times New Roman" w:eastAsia="Times New Roman" w:hAnsi="Times New Roman"/>
          <w:sz w:val="18"/>
          <w:szCs w:val="18"/>
          <w:color w:val="auto"/>
        </w:rPr>
        <w:t>”) are parties to the Registration and Shareholder Rights Agreement dated as of August 11, 2020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color w:val="auto"/>
        </w:rPr>
        <w:t>WHEREAS, the (i) Holders designated as “</w:t>
      </w:r>
      <w:r>
        <w:rPr>
          <w:rFonts w:ascii="Times New Roman" w:cs="Times New Roman" w:eastAsia="Times New Roman" w:hAnsi="Times New Roman"/>
          <w:sz w:val="18"/>
          <w:szCs w:val="18"/>
          <w:b w:val="1"/>
          <w:bCs w:val="1"/>
          <w:color w:val="auto"/>
        </w:rPr>
        <w:t>New Holders</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New Holders</w:t>
      </w:r>
      <w:r>
        <w:rPr>
          <w:rFonts w:ascii="Times New Roman" w:cs="Times New Roman" w:eastAsia="Times New Roman" w:hAnsi="Times New Roman"/>
          <w:sz w:val="18"/>
          <w:szCs w:val="18"/>
          <w:color w:val="auto"/>
        </w:rPr>
        <w:t>”) and (ii) Perceptive Life Sciences Master Fund Ltd., a Cayman Islands exempted company (“</w:t>
      </w:r>
      <w:r>
        <w:rPr>
          <w:rFonts w:ascii="Times New Roman" w:cs="Times New Roman" w:eastAsia="Times New Roman" w:hAnsi="Times New Roman"/>
          <w:sz w:val="18"/>
          <w:szCs w:val="18"/>
          <w:b w:val="1"/>
          <w:bCs w:val="1"/>
          <w:color w:val="auto"/>
        </w:rPr>
        <w:t>Perceptive</w:t>
      </w:r>
      <w:r>
        <w:rPr>
          <w:rFonts w:ascii="Times New Roman" w:cs="Times New Roman" w:eastAsia="Times New Roman" w:hAnsi="Times New Roman"/>
          <w:sz w:val="18"/>
          <w:szCs w:val="18"/>
          <w:color w:val="auto"/>
        </w:rPr>
        <w:t>”), will receive upon consummation of the Merger shares of the Company’s Common Stock on the Closing Date pursuant to the Business Combination Agreement;</w:t>
      </w:r>
    </w:p>
    <w:p>
      <w:pPr>
        <w:spacing w:after="0" w:line="16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WHEREAS, Perceptive and certain other Holders have entered into those certain Subscription Agreements, dated as of February 7, 2021, and the Company has agreed to issue and sell to Perceptive and certain other Holders, the number of shares of Common Stock set forth in such Subscription Agreements in exchange for the purchase price set forth therein, on the terms and subject to the conditions set forth therein; and WHEREAS, contingent upon and effective as of the Effective Time (as defined in the Business Combination Agreement), the parties to the Prior Agreement desire to terminate the Prior Agreement and to provide for certain rights and obligations included herein and to include the New Holders and Perceptive.</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NOW, THEREFORE, in consideration of the foregoing, the parties hereby agree as follows: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1.1. </w:t>
      </w:r>
      <w:r>
        <w:rPr>
          <w:rFonts w:ascii="Times New Roman" w:cs="Times New Roman" w:eastAsia="Times New Roman" w:hAnsi="Times New Roman"/>
          <w:sz w:val="18"/>
          <w:szCs w:val="18"/>
          <w:b w:val="1"/>
          <w:bCs w:val="1"/>
          <w:color w:val="000000"/>
        </w:rPr>
        <w:t>Definitions</w:t>
      </w:r>
      <w:r>
        <w:rPr>
          <w:rFonts w:ascii="Times New Roman" w:cs="Times New Roman" w:eastAsia="Times New Roman" w:hAnsi="Times New Roman"/>
          <w:sz w:val="18"/>
          <w:szCs w:val="18"/>
          <w:color w:val="000000"/>
        </w:rPr>
        <w:t>. For purposes of this Agreement, the following terms and variations thereof have the meanings set forth below:</w:t>
      </w:r>
    </w:p>
    <w:p>
      <w:pPr>
        <w:spacing w:after="0" w:line="192"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or Chief Financial Officer of the Company, after consultation with outside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192"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 Trade</w:t>
      </w:r>
      <w:r>
        <w:rPr>
          <w:rFonts w:ascii="Times New Roman" w:cs="Times New Roman" w:eastAsia="Times New Roman" w:hAnsi="Times New Roman"/>
          <w:sz w:val="18"/>
          <w:szCs w:val="18"/>
          <w:color w:val="auto"/>
        </w:rPr>
        <w:t>” means any non-marketed underwritten offering taking the form of a block trade to a financial institution, “qualified institutional buyer” (as defined in Rule 144A under the Securities Act) or institutional “accredited” investor (as defined in Rule 501(a) of Regulation D under the Securities Act), bought deal, over-night deal or similar transaction that does not include “road show” presentations to potential investors requiring substantial marketing effort from management over multiple days, the issuance of a “comfort letter” by the Company’s auditors, or the issuance of a legal opinion by the Company’s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7157085" cy="139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48" w:right="319" w:bottom="1440" w:gutter="0" w:footer="0" w:header="0"/>
        </w:sectPr>
      </w:pPr>
    </w:p>
    <w:bookmarkStart w:id="278" w:name="page279"/>
    <w:bookmarkEnd w:id="278"/>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194"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shall mean any merger, share exchange, asset acquisition, stock purchase, recapitalization, reorganization or other similar business combination with one or more businesses, involving the Company.</w:t>
      </w:r>
    </w:p>
    <w:p>
      <w:pPr>
        <w:spacing w:after="0" w:line="145" w:lineRule="exact"/>
        <w:rPr>
          <w:sz w:val="20"/>
          <w:szCs w:val="20"/>
          <w:color w:val="auto"/>
        </w:rPr>
      </w:pPr>
    </w:p>
    <w:p>
      <w:pPr>
        <w:jc w:val="both"/>
        <w:ind w:right="20"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law to close.</w:t>
      </w:r>
    </w:p>
    <w:p>
      <w:pPr>
        <w:spacing w:after="0" w:line="145"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transfer (whether by tender offer, merger, stock purchase, consolidation or other similar transaction), in one 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of directors of the Company or to direct the operations of the Company.</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Company’s common stock, par value $0.0001 per share.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shall have the meaning set forth in the Business Combination Agreement.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means a Registration Statement on Form S-1 or any comparable successor form or forms thereto.</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a Registration Statement on Form S-3 or any comparable successor form or forms thereto.</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means Todd Wider, Bradley L. Campbell and Saqib Islam.</w:t>
      </w:r>
    </w:p>
    <w:p>
      <w:pPr>
        <w:spacing w:after="0" w:line="192"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 shall mean any of the following that occur following the Effective Time, (i) the acquisition of the Company by another entity by means of any transaction or series of related transactions to which the Company is party (including, without limitation, any stock acquisition, reorganization, sale of voting control, merger or consolidation but excluding any sale of stock for capital raising purposes) other than a transaction or series of related transactions in which the holders of the voting securities of the Company outstanding immediately prior to such transaction or series of related transactions retain, immediately after such transaction or series of related transactions, as a result of shares in the Company held by such holders prior to such transaction or series of related transactions, at least a majority of the total voting power represented by the outstanding voting securities of the Company or such other surviving or resulting entity (or if the Company or such other surviving or resulting entity is a wholly-owned subsidiary immediately following such acquisition, its parent); (ii) a sale, lease, transfer, exclusive license or other disposition of all or substantially all of the assets of the Company and its subsidiaries taken as a whole by means of any transaction or series of related transactions, except where such sale, lease, transfer, exclusive license or other disposition is to a wholly-owned subsidiary of the Company; or (iii) any liquidation, dissolution or winding up of the Company, whether voluntary or involuntary.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79" w:name="page280"/>
    <w:bookmarkEnd w:id="279"/>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Holders</w:t>
      </w:r>
      <w:r>
        <w:rPr>
          <w:rFonts w:ascii="Times New Roman" w:cs="Times New Roman" w:eastAsia="Times New Roman" w:hAnsi="Times New Roman"/>
          <w:sz w:val="18"/>
          <w:szCs w:val="18"/>
          <w:color w:val="auto"/>
        </w:rPr>
        <w:t>” shall have the meaning given in the Recitals.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Holders</w:t>
      </w:r>
      <w:r>
        <w:rPr>
          <w:rFonts w:ascii="Times New Roman" w:cs="Times New Roman" w:eastAsia="Times New Roman" w:hAnsi="Times New Roman"/>
          <w:sz w:val="18"/>
          <w:szCs w:val="18"/>
          <w:color w:val="auto"/>
        </w:rPr>
        <w:t>” shall have the meaning given in the Recitals.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Perceptive Holders</w:t>
      </w:r>
      <w:r>
        <w:rPr>
          <w:rFonts w:ascii="Times New Roman" w:cs="Times New Roman" w:eastAsia="Times New Roman" w:hAnsi="Times New Roman"/>
          <w:sz w:val="18"/>
          <w:szCs w:val="18"/>
          <w:color w:val="auto"/>
        </w:rPr>
        <w:t>” means the Sponsor and Perceptive.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shall have the meaning given in the Recitals.</w:t>
      </w:r>
    </w:p>
    <w:p>
      <w:pPr>
        <w:spacing w:after="0" w:line="192"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means shares of Common Stock purchased pursuant to those certain Subscription Agreements between certain Holders and the Company dated on or about February 7, 2021.</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5" w:lineRule="exact"/>
        <w:rPr>
          <w:sz w:val="20"/>
          <w:szCs w:val="20"/>
          <w:color w:val="auto"/>
        </w:rPr>
      </w:pPr>
    </w:p>
    <w:p>
      <w:pPr>
        <w:jc w:val="both"/>
        <w:ind w:firstLine="532"/>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shall mean (a) any outstanding share of Common Stock or any other equity security (including the shares of Common Stock issued or issuable upon the exercise of any other equity security) of the Company held by a Holder as of the Closing Date (including, without limitation, the PIPE Shares and any shares of Common Stock issued pursuant to the Business Combination Agreement) and (b)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to the transferee, and subsequent public distribution of such securities shall not require registration under the Securities Act; (C) such securities shall have ceased to be outstanding; or (D) such securities have been sold to, or through, a broker, dealer or underwriter in a public distribution or other public securities transaction.</w:t>
      </w:r>
    </w:p>
    <w:p>
      <w:pPr>
        <w:spacing w:after="0" w:line="167" w:lineRule="exact"/>
        <w:rPr>
          <w:sz w:val="20"/>
          <w:szCs w:val="20"/>
          <w:color w:val="auto"/>
        </w:rPr>
      </w:pPr>
    </w:p>
    <w:p>
      <w:pPr>
        <w:jc w:val="both"/>
        <w:ind w:right="20"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45"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the out-of-pocket expenses of a Registration or Underwritten Offering, including, without limitation, the following:</w:t>
      </w:r>
    </w:p>
    <w:p>
      <w:pPr>
        <w:spacing w:after="0" w:line="147" w:lineRule="exact"/>
        <w:rPr>
          <w:sz w:val="20"/>
          <w:szCs w:val="20"/>
          <w:color w:val="auto"/>
        </w:rPr>
      </w:pPr>
    </w:p>
    <w:p>
      <w:pPr>
        <w:ind w:firstLine="541"/>
        <w:spacing w:after="0" w:line="260" w:lineRule="auto"/>
        <w:tabs>
          <w:tab w:leader="none" w:pos="130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5" w:right="319" w:bottom="1440" w:gutter="0" w:footer="0" w:header="0"/>
        </w:sectPr>
      </w:pPr>
    </w:p>
    <w:bookmarkStart w:id="280" w:name="page281"/>
    <w:bookmarkEnd w:id="280"/>
    <w:p>
      <w:pPr>
        <w:ind w:firstLine="541"/>
        <w:spacing w:after="0" w:line="259" w:lineRule="auto"/>
        <w:tabs>
          <w:tab w:leader="none" w:pos="15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51" w:lineRule="exact"/>
        <w:rPr>
          <w:rFonts w:ascii="Times New Roman" w:cs="Times New Roman" w:eastAsia="Times New Roman" w:hAnsi="Times New Roman"/>
          <w:sz w:val="18"/>
          <w:szCs w:val="18"/>
          <w:color w:val="auto"/>
        </w:rPr>
      </w:pPr>
    </w:p>
    <w:p>
      <w:pPr>
        <w:ind w:left="1220" w:hanging="679"/>
        <w:spacing w:after="0"/>
        <w:tabs>
          <w:tab w:leader="none" w:pos="12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192" w:lineRule="exact"/>
        <w:rPr>
          <w:rFonts w:ascii="Times New Roman" w:cs="Times New Roman" w:eastAsia="Times New Roman" w:hAnsi="Times New Roman"/>
          <w:sz w:val="18"/>
          <w:szCs w:val="18"/>
          <w:color w:val="auto"/>
        </w:rPr>
      </w:pPr>
    </w:p>
    <w:p>
      <w:pPr>
        <w:ind w:left="1240" w:hanging="699"/>
        <w:spacing w:after="0"/>
        <w:tabs>
          <w:tab w:leader="none" w:pos="12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192" w:lineRule="exact"/>
        <w:rPr>
          <w:rFonts w:ascii="Times New Roman" w:cs="Times New Roman" w:eastAsia="Times New Roman" w:hAnsi="Times New Roman"/>
          <w:sz w:val="18"/>
          <w:szCs w:val="18"/>
          <w:color w:val="auto"/>
        </w:rPr>
      </w:pPr>
    </w:p>
    <w:p>
      <w:pPr>
        <w:ind w:firstLine="541"/>
        <w:spacing w:after="0" w:line="260" w:lineRule="auto"/>
        <w:tabs>
          <w:tab w:leader="none" w:pos="124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or Underwritten Offering; and</w:t>
      </w:r>
    </w:p>
    <w:p>
      <w:pPr>
        <w:spacing w:after="0" w:line="150" w:lineRule="exact"/>
        <w:rPr>
          <w:rFonts w:ascii="Times New Roman" w:cs="Times New Roman" w:eastAsia="Times New Roman" w:hAnsi="Times New Roman"/>
          <w:sz w:val="18"/>
          <w:szCs w:val="18"/>
          <w:color w:val="auto"/>
        </w:rPr>
      </w:pPr>
    </w:p>
    <w:p>
      <w:pPr>
        <w:ind w:firstLine="541"/>
        <w:spacing w:after="0" w:line="260" w:lineRule="auto"/>
        <w:tabs>
          <w:tab w:leader="none" w:pos="111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or the majority-in interest of the Takedown Requesting Holders (including if such Underwritten Takedown is in the form of a Block Trade), as applicable.</w:t>
      </w:r>
    </w:p>
    <w:p>
      <w:pPr>
        <w:spacing w:after="0" w:line="149"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Shelf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Holders</w:t>
      </w:r>
      <w:r>
        <w:rPr>
          <w:rFonts w:ascii="Times New Roman" w:cs="Times New Roman" w:eastAsia="Times New Roman" w:hAnsi="Times New Roman"/>
          <w:sz w:val="18"/>
          <w:szCs w:val="18"/>
          <w:color w:val="auto"/>
        </w:rPr>
        <w:t>” means any Holder electing to sell any of its Registrable Securities in a Registration.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shall have the meaning given in the Recitals.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Takedown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64"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45"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 including for the avoidance of doubt an Underwritten Shelf Takedown.</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1" w:name="page282"/>
    <w:bookmarkEnd w:id="281"/>
    <w:p>
      <w:pPr>
        <w:jc w:val="center"/>
        <w:ind w:right="-59"/>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2.1. </w:t>
      </w:r>
      <w:r>
        <w:rPr>
          <w:rFonts w:ascii="Times New Roman" w:cs="Times New Roman" w:eastAsia="Times New Roman" w:hAnsi="Times New Roman"/>
          <w:sz w:val="18"/>
          <w:szCs w:val="18"/>
          <w:b w:val="1"/>
          <w:bCs w:val="1"/>
          <w:color w:val="000000"/>
        </w:rPr>
        <w:t>Demand Registration</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jc w:val="both"/>
        <w:ind w:firstLine="1065"/>
        <w:spacing w:after="0" w:line="247" w:lineRule="auto"/>
        <w:rPr>
          <w:sz w:val="20"/>
          <w:szCs w:val="20"/>
          <w:color w:val="auto"/>
        </w:rPr>
      </w:pPr>
      <w:r>
        <w:rPr>
          <w:rFonts w:ascii="Times New Roman" w:cs="Times New Roman" w:eastAsia="Times New Roman" w:hAnsi="Times New Roman"/>
          <w:sz w:val="17"/>
          <w:szCs w:val="17"/>
          <w:color w:val="010000"/>
        </w:rPr>
        <w:t xml:space="preserve">2.1.1 </w:t>
      </w:r>
      <w:r>
        <w:rPr>
          <w:rFonts w:ascii="Times New Roman" w:cs="Times New Roman" w:eastAsia="Times New Roman" w:hAnsi="Times New Roman"/>
          <w:sz w:val="17"/>
          <w:szCs w:val="17"/>
          <w:u w:val="single" w:color="auto"/>
          <w:color w:val="000000"/>
        </w:rPr>
        <w:t>Request for Registration</w:t>
      </w:r>
      <w:r>
        <w:rPr>
          <w:rFonts w:ascii="Times New Roman" w:cs="Times New Roman" w:eastAsia="Times New Roman" w:hAnsi="Times New Roman"/>
          <w:sz w:val="17"/>
          <w:szCs w:val="17"/>
          <w:color w:val="000000"/>
        </w:rPr>
        <w:t>. Subject to the provisions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subsection 2.1.4</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2.4</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hereof, at any time and from time to time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following the Effective Time (but subject to Article V), (i) New Holders holding at least a majority in interest of the then-outstanding number of Registrable Securities held by all New Holders including or (ii) the Perceptive Holders holding at least a majority in interest of the then-outstanding number of Registrable Securities held by all Perceptive Holders (such New Holders or Perceptive Holders, as the case may be, the “</w:t>
      </w:r>
      <w:r>
        <w:rPr>
          <w:rFonts w:ascii="Times New Roman" w:cs="Times New Roman" w:eastAsia="Times New Roman" w:hAnsi="Times New Roman"/>
          <w:sz w:val="17"/>
          <w:szCs w:val="17"/>
          <w:b w:val="1"/>
          <w:bCs w:val="1"/>
          <w:color w:val="000000"/>
        </w:rPr>
        <w:t>Demanding Holders</w:t>
      </w:r>
      <w:r>
        <w:rPr>
          <w:rFonts w:ascii="Times New Roman" w:cs="Times New Roman" w:eastAsia="Times New Roman" w:hAnsi="Times New Roman"/>
          <w:sz w:val="17"/>
          <w:szCs w:val="17"/>
          <w:color w:val="000000"/>
        </w:rPr>
        <w:t>”), may make a written demand for Registration of all or part of their Registrable Securities on Form S-3 (or, if Form S-3 is not available to be used by the Company at such time, on Form S-1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7"/>
          <w:szCs w:val="17"/>
          <w:b w:val="1"/>
          <w:bCs w:val="1"/>
          <w:color w:val="000000"/>
        </w:rPr>
        <w:t>Demand Registration</w:t>
      </w:r>
      <w:r>
        <w:rPr>
          <w:rFonts w:ascii="Times New Roman" w:cs="Times New Roman" w:eastAsia="Times New Roman" w:hAnsi="Times New Roman"/>
          <w:sz w:val="17"/>
          <w:szCs w:val="17"/>
          <w:color w:val="000000"/>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7"/>
          <w:szCs w:val="17"/>
          <w:b w:val="1"/>
          <w:bCs w:val="1"/>
          <w:color w:val="000000"/>
        </w:rPr>
        <w:t>Demand Requesting Holder</w:t>
      </w:r>
      <w:r>
        <w:rPr>
          <w:rFonts w:ascii="Times New Roman" w:cs="Times New Roman" w:eastAsia="Times New Roman" w:hAnsi="Times New Roman"/>
          <w:sz w:val="17"/>
          <w:szCs w:val="17"/>
          <w:color w:val="000000"/>
        </w:rPr>
        <w:t xml:space="preserve">”) shall so notify the Company, in writing, within five (5) days after the receipt by the Holder of the notice from the Company. Upon receipt by the Company of any such written notification from a Demand Requesting Holder(s) to the Company, such Demand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Demand Requesting Holders pursuant to such Demand Registration; </w:t>
      </w:r>
      <w:r>
        <w:rPr>
          <w:rFonts w:ascii="Times New Roman" w:cs="Times New Roman" w:eastAsia="Times New Roman" w:hAnsi="Times New Roman"/>
          <w:sz w:val="17"/>
          <w:szCs w:val="17"/>
          <w:u w:val="single" w:color="auto"/>
          <w:color w:val="000000"/>
        </w:rPr>
        <w:t>provided that</w:t>
      </w:r>
      <w:r>
        <w:rPr>
          <w:rFonts w:ascii="Times New Roman" w:cs="Times New Roman" w:eastAsia="Times New Roman" w:hAnsi="Times New Roman"/>
          <w:sz w:val="17"/>
          <w:szCs w:val="17"/>
          <w:color w:val="000000"/>
        </w:rPr>
        <w:t xml:space="preserve"> the Company shall not be obligated to effect any Registration under this </w:t>
      </w:r>
      <w:r>
        <w:rPr>
          <w:rFonts w:ascii="Times New Roman" w:cs="Times New Roman" w:eastAsia="Times New Roman" w:hAnsi="Times New Roman"/>
          <w:sz w:val="17"/>
          <w:szCs w:val="17"/>
          <w:u w:val="single" w:color="auto"/>
          <w:color w:val="000000"/>
        </w:rPr>
        <w:t>subsection 2.1.1</w:t>
      </w:r>
      <w:r>
        <w:rPr>
          <w:rFonts w:ascii="Times New Roman" w:cs="Times New Roman" w:eastAsia="Times New Roman" w:hAnsi="Times New Roman"/>
          <w:sz w:val="17"/>
          <w:szCs w:val="17"/>
          <w:color w:val="000000"/>
        </w:rPr>
        <w:t xml:space="preserve"> if the Demanding Holders and Demand Requesting Holders propose to sell Registrable Securities with aggregate proceeds of less than $25,000,000. Under no circumstances shall the Company be obligated to effect more than an aggregate of (i) two (2) Registrations pursuant to a Demand Registration under this </w:t>
      </w:r>
      <w:r>
        <w:rPr>
          <w:rFonts w:ascii="Times New Roman" w:cs="Times New Roman" w:eastAsia="Times New Roman" w:hAnsi="Times New Roman"/>
          <w:sz w:val="17"/>
          <w:szCs w:val="17"/>
          <w:u w:val="single" w:color="auto"/>
          <w:color w:val="000000"/>
        </w:rPr>
        <w:t>subsection 2.1.1</w:t>
      </w:r>
      <w:r>
        <w:rPr>
          <w:rFonts w:ascii="Times New Roman" w:cs="Times New Roman" w:eastAsia="Times New Roman" w:hAnsi="Times New Roman"/>
          <w:sz w:val="17"/>
          <w:szCs w:val="17"/>
          <w:color w:val="000000"/>
        </w:rPr>
        <w:t xml:space="preserve"> initiated by New Holders, or (iii) two (2) Registration pursuant to a Demand Registration under this </w:t>
      </w:r>
      <w:r>
        <w:rPr>
          <w:rFonts w:ascii="Times New Roman" w:cs="Times New Roman" w:eastAsia="Times New Roman" w:hAnsi="Times New Roman"/>
          <w:sz w:val="17"/>
          <w:szCs w:val="17"/>
          <w:u w:val="single" w:color="auto"/>
          <w:color w:val="000000"/>
        </w:rPr>
        <w:t>subsection 2.1.1</w:t>
      </w:r>
      <w:r>
        <w:rPr>
          <w:rFonts w:ascii="Times New Roman" w:cs="Times New Roman" w:eastAsia="Times New Roman" w:hAnsi="Times New Roman"/>
          <w:sz w:val="17"/>
          <w:szCs w:val="17"/>
          <w:color w:val="000000"/>
        </w:rPr>
        <w:t xml:space="preserve"> initiated by Perceptive Holders.</w:t>
      </w:r>
    </w:p>
    <w:p>
      <w:pPr>
        <w:spacing w:after="0" w:line="372" w:lineRule="exact"/>
        <w:rPr>
          <w:sz w:val="20"/>
          <w:szCs w:val="20"/>
          <w:color w:val="auto"/>
        </w:rPr>
      </w:pPr>
    </w:p>
    <w:p>
      <w:pPr>
        <w:jc w:val="both"/>
        <w:ind w:firstLine="1065"/>
        <w:spacing w:after="0" w:line="234" w:lineRule="auto"/>
        <w:rPr>
          <w:sz w:val="20"/>
          <w:szCs w:val="20"/>
          <w:color w:val="auto"/>
        </w:rPr>
      </w:pPr>
      <w:r>
        <w:rPr>
          <w:rFonts w:ascii="Times New Roman" w:cs="Times New Roman" w:eastAsia="Times New Roman" w:hAnsi="Times New Roman"/>
          <w:sz w:val="18"/>
          <w:szCs w:val="18"/>
          <w:color w:val="010000"/>
        </w:rPr>
        <w:t xml:space="preserve">2.1.2 </w:t>
      </w:r>
      <w:r>
        <w:rPr>
          <w:rFonts w:ascii="Times New Roman" w:cs="Times New Roman" w:eastAsia="Times New Roman" w:hAnsi="Times New Roman"/>
          <w:sz w:val="18"/>
          <w:szCs w:val="18"/>
          <w:u w:val="single" w:color="auto"/>
          <w:color w:val="000000"/>
        </w:rPr>
        <w:t>Effective Registration</w:t>
      </w:r>
      <w:r>
        <w:rPr>
          <w:rFonts w:ascii="Times New Roman" w:cs="Times New Roman" w:eastAsia="Times New Roman" w:hAnsi="Times New Roman"/>
          <w:sz w:val="18"/>
          <w:szCs w:val="18"/>
          <w:color w:val="000000"/>
        </w:rPr>
        <w:t>. Notwithstanding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subsection 2.1.1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or any other part of this Agreement, a Registration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w:t>
      </w:r>
      <w:r>
        <w:rPr>
          <w:rFonts w:ascii="Times New Roman" w:cs="Times New Roman" w:eastAsia="Times New Roman" w:hAnsi="Times New Roman"/>
          <w:sz w:val="18"/>
          <w:szCs w:val="18"/>
          <w:u w:val="single" w:color="auto"/>
          <w:color w:val="000000"/>
        </w:rPr>
        <w:t>subsection 2.1.1</w:t>
      </w:r>
      <w:r>
        <w:rPr>
          <w:rFonts w:ascii="Times New Roman" w:cs="Times New Roman" w:eastAsia="Times New Roman" w:hAnsi="Times New Roman"/>
          <w:sz w:val="18"/>
          <w:szCs w:val="18"/>
          <w:color w:val="000000"/>
        </w:rPr>
        <w:t xml:space="preserve"> above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spacing w:after="0" w:line="176" w:lineRule="exact"/>
        <w:rPr>
          <w:sz w:val="20"/>
          <w:szCs w:val="20"/>
          <w:color w:val="auto"/>
        </w:rPr>
      </w:pPr>
    </w:p>
    <w:p>
      <w:pPr>
        <w:jc w:val="both"/>
        <w:ind w:firstLine="1065"/>
        <w:spacing w:after="0" w:line="236" w:lineRule="auto"/>
        <w:rPr>
          <w:sz w:val="20"/>
          <w:szCs w:val="20"/>
          <w:color w:val="auto"/>
        </w:rPr>
      </w:pPr>
      <w:r>
        <w:rPr>
          <w:rFonts w:ascii="Times New Roman" w:cs="Times New Roman" w:eastAsia="Times New Roman" w:hAnsi="Times New Roman"/>
          <w:sz w:val="18"/>
          <w:szCs w:val="18"/>
          <w:color w:val="010000"/>
        </w:rPr>
        <w:t xml:space="preserve">2.1.3 </w:t>
      </w:r>
      <w:r>
        <w:rPr>
          <w:rFonts w:ascii="Times New Roman" w:cs="Times New Roman" w:eastAsia="Times New Roman" w:hAnsi="Times New Roman"/>
          <w:sz w:val="18"/>
          <w:szCs w:val="18"/>
          <w:u w:val="single" w:color="auto"/>
          <w:color w:val="000000"/>
        </w:rPr>
        <w:t>Underwritten Offering</w:t>
      </w:r>
      <w:r>
        <w:rPr>
          <w:rFonts w:ascii="Times New Roman" w:cs="Times New Roman" w:eastAsia="Times New Roman" w:hAnsi="Times New Roman"/>
          <w:sz w:val="18"/>
          <w:szCs w:val="18"/>
          <w:color w:val="000000"/>
        </w:rPr>
        <w:t>. Subject to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subsection 2.1.4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hereof, if a majority-in-interest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Demanding Holders advise the Company as part of their Demand Registration that the offering of the Registrable Securities pursuant to such Demand Registration shall be in the form of an Underwritten Offering, then the right of such Demanding Holder or Demand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000000"/>
        </w:rPr>
        <w:t>subsection 2.1.3</w:t>
      </w:r>
      <w:r>
        <w:rPr>
          <w:rFonts w:ascii="Times New Roman" w:cs="Times New Roman" w:eastAsia="Times New Roman" w:hAnsi="Times New Roman"/>
          <w:sz w:val="18"/>
          <w:szCs w:val="18"/>
          <w:color w:val="000000"/>
        </w:rPr>
        <w:t xml:space="preserve"> shall enter into an underwriting agreement in customary form with the Underwriter(s) selected for such Underwritten Offering by a majority-in-interest of the Demanding Holders, such Underwriter(s) to be reasonably acceptable to the Company.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82" w:name="page283"/>
    <w:bookmarkEnd w:id="282"/>
    <w:p>
      <w:pPr>
        <w:jc w:val="both"/>
        <w:ind w:firstLine="1065"/>
        <w:spacing w:after="0" w:line="233" w:lineRule="auto"/>
        <w:rPr>
          <w:sz w:val="20"/>
          <w:szCs w:val="20"/>
          <w:color w:val="auto"/>
        </w:rPr>
      </w:pPr>
      <w:r>
        <w:rPr>
          <w:rFonts w:ascii="Times New Roman" w:cs="Times New Roman" w:eastAsia="Times New Roman" w:hAnsi="Times New Roman"/>
          <w:sz w:val="18"/>
          <w:szCs w:val="18"/>
          <w:color w:val="010000"/>
        </w:rPr>
        <w:t xml:space="preserve">2.1.4 </w:t>
      </w:r>
      <w:r>
        <w:rPr>
          <w:rFonts w:ascii="Times New Roman" w:cs="Times New Roman" w:eastAsia="Times New Roman" w:hAnsi="Times New Roman"/>
          <w:sz w:val="18"/>
          <w:szCs w:val="18"/>
          <w:u w:val="single" w:color="auto"/>
          <w:color w:val="000000"/>
        </w:rPr>
        <w:t>Reduction of Underwritten Offering</w:t>
      </w:r>
      <w:r>
        <w:rPr>
          <w:rFonts w:ascii="Times New Roman" w:cs="Times New Roman" w:eastAsia="Times New Roman" w:hAnsi="Times New Roman"/>
          <w:sz w:val="18"/>
          <w:szCs w:val="18"/>
          <w:color w:val="000000"/>
        </w:rPr>
        <w:t>. If the managing Underwriter or Underwriters in an Underwritten Registration pursuant to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Demand Registration, in good faith, advises the Company, the Demanding Holders and the Demand Requesting Holders (if any) in writing that the dollar amount or number of Registrable Securities that the Demanding Holders and the Demand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color w:val="000000"/>
        </w:rPr>
        <w:t>Maximum Number of Securities</w:t>
      </w:r>
      <w:r>
        <w:rPr>
          <w:rFonts w:ascii="Times New Roman" w:cs="Times New Roman" w:eastAsia="Times New Roman" w:hAnsi="Times New Roman"/>
          <w:sz w:val="18"/>
          <w:szCs w:val="18"/>
          <w:color w:val="000000"/>
        </w:rPr>
        <w:t>”), then the Company shal include in such Underwritten Offering, as follows: (i) first, the Registrable Securities of the Demanding Holders and the Demand Requesting Holders (if any) (pro rata based on the respective number of Registrable Securities that each Demanding Holder and Demand Requesting Holder (if any) has requested be included in such Underwritten Registration and the aggregate number of Registrable Securities that the Demanding Holders and Demand Requesting Holders have requested be included in such Underwritten Registration (such proportion is referred to herein as “</w:t>
      </w:r>
      <w:r>
        <w:rPr>
          <w:rFonts w:ascii="Times New Roman" w:cs="Times New Roman" w:eastAsia="Times New Roman" w:hAnsi="Times New Roman"/>
          <w:sz w:val="18"/>
          <w:szCs w:val="18"/>
          <w:b w:val="1"/>
          <w:bCs w:val="1"/>
          <w:color w:val="000000"/>
        </w:rPr>
        <w:t>Pro Rata</w:t>
      </w:r>
      <w:r>
        <w:rPr>
          <w:rFonts w:ascii="Times New Roman" w:cs="Times New Roman" w:eastAsia="Times New Roman" w:hAnsi="Times New Roman"/>
          <w:sz w:val="18"/>
          <w:szCs w:val="18"/>
          <w:color w:val="000000"/>
        </w:rPr>
        <w:t>”)) that can be sold without exceeding the Maximum Number of Securities; (ii) second, to the extent that the Maximum Number of Securities has not been reached under the foregoing clause (i), Common Stock or other equity securities that the Company desires to sell, which can be sold without exceeding the Maximum Number of Securities; and (iii) third, to the extent that the Maximum Number of Securities has not been reached under the foregoing clauses (i) and (ii),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78" w:lineRule="exact"/>
        <w:rPr>
          <w:sz w:val="20"/>
          <w:szCs w:val="20"/>
          <w:color w:val="auto"/>
        </w:rPr>
      </w:pPr>
    </w:p>
    <w:p>
      <w:pPr>
        <w:jc w:val="both"/>
        <w:ind w:firstLine="1065"/>
        <w:spacing w:after="0" w:line="235" w:lineRule="auto"/>
        <w:rPr>
          <w:sz w:val="20"/>
          <w:szCs w:val="20"/>
          <w:color w:val="auto"/>
        </w:rPr>
      </w:pPr>
      <w:r>
        <w:rPr>
          <w:rFonts w:ascii="Times New Roman" w:cs="Times New Roman" w:eastAsia="Times New Roman" w:hAnsi="Times New Roman"/>
          <w:sz w:val="18"/>
          <w:szCs w:val="18"/>
          <w:color w:val="010000"/>
        </w:rPr>
        <w:t xml:space="preserve">2.1.5 </w:t>
      </w:r>
      <w:r>
        <w:rPr>
          <w:rFonts w:ascii="Times New Roman" w:cs="Times New Roman" w:eastAsia="Times New Roman" w:hAnsi="Times New Roman"/>
          <w:sz w:val="18"/>
          <w:szCs w:val="18"/>
          <w:u w:val="single" w:color="auto"/>
          <w:color w:val="000000"/>
        </w:rPr>
        <w:t>Demand Registration Withdrawal</w:t>
      </w:r>
      <w:r>
        <w:rPr>
          <w:rFonts w:ascii="Times New Roman" w:cs="Times New Roman" w:eastAsia="Times New Roman" w:hAnsi="Times New Roman"/>
          <w:sz w:val="18"/>
          <w:szCs w:val="18"/>
          <w:color w:val="000000"/>
        </w:rPr>
        <w:t>. A majority-in-interest of the New Holders or a majority-in-interest of the Perceptive Holders,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case may be, in the case of a Registration under </w:t>
      </w:r>
      <w:r>
        <w:rPr>
          <w:rFonts w:ascii="Times New Roman" w:cs="Times New Roman" w:eastAsia="Times New Roman" w:hAnsi="Times New Roman"/>
          <w:sz w:val="18"/>
          <w:szCs w:val="18"/>
          <w:u w:val="single" w:color="auto"/>
          <w:color w:val="000000"/>
        </w:rPr>
        <w:t>subsection 2.1.1</w:t>
      </w:r>
      <w:r>
        <w:rPr>
          <w:rFonts w:ascii="Times New Roman" w:cs="Times New Roman" w:eastAsia="Times New Roman" w:hAnsi="Times New Roman"/>
          <w:sz w:val="18"/>
          <w:szCs w:val="18"/>
          <w:color w:val="000000"/>
        </w:rPr>
        <w:t xml:space="preserve"> initiated by the New Holders or the Perceptive Holders, as the case may be, or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(or after such Registration Statement has been declared effective and is subsequently interfered with by any stop order or injunction of the Commission, federal or state court or any other governmental agency). In the event of such withdrawal the Holders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000000"/>
        </w:rPr>
        <w:t>subsection 2.1.5</w:t>
      </w:r>
      <w:r>
        <w:rPr>
          <w:rFonts w:ascii="Times New Roman" w:cs="Times New Roman" w:eastAsia="Times New Roman" w:hAnsi="Times New Roman"/>
          <w:sz w:val="18"/>
          <w:szCs w:val="18"/>
          <w:color w:val="000000"/>
        </w:rPr>
        <w:t xml:space="preserve">, unless the Holders of a majority of the Registrable Securities agree to forfeit their right to a demand registration pursuant to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2.2. </w:t>
      </w:r>
      <w:r>
        <w:rPr>
          <w:rFonts w:ascii="Times New Roman" w:cs="Times New Roman" w:eastAsia="Times New Roman" w:hAnsi="Times New Roman"/>
          <w:sz w:val="18"/>
          <w:szCs w:val="18"/>
          <w:b w:val="1"/>
          <w:bCs w:val="1"/>
          <w:color w:val="000000"/>
        </w:rPr>
        <w:t>Piggyback Registration</w:t>
      </w:r>
      <w:r>
        <w:rPr>
          <w:rFonts w:ascii="Times New Roman" w:cs="Times New Roman" w:eastAsia="Times New Roman" w:hAnsi="Times New Roman"/>
          <w:sz w:val="18"/>
          <w:szCs w:val="18"/>
          <w:color w:val="000000"/>
        </w:rPr>
        <w:t>.</w:t>
      </w:r>
    </w:p>
    <w:p>
      <w:pPr>
        <w:spacing w:after="0" w:line="194" w:lineRule="exact"/>
        <w:rPr>
          <w:sz w:val="20"/>
          <w:szCs w:val="20"/>
          <w:color w:val="auto"/>
        </w:rPr>
      </w:pPr>
    </w:p>
    <w:p>
      <w:pPr>
        <w:jc w:val="both"/>
        <w:ind w:firstLine="1065"/>
        <w:spacing w:after="0" w:line="248" w:lineRule="auto"/>
        <w:rPr>
          <w:sz w:val="20"/>
          <w:szCs w:val="20"/>
          <w:color w:val="auto"/>
        </w:rPr>
      </w:pPr>
      <w:r>
        <w:rPr>
          <w:rFonts w:ascii="Times New Roman" w:cs="Times New Roman" w:eastAsia="Times New Roman" w:hAnsi="Times New Roman"/>
          <w:sz w:val="17"/>
          <w:szCs w:val="17"/>
          <w:color w:val="010000"/>
        </w:rPr>
        <w:t xml:space="preserve">2.2.1 </w:t>
      </w:r>
      <w:r>
        <w:rPr>
          <w:rFonts w:ascii="Times New Roman" w:cs="Times New Roman" w:eastAsia="Times New Roman" w:hAnsi="Times New Roman"/>
          <w:sz w:val="17"/>
          <w:szCs w:val="17"/>
          <w:u w:val="single" w:color="auto"/>
          <w:color w:val="000000"/>
        </w:rPr>
        <w:t>Piggyback Rights</w:t>
      </w:r>
      <w:r>
        <w:rPr>
          <w:rFonts w:ascii="Times New Roman" w:cs="Times New Roman" w:eastAsia="Times New Roman" w:hAnsi="Times New Roman"/>
          <w:sz w:val="17"/>
          <w:szCs w:val="17"/>
          <w:color w:val="000000"/>
        </w:rPr>
        <w:t>. If the Company proposes to file a Registration Statement under the Securities Act with respect to an offering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equity securities, or securities or other obligations exercisable or exchangeable for, or convertible into equity securities, for its own account or for the account of stockholders of the Company (other than pursuant to </w:t>
      </w:r>
      <w:r>
        <w:rPr>
          <w:rFonts w:ascii="Times New Roman" w:cs="Times New Roman" w:eastAsia="Times New Roman" w:hAnsi="Times New Roman"/>
          <w:sz w:val="17"/>
          <w:szCs w:val="17"/>
          <w:u w:val="single" w:color="auto"/>
          <w:color w:val="000000"/>
        </w:rPr>
        <w:t>Sections 2.1</w:t>
      </w:r>
      <w:r>
        <w:rPr>
          <w:rFonts w:ascii="Times New Roman" w:cs="Times New Roman" w:eastAsia="Times New Roman" w:hAnsi="Times New Roman"/>
          <w:sz w:val="17"/>
          <w:szCs w:val="17"/>
          <w:color w:val="000000"/>
        </w:rPr>
        <w:t xml:space="preserve"> and </w:t>
      </w:r>
      <w:r>
        <w:rPr>
          <w:rFonts w:ascii="Times New Roman" w:cs="Times New Roman" w:eastAsia="Times New Roman" w:hAnsi="Times New Roman"/>
          <w:sz w:val="17"/>
          <w:szCs w:val="17"/>
          <w:u w:val="single" w:color="auto"/>
          <w:color w:val="000000"/>
        </w:rPr>
        <w:t>2.3</w:t>
      </w:r>
      <w:r>
        <w:rPr>
          <w:rFonts w:ascii="Times New Roman" w:cs="Times New Roman" w:eastAsia="Times New Roman" w:hAnsi="Times New Roman"/>
          <w:sz w:val="17"/>
          <w:szCs w:val="17"/>
          <w:color w:val="000000"/>
        </w:rPr>
        <w:t xml:space="preserve"> of this Agreement),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filed on Form S-4 related to any merger, acquisition or business combination, or (v)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7"/>
          <w:szCs w:val="17"/>
          <w:b w:val="1"/>
          <w:bCs w:val="1"/>
          <w:color w:val="000000"/>
        </w:rPr>
        <w:t>Piggyback Registration</w:t>
      </w:r>
      <w:r>
        <w:rPr>
          <w:rFonts w:ascii="Times New Roman" w:cs="Times New Roman" w:eastAsia="Times New Roman" w:hAnsi="Times New Roman"/>
          <w:sz w:val="17"/>
          <w:szCs w:val="17"/>
          <w:color w:val="000000"/>
        </w:rPr>
        <w:t xml:space="preserve">”). The Company shall, in good faith, cause such Registrable Securities to be included in such Piggyback Registration and shall use its commercially reasonable efforts to cause the managing Underwriter(s) of a proposed Underwritten Offering to permit the Registrable Securities requested by the Holders pursuant to this </w:t>
      </w:r>
      <w:r>
        <w:rPr>
          <w:rFonts w:ascii="Times New Roman" w:cs="Times New Roman" w:eastAsia="Times New Roman" w:hAnsi="Times New Roman"/>
          <w:sz w:val="17"/>
          <w:szCs w:val="17"/>
          <w:u w:val="single" w:color="auto"/>
          <w:color w:val="000000"/>
        </w:rPr>
        <w:t>subsection 2.2.1</w:t>
      </w:r>
      <w:r>
        <w:rPr>
          <w:rFonts w:ascii="Times New Roman" w:cs="Times New Roman" w:eastAsia="Times New Roman" w:hAnsi="Times New Roman"/>
          <w:sz w:val="17"/>
          <w:szCs w:val="17"/>
          <w:color w:val="000000"/>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 such Holders proposing to distribute their Registrable Securities through an Underwritten Offering under this </w:t>
      </w:r>
      <w:r>
        <w:rPr>
          <w:rFonts w:ascii="Times New Roman" w:cs="Times New Roman" w:eastAsia="Times New Roman" w:hAnsi="Times New Roman"/>
          <w:sz w:val="17"/>
          <w:szCs w:val="17"/>
          <w:u w:val="single" w:color="auto"/>
          <w:color w:val="000000"/>
        </w:rPr>
        <w:t>subsection 2.2.1</w:t>
      </w:r>
      <w:r>
        <w:rPr>
          <w:rFonts w:ascii="Times New Roman" w:cs="Times New Roman" w:eastAsia="Times New Roman" w:hAnsi="Times New Roman"/>
          <w:sz w:val="17"/>
          <w:szCs w:val="17"/>
          <w:color w:val="000000"/>
        </w:rPr>
        <w:t xml:space="preserve"> shall enter into an underwriting agreement in customary form with the Underwriter(s) selected for such Underwritten Offering by the Company.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283" w:name="page284"/>
    <w:bookmarkEnd w:id="283"/>
    <w:p>
      <w:pPr>
        <w:jc w:val="both"/>
        <w:ind w:firstLine="1065"/>
        <w:spacing w:after="0" w:line="236" w:lineRule="auto"/>
        <w:rPr>
          <w:sz w:val="20"/>
          <w:szCs w:val="20"/>
          <w:color w:val="auto"/>
        </w:rPr>
      </w:pPr>
      <w:r>
        <w:rPr>
          <w:rFonts w:ascii="Times New Roman" w:cs="Times New Roman" w:eastAsia="Times New Roman" w:hAnsi="Times New Roman"/>
          <w:sz w:val="18"/>
          <w:szCs w:val="18"/>
          <w:color w:val="010000"/>
        </w:rPr>
        <w:t xml:space="preserve">2.2.2 </w:t>
      </w:r>
      <w:r>
        <w:rPr>
          <w:rFonts w:ascii="Times New Roman" w:cs="Times New Roman" w:eastAsia="Times New Roman" w:hAnsi="Times New Roman"/>
          <w:sz w:val="18"/>
          <w:szCs w:val="18"/>
          <w:u w:val="single" w:color="auto"/>
          <w:color w:val="000000"/>
        </w:rPr>
        <w:t>Reduction of Piggyback Registration</w:t>
      </w:r>
      <w:r>
        <w:rPr>
          <w:rFonts w:ascii="Times New Roman" w:cs="Times New Roman" w:eastAsia="Times New Roman" w:hAnsi="Times New Roman"/>
          <w:sz w:val="18"/>
          <w:szCs w:val="18"/>
          <w:color w:val="000000"/>
        </w:rPr>
        <w:t>. If the managing Underwriter(s) in an Underwritten Registration that is to be a Piggyback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Registration, in good faith, advises the Company and the Holders of Registrable Securities participating in the Piggyback Registration in writing that the dollar amount or number of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000000"/>
        </w:rPr>
        <w:t>Section 2.2.1</w:t>
      </w:r>
      <w:r>
        <w:rPr>
          <w:rFonts w:ascii="Times New Roman" w:cs="Times New Roman" w:eastAsia="Times New Roman" w:hAnsi="Times New Roman"/>
          <w:sz w:val="18"/>
          <w:szCs w:val="18"/>
          <w:color w:val="000000"/>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81" w:lineRule="exact"/>
        <w:rPr>
          <w:sz w:val="20"/>
          <w:szCs w:val="20"/>
          <w:color w:val="auto"/>
        </w:rPr>
      </w:pPr>
    </w:p>
    <w:p>
      <w:pPr>
        <w:jc w:val="both"/>
        <w:ind w:left="1600" w:hanging="526"/>
        <w:spacing w:after="0" w:line="251" w:lineRule="auto"/>
        <w:tabs>
          <w:tab w:leader="none" w:pos="1600" w:val="left"/>
        </w:tabs>
        <w:numPr>
          <w:ilvl w:val="0"/>
          <w:numId w:val="291"/>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 xml:space="preserve">If the Registration is undertaken for the Company’s account, the Company shall include in any such Registration (A) first,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5"/>
          <w:szCs w:val="15"/>
          <w:u w:val="single" w:color="auto"/>
          <w:color w:val="auto"/>
        </w:rPr>
        <w:t>subsection 2.2.1</w:t>
      </w:r>
      <w:r>
        <w:rPr>
          <w:rFonts w:ascii="Times New Roman" w:cs="Times New Roman" w:eastAsia="Times New Roman" w:hAnsi="Times New Roman"/>
          <w:sz w:val="15"/>
          <w:szCs w:val="15"/>
          <w:color w:val="auto"/>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Common Stock, if any, as to which Registration has been requested pursuant to written contractual piggy-back registration rights of other stockholders of the Company, which can be sold without exceeding the Maximum Number of Securities; and</w:t>
      </w:r>
    </w:p>
    <w:p>
      <w:pPr>
        <w:spacing w:after="0" w:line="179" w:lineRule="exact"/>
        <w:rPr>
          <w:rFonts w:ascii="Times New Roman" w:cs="Times New Roman" w:eastAsia="Times New Roman" w:hAnsi="Times New Roman"/>
          <w:sz w:val="15"/>
          <w:szCs w:val="15"/>
          <w:color w:val="010000"/>
        </w:rPr>
      </w:pPr>
    </w:p>
    <w:p>
      <w:pPr>
        <w:jc w:val="both"/>
        <w:ind w:left="1600" w:hanging="526"/>
        <w:spacing w:after="0" w:line="249" w:lineRule="auto"/>
        <w:tabs>
          <w:tab w:leader="none" w:pos="1600" w:val="left"/>
        </w:tabs>
        <w:numPr>
          <w:ilvl w:val="0"/>
          <w:numId w:val="291"/>
        </w:numPr>
        <w:rPr>
          <w:rFonts w:ascii="Times New Roman" w:cs="Times New Roman" w:eastAsia="Times New Roman" w:hAnsi="Times New Roman"/>
          <w:sz w:val="15"/>
          <w:szCs w:val="15"/>
          <w:color w:val="010000"/>
        </w:rPr>
      </w:pPr>
      <w:r>
        <w:rPr>
          <w:rFonts w:ascii="Times New Roman" w:cs="Times New Roman" w:eastAsia="Times New Roman" w:hAnsi="Times New Roman"/>
          <w:sz w:val="15"/>
          <w:szCs w:val="15"/>
          <w:color w:val="auto"/>
        </w:rPr>
        <w:t xml:space="preserve">If the Registration is pursuant to a request by persons or entities other than the Holders of Registrable Securities, then the Company shall include in any such Registration (A) first,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5"/>
          <w:szCs w:val="15"/>
          <w:u w:val="single" w:color="auto"/>
          <w:color w:val="auto"/>
        </w:rPr>
        <w:t>subsection 2.2.1</w:t>
      </w:r>
      <w:r>
        <w:rPr>
          <w:rFonts w:ascii="Times New Roman" w:cs="Times New Roman" w:eastAsia="Times New Roman" w:hAnsi="Times New Roman"/>
          <w:sz w:val="15"/>
          <w:szCs w:val="15"/>
          <w:color w:val="auto"/>
        </w:rPr>
        <w:t>, Pro Rata based on the respective number of Registrable Securities that each Holder has requested, which can be sold without exceeding the Maximum Number of Securities; (C) third, to the extent that the Maximum Number of Securities has not been reached under the foregoing clauses (A) and (B), Common Stock or other equity securities that the Company desires to sell, which can be sold without exceeding the Maximum Number of Securities; and (D) fourth, to the extent that the Maximum Number of Securities has not been reached under the foregoing clauses (A), (B) and (C),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77" w:lineRule="exact"/>
        <w:rPr>
          <w:sz w:val="20"/>
          <w:szCs w:val="20"/>
          <w:color w:val="auto"/>
        </w:rPr>
      </w:pPr>
    </w:p>
    <w:p>
      <w:pPr>
        <w:jc w:val="both"/>
        <w:ind w:firstLine="1065"/>
        <w:spacing w:after="0" w:line="235" w:lineRule="auto"/>
        <w:rPr>
          <w:sz w:val="20"/>
          <w:szCs w:val="20"/>
          <w:color w:val="auto"/>
        </w:rPr>
      </w:pPr>
      <w:r>
        <w:rPr>
          <w:rFonts w:ascii="Times New Roman" w:cs="Times New Roman" w:eastAsia="Times New Roman" w:hAnsi="Times New Roman"/>
          <w:sz w:val="18"/>
          <w:szCs w:val="18"/>
          <w:color w:val="010000"/>
        </w:rPr>
        <w:t xml:space="preserve">2.2.3 </w:t>
      </w:r>
      <w:r>
        <w:rPr>
          <w:rFonts w:ascii="Times New Roman" w:cs="Times New Roman" w:eastAsia="Times New Roman" w:hAnsi="Times New Roman"/>
          <w:sz w:val="18"/>
          <w:szCs w:val="18"/>
          <w:u w:val="single" w:color="auto"/>
          <w:color w:val="000000"/>
        </w:rPr>
        <w:t>Piggyback Registration Withdrawal</w:t>
      </w:r>
      <w:r>
        <w:rPr>
          <w:rFonts w:ascii="Times New Roman" w:cs="Times New Roman" w:eastAsia="Times New Roman" w:hAnsi="Times New Roman"/>
          <w:sz w:val="18"/>
          <w:szCs w:val="18"/>
          <w:color w:val="000000"/>
        </w:rPr>
        <w:t>. Any Holder of Registrable Securities shall have the right to withdraw from a Piggyback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if such Piggyback Registration is in connection with an underwritten offering pursuant to an effective shelf registration statement, then prior to the public announcement of such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000000"/>
        </w:rPr>
        <w:t>subsection 2.2.3</w:t>
      </w:r>
      <w:r>
        <w:rPr>
          <w:rFonts w:ascii="Times New Roman" w:cs="Times New Roman" w:eastAsia="Times New Roman" w:hAnsi="Times New Roman"/>
          <w:sz w:val="18"/>
          <w:szCs w:val="18"/>
          <w:color w:val="000000"/>
        </w:rPr>
        <w: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284" w:name="page285"/>
    <w:bookmarkEnd w:id="284"/>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2.2.4 </w:t>
      </w:r>
      <w:r>
        <w:rPr>
          <w:rFonts w:ascii="Times New Roman" w:cs="Times New Roman" w:eastAsia="Times New Roman" w:hAnsi="Times New Roman"/>
          <w:sz w:val="18"/>
          <w:szCs w:val="18"/>
          <w:u w:val="single" w:color="auto"/>
          <w:color w:val="000000"/>
        </w:rPr>
        <w:t>Unlimited Piggyback Registration Rights</w:t>
      </w:r>
      <w:r>
        <w:rPr>
          <w:rFonts w:ascii="Times New Roman" w:cs="Times New Roman" w:eastAsia="Times New Roman" w:hAnsi="Times New Roman"/>
          <w:sz w:val="18"/>
          <w:szCs w:val="18"/>
          <w:color w:val="000000"/>
        </w:rPr>
        <w:t>. For purposes of clarity, any Registration effected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hereof shall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be counted as a Registration pursuant to a Demand Registration effected under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xml:space="preserve"> hereof.</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2.2.5 </w:t>
      </w:r>
      <w:r>
        <w:rPr>
          <w:rFonts w:ascii="Times New Roman" w:cs="Times New Roman" w:eastAsia="Times New Roman" w:hAnsi="Times New Roman"/>
          <w:sz w:val="18"/>
          <w:szCs w:val="18"/>
          <w:u w:val="single" w:color="auto"/>
          <w:color w:val="000000"/>
        </w:rPr>
        <w:t>Right to Terminate Registration</w:t>
      </w:r>
      <w:r>
        <w:rPr>
          <w:rFonts w:ascii="Times New Roman" w:cs="Times New Roman" w:eastAsia="Times New Roman" w:hAnsi="Times New Roman"/>
          <w:sz w:val="18"/>
          <w:szCs w:val="18"/>
          <w:color w:val="000000"/>
        </w:rPr>
        <w:t>. The Company shall have the right to terminate or withdraw any registration initiated by it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xml:space="preserve"> prior to the effectiveness of such registration whether or not any Holder of Registrable Securities has elected to include securities in such registration.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2.3. </w:t>
      </w:r>
      <w:r>
        <w:rPr>
          <w:rFonts w:ascii="Times New Roman" w:cs="Times New Roman" w:eastAsia="Times New Roman" w:hAnsi="Times New Roman"/>
          <w:sz w:val="18"/>
          <w:szCs w:val="18"/>
          <w:b w:val="1"/>
          <w:bCs w:val="1"/>
          <w:color w:val="000000"/>
        </w:rPr>
        <w:t>Resale Shelf Registration Rights</w:t>
      </w:r>
    </w:p>
    <w:p>
      <w:pPr>
        <w:spacing w:after="0" w:line="194" w:lineRule="exact"/>
        <w:rPr>
          <w:sz w:val="20"/>
          <w:szCs w:val="20"/>
          <w:color w:val="auto"/>
        </w:rPr>
      </w:pPr>
    </w:p>
    <w:p>
      <w:pPr>
        <w:jc w:val="both"/>
        <w:ind w:firstLine="1065"/>
        <w:spacing w:after="0" w:line="233" w:lineRule="auto"/>
        <w:rPr>
          <w:sz w:val="20"/>
          <w:szCs w:val="20"/>
          <w:color w:val="auto"/>
        </w:rPr>
      </w:pPr>
      <w:r>
        <w:rPr>
          <w:rFonts w:ascii="Times New Roman" w:cs="Times New Roman" w:eastAsia="Times New Roman" w:hAnsi="Times New Roman"/>
          <w:sz w:val="18"/>
          <w:szCs w:val="18"/>
          <w:color w:val="010000"/>
        </w:rPr>
        <w:t xml:space="preserve">2.3.1 </w:t>
      </w:r>
      <w:r>
        <w:rPr>
          <w:rFonts w:ascii="Times New Roman" w:cs="Times New Roman" w:eastAsia="Times New Roman" w:hAnsi="Times New Roman"/>
          <w:sz w:val="18"/>
          <w:szCs w:val="18"/>
          <w:u w:val="single" w:color="auto"/>
          <w:color w:val="000000"/>
        </w:rPr>
        <w:t>Registration Statement Covering Resale of Registrable Securities</w:t>
      </w:r>
      <w:r>
        <w:rPr>
          <w:rFonts w:ascii="Times New Roman" w:cs="Times New Roman" w:eastAsia="Times New Roman" w:hAnsi="Times New Roman"/>
          <w:sz w:val="18"/>
          <w:szCs w:val="18"/>
          <w:color w:val="000000"/>
        </w:rPr>
        <w:t>. The Company shall prepare and file or cause to be prepared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filed with the Commission, no later than forty-five (45) days following the Closing Date (the “</w:t>
      </w:r>
      <w:r>
        <w:rPr>
          <w:rFonts w:ascii="Times New Roman" w:cs="Times New Roman" w:eastAsia="Times New Roman" w:hAnsi="Times New Roman"/>
          <w:sz w:val="18"/>
          <w:szCs w:val="18"/>
          <w:b w:val="1"/>
          <w:bCs w:val="1"/>
          <w:color w:val="000000"/>
        </w:rPr>
        <w:t>Filing Deadline</w:t>
      </w:r>
      <w:r>
        <w:rPr>
          <w:rFonts w:ascii="Times New Roman" w:cs="Times New Roman" w:eastAsia="Times New Roman" w:hAnsi="Times New Roman"/>
          <w:sz w:val="18"/>
          <w:szCs w:val="18"/>
          <w:color w:val="000000"/>
        </w:rPr>
        <w:t>”),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Times New Roman" w:cs="Times New Roman" w:eastAsia="Times New Roman" w:hAnsi="Times New Roman"/>
          <w:sz w:val="18"/>
          <w:szCs w:val="18"/>
          <w:b w:val="1"/>
          <w:bCs w:val="1"/>
          <w:color w:val="000000"/>
        </w:rPr>
        <w:t>Resale Shelf Registration Statement</w:t>
      </w:r>
      <w:r>
        <w:rPr>
          <w:rFonts w:ascii="Times New Roman" w:cs="Times New Roman" w:eastAsia="Times New Roman" w:hAnsi="Times New Roman"/>
          <w:sz w:val="18"/>
          <w:szCs w:val="18"/>
          <w:color w:val="000000"/>
        </w:rPr>
        <w:t xml:space="preserve">”). The Resale Shelf Registration Statement shall be on Form S-3 (or, if Form S-3 is not available to be used by the Company at such time, on Form S-1 or another appropriate form permitting Registration of such Registrable Securities for resale). If the Resale Shelf Registration Statement is initially filed on Form S-1 and thereafter the Company becomes eligible to use Form S-3 for secondary sales, the Company shall, as promptly as practicable, cause such Resale Shelf Registration Statement to be amended, or shall file a new replacement Resale Shelf Registration Statement, such that the Resale Shelf Registration Statement is on Form S-3. The Company shall use commercially reasonable efforts to cause the Resale Shelf Registration Statement to be declared effective as soon as possible after filing;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stockholder in similar situations.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w:t>
      </w:r>
      <w:r>
        <w:rPr>
          <w:rFonts w:ascii="Times New Roman" w:cs="Times New Roman" w:eastAsia="Times New Roman" w:hAnsi="Times New Roman"/>
          <w:sz w:val="18"/>
          <w:szCs w:val="18"/>
          <w:u w:val="single" w:color="auto"/>
          <w:color w:val="000000"/>
        </w:rPr>
        <w:t>subsection 2.3.1</w:t>
      </w:r>
      <w:r>
        <w:rPr>
          <w:rFonts w:ascii="Times New Roman" w:cs="Times New Roman" w:eastAsia="Times New Roman" w:hAnsi="Times New Roman"/>
          <w:sz w:val="18"/>
          <w:szCs w:val="18"/>
          <w:color w:val="000000"/>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lock-up restrictions provided in </w:t>
      </w:r>
      <w:r>
        <w:rPr>
          <w:rFonts w:ascii="Times New Roman" w:cs="Times New Roman" w:eastAsia="Times New Roman" w:hAnsi="Times New Roman"/>
          <w:sz w:val="18"/>
          <w:szCs w:val="18"/>
          <w:u w:val="single" w:color="auto"/>
          <w:color w:val="000000"/>
        </w:rPr>
        <w:t>Section 5.1</w:t>
      </w:r>
      <w:r>
        <w:rPr>
          <w:rFonts w:ascii="Times New Roman" w:cs="Times New Roman" w:eastAsia="Times New Roman" w:hAnsi="Times New Roman"/>
          <w:sz w:val="18"/>
          <w:szCs w:val="18"/>
          <w:color w:val="000000"/>
        </w:rPr>
        <w:t xml:space="preserve"> of this Agreement), and shall provide that such Registrable Securities may be sold pursuant to any method or combination of methods legally available to, and requested by, Holders.</w:t>
      </w:r>
    </w:p>
    <w:p>
      <w:pPr>
        <w:spacing w:after="0" w:line="170" w:lineRule="exact"/>
        <w:rPr>
          <w:sz w:val="20"/>
          <w:szCs w:val="20"/>
          <w:color w:val="auto"/>
        </w:rPr>
      </w:pPr>
    </w:p>
    <w:p>
      <w:pPr>
        <w:jc w:val="both"/>
        <w:ind w:firstLine="1065"/>
        <w:spacing w:after="0" w:line="237" w:lineRule="auto"/>
        <w:rPr>
          <w:sz w:val="20"/>
          <w:szCs w:val="20"/>
          <w:color w:val="auto"/>
        </w:rPr>
      </w:pPr>
      <w:r>
        <w:rPr>
          <w:rFonts w:ascii="Times New Roman" w:cs="Times New Roman" w:eastAsia="Times New Roman" w:hAnsi="Times New Roman"/>
          <w:sz w:val="18"/>
          <w:szCs w:val="18"/>
          <w:color w:val="010000"/>
        </w:rPr>
        <w:t xml:space="preserve">2.3.2 </w:t>
      </w:r>
      <w:r>
        <w:rPr>
          <w:rFonts w:ascii="Times New Roman" w:cs="Times New Roman" w:eastAsia="Times New Roman" w:hAnsi="Times New Roman"/>
          <w:sz w:val="18"/>
          <w:szCs w:val="18"/>
          <w:u w:val="single" w:color="auto"/>
          <w:color w:val="000000"/>
        </w:rPr>
        <w:t>Notification and Distribution of Materials</w:t>
      </w:r>
      <w:r>
        <w:rPr>
          <w:rFonts w:ascii="Times New Roman" w:cs="Times New Roman" w:eastAsia="Times New Roman" w:hAnsi="Times New Roman"/>
          <w:sz w:val="18"/>
          <w:szCs w:val="18"/>
          <w:color w:val="000000"/>
        </w:rPr>
        <w:t>. The Company shall notify the Holders in writing of the effectiveness of the Resale Shelf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Registration Statement as soon as practicable, and in any event within one (1) Business Day after the Resale Shelf Registration Statement becomes effective,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Holders may reasonably request in order to facilitate the sale of the Registrable Securities in the manner described in the Resale Shelf Registration Statement.</w:t>
      </w:r>
    </w:p>
    <w:p>
      <w:pPr>
        <w:spacing w:after="0" w:line="171" w:lineRule="exact"/>
        <w:rPr>
          <w:sz w:val="20"/>
          <w:szCs w:val="20"/>
          <w:color w:val="auto"/>
        </w:rPr>
      </w:pPr>
    </w:p>
    <w:p>
      <w:pPr>
        <w:jc w:val="both"/>
        <w:ind w:firstLine="1065"/>
        <w:spacing w:after="0" w:line="234" w:lineRule="auto"/>
        <w:rPr>
          <w:sz w:val="20"/>
          <w:szCs w:val="20"/>
          <w:color w:val="auto"/>
        </w:rPr>
      </w:pPr>
      <w:r>
        <w:rPr>
          <w:rFonts w:ascii="Times New Roman" w:cs="Times New Roman" w:eastAsia="Times New Roman" w:hAnsi="Times New Roman"/>
          <w:sz w:val="18"/>
          <w:szCs w:val="18"/>
          <w:color w:val="010000"/>
        </w:rPr>
        <w:t xml:space="preserve">2.3.3 </w:t>
      </w:r>
      <w:r>
        <w:rPr>
          <w:rFonts w:ascii="Times New Roman" w:cs="Times New Roman" w:eastAsia="Times New Roman" w:hAnsi="Times New Roman"/>
          <w:sz w:val="18"/>
          <w:szCs w:val="18"/>
          <w:u w:val="single" w:color="auto"/>
          <w:color w:val="000000"/>
        </w:rPr>
        <w:t>Amendments and Supplements</w:t>
      </w:r>
      <w:r>
        <w:rPr>
          <w:rFonts w:ascii="Times New Roman" w:cs="Times New Roman" w:eastAsia="Times New Roman" w:hAnsi="Times New Roman"/>
          <w:sz w:val="18"/>
          <w:szCs w:val="18"/>
          <w:color w:val="000000"/>
        </w:rPr>
        <w:t>. Subject to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2.3.1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the Company shall promptly prepare and file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w:t>
      </w:r>
      <w:r>
        <w:rPr>
          <w:rFonts w:ascii="Times New Roman" w:cs="Times New Roman" w:eastAsia="Times New Roman" w:hAnsi="Times New Roman"/>
          <w:sz w:val="18"/>
          <w:szCs w:val="18"/>
          <w:u w:val="single" w:color="auto"/>
          <w:color w:val="000000"/>
        </w:rPr>
        <w:t>Section 2.3.1</w:t>
      </w:r>
      <w:r>
        <w:rPr>
          <w:rFonts w:ascii="Times New Roman" w:cs="Times New Roman" w:eastAsia="Times New Roman" w:hAnsi="Times New Roman"/>
          <w:sz w:val="18"/>
          <w:szCs w:val="18"/>
          <w:color w:val="000000"/>
        </w:rPr>
        <w:t xml:space="preserve"> is filed on Form S-3 and thereafter the Company becomes ineligible to use Form S-3 for secondary sales, the Company shall promptly notify the Holders of such ineligibility and use its commercially reasonable efforts to file a shelf registration on an appropriate form as promptly as practicable to replace the shelf registration statement on Form S-3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at any time the Company once again becomes eligible to use Form S-3, the Company shall cause such replacement Resale Shelf Registration Statement to be amended, or shall file a new replacement Resale Shelf Registration Statement, such that the Resale Shelf Registration Statement is once again on Form S-3.</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85" w:name="page286"/>
    <w:bookmarkEnd w:id="285"/>
    <w:p>
      <w:pPr>
        <w:jc w:val="both"/>
        <w:ind w:firstLine="1065"/>
        <w:spacing w:after="0" w:line="247" w:lineRule="auto"/>
        <w:rPr>
          <w:sz w:val="20"/>
          <w:szCs w:val="20"/>
          <w:color w:val="auto"/>
        </w:rPr>
      </w:pPr>
      <w:r>
        <w:rPr>
          <w:rFonts w:ascii="Times New Roman" w:cs="Times New Roman" w:eastAsia="Times New Roman" w:hAnsi="Times New Roman"/>
          <w:sz w:val="17"/>
          <w:szCs w:val="17"/>
          <w:color w:val="010000"/>
        </w:rPr>
        <w:t xml:space="preserve">2.3.4 </w:t>
      </w:r>
      <w:r>
        <w:rPr>
          <w:rFonts w:ascii="Times New Roman" w:cs="Times New Roman" w:eastAsia="Times New Roman" w:hAnsi="Times New Roman"/>
          <w:sz w:val="17"/>
          <w:szCs w:val="17"/>
          <w:u w:val="single" w:color="auto"/>
          <w:color w:val="000000"/>
        </w:rPr>
        <w:t>SEC Cutback</w:t>
      </w:r>
      <w:r>
        <w:rPr>
          <w:rFonts w:ascii="Times New Roman" w:cs="Times New Roman" w:eastAsia="Times New Roman" w:hAnsi="Times New Roman"/>
          <w:sz w:val="17"/>
          <w:szCs w:val="17"/>
          <w:color w:val="000000"/>
        </w:rPr>
        <w:t>. Notwithstanding the registration obligations set forth in this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2.3</w:t>
      </w:r>
      <w:r>
        <w:rPr>
          <w:rFonts w:ascii="Times New Roman" w:cs="Times New Roman" w:eastAsia="Times New Roman" w:hAnsi="Times New Roman"/>
          <w:sz w:val="17"/>
          <w:szCs w:val="17"/>
          <w:color w:val="000000"/>
        </w:rPr>
        <w:t>, in the event the Commission informs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7"/>
          <w:szCs w:val="17"/>
          <w:b w:val="1"/>
          <w:bCs w:val="1"/>
          <w:color w:val="000000"/>
        </w:rPr>
        <w:t>New Registration Statement</w:t>
      </w:r>
      <w:r>
        <w:rPr>
          <w:rFonts w:ascii="Times New Roman" w:cs="Times New Roman" w:eastAsia="Times New Roman" w:hAnsi="Times New Roman"/>
          <w:sz w:val="17"/>
          <w:szCs w:val="17"/>
          <w:color w:val="000000"/>
        </w:rPr>
        <w:t xml:space="preserve">”) on Form S-3, or if Form S-3 is not then available to the Company for such registration statement, on such other form available to register for resale the Registrable Securities as a secondary offering;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however</w:t>
      </w:r>
      <w:r>
        <w:rPr>
          <w:rFonts w:ascii="Times New Roman" w:cs="Times New Roman" w:eastAsia="Times New Roman" w:hAnsi="Times New Roman"/>
          <w:sz w:val="17"/>
          <w:szCs w:val="17"/>
          <w:color w:val="000000"/>
        </w:rPr>
        <w:t>, that prior to filing such amendment or New Registration Statement, the Company shall use its commercially reasonable efforts to advocate with the Commission for the registration of all of the Registrable Securities in accordance with any publicly -available written or oral guidance, comments, requirements or requests of the Commission staff (the “</w:t>
      </w:r>
      <w:r>
        <w:rPr>
          <w:rFonts w:ascii="Times New Roman" w:cs="Times New Roman" w:eastAsia="Times New Roman" w:hAnsi="Times New Roman"/>
          <w:sz w:val="17"/>
          <w:szCs w:val="17"/>
          <w:b w:val="1"/>
          <w:bCs w:val="1"/>
          <w:color w:val="000000"/>
        </w:rPr>
        <w:t>SEC Guidance</w:t>
      </w:r>
      <w:r>
        <w:rPr>
          <w:rFonts w:ascii="Times New Roman" w:cs="Times New Roman" w:eastAsia="Times New Roman" w:hAnsi="Times New Roman"/>
          <w:sz w:val="17"/>
          <w:szCs w:val="17"/>
          <w:color w:val="000000"/>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72" w:lineRule="exact"/>
        <w:rPr>
          <w:sz w:val="20"/>
          <w:szCs w:val="20"/>
          <w:color w:val="auto"/>
        </w:rPr>
      </w:pPr>
    </w:p>
    <w:p>
      <w:pPr>
        <w:jc w:val="both"/>
        <w:ind w:firstLine="1065"/>
        <w:spacing w:after="0" w:line="248" w:lineRule="auto"/>
        <w:rPr>
          <w:sz w:val="20"/>
          <w:szCs w:val="20"/>
          <w:color w:val="auto"/>
        </w:rPr>
      </w:pPr>
      <w:r>
        <w:rPr>
          <w:rFonts w:ascii="Times New Roman" w:cs="Times New Roman" w:eastAsia="Times New Roman" w:hAnsi="Times New Roman"/>
          <w:sz w:val="17"/>
          <w:szCs w:val="17"/>
          <w:color w:val="010000"/>
        </w:rPr>
        <w:t xml:space="preserve">2.3.5 </w:t>
      </w:r>
      <w:r>
        <w:rPr>
          <w:rFonts w:ascii="Times New Roman" w:cs="Times New Roman" w:eastAsia="Times New Roman" w:hAnsi="Times New Roman"/>
          <w:sz w:val="17"/>
          <w:szCs w:val="17"/>
          <w:u w:val="single" w:color="auto"/>
          <w:color w:val="000000"/>
        </w:rPr>
        <w:t>Underwritten Shelf Takedown</w:t>
      </w:r>
      <w:r>
        <w:rPr>
          <w:rFonts w:ascii="Times New Roman" w:cs="Times New Roman" w:eastAsia="Times New Roman" w:hAnsi="Times New Roman"/>
          <w:sz w:val="17"/>
          <w:szCs w:val="17"/>
          <w:color w:val="000000"/>
        </w:rPr>
        <w:t>. At any time and from time to time after a Resale Shelf Registration Statement has been declared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effective by the Commission, the Holders may request to sell all or any portion of the Registrable Securities in an underwritten offering that is registered pursuant to the Resale Shelf Registration Statement (each, an “</w:t>
      </w:r>
      <w:r>
        <w:rPr>
          <w:rFonts w:ascii="Times New Roman" w:cs="Times New Roman" w:eastAsia="Times New Roman" w:hAnsi="Times New Roman"/>
          <w:sz w:val="17"/>
          <w:szCs w:val="17"/>
          <w:b w:val="1"/>
          <w:bCs w:val="1"/>
          <w:color w:val="000000"/>
        </w:rPr>
        <w:t>Underwritten Shelf Takedown</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however</w:t>
      </w:r>
      <w:r>
        <w:rPr>
          <w:rFonts w:ascii="Times New Roman" w:cs="Times New Roman" w:eastAsia="Times New Roman" w:hAnsi="Times New Roman"/>
          <w:sz w:val="17"/>
          <w:szCs w:val="17"/>
          <w:color w:val="000000"/>
        </w:rPr>
        <w:t>, that the Company shall only be obligated to effect an Underwritten Shelf Takedown if such offering shall include securities with a total offering price (including piggyback securities and before deduction of underwriting discounts or commissions) reasonably expected to exceed, in the aggregate, $25,000,000.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Except in the case of a requested Underwritten Shelf Takedown in the form of a Block Trade, following receipt of a request for an Underwritten Shelf Takedown, the Company shall promptly notify the other Holders of the request and of their right to participate in the Underwritten Shelf Takedown, which shall specify the anticipated public announcement date. The Company shall include in any Underwritten Shelf Takedown the securities requested to be included by any Holder (each a “</w:t>
      </w:r>
      <w:r>
        <w:rPr>
          <w:rFonts w:ascii="Times New Roman" w:cs="Times New Roman" w:eastAsia="Times New Roman" w:hAnsi="Times New Roman"/>
          <w:sz w:val="17"/>
          <w:szCs w:val="17"/>
          <w:b w:val="1"/>
          <w:bCs w:val="1"/>
          <w:color w:val="000000"/>
        </w:rPr>
        <w:t>Takedown Requesting Holder</w:t>
      </w:r>
      <w:r>
        <w:rPr>
          <w:rFonts w:ascii="Times New Roman" w:cs="Times New Roman" w:eastAsia="Times New Roman" w:hAnsi="Times New Roman"/>
          <w:sz w:val="17"/>
          <w:szCs w:val="17"/>
          <w:color w:val="000000"/>
        </w:rPr>
        <w:t xml:space="preserve">”) at least 48 hours prior to the anticipated public announcement date of such Underwritten Shelf Takedown set forth in the Company notice pursuant to written contractual piggyback registration rights of such Holder (including those set forth herein). All such Holders proposing to distribute their Registrable Securities through an Underwritten Shelf Takedown under this </w:t>
      </w:r>
      <w:r>
        <w:rPr>
          <w:rFonts w:ascii="Times New Roman" w:cs="Times New Roman" w:eastAsia="Times New Roman" w:hAnsi="Times New Roman"/>
          <w:sz w:val="17"/>
          <w:szCs w:val="17"/>
          <w:u w:val="single" w:color="auto"/>
          <w:color w:val="000000"/>
        </w:rPr>
        <w:t>subsection 2.3.5</w:t>
      </w:r>
      <w:r>
        <w:rPr>
          <w:rFonts w:ascii="Times New Roman" w:cs="Times New Roman" w:eastAsia="Times New Roman" w:hAnsi="Times New Roman"/>
          <w:sz w:val="17"/>
          <w:szCs w:val="17"/>
          <w:color w:val="000000"/>
        </w:rPr>
        <w:t xml:space="preserve"> shall enter into an underwriting agreement in customary form with the Underwriter(s) selected for such Underwritten Offering by the majority-in-interest of the Takedown Requesting Holders initiating the Underwritten Shelf Takedown.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86" w:name="page287"/>
    <w:bookmarkEnd w:id="286"/>
    <w:p>
      <w:pPr>
        <w:jc w:val="both"/>
        <w:ind w:firstLine="1065"/>
        <w:spacing w:after="0" w:line="236" w:lineRule="auto"/>
        <w:rPr>
          <w:sz w:val="20"/>
          <w:szCs w:val="20"/>
          <w:color w:val="auto"/>
        </w:rPr>
      </w:pPr>
      <w:r>
        <w:rPr>
          <w:rFonts w:ascii="Times New Roman" w:cs="Times New Roman" w:eastAsia="Times New Roman" w:hAnsi="Times New Roman"/>
          <w:sz w:val="18"/>
          <w:szCs w:val="18"/>
          <w:color w:val="010000"/>
        </w:rPr>
        <w:t xml:space="preserve">2.3.6 </w:t>
      </w:r>
      <w:r>
        <w:rPr>
          <w:rFonts w:ascii="Times New Roman" w:cs="Times New Roman" w:eastAsia="Times New Roman" w:hAnsi="Times New Roman"/>
          <w:sz w:val="18"/>
          <w:szCs w:val="18"/>
          <w:u w:val="single" w:color="auto"/>
          <w:color w:val="000000"/>
        </w:rPr>
        <w:t>Reduction of Underwritten Shelf Takedown</w:t>
      </w:r>
      <w:r>
        <w:rPr>
          <w:rFonts w:ascii="Times New Roman" w:cs="Times New Roman" w:eastAsia="Times New Roman" w:hAnsi="Times New Roman"/>
          <w:sz w:val="18"/>
          <w:szCs w:val="18"/>
          <w:color w:val="000000"/>
        </w:rPr>
        <w:t>. If the managing Underwriter(s) in an Underwritten Shelf Takedown, in good faith,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advise(s) the Company and the Takedown Requesting Holders in writing that the dollar amount or number of Registrable Securities that the Takedown Requesting Holders desire to sell, taken together with all other shares of the Common Stock or other equity securities that the Company desires to sell, exceeds the Maximum Number of Securities, then the Company shall include in such Underwritten Shelf Takedown, as follows: (i) first, the Registrable Securities of the Takedown Requesting Holders, on a Pro Rata basis, that can be sold without exceeding the Maximum Number of Securities; and (ii) second, to the extent that the Maximum Number of Securities has not been reached under the foregoing clause (i), the Common Stock or other equity securities that the Company desires to sell, which can be sold without exceeding the Maximum Number of Securities.</w:t>
      </w:r>
    </w:p>
    <w:p>
      <w:pPr>
        <w:spacing w:after="0" w:line="173" w:lineRule="exact"/>
        <w:rPr>
          <w:sz w:val="20"/>
          <w:szCs w:val="20"/>
          <w:color w:val="auto"/>
        </w:rPr>
      </w:pPr>
    </w:p>
    <w:p>
      <w:pPr>
        <w:ind w:left="1080"/>
        <w:spacing w:after="0"/>
        <w:tabs>
          <w:tab w:leader="none" w:pos="1940" w:val="left"/>
        </w:tabs>
        <w:rPr>
          <w:sz w:val="20"/>
          <w:szCs w:val="20"/>
          <w:color w:val="auto"/>
        </w:rPr>
      </w:pPr>
      <w:r>
        <w:rPr>
          <w:rFonts w:ascii="Times New Roman" w:cs="Times New Roman" w:eastAsia="Times New Roman" w:hAnsi="Times New Roman"/>
          <w:sz w:val="18"/>
          <w:szCs w:val="18"/>
          <w:color w:val="010000"/>
        </w:rPr>
        <w:t>2.3.7</w:t>
      </w:r>
      <w:r>
        <w:rPr>
          <w:sz w:val="20"/>
          <w:szCs w:val="20"/>
          <w:color w:val="auto"/>
        </w:rPr>
        <w:tab/>
      </w:r>
      <w:r>
        <w:rPr>
          <w:rFonts w:ascii="Times New Roman" w:cs="Times New Roman" w:eastAsia="Times New Roman" w:hAnsi="Times New Roman"/>
          <w:sz w:val="18"/>
          <w:szCs w:val="18"/>
          <w:color w:val="auto"/>
        </w:rPr>
        <w:t xml:space="preserve">Registrations effected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no circumstances shall the Company be obligated to effect more than an aggregate of four (4) Underwritten Shelf Takedowns in any 12-month period.</w:t>
      </w:r>
    </w:p>
    <w:p>
      <w:pPr>
        <w:spacing w:after="0" w:line="184"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010000"/>
        </w:rPr>
        <w:t xml:space="preserve">2.3.8 </w:t>
      </w:r>
      <w:r>
        <w:rPr>
          <w:rFonts w:ascii="Times New Roman" w:cs="Times New Roman" w:eastAsia="Times New Roman" w:hAnsi="Times New Roman"/>
          <w:sz w:val="18"/>
          <w:szCs w:val="18"/>
          <w:u w:val="single" w:color="auto"/>
          <w:color w:val="000000"/>
        </w:rPr>
        <w:t>Block Trades</w:t>
      </w:r>
      <w:r>
        <w:rPr>
          <w:rFonts w:ascii="Times New Roman" w:cs="Times New Roman" w:eastAsia="Times New Roman" w:hAnsi="Times New Roman"/>
          <w:sz w:val="18"/>
          <w:szCs w:val="18"/>
          <w:color w:val="000000"/>
        </w:rPr>
        <w:t>. If the Company shall receive a request from a Holder or Holders of Registrable Securities with an estimated market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value of at least $25,000,000 that the Company effect the sale of al or any portion of such Registrable Securities in an Underwritten Shelf Takedown in the form of a Block Trade, then the Company shall, as expeditiously as possible, cooperate and effect the offering in such Block Trade of the Registrable Securities for which such requesting Holder has requested such offering, without giving any effect to any required notice periods or delivery of notices to any other Holders. Any offering conducted as a Block Trade will not count as an Underwritten Shelf Takedown for the purposes of </w:t>
      </w:r>
      <w:r>
        <w:rPr>
          <w:rFonts w:ascii="Times New Roman" w:cs="Times New Roman" w:eastAsia="Times New Roman" w:hAnsi="Times New Roman"/>
          <w:sz w:val="18"/>
          <w:szCs w:val="18"/>
          <w:u w:val="single" w:color="auto"/>
          <w:color w:val="000000"/>
        </w:rPr>
        <w:t>Section 2.3.7</w:t>
      </w:r>
      <w:r>
        <w:rPr>
          <w:rFonts w:ascii="Times New Roman" w:cs="Times New Roman" w:eastAsia="Times New Roman" w:hAnsi="Times New Roman"/>
          <w:sz w:val="18"/>
          <w:szCs w:val="18"/>
          <w:color w:val="000000"/>
        </w:rPr>
        <w:t>.</w:t>
      </w:r>
    </w:p>
    <w:p>
      <w:pPr>
        <w:spacing w:after="0" w:line="165"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2.4. </w:t>
      </w:r>
      <w:r>
        <w:rPr>
          <w:rFonts w:ascii="Times New Roman" w:cs="Times New Roman" w:eastAsia="Times New Roman" w:hAnsi="Times New Roman"/>
          <w:sz w:val="18"/>
          <w:szCs w:val="18"/>
          <w:b w:val="1"/>
          <w:bCs w:val="1"/>
          <w:color w:val="000000"/>
        </w:rPr>
        <w:t>Restrictions on Registration Rights</w:t>
      </w:r>
      <w:r>
        <w:rPr>
          <w:rFonts w:ascii="Times New Roman" w:cs="Times New Roman" w:eastAsia="Times New Roman" w:hAnsi="Times New Roman"/>
          <w:sz w:val="18"/>
          <w:szCs w:val="18"/>
          <w:color w:val="000000"/>
        </w:rPr>
        <w:t>. Notwithstanding anything to the contrary contained herein, the Company shall not be obligated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(but may, at its sole option) file a Registration Statement pursuant to a Demand Registration request made under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xml:space="preserve">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000000"/>
        </w:rPr>
        <w:t>subsection 2.1.1</w:t>
      </w:r>
      <w:r>
        <w:rPr>
          <w:rFonts w:ascii="Times New Roman" w:cs="Times New Roman" w:eastAsia="Times New Roman" w:hAnsi="Times New Roman"/>
          <w:sz w:val="18"/>
          <w:szCs w:val="18"/>
          <w:color w:val="000000"/>
        </w:rPr>
        <w:t xml:space="preserve"> and that the Company continues to actively employ, in good faith, commercially reasonable efforts to cause the applicable Registration Statement to become effective.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17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3.1. </w:t>
      </w:r>
      <w:r>
        <w:rPr>
          <w:rFonts w:ascii="Times New Roman" w:cs="Times New Roman" w:eastAsia="Times New Roman" w:hAnsi="Times New Roman"/>
          <w:sz w:val="18"/>
          <w:szCs w:val="18"/>
          <w:b w:val="1"/>
          <w:bCs w:val="1"/>
          <w:color w:val="000000"/>
        </w:rPr>
        <w:t>General Procedures</w:t>
      </w:r>
      <w:r>
        <w:rPr>
          <w:rFonts w:ascii="Times New Roman" w:cs="Times New Roman" w:eastAsia="Times New Roman" w:hAnsi="Times New Roman"/>
          <w:sz w:val="18"/>
          <w:szCs w:val="18"/>
          <w:color w:val="000000"/>
        </w:rPr>
        <w:t>. If at any time on or after the Effective Time the Company is required to effect the Registration of Registrable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Securities,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162"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3.1.1 </w:t>
      </w:r>
      <w:r>
        <w:rPr>
          <w:rFonts w:ascii="Times New Roman" w:cs="Times New Roman" w:eastAsia="Times New Roman" w:hAnsi="Times New Roman"/>
          <w:sz w:val="18"/>
          <w:szCs w:val="18"/>
          <w:color w:val="000000"/>
        </w:rPr>
        <w:t>prepare and file with the Commission as soon as practicable a Registration Statement with respect to such Registrable Securities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use its commercially reasonable efforts to cause such Registration Statement to become effective and remain effective until all Registrable Securities covered by such Registration Statement have been sold;</w:t>
      </w:r>
    </w:p>
    <w:p>
      <w:pPr>
        <w:spacing w:after="0" w:line="162"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010000"/>
        </w:rPr>
        <w:t xml:space="preserve">3.1.2 </w:t>
      </w:r>
      <w:r>
        <w:rPr>
          <w:rFonts w:ascii="Times New Roman" w:cs="Times New Roman" w:eastAsia="Times New Roman" w:hAnsi="Times New Roman"/>
          <w:sz w:val="18"/>
          <w:szCs w:val="18"/>
          <w:color w:val="000000"/>
        </w:rPr>
        <w:t>prepare and file with the Commission such amendments and post-effective amendments to the Registration Statement, and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supplements to the Prospectus, as may be reasonably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287" w:name="page288"/>
    <w:bookmarkEnd w:id="287"/>
    <w:p>
      <w:pPr>
        <w:jc w:val="both"/>
        <w:ind w:firstLine="1120"/>
        <w:spacing w:after="0" w:line="237" w:lineRule="auto"/>
        <w:rPr>
          <w:sz w:val="20"/>
          <w:szCs w:val="20"/>
          <w:color w:val="auto"/>
        </w:rPr>
      </w:pPr>
      <w:r>
        <w:rPr>
          <w:rFonts w:ascii="Times New Roman" w:cs="Times New Roman" w:eastAsia="Times New Roman" w:hAnsi="Times New Roman"/>
          <w:sz w:val="18"/>
          <w:szCs w:val="18"/>
          <w:color w:val="010000"/>
        </w:rPr>
        <w:t xml:space="preserve">3.1.3 </w:t>
      </w:r>
      <w:r>
        <w:rPr>
          <w:rFonts w:ascii="Times New Roman" w:cs="Times New Roman" w:eastAsia="Times New Roman" w:hAnsi="Times New Roman"/>
          <w:sz w:val="18"/>
          <w:szCs w:val="18"/>
          <w:color w:val="000000"/>
        </w:rPr>
        <w:t>prior to filing a Registration Statement or Prospectus, or any amendment or supplement thereto, furnish without charge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1" w:lineRule="exact"/>
        <w:rPr>
          <w:sz w:val="20"/>
          <w:szCs w:val="20"/>
          <w:color w:val="auto"/>
        </w:rPr>
      </w:pPr>
    </w:p>
    <w:p>
      <w:pPr>
        <w:jc w:val="both"/>
        <w:ind w:firstLine="1065"/>
        <w:spacing w:after="0" w:line="235" w:lineRule="auto"/>
        <w:rPr>
          <w:sz w:val="20"/>
          <w:szCs w:val="20"/>
          <w:color w:val="auto"/>
        </w:rPr>
      </w:pPr>
      <w:r>
        <w:rPr>
          <w:rFonts w:ascii="Times New Roman" w:cs="Times New Roman" w:eastAsia="Times New Roman" w:hAnsi="Times New Roman"/>
          <w:sz w:val="18"/>
          <w:szCs w:val="18"/>
          <w:color w:val="010000"/>
        </w:rPr>
        <w:t xml:space="preserve">3.1.4 </w:t>
      </w:r>
      <w:r>
        <w:rPr>
          <w:rFonts w:ascii="Times New Roman" w:cs="Times New Roman" w:eastAsia="Times New Roman" w:hAnsi="Times New Roman"/>
          <w:sz w:val="18"/>
          <w:szCs w:val="18"/>
          <w:color w:val="000000"/>
        </w:rPr>
        <w:t>prior to any public offering of Registrable Securities, use its commercially reasonable efforts to (i) register or qualify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73"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3.1.5 </w:t>
      </w:r>
      <w:r>
        <w:rPr>
          <w:rFonts w:ascii="Times New Roman" w:cs="Times New Roman" w:eastAsia="Times New Roman" w:hAnsi="Times New Roman"/>
          <w:sz w:val="18"/>
          <w:szCs w:val="18"/>
          <w:color w:val="000000"/>
        </w:rPr>
        <w:t>cause all such Registrable Securities to be listed on each securities exchange or automated quotation system on which similar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securities issued by the Company are then listed;</w:t>
      </w:r>
    </w:p>
    <w:p>
      <w:pPr>
        <w:spacing w:after="0" w:line="151" w:lineRule="exact"/>
        <w:rPr>
          <w:sz w:val="20"/>
          <w:szCs w:val="20"/>
          <w:color w:val="auto"/>
        </w:rPr>
      </w:pPr>
    </w:p>
    <w:p>
      <w:pPr>
        <w:ind w:left="1080"/>
        <w:spacing w:after="0"/>
        <w:tabs>
          <w:tab w:leader="none" w:pos="2080" w:val="left"/>
        </w:tabs>
        <w:rPr>
          <w:sz w:val="20"/>
          <w:szCs w:val="20"/>
          <w:color w:val="auto"/>
        </w:rPr>
      </w:pPr>
      <w:r>
        <w:rPr>
          <w:rFonts w:ascii="Times New Roman" w:cs="Times New Roman" w:eastAsia="Times New Roman" w:hAnsi="Times New Roman"/>
          <w:sz w:val="18"/>
          <w:szCs w:val="18"/>
          <w:color w:val="010000"/>
        </w:rPr>
        <w:t>3.1.6</w:t>
      </w:r>
      <w:r>
        <w:rPr>
          <w:sz w:val="20"/>
          <w:szCs w:val="20"/>
          <w:color w:val="auto"/>
        </w:rPr>
        <w:tab/>
      </w:r>
      <w:r>
        <w:rPr>
          <w:rFonts w:ascii="Times New Roman" w:cs="Times New Roman" w:eastAsia="Times New Roman" w:hAnsi="Times New Roman"/>
          <w:sz w:val="18"/>
          <w:szCs w:val="18"/>
          <w:color w:val="auto"/>
        </w:rPr>
        <w:t>provide a transfer agent and registrar for all such Registrable Securities no later than the effective date of such Registration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w:t>
      </w:r>
    </w:p>
    <w:p>
      <w:pPr>
        <w:spacing w:after="0" w:line="172" w:lineRule="exact"/>
        <w:rPr>
          <w:sz w:val="20"/>
          <w:szCs w:val="20"/>
          <w:color w:val="auto"/>
        </w:rPr>
      </w:pPr>
    </w:p>
    <w:p>
      <w:pPr>
        <w:jc w:val="both"/>
        <w:ind w:firstLine="1065"/>
        <w:spacing w:after="0" w:line="241" w:lineRule="auto"/>
        <w:rPr>
          <w:sz w:val="20"/>
          <w:szCs w:val="20"/>
          <w:color w:val="auto"/>
        </w:rPr>
      </w:pPr>
      <w:r>
        <w:rPr>
          <w:rFonts w:ascii="Times New Roman" w:cs="Times New Roman" w:eastAsia="Times New Roman" w:hAnsi="Times New Roman"/>
          <w:sz w:val="18"/>
          <w:szCs w:val="18"/>
          <w:color w:val="010000"/>
        </w:rPr>
        <w:t xml:space="preserve">3.1.7 </w:t>
      </w:r>
      <w:r>
        <w:rPr>
          <w:rFonts w:ascii="Times New Roman" w:cs="Times New Roman" w:eastAsia="Times New Roman" w:hAnsi="Times New Roman"/>
          <w:sz w:val="18"/>
          <w:szCs w:val="18"/>
          <w:color w:val="000000"/>
        </w:rPr>
        <w:t>advise each seller of such Registrable Securities, promptly after it shall receive notice or obtain knowledge thereof, of the issuance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67"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3.1.8 </w:t>
      </w:r>
      <w:r>
        <w:rPr>
          <w:rFonts w:ascii="Times New Roman" w:cs="Times New Roman" w:eastAsia="Times New Roman" w:hAnsi="Times New Roman"/>
          <w:sz w:val="18"/>
          <w:szCs w:val="18"/>
          <w:color w:val="000000"/>
        </w:rPr>
        <w:t>advise each Holder of Registrable Securities covered by such Registration Statement, promptly after the Company receives notice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thereof, of the time when such registration statement has been declared effective or a supplement to any Prospectus forming a part of such registration statement has been filed;</w:t>
      </w:r>
    </w:p>
    <w:p>
      <w:pPr>
        <w:spacing w:after="0" w:line="162"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3.1.9 </w:t>
      </w:r>
      <w:r>
        <w:rPr>
          <w:rFonts w:ascii="Times New Roman" w:cs="Times New Roman" w:eastAsia="Times New Roman" w:hAnsi="Times New Roman"/>
          <w:sz w:val="18"/>
          <w:szCs w:val="18"/>
          <w:color w:val="000000"/>
        </w:rPr>
        <w:t>at least five (5) days prior to the filing of any Registration Statement or Prospectus or any amendment or supplement to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Registration Statement or Prospectus, furnish a draft copy thereof to each seller of such Registrable Securities or its counsel;</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3.1.10 </w:t>
      </w:r>
      <w:r>
        <w:rPr>
          <w:rFonts w:ascii="Times New Roman" w:cs="Times New Roman" w:eastAsia="Times New Roman" w:hAnsi="Times New Roman"/>
          <w:sz w:val="18"/>
          <w:szCs w:val="18"/>
          <w:color w:val="000000"/>
        </w:rPr>
        <w:t>notify the Holders at any time when a Prospectus relating to such Registration Statement is required to be delivered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000000"/>
        </w:rPr>
        <w:t>Section 3.4</w:t>
      </w:r>
      <w:r>
        <w:rPr>
          <w:rFonts w:ascii="Times New Roman" w:cs="Times New Roman" w:eastAsia="Times New Roman" w:hAnsi="Times New Roman"/>
          <w:sz w:val="18"/>
          <w:szCs w:val="18"/>
          <w:color w:val="000000"/>
        </w:rPr>
        <w:t xml:space="preserve"> hereof;</w:t>
      </w:r>
    </w:p>
    <w:p>
      <w:pPr>
        <w:spacing w:after="0" w:line="162"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010000"/>
        </w:rPr>
        <w:t xml:space="preserve">3.1.11 </w:t>
      </w:r>
      <w:r>
        <w:rPr>
          <w:rFonts w:ascii="Times New Roman" w:cs="Times New Roman" w:eastAsia="Times New Roman" w:hAnsi="Times New Roman"/>
          <w:sz w:val="18"/>
          <w:szCs w:val="18"/>
          <w:color w:val="000000"/>
        </w:rPr>
        <w:t>permit a representative of the Holders, the Underwriter(s), if any, and any attorney or accountant retained by such Holders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Underwriter(s) to participate, at each such person’s own expense (except as otherwise set forth herein), in the preparation of the Registration Statement, and cause the Company’s officers, directors and employees to supply all information reasonably requested by any such representative, Underwriter(s), attorney or accountant in connection with the Registration;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such representatives or Underwriter(s) enter into a confidentiality agreement, in form and substance reasonably satisfactory to the Company, prior to the release or disclosure of any such information;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8" w:name="page289"/>
    <w:bookmarkEnd w:id="288"/>
    <w:p>
      <w:pPr>
        <w:jc w:val="both"/>
        <w:ind w:firstLine="1120"/>
        <w:spacing w:after="0" w:line="245" w:lineRule="auto"/>
        <w:rPr>
          <w:sz w:val="20"/>
          <w:szCs w:val="20"/>
          <w:color w:val="auto"/>
        </w:rPr>
      </w:pPr>
      <w:r>
        <w:rPr>
          <w:rFonts w:ascii="Times New Roman" w:cs="Times New Roman" w:eastAsia="Times New Roman" w:hAnsi="Times New Roman"/>
          <w:sz w:val="18"/>
          <w:szCs w:val="18"/>
          <w:color w:val="010000"/>
        </w:rPr>
        <w:t xml:space="preserve">3.1.12 </w:t>
      </w:r>
      <w:r>
        <w:rPr>
          <w:rFonts w:ascii="Times New Roman" w:cs="Times New Roman" w:eastAsia="Times New Roman" w:hAnsi="Times New Roman"/>
          <w:sz w:val="18"/>
          <w:szCs w:val="18"/>
          <w:color w:val="000000"/>
        </w:rPr>
        <w:t>obtain a “cold comfort” letter from the Company’s independent registered public accountants in the event of an Underwritten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Registration, in customary form and covering such matters of the type customarily covered by “cold comfort” letters as the managing Underwriter(s) may reasonably request, and reasonably satisfactory to a majority-in-interest of the participating Holders and such managing Underwriter;</w:t>
      </w:r>
    </w:p>
    <w:p>
      <w:pPr>
        <w:spacing w:after="0" w:line="164" w:lineRule="exact"/>
        <w:rPr>
          <w:sz w:val="20"/>
          <w:szCs w:val="20"/>
          <w:color w:val="auto"/>
        </w:rPr>
      </w:pPr>
    </w:p>
    <w:p>
      <w:pPr>
        <w:jc w:val="both"/>
        <w:ind w:firstLine="1065"/>
        <w:spacing w:after="0" w:line="241" w:lineRule="auto"/>
        <w:rPr>
          <w:sz w:val="20"/>
          <w:szCs w:val="20"/>
          <w:color w:val="auto"/>
        </w:rPr>
      </w:pPr>
      <w:r>
        <w:rPr>
          <w:rFonts w:ascii="Times New Roman" w:cs="Times New Roman" w:eastAsia="Times New Roman" w:hAnsi="Times New Roman"/>
          <w:sz w:val="18"/>
          <w:szCs w:val="18"/>
          <w:color w:val="010000"/>
        </w:rPr>
        <w:t xml:space="preserve">3.1.13 </w:t>
      </w:r>
      <w:r>
        <w:rPr>
          <w:rFonts w:ascii="Times New Roman" w:cs="Times New Roman" w:eastAsia="Times New Roman" w:hAnsi="Times New Roman"/>
          <w:sz w:val="18"/>
          <w:szCs w:val="18"/>
          <w:color w:val="000000"/>
        </w:rPr>
        <w:t>on the date the Registrable Securities are delivered for sale pursuant to such Registration, if requested by the Underwriter(s), if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obtain an opinion and negative assurance letter, dated such date, of counsel representing the Company for the purposes of such Registration addressed to the Underwriter(s) covering such legal matters with respect to the Registration in respect of which such opinion and negative assurance letter are being given as are customarily included in such opinions and negative assurance letters;</w:t>
      </w:r>
    </w:p>
    <w:p>
      <w:pPr>
        <w:spacing w:after="0" w:line="167" w:lineRule="exact"/>
        <w:rPr>
          <w:sz w:val="20"/>
          <w:szCs w:val="20"/>
          <w:color w:val="auto"/>
        </w:rPr>
      </w:pPr>
    </w:p>
    <w:p>
      <w:pPr>
        <w:jc w:val="both"/>
        <w:ind w:right="20"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3.1.14 </w:t>
      </w:r>
      <w:r>
        <w:rPr>
          <w:rFonts w:ascii="Times New Roman" w:cs="Times New Roman" w:eastAsia="Times New Roman" w:hAnsi="Times New Roman"/>
          <w:sz w:val="18"/>
          <w:szCs w:val="18"/>
          <w:color w:val="000000"/>
        </w:rPr>
        <w:t>in the event of any Underwritten Offering, enter into and perform its obligations under an underwriting agreement, in usual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customary form, with the managing Underwriter(s) of such offering;</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3.1.15 </w:t>
      </w:r>
      <w:r>
        <w:rPr>
          <w:rFonts w:ascii="Times New Roman" w:cs="Times New Roman" w:eastAsia="Times New Roman" w:hAnsi="Times New Roman"/>
          <w:sz w:val="18"/>
          <w:szCs w:val="18"/>
          <w:color w:val="000000"/>
        </w:rPr>
        <w:t>make available to its security holders, as soon as reasonably practicable, an earnings statement covering the period of at least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twelve (12) months beginning with the first day of the Company’s first full calendar quarter after the effective date of the Registration Statement which satisfies the provisions of </w:t>
      </w:r>
      <w:r>
        <w:rPr>
          <w:rFonts w:ascii="Times New Roman" w:cs="Times New Roman" w:eastAsia="Times New Roman" w:hAnsi="Times New Roman"/>
          <w:sz w:val="18"/>
          <w:szCs w:val="18"/>
          <w:u w:val="single" w:color="auto"/>
          <w:color w:val="000000"/>
        </w:rPr>
        <w:t>Section 11(a)</w:t>
      </w:r>
      <w:r>
        <w:rPr>
          <w:rFonts w:ascii="Times New Roman" w:cs="Times New Roman" w:eastAsia="Times New Roman" w:hAnsi="Times New Roman"/>
          <w:sz w:val="18"/>
          <w:szCs w:val="18"/>
          <w:color w:val="000000"/>
        </w:rPr>
        <w:t xml:space="preserve"> of the Securities Act and Rule 158 thereunder (or any successor rule promulgated thereafter by the Commission);</w:t>
      </w:r>
    </w:p>
    <w:p>
      <w:pPr>
        <w:spacing w:after="0" w:line="162"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3.1.16 </w:t>
      </w:r>
      <w:r>
        <w:rPr>
          <w:rFonts w:ascii="Times New Roman" w:cs="Times New Roman" w:eastAsia="Times New Roman" w:hAnsi="Times New Roman"/>
          <w:sz w:val="18"/>
          <w:szCs w:val="18"/>
          <w:color w:val="000000"/>
        </w:rPr>
        <w:t>if a Registration, including an Underwritten Offering, involves the Registration of Registrable Securities involving gross proceeds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excess of $50,000,000, use its commercially reasonable efforts to make available senior executives of the Company to participate in customary “road show” presentations that may be reasonably requested by the Underwriter(s) in any Underwritten Offering; and</w:t>
      </w:r>
    </w:p>
    <w:p>
      <w:pPr>
        <w:spacing w:after="0" w:line="162" w:lineRule="exact"/>
        <w:rPr>
          <w:sz w:val="20"/>
          <w:szCs w:val="20"/>
          <w:color w:val="auto"/>
        </w:rPr>
      </w:pPr>
    </w:p>
    <w:p>
      <w:pPr>
        <w:jc w:val="both"/>
        <w:ind w:right="20"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3.1.17 </w:t>
      </w:r>
      <w:r>
        <w:rPr>
          <w:rFonts w:ascii="Times New Roman" w:cs="Times New Roman" w:eastAsia="Times New Roman" w:hAnsi="Times New Roman"/>
          <w:sz w:val="18"/>
          <w:szCs w:val="18"/>
          <w:color w:val="000000"/>
        </w:rPr>
        <w:t>otherwise, in good faith, cooperate reasonably with, and take such customary actions as may reasonably be requested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Holders, in connection with such Registration.</w:t>
      </w:r>
    </w:p>
    <w:p>
      <w:pPr>
        <w:spacing w:after="0" w:line="149"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3.2. </w:t>
      </w:r>
      <w:r>
        <w:rPr>
          <w:rFonts w:ascii="Times New Roman" w:cs="Times New Roman" w:eastAsia="Times New Roman" w:hAnsi="Times New Roman"/>
          <w:sz w:val="18"/>
          <w:szCs w:val="18"/>
          <w:b w:val="1"/>
          <w:bCs w:val="1"/>
          <w:color w:val="000000"/>
        </w:rPr>
        <w:t>Registration Expenses</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2.1.5</w:t>
      </w:r>
      <w:r>
        <w:rPr>
          <w:rFonts w:ascii="Times New Roman" w:cs="Times New Roman" w:eastAsia="Times New Roman" w:hAnsi="Times New Roman"/>
          <w:sz w:val="18"/>
          <w:szCs w:val="18"/>
          <w:color w:val="000000"/>
        </w:rPr>
        <w:t>, all Registration Expenses shal be borne by the Company. It is acknowledged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64"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3.3. </w:t>
      </w:r>
      <w:r>
        <w:rPr>
          <w:rFonts w:ascii="Times New Roman" w:cs="Times New Roman" w:eastAsia="Times New Roman" w:hAnsi="Times New Roman"/>
          <w:sz w:val="18"/>
          <w:szCs w:val="18"/>
          <w:b w:val="1"/>
          <w:bCs w:val="1"/>
          <w:color w:val="000000"/>
        </w:rPr>
        <w:t>Requirements for Participation in Underwritten Offerings</w:t>
      </w:r>
      <w:r>
        <w:rPr>
          <w:rFonts w:ascii="Times New Roman" w:cs="Times New Roman" w:eastAsia="Times New Roman" w:hAnsi="Times New Roman"/>
          <w:sz w:val="18"/>
          <w:szCs w:val="18"/>
          <w:color w:val="000000"/>
        </w:rPr>
        <w:t>. No person may participate in any Underwritten Offering for equity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67"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b w:val="1"/>
          <w:bCs w:val="1"/>
          <w:color w:val="010000"/>
        </w:rPr>
        <w:t xml:space="preserve">Section 3.4. </w:t>
      </w:r>
      <w:r>
        <w:rPr>
          <w:rFonts w:ascii="Times New Roman" w:cs="Times New Roman" w:eastAsia="Times New Roman" w:hAnsi="Times New Roman"/>
          <w:sz w:val="18"/>
          <w:szCs w:val="18"/>
          <w:b w:val="1"/>
          <w:bCs w:val="1"/>
          <w:color w:val="000000"/>
        </w:rPr>
        <w:t>Suspension of Sales; Adverse Disclosure</w:t>
      </w:r>
      <w:r>
        <w:rPr>
          <w:rFonts w:ascii="Times New Roman" w:cs="Times New Roman" w:eastAsia="Times New Roman" w:hAnsi="Times New Roman"/>
          <w:sz w:val="18"/>
          <w:szCs w:val="18"/>
          <w:color w:val="000000"/>
        </w:rPr>
        <w:t>. Upon receipt of written notice from the Company that a Registration Statement or Prospectus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contains a Misstatement, each of the Holders shall forthwith discontinue disposition of Registrable Securities until he, she or it has received copies of a supplemented or amended Prospectus correcting the Misstatement or until he, she, or it is advised in writing by the Company that the use of the Prospectus may be resumed, provided that the Company hereby covenants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(a) would require the Company to make an Adverse Disclosure, (b) would require the inclusion in such Registration Statement of financial statements that are unavailable to the Company for reasons beyond the Company’s control, or (c) in the good faith judgment of the Board, would be materially detrimental to the Company, the Company shall have the right to defer the filing, initial effectiveness or continued use of any Registration Statement pursuant to (a), (b) or (c) for a period of not more than ninety (90) days and the Company shall not defer any such filing, initial effectiveness or use of a Registration Statement pursuant to this </w:t>
      </w:r>
      <w:r>
        <w:rPr>
          <w:rFonts w:ascii="Times New Roman" w:cs="Times New Roman" w:eastAsia="Times New Roman" w:hAnsi="Times New Roman"/>
          <w:sz w:val="18"/>
          <w:szCs w:val="18"/>
          <w:u w:val="single" w:color="auto"/>
          <w:color w:val="000000"/>
        </w:rPr>
        <w:t>Section 3.4</w:t>
      </w:r>
      <w:r>
        <w:rPr>
          <w:rFonts w:ascii="Times New Roman" w:cs="Times New Roman" w:eastAsia="Times New Roman" w:hAnsi="Times New Roman"/>
          <w:sz w:val="18"/>
          <w:szCs w:val="18"/>
          <w:color w:val="000000"/>
        </w:rPr>
        <w:t xml:space="preserve"> more than twice (in each case counting deferrals initiated pursuant to (a), (b) and (c) in the aggregate) in any 12-month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89" w:name="page290"/>
    <w:bookmarkEnd w:id="289"/>
    <w:p>
      <w:pPr>
        <w:jc w:val="both"/>
        <w:ind w:firstLine="577"/>
        <w:spacing w:after="0" w:line="236" w:lineRule="auto"/>
        <w:rPr>
          <w:sz w:val="20"/>
          <w:szCs w:val="20"/>
          <w:color w:val="auto"/>
        </w:rPr>
      </w:pPr>
      <w:r>
        <w:rPr>
          <w:rFonts w:ascii="Times New Roman" w:cs="Times New Roman" w:eastAsia="Times New Roman" w:hAnsi="Times New Roman"/>
          <w:sz w:val="18"/>
          <w:szCs w:val="18"/>
          <w:b w:val="1"/>
          <w:bCs w:val="1"/>
          <w:color w:val="010000"/>
        </w:rPr>
        <w:t xml:space="preserve">Section 3.5. </w:t>
      </w:r>
      <w:r>
        <w:rPr>
          <w:rFonts w:ascii="Times New Roman" w:cs="Times New Roman" w:eastAsia="Times New Roman" w:hAnsi="Times New Roman"/>
          <w:sz w:val="18"/>
          <w:szCs w:val="18"/>
          <w:b w:val="1"/>
          <w:bCs w:val="1"/>
          <w:color w:val="000000"/>
        </w:rPr>
        <w:t>Reporting Obligation</w:t>
      </w:r>
      <w:r>
        <w:rPr>
          <w:rFonts w:ascii="Times New Roman" w:cs="Times New Roman" w:eastAsia="Times New Roman" w:hAnsi="Times New Roman"/>
          <w:sz w:val="18"/>
          <w:szCs w:val="18"/>
          <w:color w:val="000000"/>
        </w:rPr>
        <w:t>s. As long as any Holder shall own Registrable Securities, the Company, at all times while it shall be a reporting</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customary legal opinions as reasonably requested. Upon the request of any Holder, the Company shall deliver to such Holder a written certification of a duly authorized officer as to whether it has complied with such requirements.</w:t>
      </w:r>
    </w:p>
    <w:p>
      <w:pPr>
        <w:spacing w:after="0" w:line="170"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3.6. </w:t>
      </w:r>
      <w:r>
        <w:rPr>
          <w:rFonts w:ascii="Times New Roman" w:cs="Times New Roman" w:eastAsia="Times New Roman" w:hAnsi="Times New Roman"/>
          <w:sz w:val="18"/>
          <w:szCs w:val="18"/>
          <w:b w:val="1"/>
          <w:bCs w:val="1"/>
          <w:color w:val="000000"/>
        </w:rPr>
        <w:t>Limitations on Registration Rights</w:t>
      </w:r>
      <w:r>
        <w:rPr>
          <w:rFonts w:ascii="Times New Roman" w:cs="Times New Roman" w:eastAsia="Times New Roman" w:hAnsi="Times New Roman"/>
          <w:sz w:val="18"/>
          <w:szCs w:val="18"/>
          <w:color w:val="000000"/>
        </w:rPr>
        <w:t>. Other than the registration rights granted to the purchasers under the Subscription Agreements to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entered into on about the date hereof with certain investors relating to the private placement of shares of Common Stock as provided for in the Business Combination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4.1. </w:t>
      </w:r>
      <w:r>
        <w:rPr>
          <w:rFonts w:ascii="Times New Roman" w:cs="Times New Roman" w:eastAsia="Times New Roman" w:hAnsi="Times New Roman"/>
          <w:sz w:val="18"/>
          <w:szCs w:val="18"/>
          <w:b w:val="1"/>
          <w:bCs w:val="1"/>
          <w:color w:val="000000"/>
        </w:rPr>
        <w:t>Indemnification</w:t>
      </w:r>
    </w:p>
    <w:p>
      <w:pPr>
        <w:spacing w:after="0" w:line="194" w:lineRule="exact"/>
        <w:rPr>
          <w:sz w:val="20"/>
          <w:szCs w:val="20"/>
          <w:color w:val="auto"/>
        </w:rPr>
      </w:pPr>
    </w:p>
    <w:p>
      <w:pPr>
        <w:jc w:val="both"/>
        <w:ind w:firstLine="1065"/>
        <w:spacing w:after="0" w:line="236" w:lineRule="auto"/>
        <w:rPr>
          <w:sz w:val="20"/>
          <w:szCs w:val="20"/>
          <w:color w:val="auto"/>
        </w:rPr>
      </w:pPr>
      <w:r>
        <w:rPr>
          <w:rFonts w:ascii="Times New Roman" w:cs="Times New Roman" w:eastAsia="Times New Roman" w:hAnsi="Times New Roman"/>
          <w:sz w:val="18"/>
          <w:szCs w:val="18"/>
          <w:color w:val="010000"/>
        </w:rPr>
        <w:t xml:space="preserve">4.1.1 </w:t>
      </w:r>
      <w:r>
        <w:rPr>
          <w:rFonts w:ascii="Times New Roman" w:cs="Times New Roman" w:eastAsia="Times New Roman" w:hAnsi="Times New Roman"/>
          <w:sz w:val="18"/>
          <w:szCs w:val="18"/>
          <w:color w:val="000000"/>
        </w:rPr>
        <w:t>The Company agrees to indemnify, to the extent permitted by law, each Holder of Registrable Securities, its officers and directors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spacing w:after="0" w:line="169" w:lineRule="exact"/>
        <w:rPr>
          <w:sz w:val="20"/>
          <w:szCs w:val="20"/>
          <w:color w:val="auto"/>
        </w:rPr>
      </w:pPr>
    </w:p>
    <w:p>
      <w:pPr>
        <w:jc w:val="both"/>
        <w:ind w:firstLine="1065"/>
        <w:spacing w:after="0" w:line="234" w:lineRule="auto"/>
        <w:rPr>
          <w:sz w:val="20"/>
          <w:szCs w:val="20"/>
          <w:color w:val="auto"/>
        </w:rPr>
      </w:pPr>
      <w:r>
        <w:rPr>
          <w:rFonts w:ascii="Times New Roman" w:cs="Times New Roman" w:eastAsia="Times New Roman" w:hAnsi="Times New Roman"/>
          <w:sz w:val="18"/>
          <w:szCs w:val="18"/>
          <w:color w:val="010000"/>
        </w:rPr>
        <w:t xml:space="preserve">4.1.2 </w:t>
      </w:r>
      <w:r>
        <w:rPr>
          <w:rFonts w:ascii="Times New Roman" w:cs="Times New Roman" w:eastAsia="Times New Roman" w:hAnsi="Times New Roman"/>
          <w:sz w:val="18"/>
          <w:szCs w:val="18"/>
          <w:color w:val="000000"/>
        </w:rPr>
        <w:t>In connection with any Registration Statement in which a Holder of Registrable Securities is participating, such Holder shall furnish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(within the meaning of the Securities Act) the Company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90" w:name="page291"/>
    <w:bookmarkEnd w:id="290"/>
    <w:p>
      <w:pPr>
        <w:jc w:val="both"/>
        <w:ind w:firstLine="1120"/>
        <w:spacing w:after="0" w:line="234" w:lineRule="auto"/>
        <w:rPr>
          <w:sz w:val="20"/>
          <w:szCs w:val="20"/>
          <w:color w:val="auto"/>
        </w:rPr>
      </w:pPr>
      <w:r>
        <w:rPr>
          <w:rFonts w:ascii="Times New Roman" w:cs="Times New Roman" w:eastAsia="Times New Roman" w:hAnsi="Times New Roman"/>
          <w:sz w:val="18"/>
          <w:szCs w:val="18"/>
          <w:color w:val="010000"/>
        </w:rPr>
        <w:t xml:space="preserve">4.1.3 </w:t>
      </w:r>
      <w:r>
        <w:rPr>
          <w:rFonts w:ascii="Times New Roman" w:cs="Times New Roman" w:eastAsia="Times New Roman" w:hAnsi="Times New Roman"/>
          <w:sz w:val="18"/>
          <w:szCs w:val="18"/>
          <w:color w:val="000000"/>
        </w:rPr>
        <w:t>Any person entitled to indemnification herein shall (i) give prompt written notice to the indemnifying party of any claim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 to which it seeks indemnification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 liability in respect to such claim or litigation.</w:t>
      </w:r>
    </w:p>
    <w:p>
      <w:pPr>
        <w:spacing w:after="0" w:line="172"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010000"/>
        </w:rPr>
        <w:t xml:space="preserve">4.1.4 </w:t>
      </w:r>
      <w:r>
        <w:rPr>
          <w:rFonts w:ascii="Times New Roman" w:cs="Times New Roman" w:eastAsia="Times New Roman" w:hAnsi="Times New Roman"/>
          <w:sz w:val="18"/>
          <w:szCs w:val="18"/>
          <w:color w:val="000000"/>
        </w:rPr>
        <w:t>The indemnification provided for under this Agreement shall remain in full force and effect regardless of any investigation made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Times New Roman" w:cs="Times New Roman" w:eastAsia="Times New Roman" w:hAnsi="Times New Roman"/>
          <w:sz w:val="18"/>
          <w:szCs w:val="18"/>
          <w:u w:val="single" w:color="auto"/>
          <w:color w:val="000000"/>
        </w:rPr>
        <w:t>subsection 4.1.5</w:t>
      </w:r>
      <w:r>
        <w:rPr>
          <w:rFonts w:ascii="Times New Roman" w:cs="Times New Roman" w:eastAsia="Times New Roman" w:hAnsi="Times New Roman"/>
          <w:sz w:val="18"/>
          <w:szCs w:val="18"/>
          <w:color w:val="000000"/>
        </w:rPr>
        <w:t>) to such party in the event the Company’s or such Holder’s indemnification is unavailable for any reason.</w:t>
      </w:r>
    </w:p>
    <w:p>
      <w:pPr>
        <w:spacing w:after="0" w:line="167" w:lineRule="exact"/>
        <w:rPr>
          <w:sz w:val="20"/>
          <w:szCs w:val="20"/>
          <w:color w:val="auto"/>
        </w:rPr>
      </w:pPr>
    </w:p>
    <w:p>
      <w:pPr>
        <w:jc w:val="both"/>
        <w:ind w:firstLine="1065"/>
        <w:spacing w:after="0" w:line="234" w:lineRule="auto"/>
        <w:rPr>
          <w:sz w:val="20"/>
          <w:szCs w:val="20"/>
          <w:color w:val="auto"/>
        </w:rPr>
      </w:pPr>
      <w:r>
        <w:rPr>
          <w:rFonts w:ascii="Times New Roman" w:cs="Times New Roman" w:eastAsia="Times New Roman" w:hAnsi="Times New Roman"/>
          <w:sz w:val="18"/>
          <w:szCs w:val="18"/>
          <w:color w:val="010000"/>
        </w:rPr>
        <w:t xml:space="preserve">4.1.5 </w:t>
      </w:r>
      <w:r>
        <w:rPr>
          <w:rFonts w:ascii="Times New Roman" w:cs="Times New Roman" w:eastAsia="Times New Roman" w:hAnsi="Times New Roman"/>
          <w:sz w:val="18"/>
          <w:szCs w:val="18"/>
          <w:color w:val="000000"/>
        </w:rPr>
        <w:t>If the indemnification provided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hereof from the indemnifying party is unavailable or insufficient to hold harmless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liability of any Holder under this </w:t>
      </w:r>
      <w:r>
        <w:rPr>
          <w:rFonts w:ascii="Times New Roman" w:cs="Times New Roman" w:eastAsia="Times New Roman" w:hAnsi="Times New Roman"/>
          <w:sz w:val="18"/>
          <w:szCs w:val="18"/>
          <w:u w:val="single" w:color="auto"/>
          <w:color w:val="000000"/>
        </w:rPr>
        <w:t>subsection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4.1.5</w:t>
      </w:r>
      <w:r>
        <w:rPr>
          <w:rFonts w:ascii="Times New Roman" w:cs="Times New Roman" w:eastAsia="Times New Roman" w:hAnsi="Times New Roman"/>
          <w:sz w:val="18"/>
          <w:szCs w:val="18"/>
          <w:color w:val="000000"/>
        </w:rPr>
        <w:t xml:space="preserve"> shall be limited to the amount of the net proceeds actually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000000"/>
        </w:rPr>
        <w:t>subsections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4.1.1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4.1.2</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4.1.3</w:t>
      </w:r>
      <w:r>
        <w:rPr>
          <w:rFonts w:ascii="Times New Roman" w:cs="Times New Roman" w:eastAsia="Times New Roman" w:hAnsi="Times New Roman"/>
          <w:sz w:val="18"/>
          <w:szCs w:val="18"/>
          <w:color w:val="000000"/>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000000"/>
        </w:rPr>
        <w:t>subsection 4.1.5</w:t>
      </w:r>
      <w:r>
        <w:rPr>
          <w:rFonts w:ascii="Times New Roman" w:cs="Times New Roman" w:eastAsia="Times New Roman" w:hAnsi="Times New Roman"/>
          <w:sz w:val="18"/>
          <w:szCs w:val="18"/>
          <w:color w:val="000000"/>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000000"/>
        </w:rPr>
        <w:t>subsection 4.1.5</w:t>
      </w:r>
      <w:r>
        <w:rPr>
          <w:rFonts w:ascii="Times New Roman" w:cs="Times New Roman" w:eastAsia="Times New Roman" w:hAnsi="Times New Roman"/>
          <w:sz w:val="18"/>
          <w:szCs w:val="18"/>
          <w:color w:val="000000"/>
        </w:rPr>
        <w:t xml:space="preserve">. No person guilty of fraudulent misrepresentation (within the meaning of </w:t>
      </w:r>
      <w:r>
        <w:rPr>
          <w:rFonts w:ascii="Times New Roman" w:cs="Times New Roman" w:eastAsia="Times New Roman" w:hAnsi="Times New Roman"/>
          <w:sz w:val="18"/>
          <w:szCs w:val="18"/>
          <w:u w:val="single" w:color="auto"/>
          <w:color w:val="000000"/>
        </w:rPr>
        <w:t>Section 11(f)</w:t>
      </w:r>
      <w:r>
        <w:rPr>
          <w:rFonts w:ascii="Times New Roman" w:cs="Times New Roman" w:eastAsia="Times New Roman" w:hAnsi="Times New Roman"/>
          <w:sz w:val="18"/>
          <w:szCs w:val="18"/>
          <w:color w:val="000000"/>
        </w:rPr>
        <w:t xml:space="preserve"> of the Securities Act) shall be entitled to contribution pursuant to this </w:t>
      </w:r>
      <w:r>
        <w:rPr>
          <w:rFonts w:ascii="Times New Roman" w:cs="Times New Roman" w:eastAsia="Times New Roman" w:hAnsi="Times New Roman"/>
          <w:sz w:val="18"/>
          <w:szCs w:val="18"/>
          <w:u w:val="single" w:color="auto"/>
          <w:color w:val="000000"/>
        </w:rPr>
        <w:t>subsection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4.1.5</w:t>
      </w:r>
      <w:r>
        <w:rPr>
          <w:rFonts w:ascii="Times New Roman" w:cs="Times New Roman" w:eastAsia="Times New Roman" w:hAnsi="Times New Roman"/>
          <w:sz w:val="18"/>
          <w:szCs w:val="18"/>
          <w:color w:val="000000"/>
        </w:rPr>
        <w:t xml:space="preserve"> from any person who was not guilty of such fraudulent misrepresentation.</w:t>
      </w:r>
    </w:p>
    <w:p>
      <w:pPr>
        <w:spacing w:after="0" w:line="168"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4.1.6 </w:t>
      </w:r>
      <w:r>
        <w:rPr>
          <w:rFonts w:ascii="Times New Roman" w:cs="Times New Roman" w:eastAsia="Times New Roman" w:hAnsi="Times New Roman"/>
          <w:sz w:val="18"/>
          <w:szCs w:val="18"/>
          <w:color w:val="000000"/>
        </w:rPr>
        <w:t>Notwithstanding the foregoing, to the extent that the provisions on indemnification and contribution contained in any underwriting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entered into in connection with an underwritten public offering are in conflict with the foregoing provisions, the provisions in the underwriting agreement shall control.</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291" w:name="page292"/>
    <w:bookmarkEnd w:id="291"/>
    <w:p>
      <w:pPr>
        <w:ind w:left="5180"/>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7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5.1. </w:t>
      </w:r>
      <w:r>
        <w:rPr>
          <w:rFonts w:ascii="Times New Roman" w:cs="Times New Roman" w:eastAsia="Times New Roman" w:hAnsi="Times New Roman"/>
          <w:sz w:val="18"/>
          <w:szCs w:val="18"/>
          <w:b w:val="1"/>
          <w:bCs w:val="1"/>
          <w:color w:val="000000"/>
        </w:rPr>
        <w:t>Lock-Up</w:t>
      </w:r>
      <w:r>
        <w:rPr>
          <w:rFonts w:ascii="Times New Roman" w:cs="Times New Roman" w:eastAsia="Times New Roman" w:hAnsi="Times New Roman"/>
          <w:sz w:val="18"/>
          <w:szCs w:val="18"/>
          <w:color w:val="000000"/>
        </w:rPr>
        <w:t>. Except as permitted 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5.2</w:t>
      </w:r>
      <w:r>
        <w:rPr>
          <w:rFonts w:ascii="Times New Roman" w:cs="Times New Roman" w:eastAsia="Times New Roman" w:hAnsi="Times New Roman"/>
          <w:sz w:val="18"/>
          <w:szCs w:val="18"/>
          <w:color w:val="000000"/>
        </w:rPr>
        <w:t>, each Holder shall not Transfer any shares of Common Stock, (including, without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limitation, the PIPE Shares, any shares of Common Stock issued pursuant to the Business Combination Agreement, and any other shares of Common Stock), beneficially owned or owned of record by such Holder until the date that is 180 days from the Closing Date (the “</w:t>
      </w:r>
      <w:r>
        <w:rPr>
          <w:rFonts w:ascii="Times New Roman" w:cs="Times New Roman" w:eastAsia="Times New Roman" w:hAnsi="Times New Roman"/>
          <w:sz w:val="18"/>
          <w:szCs w:val="18"/>
          <w:b w:val="1"/>
          <w:bCs w:val="1"/>
          <w:color w:val="000000"/>
        </w:rPr>
        <w:t>Lock-up Period</w:t>
      </w:r>
      <w:r>
        <w:rPr>
          <w:rFonts w:ascii="Times New Roman" w:cs="Times New Roman" w:eastAsia="Times New Roman" w:hAnsi="Times New Roman"/>
          <w:sz w:val="18"/>
          <w:szCs w:val="18"/>
          <w:color w:val="000000"/>
        </w:rPr>
        <w:t>”).</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010000"/>
        </w:rPr>
        <w:t xml:space="preserve">Section 5.2. </w:t>
      </w:r>
      <w:r>
        <w:rPr>
          <w:rFonts w:ascii="Times New Roman" w:cs="Times New Roman" w:eastAsia="Times New Roman" w:hAnsi="Times New Roman"/>
          <w:sz w:val="18"/>
          <w:szCs w:val="18"/>
          <w:b w:val="1"/>
          <w:bCs w:val="1"/>
          <w:color w:val="000000"/>
        </w:rPr>
        <w:t>Exceptions</w:t>
      </w:r>
      <w:r>
        <w:rPr>
          <w:rFonts w:ascii="Times New Roman" w:cs="Times New Roman" w:eastAsia="Times New Roman" w:hAnsi="Times New Roman"/>
          <w:sz w:val="18"/>
          <w:szCs w:val="18"/>
          <w:color w:val="000000"/>
        </w:rPr>
        <w:t>. The provisions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5.1</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not apply to:</w:t>
      </w:r>
    </w:p>
    <w:p>
      <w:pPr>
        <w:spacing w:after="0" w:line="194" w:lineRule="exact"/>
        <w:rPr>
          <w:sz w:val="20"/>
          <w:szCs w:val="20"/>
          <w:color w:val="auto"/>
        </w:rPr>
      </w:pPr>
    </w:p>
    <w:p>
      <w:pPr>
        <w:ind w:left="1080"/>
        <w:spacing w:after="0"/>
        <w:tabs>
          <w:tab w:leader="none" w:pos="1860" w:val="left"/>
        </w:tabs>
        <w:rPr>
          <w:sz w:val="20"/>
          <w:szCs w:val="20"/>
          <w:color w:val="auto"/>
        </w:rPr>
      </w:pPr>
      <w:r>
        <w:rPr>
          <w:rFonts w:ascii="Times New Roman" w:cs="Times New Roman" w:eastAsia="Times New Roman" w:hAnsi="Times New Roman"/>
          <w:sz w:val="18"/>
          <w:szCs w:val="18"/>
          <w:color w:val="010000"/>
        </w:rPr>
        <w:t>5.2.1</w:t>
      </w:r>
      <w:r>
        <w:rPr>
          <w:sz w:val="20"/>
          <w:szCs w:val="20"/>
          <w:color w:val="auto"/>
        </w:rPr>
        <w:tab/>
      </w:r>
      <w:r>
        <w:rPr>
          <w:rFonts w:ascii="Times New Roman" w:cs="Times New Roman" w:eastAsia="Times New Roman" w:hAnsi="Times New Roman"/>
          <w:sz w:val="17"/>
          <w:szCs w:val="17"/>
          <w:color w:val="auto"/>
        </w:rPr>
        <w:t>transactions relating to shares of Common Stock acquired in open market transactions;</w:t>
      </w:r>
    </w:p>
    <w:p>
      <w:pPr>
        <w:spacing w:after="0" w:line="192"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5.2.2 </w:t>
      </w:r>
      <w:r>
        <w:rPr>
          <w:rFonts w:ascii="Times New Roman" w:cs="Times New Roman" w:eastAsia="Times New Roman" w:hAnsi="Times New Roman"/>
          <w:sz w:val="18"/>
          <w:szCs w:val="18"/>
          <w:color w:val="000000"/>
        </w:rPr>
        <w:t>Transfers of shares of Common Stock or any security convertible into or exercisable or exchangeable for Common Stock as a bona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fide gift or charitable contribution;</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5.2.3 </w:t>
      </w:r>
      <w:r>
        <w:rPr>
          <w:rFonts w:ascii="Times New Roman" w:cs="Times New Roman" w:eastAsia="Times New Roman" w:hAnsi="Times New Roman"/>
          <w:sz w:val="18"/>
          <w:szCs w:val="18"/>
          <w:color w:val="000000"/>
        </w:rPr>
        <w:t>Transfers of shares of Common Stock to a trust, or other entity formed for estate planning purposes for the primary benefit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spouse, domestic partner, parent, sibling, child or grandchild of the undersigned or any other person with whom the undersigned has a relationship by blood, marriage or adoption not more remote than first cousin;</w:t>
      </w:r>
    </w:p>
    <w:p>
      <w:pPr>
        <w:spacing w:after="0" w:line="162" w:lineRule="exact"/>
        <w:rPr>
          <w:sz w:val="20"/>
          <w:szCs w:val="20"/>
          <w:color w:val="auto"/>
        </w:rPr>
      </w:pPr>
    </w:p>
    <w:p>
      <w:pPr>
        <w:ind w:left="1080"/>
        <w:spacing w:after="0"/>
        <w:tabs>
          <w:tab w:leader="none" w:pos="1840" w:val="left"/>
        </w:tabs>
        <w:rPr>
          <w:sz w:val="20"/>
          <w:szCs w:val="20"/>
          <w:color w:val="auto"/>
        </w:rPr>
      </w:pPr>
      <w:r>
        <w:rPr>
          <w:rFonts w:ascii="Times New Roman" w:cs="Times New Roman" w:eastAsia="Times New Roman" w:hAnsi="Times New Roman"/>
          <w:sz w:val="18"/>
          <w:szCs w:val="18"/>
          <w:color w:val="010000"/>
        </w:rPr>
        <w:t>5.2.4</w:t>
      </w:r>
      <w:r>
        <w:rPr>
          <w:sz w:val="20"/>
          <w:szCs w:val="20"/>
          <w:color w:val="auto"/>
        </w:rPr>
        <w:tab/>
      </w:r>
      <w:r>
        <w:rPr>
          <w:rFonts w:ascii="Times New Roman" w:cs="Times New Roman" w:eastAsia="Times New Roman" w:hAnsi="Times New Roman"/>
          <w:sz w:val="17"/>
          <w:szCs w:val="17"/>
          <w:color w:val="auto"/>
        </w:rPr>
        <w:t>Transfers by will or intestate succession upon the death of the undersigned;</w:t>
      </w:r>
    </w:p>
    <w:p>
      <w:pPr>
        <w:spacing w:after="0" w:line="192" w:lineRule="exact"/>
        <w:rPr>
          <w:sz w:val="20"/>
          <w:szCs w:val="20"/>
          <w:color w:val="auto"/>
        </w:rPr>
      </w:pPr>
    </w:p>
    <w:p>
      <w:pPr>
        <w:ind w:left="1080"/>
        <w:spacing w:after="0"/>
        <w:tabs>
          <w:tab w:leader="none" w:pos="2080" w:val="left"/>
        </w:tabs>
        <w:rPr>
          <w:sz w:val="20"/>
          <w:szCs w:val="20"/>
          <w:color w:val="auto"/>
        </w:rPr>
      </w:pPr>
      <w:r>
        <w:rPr>
          <w:rFonts w:ascii="Times New Roman" w:cs="Times New Roman" w:eastAsia="Times New Roman" w:hAnsi="Times New Roman"/>
          <w:sz w:val="18"/>
          <w:szCs w:val="18"/>
          <w:color w:val="010000"/>
        </w:rPr>
        <w:t>5.2.5</w:t>
      </w:r>
      <w:r>
        <w:rPr>
          <w:sz w:val="20"/>
          <w:szCs w:val="20"/>
          <w:color w:val="auto"/>
        </w:rPr>
        <w:tab/>
      </w:r>
      <w:r>
        <w:rPr>
          <w:rFonts w:ascii="Times New Roman" w:cs="Times New Roman" w:eastAsia="Times New Roman" w:hAnsi="Times New Roman"/>
          <w:sz w:val="18"/>
          <w:szCs w:val="18"/>
          <w:color w:val="auto"/>
        </w:rPr>
        <w:t>the Transfer of shares of Common Stock pursuant to a qualified domestic order, court order or in connection with a divorce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w:t>
      </w:r>
    </w:p>
    <w:p>
      <w:pPr>
        <w:spacing w:after="0" w:line="172" w:lineRule="exact"/>
        <w:rPr>
          <w:sz w:val="20"/>
          <w:szCs w:val="20"/>
          <w:color w:val="auto"/>
        </w:rPr>
      </w:pPr>
    </w:p>
    <w:p>
      <w:pPr>
        <w:jc w:val="both"/>
        <w:ind w:firstLine="1065"/>
        <w:spacing w:after="0" w:line="239" w:lineRule="auto"/>
        <w:rPr>
          <w:sz w:val="20"/>
          <w:szCs w:val="20"/>
          <w:color w:val="auto"/>
        </w:rPr>
      </w:pPr>
      <w:r>
        <w:rPr>
          <w:rFonts w:ascii="Times New Roman" w:cs="Times New Roman" w:eastAsia="Times New Roman" w:hAnsi="Times New Roman"/>
          <w:sz w:val="18"/>
          <w:szCs w:val="18"/>
          <w:color w:val="010000"/>
        </w:rPr>
        <w:t xml:space="preserve">5.2.6 </w:t>
      </w:r>
      <w:r>
        <w:rPr>
          <w:rFonts w:ascii="Times New Roman" w:cs="Times New Roman" w:eastAsia="Times New Roman" w:hAnsi="Times New Roman"/>
          <w:sz w:val="18"/>
          <w:szCs w:val="18"/>
          <w:color w:val="000000"/>
        </w:rPr>
        <w:t>if the Holder is a corporation, partnership (whether general, limited or otherwise), limited liability company, trust or other business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entity, (i) Transfers to another corporation, partnership, limited liability company, trust or other business entity that controls, is controlled by or is under common control or management with the Holder, or (ii) distributions of shares of Common Stock to partners, limited liability company members or stockholders of the Holder, including, for the avoidance of doubt, where the Holder is a partnership, to its general partner or a successor partnership or fund, or any other funds managed by such partnership;</w:t>
      </w:r>
    </w:p>
    <w:p>
      <w:pPr>
        <w:spacing w:after="0" w:line="167" w:lineRule="exact"/>
        <w:rPr>
          <w:sz w:val="20"/>
          <w:szCs w:val="20"/>
          <w:color w:val="auto"/>
        </w:rPr>
      </w:pPr>
    </w:p>
    <w:p>
      <w:pPr>
        <w:ind w:left="1080"/>
        <w:spacing w:after="0"/>
        <w:tabs>
          <w:tab w:leader="none" w:pos="1860" w:val="left"/>
        </w:tabs>
        <w:rPr>
          <w:sz w:val="20"/>
          <w:szCs w:val="20"/>
          <w:color w:val="auto"/>
        </w:rPr>
      </w:pPr>
      <w:r>
        <w:rPr>
          <w:rFonts w:ascii="Times New Roman" w:cs="Times New Roman" w:eastAsia="Times New Roman" w:hAnsi="Times New Roman"/>
          <w:sz w:val="18"/>
          <w:szCs w:val="18"/>
          <w:color w:val="010000"/>
        </w:rPr>
        <w:t>5.2.7</w:t>
      </w:r>
      <w:r>
        <w:rPr>
          <w:sz w:val="20"/>
          <w:szCs w:val="20"/>
          <w:color w:val="auto"/>
        </w:rPr>
        <w:tab/>
      </w:r>
      <w:r>
        <w:rPr>
          <w:rFonts w:ascii="Times New Roman" w:cs="Times New Roman" w:eastAsia="Times New Roman" w:hAnsi="Times New Roman"/>
          <w:sz w:val="17"/>
          <w:szCs w:val="17"/>
          <w:color w:val="auto"/>
        </w:rPr>
        <w:t>if the Holder is a trust, Transfers to a trustor or beneficiary of the trust or to the estate of a beneficiary of such trust;</w:t>
      </w:r>
    </w:p>
    <w:p>
      <w:pPr>
        <w:spacing w:after="0" w:line="192" w:lineRule="exact"/>
        <w:rPr>
          <w:sz w:val="20"/>
          <w:szCs w:val="20"/>
          <w:color w:val="auto"/>
        </w:rPr>
      </w:pPr>
    </w:p>
    <w:p>
      <w:pPr>
        <w:ind w:left="1080"/>
        <w:spacing w:after="0"/>
        <w:tabs>
          <w:tab w:leader="none" w:pos="1840" w:val="left"/>
        </w:tabs>
        <w:rPr>
          <w:sz w:val="20"/>
          <w:szCs w:val="20"/>
          <w:color w:val="auto"/>
        </w:rPr>
      </w:pPr>
      <w:r>
        <w:rPr>
          <w:rFonts w:ascii="Times New Roman" w:cs="Times New Roman" w:eastAsia="Times New Roman" w:hAnsi="Times New Roman"/>
          <w:sz w:val="18"/>
          <w:szCs w:val="18"/>
          <w:color w:val="010000"/>
        </w:rPr>
        <w:t>5.2.8</w:t>
      </w:r>
      <w:r>
        <w:rPr>
          <w:sz w:val="20"/>
          <w:szCs w:val="20"/>
          <w:color w:val="auto"/>
        </w:rPr>
        <w:tab/>
      </w:r>
      <w:r>
        <w:rPr>
          <w:rFonts w:ascii="Times New Roman" w:cs="Times New Roman" w:eastAsia="Times New Roman" w:hAnsi="Times New Roman"/>
          <w:sz w:val="17"/>
          <w:szCs w:val="17"/>
          <w:color w:val="auto"/>
        </w:rPr>
        <w:t>Transfers to the Company’s officers, directors or their affiliates;</w:t>
      </w:r>
    </w:p>
    <w:p>
      <w:pPr>
        <w:spacing w:after="0" w:line="192" w:lineRule="exact"/>
        <w:rPr>
          <w:sz w:val="20"/>
          <w:szCs w:val="20"/>
          <w:color w:val="auto"/>
        </w:rPr>
      </w:pPr>
    </w:p>
    <w:p>
      <w:pPr>
        <w:ind w:left="1080"/>
        <w:spacing w:after="0"/>
        <w:tabs>
          <w:tab w:leader="none" w:pos="1960" w:val="left"/>
        </w:tabs>
        <w:rPr>
          <w:sz w:val="20"/>
          <w:szCs w:val="20"/>
          <w:color w:val="auto"/>
        </w:rPr>
      </w:pPr>
      <w:r>
        <w:rPr>
          <w:rFonts w:ascii="Times New Roman" w:cs="Times New Roman" w:eastAsia="Times New Roman" w:hAnsi="Times New Roman"/>
          <w:sz w:val="18"/>
          <w:szCs w:val="18"/>
          <w:color w:val="010000"/>
        </w:rPr>
        <w:t>5.2.9</w:t>
      </w:r>
      <w:r>
        <w:rPr>
          <w:sz w:val="20"/>
          <w:szCs w:val="20"/>
          <w:color w:val="auto"/>
        </w:rPr>
        <w:tab/>
      </w:r>
      <w:r>
        <w:rPr>
          <w:rFonts w:ascii="Times New Roman" w:cs="Times New Roman" w:eastAsia="Times New Roman" w:hAnsi="Times New Roman"/>
          <w:sz w:val="18"/>
          <w:szCs w:val="18"/>
          <w:color w:val="auto"/>
        </w:rPr>
        <w:t xml:space="preserve">Transfers to a nominee or custodian of a person or entity to whom a disposition or transfer would be permissible under </w:t>
      </w:r>
      <w:r>
        <w:rPr>
          <w:rFonts w:ascii="Times New Roman" w:cs="Times New Roman" w:eastAsia="Times New Roman" w:hAnsi="Times New Roman"/>
          <w:sz w:val="18"/>
          <w:szCs w:val="18"/>
          <w:u w:val="single" w:color="auto"/>
          <w:color w:val="auto"/>
        </w:rPr>
        <w:t>Sections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5.2.2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5.2.8</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5.2.10 </w:t>
      </w:r>
      <w:r>
        <w:rPr>
          <w:rFonts w:ascii="Times New Roman" w:cs="Times New Roman" w:eastAsia="Times New Roman" w:hAnsi="Times New Roman"/>
          <w:sz w:val="18"/>
          <w:szCs w:val="18"/>
          <w:color w:val="000000"/>
        </w:rPr>
        <w:t>pledges of shares of Common Stock or other Registrable Securities as security or collateral in connection with any borrowing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incurrence of any indebtedness by any Holder;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such borrowing or incurrence of indebtedness is secured by a portfolio of assets or equity interests issued by multiple issuers;</w:t>
      </w:r>
    </w:p>
    <w:p>
      <w:pPr>
        <w:spacing w:after="0" w:line="162"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5.2.11 </w:t>
      </w:r>
      <w:r>
        <w:rPr>
          <w:rFonts w:ascii="Times New Roman" w:cs="Times New Roman" w:eastAsia="Times New Roman" w:hAnsi="Times New Roman"/>
          <w:sz w:val="18"/>
          <w:szCs w:val="18"/>
          <w:color w:val="000000"/>
        </w:rPr>
        <w:t>Transfers pursuant to a bona fide third-party tender offer, merger, stock sale, recapitalization, consolidation or other transaction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involving a Change in Control of the Company;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in the event that such tender offer, merger, recapitalization, consolidation or other such transaction is not completed, the Common Stock subject to this Agreement shall remain subject to this Agreement;</w:t>
      </w:r>
    </w:p>
    <w:p>
      <w:pPr>
        <w:spacing w:after="0" w:line="162"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5.2.12 </w:t>
      </w:r>
      <w:r>
        <w:rPr>
          <w:rFonts w:ascii="Times New Roman" w:cs="Times New Roman" w:eastAsia="Times New Roman" w:hAnsi="Times New Roman"/>
          <w:sz w:val="18"/>
          <w:szCs w:val="18"/>
          <w:color w:val="000000"/>
        </w:rPr>
        <w:t>the establishment of a trading plan pursuant to Rule 10b5-1 promulgated under the Exchange Act;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plan does not provide for the Transfer of Common Stock or any securities convertible into or exercisable or exchangeable for Common Stock during the Lock-Up Period;</w:t>
      </w:r>
    </w:p>
    <w:p>
      <w:pPr>
        <w:spacing w:after="0" w:line="162"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5.2.13 </w:t>
      </w:r>
      <w:r>
        <w:rPr>
          <w:rFonts w:ascii="Times New Roman" w:cs="Times New Roman" w:eastAsia="Times New Roman" w:hAnsi="Times New Roman"/>
          <w:sz w:val="18"/>
          <w:szCs w:val="18"/>
          <w:color w:val="000000"/>
        </w:rPr>
        <w:t>Transfers of shares of Common Stock to the Company in connection with the repurchase of the undersigned’s shares in connection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the termination of the undersigned’s employment with the Company pursuant to contractual agreements with the Company;</w:t>
      </w:r>
    </w:p>
    <w:p>
      <w:pPr>
        <w:spacing w:after="0" w:line="151" w:lineRule="exact"/>
        <w:rPr>
          <w:sz w:val="20"/>
          <w:szCs w:val="20"/>
          <w:color w:val="auto"/>
        </w:rPr>
      </w:pPr>
    </w:p>
    <w:p>
      <w:pPr>
        <w:jc w:val="both"/>
        <w:ind w:firstLine="1065"/>
        <w:spacing w:after="0" w:line="260" w:lineRule="auto"/>
        <w:rPr>
          <w:sz w:val="20"/>
          <w:szCs w:val="20"/>
          <w:color w:val="auto"/>
        </w:rPr>
      </w:pPr>
      <w:r>
        <w:rPr>
          <w:rFonts w:ascii="Times New Roman" w:cs="Times New Roman" w:eastAsia="Times New Roman" w:hAnsi="Times New Roman"/>
          <w:sz w:val="18"/>
          <w:szCs w:val="18"/>
          <w:color w:val="010000"/>
        </w:rPr>
        <w:t xml:space="preserve">5.2.14 </w:t>
      </w:r>
      <w:r>
        <w:rPr>
          <w:rFonts w:ascii="Times New Roman" w:cs="Times New Roman" w:eastAsia="Times New Roman" w:hAnsi="Times New Roman"/>
          <w:sz w:val="18"/>
          <w:szCs w:val="18"/>
          <w:color w:val="000000"/>
        </w:rPr>
        <w:t>Transfers of shares of Common Stock to satisfy tax withholding obligations in connection with the exercise of options to purchase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shares of Common Stock or the vesting of stock-based awards;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92" w:name="page293"/>
    <w:bookmarkEnd w:id="292"/>
    <w:p>
      <w:pPr>
        <w:jc w:val="both"/>
        <w:ind w:right="20" w:firstLine="1120"/>
        <w:spacing w:after="0" w:line="259" w:lineRule="auto"/>
        <w:rPr>
          <w:sz w:val="20"/>
          <w:szCs w:val="20"/>
          <w:color w:val="auto"/>
        </w:rPr>
      </w:pPr>
      <w:r>
        <w:rPr>
          <w:rFonts w:ascii="Times New Roman" w:cs="Times New Roman" w:eastAsia="Times New Roman" w:hAnsi="Times New Roman"/>
          <w:sz w:val="18"/>
          <w:szCs w:val="18"/>
          <w:color w:val="010000"/>
        </w:rPr>
        <w:t xml:space="preserve">5.2.15 </w:t>
      </w:r>
      <w:r>
        <w:rPr>
          <w:rFonts w:ascii="Times New Roman" w:cs="Times New Roman" w:eastAsia="Times New Roman" w:hAnsi="Times New Roman"/>
          <w:sz w:val="18"/>
          <w:szCs w:val="18"/>
          <w:color w:val="000000"/>
        </w:rPr>
        <w:t>Transfers of shares of Common Stock in payment on a “net exercise” or “cashless” basis of the exercise or purchase price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 to the exercise of options to purchase shares of Common Stock;</w:t>
      </w:r>
    </w:p>
    <w:p>
      <w:pPr>
        <w:spacing w:after="0" w:line="151" w:lineRule="exact"/>
        <w:rPr>
          <w:sz w:val="20"/>
          <w:szCs w:val="20"/>
          <w:color w:val="auto"/>
        </w:rPr>
      </w:pPr>
    </w:p>
    <w:p>
      <w:pPr>
        <w:jc w:val="both"/>
        <w:ind w:firstLine="1065"/>
        <w:spacing w:after="0" w:line="246" w:lineRule="auto"/>
        <w:rPr>
          <w:sz w:val="20"/>
          <w:szCs w:val="20"/>
          <w:color w:val="auto"/>
        </w:rPr>
      </w:pPr>
      <w:r>
        <w:rPr>
          <w:rFonts w:ascii="Times New Roman" w:cs="Times New Roman" w:eastAsia="Times New Roman" w:hAnsi="Times New Roman"/>
          <w:sz w:val="18"/>
          <w:szCs w:val="18"/>
          <w:color w:val="010000"/>
        </w:rPr>
        <w:t xml:space="preserve">5.2.16 </w:t>
      </w:r>
      <w:r>
        <w:rPr>
          <w:rFonts w:ascii="Times New Roman" w:cs="Times New Roman" w:eastAsia="Times New Roman" w:hAnsi="Times New Roman"/>
          <w:sz w:val="18"/>
          <w:szCs w:val="18"/>
          <w:color w:val="000000"/>
        </w:rPr>
        <w:t>Transfers to the Company through the exercise of a stock option granted under a stock incentive plan or stock purchase plan or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warrant, and the receipt by the Holder from the Company of shares of Common Stock upon any such exercise, insofar as such option or warrant expires during the Lock-Up Period; provided that the underlying shares shall continue to be subject to the restrictions on transfer set forth in this Agreement;</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any Transfer pursuant to </w:t>
      </w:r>
      <w:r>
        <w:rPr>
          <w:rFonts w:ascii="Times New Roman" w:cs="Times New Roman" w:eastAsia="Times New Roman" w:hAnsi="Times New Roman"/>
          <w:sz w:val="18"/>
          <w:szCs w:val="18"/>
          <w:u w:val="single" w:color="auto"/>
          <w:color w:val="auto"/>
        </w:rPr>
        <w:t>Sections 5.2.2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5.2.10</w:t>
      </w:r>
      <w:r>
        <w:rPr>
          <w:rFonts w:ascii="Times New Roman" w:cs="Times New Roman" w:eastAsia="Times New Roman" w:hAnsi="Times New Roman"/>
          <w:sz w:val="18"/>
          <w:szCs w:val="18"/>
          <w:color w:val="auto"/>
        </w:rPr>
        <w:t>, each donee, distribute, pledgee or other transferee shall agree in writing, in form and substance reasonably satisfactory to the Company, to be bound by the provisions of this Agreement.</w:t>
      </w:r>
    </w:p>
    <w:p>
      <w:pPr>
        <w:spacing w:after="0" w:line="149"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5.3. </w:t>
      </w:r>
      <w:r>
        <w:rPr>
          <w:rFonts w:ascii="Times New Roman" w:cs="Times New Roman" w:eastAsia="Times New Roman" w:hAnsi="Times New Roman"/>
          <w:sz w:val="18"/>
          <w:szCs w:val="18"/>
          <w:b w:val="1"/>
          <w:bCs w:val="1"/>
          <w:color w:val="000000"/>
        </w:rPr>
        <w:t>Release of Lock-Up Restrictions</w:t>
      </w:r>
      <w:r>
        <w:rPr>
          <w:rFonts w:ascii="Times New Roman" w:cs="Times New Roman" w:eastAsia="Times New Roman" w:hAnsi="Times New Roman"/>
          <w:sz w:val="18"/>
          <w:szCs w:val="18"/>
          <w:color w:val="000000"/>
        </w:rPr>
        <w:t>. Notwithstanding the other provisions set forth herein, the Board may, in its sole discretion, determine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to waive, amend, or repeal the restrictions set forth in </w:t>
      </w:r>
      <w:r>
        <w:rPr>
          <w:rFonts w:ascii="Times New Roman" w:cs="Times New Roman" w:eastAsia="Times New Roman" w:hAnsi="Times New Roman"/>
          <w:sz w:val="18"/>
          <w:szCs w:val="18"/>
          <w:u w:val="single" w:color="auto"/>
          <w:color w:val="000000"/>
        </w:rPr>
        <w:t>Section 5.1</w:t>
      </w:r>
      <w:r>
        <w:rPr>
          <w:rFonts w:ascii="Times New Roman" w:cs="Times New Roman" w:eastAsia="Times New Roman" w:hAnsi="Times New Roman"/>
          <w:sz w:val="18"/>
          <w:szCs w:val="18"/>
          <w:color w:val="000000"/>
        </w:rPr>
        <w:t xml:space="preserve"> above, whether in whole or in part;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any such waiver, amendment or repeal shall (i) not make such restrictions more restrictive or apply for a longer period of time and (ii) require the unanimous approval of the directors present at any duly called meeting at which a quorum is present.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70" w:lineRule="exact"/>
        <w:rPr>
          <w:sz w:val="20"/>
          <w:szCs w:val="20"/>
          <w:color w:val="auto"/>
        </w:rPr>
      </w:pPr>
    </w:p>
    <w:p>
      <w:pPr>
        <w:jc w:val="both"/>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6.1. </w:t>
      </w:r>
      <w:r>
        <w:rPr>
          <w:rFonts w:ascii="Times New Roman" w:cs="Times New Roman" w:eastAsia="Times New Roman" w:hAnsi="Times New Roman"/>
          <w:sz w:val="18"/>
          <w:szCs w:val="18"/>
          <w:b w:val="1"/>
          <w:bCs w:val="1"/>
          <w:color w:val="000000"/>
        </w:rPr>
        <w:t>Termination</w:t>
      </w:r>
      <w:r>
        <w:rPr>
          <w:rFonts w:ascii="Times New Roman" w:cs="Times New Roman" w:eastAsia="Times New Roman" w:hAnsi="Times New Roman"/>
          <w:sz w:val="18"/>
          <w:szCs w:val="18"/>
          <w:color w:val="000000"/>
        </w:rPr>
        <w:t>. This Agreement shall terminate upon the earliest to occur of: (i) the termination of the Business Combination Agreement,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(ii) the date on which neither the Holders nor any of their permitted assignees hold any Registrable Securities, and (iii) a Liquidation Event.</w:t>
      </w:r>
    </w:p>
    <w:p>
      <w:pPr>
        <w:spacing w:after="0" w:line="145"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6.2. </w:t>
      </w:r>
      <w:r>
        <w:rPr>
          <w:rFonts w:ascii="Times New Roman" w:cs="Times New Roman" w:eastAsia="Times New Roman" w:hAnsi="Times New Roman"/>
          <w:sz w:val="18"/>
          <w:szCs w:val="18"/>
          <w:b w:val="1"/>
          <w:bCs w:val="1"/>
          <w:color w:val="000000"/>
        </w:rPr>
        <w:t>Effect of Business Combination Terminatio</w:t>
      </w:r>
      <w:r>
        <w:rPr>
          <w:rFonts w:ascii="Times New Roman" w:cs="Times New Roman" w:eastAsia="Times New Roman" w:hAnsi="Times New Roman"/>
          <w:sz w:val="18"/>
          <w:szCs w:val="18"/>
          <w:color w:val="000000"/>
        </w:rPr>
        <w:t>n. In the event of a termination of this Agreement as a result of the termination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Business Combination Agreement, this Agreement shall become void and the Prior Agreement shall continue in full force and effect; this Agreement shall only become effective at the Effective Time, and prior to such date this Agreement shall be of no force and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70"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7.1. </w:t>
      </w:r>
      <w:r>
        <w:rPr>
          <w:rFonts w:ascii="Times New Roman" w:cs="Times New Roman" w:eastAsia="Times New Roman" w:hAnsi="Times New Roman"/>
          <w:sz w:val="18"/>
          <w:szCs w:val="18"/>
          <w:b w:val="1"/>
          <w:bCs w:val="1"/>
          <w:color w:val="000000"/>
        </w:rPr>
        <w:t>Notices</w:t>
      </w:r>
      <w:r>
        <w:rPr>
          <w:rFonts w:ascii="Times New Roman" w:cs="Times New Roman" w:eastAsia="Times New Roman" w:hAnsi="Times New Roman"/>
          <w:sz w:val="18"/>
          <w:szCs w:val="18"/>
          <w:color w:val="000000"/>
        </w:rPr>
        <w:t>. All notices, requests, claims, demands and other communications hereunder shall be in writing and shall be given (and shall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000000"/>
        </w:rPr>
        <w:t>Section 7.1</w:t>
      </w:r>
      <w:r>
        <w:rPr>
          <w:rFonts w:ascii="Times New Roman" w:cs="Times New Roman" w:eastAsia="Times New Roman" w:hAnsi="Times New Roman"/>
          <w:sz w:val="18"/>
          <w:szCs w:val="18"/>
          <w:color w:val="000000"/>
        </w:rPr>
        <w:t>):</w:t>
      </w:r>
    </w:p>
    <w:p>
      <w:pPr>
        <w:spacing w:after="0" w:line="1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If to the Company, to it at:</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Nautilus Biotechnology, Inc.</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425 Pontius Ave. N., Ste. 202</w:t>
      </w:r>
    </w:p>
    <w:p>
      <w:pPr>
        <w:ind w:left="1880"/>
        <w:spacing w:after="0" w:line="231" w:lineRule="auto"/>
        <w:rPr>
          <w:sz w:val="20"/>
          <w:szCs w:val="20"/>
          <w:color w:val="auto"/>
        </w:rPr>
      </w:pPr>
      <w:r>
        <w:rPr>
          <w:rFonts w:ascii="Times New Roman" w:cs="Times New Roman" w:eastAsia="Times New Roman" w:hAnsi="Times New Roman"/>
          <w:sz w:val="18"/>
          <w:szCs w:val="18"/>
          <w:color w:val="auto"/>
        </w:rPr>
        <w:t>Seattle, WA 98102</w:t>
      </w:r>
    </w:p>
    <w:p>
      <w:pPr>
        <w:ind w:left="1880"/>
        <w:spacing w:after="0" w:line="232" w:lineRule="auto"/>
        <w:rPr>
          <w:sz w:val="20"/>
          <w:szCs w:val="20"/>
          <w:color w:val="auto"/>
        </w:rPr>
      </w:pPr>
      <w:r>
        <w:rPr>
          <w:rFonts w:ascii="Times New Roman" w:cs="Times New Roman" w:eastAsia="Times New Roman" w:hAnsi="Times New Roman"/>
          <w:sz w:val="18"/>
          <w:szCs w:val="18"/>
          <w:color w:val="auto"/>
        </w:rPr>
        <w:t>Attention: Sujal Patel, Chief Executive Officer</w:t>
      </w:r>
    </w:p>
    <w:p>
      <w:pPr>
        <w:ind w:left="1880"/>
        <w:spacing w:after="0"/>
        <w:rPr>
          <w:sz w:val="20"/>
          <w:szCs w:val="20"/>
          <w:color w:val="auto"/>
        </w:rPr>
      </w:pPr>
      <w:r>
        <w:rPr>
          <w:rFonts w:ascii="Times New Roman" w:cs="Times New Roman" w:eastAsia="Times New Roman" w:hAnsi="Times New Roman"/>
          <w:sz w:val="18"/>
          <w:szCs w:val="18"/>
          <w:color w:val="auto"/>
        </w:rPr>
        <w:t>Email: smpatel@nautilus.bio</w:t>
      </w:r>
    </w:p>
    <w:p>
      <w:pPr>
        <w:spacing w:after="0" w:line="17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650 Page Mill Road</w:t>
      </w:r>
    </w:p>
    <w:p>
      <w:pPr>
        <w:ind w:left="1880"/>
        <w:spacing w:after="0" w:line="231" w:lineRule="auto"/>
        <w:rPr>
          <w:sz w:val="20"/>
          <w:szCs w:val="20"/>
          <w:color w:val="auto"/>
        </w:rPr>
      </w:pPr>
      <w:r>
        <w:rPr>
          <w:rFonts w:ascii="Times New Roman" w:cs="Times New Roman" w:eastAsia="Times New Roman" w:hAnsi="Times New Roman"/>
          <w:sz w:val="18"/>
          <w:szCs w:val="18"/>
          <w:color w:val="auto"/>
        </w:rPr>
        <w:t>Palo Alto, CA 94304</w:t>
      </w:r>
    </w:p>
    <w:p>
      <w:pPr>
        <w:ind w:left="1880"/>
        <w:spacing w:after="0" w:line="232" w:lineRule="auto"/>
        <w:rPr>
          <w:sz w:val="20"/>
          <w:szCs w:val="20"/>
          <w:color w:val="auto"/>
        </w:rPr>
      </w:pPr>
      <w:r>
        <w:rPr>
          <w:rFonts w:ascii="Times New Roman" w:cs="Times New Roman" w:eastAsia="Times New Roman" w:hAnsi="Times New Roman"/>
          <w:sz w:val="18"/>
          <w:szCs w:val="18"/>
          <w:color w:val="auto"/>
        </w:rPr>
        <w:t>Attention: Robert F. Kornegay</w:t>
      </w:r>
    </w:p>
    <w:p>
      <w:pPr>
        <w:ind w:left="1880"/>
        <w:spacing w:after="0"/>
        <w:rPr>
          <w:sz w:val="20"/>
          <w:szCs w:val="20"/>
          <w:color w:val="auto"/>
        </w:rPr>
      </w:pPr>
      <w:r>
        <w:rPr>
          <w:rFonts w:ascii="Times New Roman" w:cs="Times New Roman" w:eastAsia="Times New Roman" w:hAnsi="Times New Roman"/>
          <w:sz w:val="18"/>
          <w:szCs w:val="18"/>
          <w:color w:val="auto"/>
        </w:rPr>
        <w:t>Email: rkornegay@wsgr.com</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93" w:name="page294"/>
    <w:bookmarkEnd w:id="293"/>
    <w:p>
      <w:pPr>
        <w:ind w:left="1880"/>
        <w:spacing w:after="0"/>
        <w:rPr>
          <w:sz w:val="20"/>
          <w:szCs w:val="20"/>
          <w:color w:val="auto"/>
        </w:rPr>
      </w:pPr>
      <w:r>
        <w:rPr>
          <w:rFonts w:ascii="Times New Roman" w:cs="Times New Roman" w:eastAsia="Times New Roman" w:hAnsi="Times New Roman"/>
          <w:sz w:val="18"/>
          <w:szCs w:val="18"/>
          <w:color w:val="auto"/>
        </w:rPr>
        <w:t>If to a Holder, to the address or email address set forth for Holder on the signature page hereof.</w:t>
      </w:r>
    </w:p>
    <w:p>
      <w:pPr>
        <w:spacing w:after="0" w:line="190"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7.2. </w:t>
      </w:r>
      <w:r>
        <w:rPr>
          <w:rFonts w:ascii="Times New Roman" w:cs="Times New Roman" w:eastAsia="Times New Roman" w:hAnsi="Times New Roman"/>
          <w:sz w:val="18"/>
          <w:szCs w:val="18"/>
          <w:b w:val="1"/>
          <w:bCs w:val="1"/>
          <w:color w:val="000000"/>
        </w:rPr>
        <w:t>Severability</w:t>
      </w:r>
      <w:r>
        <w:rPr>
          <w:rFonts w:ascii="Times New Roman" w:cs="Times New Roman" w:eastAsia="Times New Roman" w:hAnsi="Times New Roman"/>
          <w:sz w:val="18"/>
          <w:szCs w:val="18"/>
          <w:color w:val="000000"/>
        </w:rPr>
        <w:t>. If any term or other provision of this Agreement is invalid, illegal or incapable of being enforced by any rule of law 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66" w:lineRule="exact"/>
        <w:rPr>
          <w:sz w:val="20"/>
          <w:szCs w:val="20"/>
          <w:color w:val="auto"/>
        </w:rPr>
      </w:pPr>
    </w:p>
    <w:p>
      <w:pPr>
        <w:jc w:val="both"/>
        <w:ind w:firstLine="532"/>
        <w:spacing w:after="0" w:line="239" w:lineRule="auto"/>
        <w:rPr>
          <w:sz w:val="20"/>
          <w:szCs w:val="20"/>
          <w:color w:val="auto"/>
        </w:rPr>
      </w:pPr>
      <w:r>
        <w:rPr>
          <w:rFonts w:ascii="Times New Roman" w:cs="Times New Roman" w:eastAsia="Times New Roman" w:hAnsi="Times New Roman"/>
          <w:sz w:val="18"/>
          <w:szCs w:val="18"/>
          <w:b w:val="1"/>
          <w:bCs w:val="1"/>
          <w:color w:val="010000"/>
        </w:rPr>
        <w:t xml:space="preserve">Section 7.3. </w:t>
      </w:r>
      <w:r>
        <w:rPr>
          <w:rFonts w:ascii="Times New Roman" w:cs="Times New Roman" w:eastAsia="Times New Roman" w:hAnsi="Times New Roman"/>
          <w:sz w:val="18"/>
          <w:szCs w:val="18"/>
          <w:b w:val="1"/>
          <w:bCs w:val="1"/>
          <w:color w:val="000000"/>
        </w:rPr>
        <w:t>Entire Agreement; Assignment</w:t>
      </w:r>
      <w:r>
        <w:rPr>
          <w:rFonts w:ascii="Times New Roman" w:cs="Times New Roman" w:eastAsia="Times New Roman" w:hAnsi="Times New Roman"/>
          <w:sz w:val="18"/>
          <w:szCs w:val="18"/>
          <w:color w:val="000000"/>
        </w:rPr>
        <w:t>. This Agreement constitutes the entire agreement among the parties with respect to the subject matter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Company, except that a Holder may, without consent, assign such Holder’s rights under this Agreement to any transferee of Common Stock permitted under </w:t>
      </w:r>
      <w:r>
        <w:rPr>
          <w:rFonts w:ascii="Times New Roman" w:cs="Times New Roman" w:eastAsia="Times New Roman" w:hAnsi="Times New Roman"/>
          <w:sz w:val="18"/>
          <w:szCs w:val="18"/>
          <w:u w:val="single" w:color="auto"/>
          <w:color w:val="000000"/>
        </w:rPr>
        <w:t>Sections 5.2.2</w:t>
      </w:r>
      <w:r>
        <w:rPr>
          <w:rFonts w:ascii="Times New Roman" w:cs="Times New Roman" w:eastAsia="Times New Roman" w:hAnsi="Times New Roman"/>
          <w:sz w:val="18"/>
          <w:szCs w:val="18"/>
          <w:color w:val="000000"/>
        </w:rPr>
        <w:t xml:space="preserve"> through </w:t>
      </w:r>
      <w:r>
        <w:rPr>
          <w:rFonts w:ascii="Times New Roman" w:cs="Times New Roman" w:eastAsia="Times New Roman" w:hAnsi="Times New Roman"/>
          <w:sz w:val="18"/>
          <w:szCs w:val="18"/>
          <w:u w:val="single" w:color="auto"/>
          <w:color w:val="000000"/>
        </w:rPr>
        <w:t>5.2.10</w:t>
      </w:r>
      <w:r>
        <w:rPr>
          <w:rFonts w:ascii="Times New Roman" w:cs="Times New Roman" w:eastAsia="Times New Roman" w:hAnsi="Times New Roman"/>
          <w:sz w:val="18"/>
          <w:szCs w:val="18"/>
          <w:color w:val="000000"/>
        </w:rPr>
        <w:t xml:space="preserve"> (such transferees, “</w:t>
      </w:r>
      <w:r>
        <w:rPr>
          <w:rFonts w:ascii="Times New Roman" w:cs="Times New Roman" w:eastAsia="Times New Roman" w:hAnsi="Times New Roman"/>
          <w:sz w:val="18"/>
          <w:szCs w:val="18"/>
          <w:b w:val="1"/>
          <w:bCs w:val="1"/>
          <w:color w:val="000000"/>
        </w:rPr>
        <w:t>Permitted Transferees</w:t>
      </w:r>
      <w:r>
        <w:rPr>
          <w:rFonts w:ascii="Times New Roman" w:cs="Times New Roman" w:eastAsia="Times New Roman" w:hAnsi="Times New Roman"/>
          <w:sz w:val="18"/>
          <w:szCs w:val="18"/>
          <w:color w:val="000000"/>
        </w:rPr>
        <w:t>”).</w:t>
      </w:r>
    </w:p>
    <w:p>
      <w:pPr>
        <w:spacing w:after="0" w:line="167"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7.4. </w:t>
      </w:r>
      <w:r>
        <w:rPr>
          <w:rFonts w:ascii="Times New Roman" w:cs="Times New Roman" w:eastAsia="Times New Roman" w:hAnsi="Times New Roman"/>
          <w:sz w:val="18"/>
          <w:szCs w:val="18"/>
          <w:b w:val="1"/>
          <w:bCs w:val="1"/>
          <w:color w:val="000000"/>
        </w:rPr>
        <w:t>Parties in Interest</w:t>
      </w:r>
      <w:r>
        <w:rPr>
          <w:rFonts w:ascii="Times New Roman" w:cs="Times New Roman" w:eastAsia="Times New Roman" w:hAnsi="Times New Roman"/>
          <w:sz w:val="18"/>
          <w:szCs w:val="18"/>
          <w:color w:val="000000"/>
        </w:rPr>
        <w:t>. This Agreement shall be binding upon and inure solely to the benefit of each party hereto (and its respective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permitted assigns), and nothing in this Agreement, express or implied, is intended to or shall confer upon any other person any right, benefit or remedy of any nature whatsoever under or by reason of this Agreement.</w:t>
      </w:r>
    </w:p>
    <w:p>
      <w:pPr>
        <w:spacing w:after="0" w:line="16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7"/>
          <w:szCs w:val="17"/>
          <w:b w:val="1"/>
          <w:bCs w:val="1"/>
          <w:color w:val="010000"/>
        </w:rPr>
        <w:t xml:space="preserve">Section 7.5. </w:t>
      </w:r>
      <w:r>
        <w:rPr>
          <w:rFonts w:ascii="Times New Roman" w:cs="Times New Roman" w:eastAsia="Times New Roman" w:hAnsi="Times New Roman"/>
          <w:sz w:val="17"/>
          <w:szCs w:val="17"/>
          <w:b w:val="1"/>
          <w:bCs w:val="1"/>
          <w:color w:val="000000"/>
        </w:rPr>
        <w:t>Governing Law</w:t>
      </w:r>
      <w:r>
        <w:rPr>
          <w:rFonts w:ascii="Times New Roman" w:cs="Times New Roman" w:eastAsia="Times New Roman" w:hAnsi="Times New Roman"/>
          <w:sz w:val="17"/>
          <w:szCs w:val="17"/>
          <w:color w:val="000000"/>
        </w:rPr>
        <w:t>. This Agreement shall be governed by, and construed in accordance with, the laws of the State of Delaware applicable to</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 xml:space="preserve">contracts executed in and to be performed in that State. All legal actions and proceedings arising out of or relating to this Agreement shall be heard and determined exclusively in any Delaware Chancery Court;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however</w:t>
      </w:r>
      <w:r>
        <w:rPr>
          <w:rFonts w:ascii="Times New Roman" w:cs="Times New Roman" w:eastAsia="Times New Roman" w:hAnsi="Times New Roman"/>
          <w:sz w:val="17"/>
          <w:szCs w:val="17"/>
          <w:color w:val="000000"/>
        </w:rPr>
        <w:t>, that if jurisdiction is not then available in the Delaware Chancery Court, then any such legal action may be brought in any federal court located in the State of Delaware or any other Delaware state court. The parties hereto hereby (a) irrevocably submit to the exclusive jurisdiction of the aforesaid courts for themselves and with respect to their respective properties for the purpose of any action arising out of or relating to this Agreement brought by any party hereto, and (b) agree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contemplated hereby,</w:t>
      </w:r>
    </w:p>
    <w:p>
      <w:pPr>
        <w:spacing w:after="0" w:line="7" w:lineRule="exact"/>
        <w:rPr>
          <w:sz w:val="20"/>
          <w:szCs w:val="20"/>
          <w:color w:val="auto"/>
        </w:rPr>
      </w:pPr>
    </w:p>
    <w:p>
      <w:pPr>
        <w:jc w:val="both"/>
        <w:ind w:firstLine="9"/>
        <w:spacing w:after="0" w:line="251" w:lineRule="auto"/>
        <w:tabs>
          <w:tab w:leader="none" w:pos="268"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that it is not personally subject to the jurisdiction of the courts in Delaware as described herein for any reason, (y) that it or its property is exempt or immune from jurisdiction of any such court or from any legal process commenced in such courts (whether through service of notice, attachment prior to judgment, attachment in aid of execution of judgment, execution of judgment or otherwise) and (z) that (i) the action in any such court is brought in an inconvenient forum, (ii) the venue of such action is improper or (iii) this Agreement, or the subject matter hereof, may not be enforced in or by such courts.</w:t>
      </w:r>
    </w:p>
    <w:p>
      <w:pPr>
        <w:spacing w:after="0" w:line="159"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b w:val="1"/>
          <w:bCs w:val="1"/>
          <w:color w:val="010000"/>
        </w:rPr>
        <w:t xml:space="preserve">Section 7.6. </w:t>
      </w:r>
      <w:r>
        <w:rPr>
          <w:rFonts w:ascii="Times New Roman" w:cs="Times New Roman" w:eastAsia="Times New Roman" w:hAnsi="Times New Roman"/>
          <w:sz w:val="18"/>
          <w:szCs w:val="18"/>
          <w:b w:val="1"/>
          <w:bCs w:val="1"/>
          <w:color w:val="000000"/>
        </w:rPr>
        <w:t>Waiver of Jury Trial</w:t>
      </w:r>
      <w:r>
        <w:rPr>
          <w:rFonts w:ascii="Times New Roman" w:cs="Times New Roman" w:eastAsia="Times New Roman" w:hAnsi="Times New Roman"/>
          <w:sz w:val="18"/>
          <w:szCs w:val="18"/>
          <w:color w:val="000000"/>
        </w:rPr>
        <w:t>. EACH OF THE PARTIES HERETO HEREBY WAIVES TO THE FULLEST EXTENT PERMITTED 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Times New Roman" w:cs="Times New Roman" w:eastAsia="Times New Roman" w:hAnsi="Times New Roman"/>
          <w:sz w:val="18"/>
          <w:szCs w:val="18"/>
          <w:u w:val="single" w:color="auto"/>
          <w:color w:val="000000"/>
        </w:rPr>
        <w:t>SECTION 7.6</w:t>
      </w:r>
      <w:r>
        <w:rPr>
          <w:rFonts w:ascii="Times New Roman" w:cs="Times New Roman" w:eastAsia="Times New Roman" w:hAnsi="Times New Roman"/>
          <w:sz w:val="18"/>
          <w:szCs w:val="18"/>
          <w:color w:val="000000"/>
        </w:rPr>
        <w: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294" w:name="page295"/>
    <w:bookmarkEnd w:id="294"/>
    <w:p>
      <w:pPr>
        <w:jc w:val="both"/>
        <w:ind w:firstLine="588"/>
        <w:spacing w:after="0" w:line="235" w:lineRule="auto"/>
        <w:rPr>
          <w:sz w:val="20"/>
          <w:szCs w:val="20"/>
          <w:color w:val="auto"/>
        </w:rPr>
      </w:pPr>
      <w:r>
        <w:rPr>
          <w:rFonts w:ascii="Times New Roman" w:cs="Times New Roman" w:eastAsia="Times New Roman" w:hAnsi="Times New Roman"/>
          <w:sz w:val="18"/>
          <w:szCs w:val="18"/>
          <w:b w:val="1"/>
          <w:bCs w:val="1"/>
          <w:color w:val="010000"/>
        </w:rPr>
        <w:t xml:space="preserve">Section 7.7. </w:t>
      </w:r>
      <w:r>
        <w:rPr>
          <w:rFonts w:ascii="Times New Roman" w:cs="Times New Roman" w:eastAsia="Times New Roman" w:hAnsi="Times New Roman"/>
          <w:sz w:val="18"/>
          <w:szCs w:val="18"/>
          <w:b w:val="1"/>
          <w:bCs w:val="1"/>
          <w:color w:val="000000"/>
        </w:rPr>
        <w:t>Headings; Interpretation</w:t>
      </w:r>
      <w:r>
        <w:rPr>
          <w:rFonts w:ascii="Times New Roman" w:cs="Times New Roman" w:eastAsia="Times New Roman" w:hAnsi="Times New Roman"/>
          <w:sz w:val="18"/>
          <w:szCs w:val="18"/>
          <w:color w:val="000000"/>
        </w:rPr>
        <w:t>. The descriptive headings contained in this Agreement are included for convenience of reference only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spacing w:after="0" w:line="168"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7.8. </w:t>
      </w:r>
      <w:r>
        <w:rPr>
          <w:rFonts w:ascii="Times New Roman" w:cs="Times New Roman" w:eastAsia="Times New Roman" w:hAnsi="Times New Roman"/>
          <w:sz w:val="18"/>
          <w:szCs w:val="18"/>
          <w:b w:val="1"/>
          <w:bCs w:val="1"/>
          <w:color w:val="000000"/>
        </w:rPr>
        <w:t>Counterparts</w:t>
      </w:r>
      <w:r>
        <w:rPr>
          <w:rFonts w:ascii="Times New Roman" w:cs="Times New Roman" w:eastAsia="Times New Roman" w:hAnsi="Times New Roman"/>
          <w:sz w:val="18"/>
          <w:szCs w:val="18"/>
          <w:color w:val="000000"/>
        </w:rPr>
        <w:t>. This Agreement may be executed and delivered (including by facsimile or portable document format (pdf) transmission)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in counterparts, and by the different parties hereto in separate counterparts, each of which when executed shall be deemed to be an original but all of which taken together shall constitute one and the same agreement.</w:t>
      </w:r>
    </w:p>
    <w:p>
      <w:pPr>
        <w:spacing w:after="0" w:line="160" w:lineRule="exact"/>
        <w:rPr>
          <w:sz w:val="20"/>
          <w:szCs w:val="20"/>
          <w:color w:val="auto"/>
        </w:rPr>
      </w:pPr>
    </w:p>
    <w:p>
      <w:pPr>
        <w:jc w:val="both"/>
        <w:ind w:firstLine="532"/>
        <w:spacing w:after="0" w:line="242" w:lineRule="auto"/>
        <w:rPr>
          <w:sz w:val="20"/>
          <w:szCs w:val="20"/>
          <w:color w:val="auto"/>
        </w:rPr>
      </w:pPr>
      <w:r>
        <w:rPr>
          <w:rFonts w:ascii="Times New Roman" w:cs="Times New Roman" w:eastAsia="Times New Roman" w:hAnsi="Times New Roman"/>
          <w:sz w:val="18"/>
          <w:szCs w:val="18"/>
          <w:b w:val="1"/>
          <w:bCs w:val="1"/>
          <w:color w:val="010000"/>
        </w:rPr>
        <w:t xml:space="preserve">Section 7.9. </w:t>
      </w:r>
      <w:r>
        <w:rPr>
          <w:rFonts w:ascii="Times New Roman" w:cs="Times New Roman" w:eastAsia="Times New Roman" w:hAnsi="Times New Roman"/>
          <w:sz w:val="18"/>
          <w:szCs w:val="18"/>
          <w:b w:val="1"/>
          <w:bCs w:val="1"/>
          <w:color w:val="000000"/>
        </w:rPr>
        <w:t>Specific Performance</w:t>
      </w:r>
      <w:r>
        <w:rPr>
          <w:rFonts w:ascii="Times New Roman" w:cs="Times New Roman" w:eastAsia="Times New Roman" w:hAnsi="Times New Roman"/>
          <w:sz w:val="18"/>
          <w:szCs w:val="18"/>
          <w:color w:val="000000"/>
        </w:rPr>
        <w:t>. The parties hereto agree that irreparable damage would occur in the event any provision of this Agreement was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64" w:lineRule="exact"/>
        <w:rPr>
          <w:sz w:val="20"/>
          <w:szCs w:val="20"/>
          <w:color w:val="auto"/>
        </w:rPr>
      </w:pPr>
    </w:p>
    <w:p>
      <w:pPr>
        <w:jc w:val="both"/>
        <w:ind w:firstLine="532"/>
        <w:spacing w:after="0" w:line="238" w:lineRule="auto"/>
        <w:rPr>
          <w:sz w:val="20"/>
          <w:szCs w:val="20"/>
          <w:color w:val="auto"/>
        </w:rPr>
      </w:pPr>
      <w:r>
        <w:rPr>
          <w:rFonts w:ascii="Times New Roman" w:cs="Times New Roman" w:eastAsia="Times New Roman" w:hAnsi="Times New Roman"/>
          <w:sz w:val="18"/>
          <w:szCs w:val="18"/>
          <w:b w:val="1"/>
          <w:bCs w:val="1"/>
          <w:color w:val="010000"/>
        </w:rPr>
        <w:t xml:space="preserve">Section 7.10. </w:t>
      </w:r>
      <w:r>
        <w:rPr>
          <w:rFonts w:ascii="Times New Roman" w:cs="Times New Roman" w:eastAsia="Times New Roman" w:hAnsi="Times New Roman"/>
          <w:sz w:val="18"/>
          <w:szCs w:val="18"/>
          <w:b w:val="1"/>
          <w:bCs w:val="1"/>
          <w:color w:val="000000"/>
        </w:rPr>
        <w:t>Amendment</w:t>
      </w:r>
      <w:r>
        <w:rPr>
          <w:rFonts w:ascii="Times New Roman" w:cs="Times New Roman" w:eastAsia="Times New Roman" w:hAnsi="Times New Roman"/>
          <w:sz w:val="18"/>
          <w:szCs w:val="18"/>
          <w:color w:val="000000"/>
        </w:rPr>
        <w:t>. This Agreement may be amended in writing by the parties hereto at any time prior to the Effective Time. Following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Effective Time, this Agreement may not be amended except by an instrument in writing signed by (i) the Company, (ii) Perceptive Holders holding at least a majority in interest of the then-outstanding number of Registrable Securities held by all Perceptive Holders in their capacity as Perceptive Holders (provided the Perceptive Holders or their Permitted Transferees hold Registrable Securities at the time of such amendment), and (iii) New Holders holding at least a majority in interest of the then-outstanding number of Registrable Securities held by all New Holders in their capacity as New Holders (provided the New Holders or their Permitted Transferees hold Registrable Securities at the time of such amendment).</w:t>
      </w:r>
    </w:p>
    <w:p>
      <w:pPr>
        <w:spacing w:after="0" w:line="166" w:lineRule="exact"/>
        <w:rPr>
          <w:sz w:val="20"/>
          <w:szCs w:val="20"/>
          <w:color w:val="auto"/>
        </w:rPr>
      </w:pPr>
    </w:p>
    <w:p>
      <w:pPr>
        <w:jc w:val="both"/>
        <w:ind w:firstLine="532"/>
        <w:spacing w:after="0" w:line="258" w:lineRule="auto"/>
        <w:rPr>
          <w:sz w:val="20"/>
          <w:szCs w:val="20"/>
          <w:color w:val="auto"/>
        </w:rPr>
      </w:pPr>
      <w:r>
        <w:rPr>
          <w:rFonts w:ascii="Times New Roman" w:cs="Times New Roman" w:eastAsia="Times New Roman" w:hAnsi="Times New Roman"/>
          <w:sz w:val="17"/>
          <w:szCs w:val="17"/>
          <w:b w:val="1"/>
          <w:bCs w:val="1"/>
          <w:color w:val="010000"/>
        </w:rPr>
        <w:t xml:space="preserve">Section 7.11. </w:t>
      </w:r>
      <w:r>
        <w:rPr>
          <w:rFonts w:ascii="Times New Roman" w:cs="Times New Roman" w:eastAsia="Times New Roman" w:hAnsi="Times New Roman"/>
          <w:sz w:val="17"/>
          <w:szCs w:val="17"/>
          <w:b w:val="1"/>
          <w:bCs w:val="1"/>
          <w:color w:val="000000"/>
        </w:rPr>
        <w:t>Waiver</w:t>
      </w:r>
      <w:r>
        <w:rPr>
          <w:rFonts w:ascii="Times New Roman" w:cs="Times New Roman" w:eastAsia="Times New Roman" w:hAnsi="Times New Roman"/>
          <w:sz w:val="17"/>
          <w:szCs w:val="17"/>
          <w:color w:val="000000"/>
        </w:rPr>
        <w:t>. At any time, (i) the Company may (a) extend the time for the performance of any obligation or other act of any Holder, (b)</w:t>
      </w:r>
      <w:r>
        <w:rPr>
          <w:rFonts w:ascii="Times New Roman" w:cs="Times New Roman" w:eastAsia="Times New Roman" w:hAnsi="Times New Roman"/>
          <w:sz w:val="17"/>
          <w:szCs w:val="17"/>
          <w:b w:val="1"/>
          <w:bCs w:val="1"/>
          <w:color w:val="010000"/>
        </w:rPr>
        <w:t xml:space="preserve"> </w:t>
      </w:r>
      <w:r>
        <w:rPr>
          <w:rFonts w:ascii="Times New Roman" w:cs="Times New Roman" w:eastAsia="Times New Roman" w:hAnsi="Times New Roman"/>
          <w:sz w:val="17"/>
          <w:szCs w:val="17"/>
          <w:color w:val="000000"/>
        </w:rPr>
        <w:t>waive any inaccuracy in the representations and warranties of any Holder contained herein or in any document delivered by such Holder pursuant hereto and</w:t>
      </w:r>
    </w:p>
    <w:p>
      <w:pPr>
        <w:spacing w:after="0" w:line="1" w:lineRule="exact"/>
        <w:rPr>
          <w:sz w:val="20"/>
          <w:szCs w:val="20"/>
          <w:color w:val="auto"/>
        </w:rPr>
      </w:pPr>
    </w:p>
    <w:p>
      <w:pPr>
        <w:jc w:val="both"/>
        <w:ind w:firstLine="9"/>
        <w:spacing w:after="0" w:line="234" w:lineRule="auto"/>
        <w:tabs>
          <w:tab w:leader="none" w:pos="241"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agreement of such Holder or any condition to its own obligations contained herein. At any time, (i) the Holders may (a) extend the time for the performance of any obligation or other act of the Company, (b) waive any inaccuracy in the representations and warranties of the Company contained herein or in any document delivered by the Company pursuant hereto and (c) waive compliance with any agreement of the Company or any condition to their own obligations contained herein. Any such extension or waiver shall be valid if set forth in an instrument in writing signed by the party or parties to be bound thereby.</w:t>
      </w:r>
    </w:p>
    <w:p>
      <w:pPr>
        <w:spacing w:after="0" w:line="167"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7.12. </w:t>
      </w:r>
      <w:r>
        <w:rPr>
          <w:rFonts w:ascii="Times New Roman" w:cs="Times New Roman" w:eastAsia="Times New Roman" w:hAnsi="Times New Roman"/>
          <w:sz w:val="18"/>
          <w:szCs w:val="18"/>
          <w:b w:val="1"/>
          <w:bCs w:val="1"/>
          <w:color w:val="000000"/>
        </w:rPr>
        <w:t>Further Assurances</w:t>
      </w:r>
      <w:r>
        <w:rPr>
          <w:rFonts w:ascii="Times New Roman" w:cs="Times New Roman" w:eastAsia="Times New Roman" w:hAnsi="Times New Roman"/>
          <w:sz w:val="18"/>
          <w:szCs w:val="18"/>
          <w:color w:val="000000"/>
        </w:rPr>
        <w:t>. At the request of the Company, in the case of any Holder, or at the request of any Holder, in the case of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Company,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spacing w:after="0" w:line="160" w:lineRule="exact"/>
        <w:rPr>
          <w:sz w:val="20"/>
          <w:szCs w:val="20"/>
          <w:color w:val="auto"/>
        </w:rPr>
      </w:pPr>
    </w:p>
    <w:p>
      <w:pPr>
        <w:jc w:val="both"/>
        <w:ind w:firstLine="532"/>
        <w:spacing w:after="0" w:line="247" w:lineRule="auto"/>
        <w:rPr>
          <w:sz w:val="20"/>
          <w:szCs w:val="20"/>
          <w:color w:val="auto"/>
        </w:rPr>
      </w:pPr>
      <w:r>
        <w:rPr>
          <w:rFonts w:ascii="Times New Roman" w:cs="Times New Roman" w:eastAsia="Times New Roman" w:hAnsi="Times New Roman"/>
          <w:sz w:val="18"/>
          <w:szCs w:val="18"/>
          <w:b w:val="1"/>
          <w:bCs w:val="1"/>
          <w:color w:val="010000"/>
        </w:rPr>
        <w:t xml:space="preserve">Section 7.13. </w:t>
      </w:r>
      <w:r>
        <w:rPr>
          <w:rFonts w:ascii="Times New Roman" w:cs="Times New Roman" w:eastAsia="Times New Roman" w:hAnsi="Times New Roman"/>
          <w:sz w:val="18"/>
          <w:szCs w:val="18"/>
          <w:b w:val="1"/>
          <w:bCs w:val="1"/>
          <w:color w:val="000000"/>
        </w:rPr>
        <w:t>Prior Agreement Superseded</w:t>
      </w:r>
      <w:r>
        <w:rPr>
          <w:rFonts w:ascii="Times New Roman" w:cs="Times New Roman" w:eastAsia="Times New Roman" w:hAnsi="Times New Roman"/>
          <w:sz w:val="18"/>
          <w:szCs w:val="18"/>
          <w:color w:val="000000"/>
        </w:rPr>
        <w:t>. Pursuant to Section 5.6 of the Prior Agreement, the undersigned parties who are parties to such Prior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Agreement hereby terminate the Prior Agreement, with the intent and effect that the Prior Agreement shall hereby be replaced and superseded in its entirety by this Agreement.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95" w:name="page296"/>
    <w:bookmarkEnd w:id="295"/>
    <w:p>
      <w:pPr>
        <w:ind w:firstLine="532"/>
        <w:spacing w:after="0" w:line="263" w:lineRule="auto"/>
        <w:rPr>
          <w:sz w:val="20"/>
          <w:szCs w:val="20"/>
          <w:color w:val="auto"/>
        </w:rPr>
      </w:pPr>
      <w:r>
        <w:rPr>
          <w:rFonts w:ascii="Times New Roman" w:cs="Times New Roman" w:eastAsia="Times New Roman" w:hAnsi="Times New Roman"/>
          <w:sz w:val="18"/>
          <w:szCs w:val="18"/>
          <w:b w:val="1"/>
          <w:bCs w:val="1"/>
          <w:color w:val="010000"/>
        </w:rPr>
        <w:t xml:space="preserve">Section 7.14. </w:t>
      </w:r>
      <w:r>
        <w:rPr>
          <w:rFonts w:ascii="Times New Roman" w:cs="Times New Roman" w:eastAsia="Times New Roman" w:hAnsi="Times New Roman"/>
          <w:sz w:val="18"/>
          <w:szCs w:val="18"/>
          <w:b w:val="1"/>
          <w:bCs w:val="1"/>
          <w:color w:val="000000"/>
        </w:rPr>
        <w:t>No Strict Construction</w:t>
      </w:r>
      <w:r>
        <w:rPr>
          <w:rFonts w:ascii="Times New Roman" w:cs="Times New Roman" w:eastAsia="Times New Roman" w:hAnsi="Times New Roman"/>
          <w:sz w:val="18"/>
          <w:szCs w:val="18"/>
          <w:color w:val="000000"/>
        </w:rPr>
        <w:t>. The language used in this Agreement shall be deemed to be the language chosen by the parties to express their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mutual intent and no rule of strict construction shall be applied against any party.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Next Page is Signature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7157085" cy="139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color w:val="auto"/>
        </w:rPr>
        <w:t>IN WITNESS WHEREOF, each of the parties has executed this Agreement as of the date first written above.</w:t>
      </w:r>
    </w:p>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5"/>
          <w:szCs w:val="15"/>
          <w:b w:val="1"/>
          <w:bCs w:val="1"/>
          <w:color w:val="auto"/>
        </w:rPr>
        <w:t>COMPANY:</w:t>
      </w:r>
    </w:p>
    <w:p>
      <w:pPr>
        <w:spacing w:after="0" w:line="362" w:lineRule="exact"/>
        <w:rPr>
          <w:sz w:val="20"/>
          <w:szCs w:val="20"/>
          <w:color w:val="auto"/>
        </w:rPr>
      </w:pPr>
    </w:p>
    <w:tbl>
      <w:tblPr>
        <w:tblLayout w:type="fixed"/>
        <w:tblInd w:w="5120" w:type="dxa"/>
        <w:tblCellMar>
          <w:top w:w="0" w:type="dxa"/>
          <w:left w:w="0" w:type="dxa"/>
          <w:bottom w:w="0" w:type="dxa"/>
          <w:right w:w="0" w:type="dxa"/>
        </w:tblCellMar>
      </w:tblP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Chief Financial Officer</w:t>
            </w:r>
          </w:p>
        </w:tc>
      </w:tr>
      <w:tr>
        <w:trPr>
          <w:trHeight w:val="163"/>
        </w:trPr>
        <w:tc>
          <w:tcPr>
            <w:tcW w:w="54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w:t>
            </w:r>
          </w:p>
        </w:tc>
        <w:tc>
          <w:tcPr>
            <w:tcW w:w="50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Michael Altman</w:t>
            </w:r>
          </w:p>
        </w:tc>
      </w:tr>
      <w:tr>
        <w:trPr>
          <w:trHeight w:val="192"/>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020" w:type="dxa"/>
        <w:tblCellMar>
          <w:top w:w="0" w:type="dxa"/>
          <w:left w:w="0" w:type="dxa"/>
          <w:bottom w:w="0" w:type="dxa"/>
          <w:right w:w="0" w:type="dxa"/>
        </w:tblCellMar>
      </w:tblPr>
      <w:tr>
        <w:trPr>
          <w:trHeight w:val="194"/>
        </w:trPr>
        <w:tc>
          <w:tcPr>
            <w:tcW w:w="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7"/>
              </w:rPr>
              <w:t>HOLDER:</w:t>
            </w:r>
          </w:p>
        </w:tc>
        <w:tc>
          <w:tcPr>
            <w:tcW w:w="5020" w:type="dxa"/>
            <w:vAlign w:val="bottom"/>
          </w:tcPr>
          <w:p>
            <w:pPr>
              <w:spacing w:after="0"/>
              <w:rPr>
                <w:sz w:val="16"/>
                <w:szCs w:val="16"/>
                <w:color w:val="auto"/>
              </w:rPr>
            </w:pPr>
          </w:p>
        </w:tc>
      </w:tr>
      <w:tr>
        <w:trPr>
          <w:trHeight w:val="369"/>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Perceptive Life Sciences Master Fund Ltd</w:t>
            </w:r>
          </w:p>
        </w:tc>
      </w:tr>
      <w:tr>
        <w:trPr>
          <w:trHeight w:val="368"/>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Authorized Signatory</w:t>
            </w:r>
          </w:p>
        </w:tc>
      </w:tr>
      <w:tr>
        <w:trPr>
          <w:trHeight w:val="163"/>
        </w:trPr>
        <w:tc>
          <w:tcPr>
            <w:tcW w:w="700" w:type="dxa"/>
            <w:vAlign w:val="bottom"/>
          </w:tcPr>
          <w:p>
            <w:pPr>
              <w:spacing w:after="0"/>
              <w:rPr>
                <w:sz w:val="14"/>
                <w:szCs w:val="14"/>
                <w:color w:val="auto"/>
              </w:rPr>
            </w:pPr>
          </w:p>
        </w:tc>
        <w:tc>
          <w:tcPr>
            <w:tcW w:w="50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Michael Altman</w:t>
            </w:r>
          </w:p>
        </w:tc>
      </w:tr>
      <w:tr>
        <w:trPr>
          <w:trHeight w:val="192"/>
        </w:trPr>
        <w:tc>
          <w:tcPr>
            <w:tcW w:w="70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Title: Authorized Signatory</w:t>
            </w:r>
          </w:p>
        </w:tc>
      </w:tr>
    </w:tbl>
    <w:p>
      <w:pPr>
        <w:spacing w:after="0" w:line="385" w:lineRule="exact"/>
        <w:rPr>
          <w:sz w:val="20"/>
          <w:szCs w:val="20"/>
          <w:color w:val="auto"/>
        </w:rPr>
      </w:pPr>
    </w:p>
    <w:tbl>
      <w:tblPr>
        <w:tblLayout w:type="fixed"/>
        <w:tblInd w:w="5120" w:type="dxa"/>
        <w:tblCellMar>
          <w:top w:w="0" w:type="dxa"/>
          <w:left w:w="0" w:type="dxa"/>
          <w:bottom w:w="0" w:type="dxa"/>
          <w:right w:w="0" w:type="dxa"/>
        </w:tblCellMar>
      </w:tblPr>
      <w:tr>
        <w:trPr>
          <w:trHeight w:val="177"/>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12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05"/>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51 Astor Pl 10th fIoor, New York, NY 10003</w:t>
            </w:r>
          </w:p>
        </w:tc>
      </w:tr>
      <w:tr>
        <w:trPr>
          <w:trHeight w:val="368"/>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120" w:type="dxa"/>
            <w:vAlign w:val="bottom"/>
          </w:tcPr>
          <w:p>
            <w:pPr>
              <w:spacing w:after="0"/>
              <w:rPr>
                <w:sz w:val="24"/>
                <w:szCs w:val="24"/>
                <w:color w:val="auto"/>
              </w:rPr>
            </w:pPr>
          </w:p>
        </w:tc>
        <w:tc>
          <w:tcPr>
            <w:tcW w:w="4500" w:type="dxa"/>
            <w:vAlign w:val="bottom"/>
            <w:tcBorders>
              <w:top w:val="single" w:sz="8" w:color="auto"/>
              <w:bottom w:val="single" w:sz="8" w:color="auto"/>
            </w:tcBorders>
          </w:tcPr>
          <w:p>
            <w:pPr>
              <w:spacing w:after="0"/>
              <w:rPr>
                <w:sz w:val="24"/>
                <w:szCs w:val="24"/>
                <w:color w:val="auto"/>
              </w:rPr>
            </w:pPr>
          </w:p>
        </w:tc>
      </w:tr>
      <w:tr>
        <w:trPr>
          <w:trHeight w:val="368"/>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1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340"/>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9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120" w:type="dxa"/>
            <w:vAlign w:val="bottom"/>
          </w:tcPr>
          <w:p>
            <w:pPr>
              <w:spacing w:after="0"/>
              <w:rPr>
                <w:sz w:val="16"/>
                <w:szCs w:val="16"/>
                <w:color w:val="auto"/>
              </w:rPr>
            </w:pP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HOLDER:</w:t>
      </w:r>
    </w:p>
    <w:p>
      <w:pPr>
        <w:spacing w:after="0" w:line="184" w:lineRule="exact"/>
        <w:rPr>
          <w:sz w:val="20"/>
          <w:szCs w:val="20"/>
          <w:color w:val="auto"/>
        </w:rPr>
      </w:pPr>
    </w:p>
    <w:tbl>
      <w:tblPr>
        <w:tblLayout w:type="fixed"/>
        <w:tblInd w:w="5120" w:type="dxa"/>
        <w:tblCellMar>
          <w:top w:w="0" w:type="dxa"/>
          <w:left w:w="0" w:type="dxa"/>
          <w:bottom w:w="0" w:type="dxa"/>
          <w:right w:w="0" w:type="dxa"/>
        </w:tblCellMar>
      </w:tblP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ARYA Sciences Holdings III</w:t>
            </w:r>
          </w:p>
        </w:tc>
      </w:tr>
      <w:tr>
        <w:trPr>
          <w:trHeight w:val="368"/>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Authorized Signatory</w:t>
            </w:r>
          </w:p>
        </w:tc>
      </w:tr>
      <w:tr>
        <w:trPr>
          <w:trHeight w:val="163"/>
        </w:trPr>
        <w:tc>
          <w:tcPr>
            <w:tcW w:w="540" w:type="dxa"/>
            <w:vAlign w:val="bottom"/>
          </w:tcPr>
          <w:p>
            <w:pPr>
              <w:spacing w:after="0"/>
              <w:rPr>
                <w:sz w:val="14"/>
                <w:szCs w:val="14"/>
                <w:color w:val="auto"/>
              </w:rPr>
            </w:pPr>
          </w:p>
        </w:tc>
        <w:tc>
          <w:tcPr>
            <w:tcW w:w="5080" w:type="dxa"/>
            <w:vAlign w:val="bottom"/>
            <w:gridSpan w:val="2"/>
          </w:tcPr>
          <w:p>
            <w:pPr>
              <w:spacing w:after="0" w:line="163" w:lineRule="exact"/>
              <w:rPr>
                <w:sz w:val="20"/>
                <w:szCs w:val="20"/>
                <w:color w:val="auto"/>
              </w:rPr>
            </w:pPr>
            <w:r>
              <w:rPr>
                <w:rFonts w:ascii="Times New Roman" w:cs="Times New Roman" w:eastAsia="Times New Roman" w:hAnsi="Times New Roman"/>
                <w:sz w:val="15"/>
                <w:szCs w:val="15"/>
                <w:color w:val="auto"/>
              </w:rPr>
              <w:t>Name: Michael Altman</w:t>
            </w:r>
          </w:p>
        </w:tc>
      </w:tr>
      <w:tr>
        <w:trPr>
          <w:trHeight w:val="192"/>
        </w:trPr>
        <w:tc>
          <w:tcPr>
            <w:tcW w:w="54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Title: Authorized Signatory</w:t>
            </w:r>
          </w:p>
        </w:tc>
      </w:tr>
      <w:tr>
        <w:trPr>
          <w:trHeight w:val="363"/>
        </w:trPr>
        <w:tc>
          <w:tcPr>
            <w:tcW w:w="5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Address for</w:t>
            </w:r>
          </w:p>
        </w:tc>
      </w:tr>
      <w:tr>
        <w:trPr>
          <w:trHeight w:val="205"/>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580" w:type="dxa"/>
            <w:vAlign w:val="bottom"/>
          </w:tcPr>
          <w:p>
            <w:pPr>
              <w:spacing w:after="0"/>
              <w:rPr>
                <w:sz w:val="17"/>
                <w:szCs w:val="17"/>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51 Astor Pl 10th fIoor, New York, NY 10003</w:t>
            </w:r>
          </w:p>
        </w:tc>
      </w:tr>
    </w:tbl>
    <w:p>
      <w:pPr>
        <w:spacing w:after="0" w:line="163"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5"/>
          <w:szCs w:val="15"/>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3959225</wp:posOffset>
            </wp:positionH>
            <wp:positionV relativeFrom="paragraph">
              <wp:posOffset>19685</wp:posOffset>
            </wp:positionV>
            <wp:extent cx="2860040" cy="139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60040" cy="13970"/>
                    </a:xfrm>
                    <a:prstGeom prst="rect">
                      <a:avLst/>
                    </a:prstGeom>
                    <a:noFill/>
                  </pic:spPr>
                </pic:pic>
              </a:graphicData>
            </a:graphic>
          </wp:anchor>
        </w:drawing>
      </w:r>
    </w:p>
    <w:p>
      <w:pPr>
        <w:spacing w:after="0" w:line="19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3959225</wp:posOffset>
            </wp:positionH>
            <wp:positionV relativeFrom="paragraph">
              <wp:posOffset>19685</wp:posOffset>
            </wp:positionV>
            <wp:extent cx="2860040" cy="139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60040" cy="13970"/>
                    </a:xfrm>
                    <a:prstGeom prst="rect">
                      <a:avLst/>
                    </a:prstGeom>
                    <a:noFill/>
                  </pic:spPr>
                </pic:pic>
              </a:graphicData>
            </a:graphic>
          </wp:anchor>
        </w:drawing>
      </w:r>
    </w:p>
    <w:p>
      <w:pPr>
        <w:spacing w:after="0" w:line="19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color w:val="auto"/>
        </w:rPr>
        <w:t>Email</w:t>
      </w:r>
    </w:p>
    <w:p>
      <w:pPr>
        <w:spacing w:after="0" w:line="1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color w:val="auto"/>
        </w:rPr>
        <w:t>Address:</w:t>
      </w:r>
    </w:p>
    <w:p>
      <w:pPr>
        <w:spacing w:after="0" w:line="382"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Sujal Patel</w:t>
            </w:r>
          </w:p>
        </w:tc>
      </w:tr>
      <w:tr>
        <w:trPr>
          <w:trHeight w:val="35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Sujal Patel</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PFV I, LLC</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Manager</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Suraj Patel</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Manager</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Sujal Patel 2020 Children’s Trust, u/a/d December 3, 2020</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Trustee</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Meera Patel</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Trustee</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Parag Mallick</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Parag Mallick</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5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Pr>
          <w:p>
            <w:pPr>
              <w:spacing w:after="0"/>
              <w:rPr>
                <w:sz w:val="24"/>
                <w:szCs w:val="24"/>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Vijay Pande</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Vijay Pande</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AH Bio Fund II, L.P.</w:t>
            </w:r>
          </w:p>
        </w:tc>
      </w:tr>
      <w:tr>
        <w:trPr>
          <w:trHeight w:val="159"/>
        </w:trPr>
        <w:tc>
          <w:tcPr>
            <w:tcW w:w="1120" w:type="dxa"/>
            <w:vAlign w:val="bottom"/>
          </w:tcPr>
          <w:p>
            <w:pPr>
              <w:spacing w:after="0"/>
              <w:rPr>
                <w:sz w:val="13"/>
                <w:szCs w:val="13"/>
                <w:color w:val="auto"/>
              </w:rPr>
            </w:pPr>
          </w:p>
        </w:tc>
        <w:tc>
          <w:tcPr>
            <w:tcW w:w="4500" w:type="dxa"/>
            <w:vAlign w:val="bottom"/>
            <w:gridSpan w:val="3"/>
          </w:tcPr>
          <w:p>
            <w:pPr>
              <w:spacing w:after="0" w:line="159" w:lineRule="exact"/>
              <w:rPr>
                <w:sz w:val="20"/>
                <w:szCs w:val="20"/>
                <w:color w:val="auto"/>
              </w:rPr>
            </w:pPr>
            <w:r>
              <w:rPr>
                <w:rFonts w:ascii="Times New Roman" w:cs="Times New Roman" w:eastAsia="Times New Roman" w:hAnsi="Times New Roman"/>
                <w:sz w:val="15"/>
                <w:szCs w:val="15"/>
                <w:color w:val="auto"/>
              </w:rPr>
              <w:t>for itself and as nominee for</w:t>
            </w:r>
          </w:p>
        </w:tc>
      </w:tr>
      <w:tr>
        <w:trPr>
          <w:trHeight w:val="204"/>
        </w:trPr>
        <w:tc>
          <w:tcPr>
            <w:tcW w:w="1120" w:type="dxa"/>
            <w:vAlign w:val="bottom"/>
          </w:tcPr>
          <w:p>
            <w:pPr>
              <w:spacing w:after="0"/>
              <w:rPr>
                <w:sz w:val="17"/>
                <w:szCs w:val="17"/>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AH Bio Fund II-B, L.P.</w:t>
            </w:r>
          </w:p>
        </w:tc>
        <w:tc>
          <w:tcPr>
            <w:tcW w:w="160" w:type="dxa"/>
            <w:vAlign w:val="bottom"/>
            <w:tcBorders>
              <w:top w:val="single" w:sz="8" w:color="auto"/>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AH Equity Partners Bio II, L.L.C.</w:t>
            </w:r>
          </w:p>
        </w:tc>
      </w:tr>
      <w:tr>
        <w:trPr>
          <w:trHeight w:val="192"/>
        </w:trPr>
        <w:tc>
          <w:tcPr>
            <w:tcW w:w="11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Its General Partner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COO</w:t>
            </w:r>
          </w:p>
        </w:tc>
      </w:tr>
      <w:tr>
        <w:trPr>
          <w:trHeight w:val="163"/>
        </w:trPr>
        <w:tc>
          <w:tcPr>
            <w:tcW w:w="1120" w:type="dxa"/>
            <w:vAlign w:val="bottom"/>
          </w:tcPr>
          <w:p>
            <w:pPr>
              <w:spacing w:after="0"/>
              <w:rPr>
                <w:sz w:val="14"/>
                <w:szCs w:val="14"/>
                <w:color w:val="auto"/>
              </w:rPr>
            </w:pPr>
          </w:p>
        </w:tc>
        <w:tc>
          <w:tcPr>
            <w:tcW w:w="4500" w:type="dxa"/>
            <w:vAlign w:val="bottom"/>
            <w:gridSpan w:val="3"/>
          </w:tcPr>
          <w:p>
            <w:pPr>
              <w:spacing w:after="0" w:line="163" w:lineRule="exact"/>
              <w:rPr>
                <w:sz w:val="20"/>
                <w:szCs w:val="20"/>
                <w:color w:val="auto"/>
              </w:rPr>
            </w:pPr>
            <w:r>
              <w:rPr>
                <w:rFonts w:ascii="Times New Roman" w:cs="Times New Roman" w:eastAsia="Times New Roman" w:hAnsi="Times New Roman"/>
                <w:sz w:val="15"/>
                <w:szCs w:val="15"/>
                <w:color w:val="auto"/>
              </w:rPr>
              <w:t>Name: Scott Kupor</w:t>
            </w:r>
          </w:p>
        </w:tc>
      </w:tr>
      <w:tr>
        <w:trPr>
          <w:trHeight w:val="192"/>
        </w:trPr>
        <w:tc>
          <w:tcPr>
            <w:tcW w:w="112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Title: COO</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1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r>
      <w:tr>
        <w:trPr>
          <w:trHeight w:val="180"/>
        </w:trPr>
        <w:tc>
          <w:tcPr>
            <w:tcW w:w="1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Telephone No.:</w:t>
            </w:r>
          </w:p>
        </w:tc>
        <w:tc>
          <w:tcPr>
            <w:tcW w:w="1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Pr>
          <w:p>
            <w:pPr>
              <w:spacing w:after="0"/>
              <w:rPr>
                <w:sz w:val="16"/>
                <w:szCs w:val="16"/>
                <w:color w:val="auto"/>
              </w:rPr>
            </w:pPr>
          </w:p>
        </w:tc>
      </w:tr>
    </w:tbl>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79"/>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5"/>
                <w:szCs w:val="15"/>
                <w:color w:val="auto"/>
              </w:rPr>
            </w:pP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Andreesen Horowitz LSV Fund II, L.P.</w:t>
            </w:r>
          </w:p>
        </w:tc>
      </w:tr>
      <w:tr>
        <w:trPr>
          <w:trHeight w:val="177"/>
        </w:trPr>
        <w:tc>
          <w:tcPr>
            <w:tcW w:w="11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for itself and as nominee for</w:t>
            </w:r>
          </w:p>
        </w:tc>
      </w:tr>
      <w:tr>
        <w:trPr>
          <w:trHeight w:val="177"/>
        </w:trPr>
        <w:tc>
          <w:tcPr>
            <w:tcW w:w="11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Andreessen Horowitz LSV Fund II-B, L.P.</w:t>
            </w:r>
          </w:p>
        </w:tc>
      </w:tr>
      <w:tr>
        <w:trPr>
          <w:trHeight w:val="177"/>
        </w:trPr>
        <w:tc>
          <w:tcPr>
            <w:tcW w:w="11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and</w:t>
            </w:r>
          </w:p>
        </w:tc>
      </w:tr>
      <w:tr>
        <w:trPr>
          <w:trHeight w:val="205"/>
        </w:trPr>
        <w:tc>
          <w:tcPr>
            <w:tcW w:w="1120" w:type="dxa"/>
            <w:vAlign w:val="bottom"/>
          </w:tcPr>
          <w:p>
            <w:pPr>
              <w:spacing w:after="0"/>
              <w:rPr>
                <w:sz w:val="17"/>
                <w:szCs w:val="17"/>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Andreessen Horowitz LSV Fund II-Q, L.P.</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AH Equity Partners LSV II, L.L.C.</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General Partner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Chief Operating Officer</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Scott Kupor</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Chief Operating Officer</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180"/>
        </w:trPr>
        <w:tc>
          <w:tcPr>
            <w:tcW w:w="1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5"/>
                <w:szCs w:val="15"/>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Farzad Nazem</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Farzad Nazem</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HAND Capital, LLC</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Manager</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Farzad Nazem</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Manager</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5"/>
                <w:szCs w:val="15"/>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Matthew McIlwain</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Matthew McIlwain</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Madrona Venture Fund VI, LP</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Madrona Investment Partners, VI, LP,</w:t>
            </w:r>
          </w:p>
        </w:tc>
      </w:tr>
      <w:tr>
        <w:trPr>
          <w:trHeight w:val="177"/>
        </w:trPr>
        <w:tc>
          <w:tcPr>
            <w:tcW w:w="11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General Partner</w:t>
            </w: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Madrona VI General Partner, LLC,</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General Partner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Authorized Signatory</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Troy Cichos</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Authorized Signatory</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180"/>
        </w:trPr>
        <w:tc>
          <w:tcPr>
            <w:tcW w:w="1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5"/>
                <w:szCs w:val="15"/>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Madrona Venture Fund VI-A, LP</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Madrona Investment Partners, VI, LP,</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General Partner</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Madrona VI General Partner, LLC,</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General Partner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Authorized Signatory</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Troy Cichos</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Authorized Signatory</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180"/>
        </w:trPr>
        <w:tc>
          <w:tcPr>
            <w:tcW w:w="1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5"/>
                <w:szCs w:val="15"/>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7"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VCVC V LLC</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VCVC Management V LLC, Its Manager</w:t>
            </w: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Cougar Investment Holdings LLC,</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Managing Member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Vice President</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Danielle Harper</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Vice President</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Borders>
              <w:bottom w:val="single" w:sz="8" w:color="auto"/>
            </w:tcBorders>
          </w:tcPr>
          <w:p>
            <w:pPr>
              <w:spacing w:after="0"/>
              <w:rPr>
                <w:sz w:val="17"/>
                <w:szCs w:val="17"/>
                <w:color w:val="auto"/>
              </w:rPr>
            </w:pPr>
          </w:p>
        </w:tc>
      </w:tr>
      <w:tr>
        <w:trPr>
          <w:trHeight w:val="180"/>
        </w:trPr>
        <w:tc>
          <w:tcPr>
            <w:tcW w:w="11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5"/>
                <w:szCs w:val="15"/>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9"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Vulcan Capital Columbia Holdings LLC</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VCVC Management V LLC, Its Manager</w:t>
            </w: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Cougar Investment Holdings LLC,</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Its Manager</w:t>
            </w: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Vice President</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Danielle Harper</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 Vice President</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515" w:right="31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Melissa Epperly</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Melissa Epperly</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77"/>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5"/>
                <w:szCs w:val="15"/>
                <w:color w:val="auto"/>
              </w:rPr>
            </w:pPr>
          </w:p>
        </w:tc>
      </w:tr>
      <w:tr>
        <w:trPr>
          <w:trHeight w:val="205"/>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17"/>
                <w:szCs w:val="17"/>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7"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Matthew Posard</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Matthew Posard</w:t>
            </w: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Todd Wider</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Todd Wider</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Todd Wider</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Bradley L. Campbell</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Bradley L. Campbell</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Bradley L. Campbell</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written above.</w:t>
      </w:r>
    </w:p>
    <w:p>
      <w:pPr>
        <w:spacing w:after="0" w:line="198" w:lineRule="exact"/>
        <w:rPr>
          <w:sz w:val="20"/>
          <w:szCs w:val="20"/>
          <w:color w:val="auto"/>
        </w:rPr>
      </w:pPr>
    </w:p>
    <w:tbl>
      <w:tblPr>
        <w:tblLayout w:type="fixed"/>
        <w:tblInd w:w="5120" w:type="dxa"/>
        <w:tblCellMar>
          <w:top w:w="0" w:type="dxa"/>
          <w:left w:w="0" w:type="dxa"/>
          <w:bottom w:w="0" w:type="dxa"/>
          <w:right w:w="0" w:type="dxa"/>
        </w:tblCellMar>
      </w:tblPr>
      <w:tr>
        <w:trPr>
          <w:trHeight w:val="194"/>
        </w:trPr>
        <w:tc>
          <w:tcPr>
            <w:tcW w:w="1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HOLDER:</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Saqib Islam</w:t>
            </w: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Saqib Islam</w:t>
            </w:r>
          </w:p>
        </w:tc>
      </w:tr>
      <w:tr>
        <w:trPr>
          <w:trHeight w:val="163"/>
        </w:trPr>
        <w:tc>
          <w:tcPr>
            <w:tcW w:w="1120" w:type="dxa"/>
            <w:vAlign w:val="bottom"/>
          </w:tcPr>
          <w:p>
            <w:pPr>
              <w:spacing w:after="0"/>
              <w:rPr>
                <w:sz w:val="14"/>
                <w:szCs w:val="14"/>
                <w:color w:val="auto"/>
              </w:rPr>
            </w:pPr>
          </w:p>
        </w:tc>
        <w:tc>
          <w:tcPr>
            <w:tcW w:w="45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Name: Saqib Islam</w:t>
            </w:r>
          </w:p>
        </w:tc>
      </w:tr>
      <w:tr>
        <w:trPr>
          <w:trHeight w:val="192"/>
        </w:trPr>
        <w:tc>
          <w:tcPr>
            <w:tcW w:w="11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r>
      <w:tr>
        <w:trPr>
          <w:trHeight w:val="341"/>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 for</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Notice:</w:t>
            </w:r>
          </w:p>
        </w:tc>
        <w:tc>
          <w:tcPr>
            <w:tcW w:w="4500" w:type="dxa"/>
            <w:vAlign w:val="bottom"/>
          </w:tcPr>
          <w:p>
            <w:pPr>
              <w:spacing w:after="0"/>
              <w:rPr>
                <w:sz w:val="16"/>
                <w:szCs w:val="16"/>
                <w:color w:val="auto"/>
              </w:rPr>
            </w:pPr>
          </w:p>
        </w:tc>
      </w:tr>
      <w:tr>
        <w:trPr>
          <w:trHeight w:val="369"/>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Telephone No.:</w:t>
            </w:r>
          </w:p>
        </w:tc>
        <w:tc>
          <w:tcPr>
            <w:tcW w:w="4500" w:type="dxa"/>
            <w:vAlign w:val="bottom"/>
            <w:tcBorders>
              <w:bottom w:val="single" w:sz="8" w:color="auto"/>
            </w:tcBorders>
          </w:tcPr>
          <w:p>
            <w:pPr>
              <w:spacing w:after="0"/>
              <w:rPr>
                <w:sz w:val="24"/>
                <w:szCs w:val="24"/>
                <w:color w:val="auto"/>
              </w:rPr>
            </w:pPr>
          </w:p>
        </w:tc>
      </w:tr>
      <w:tr>
        <w:trPr>
          <w:trHeight w:val="36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Facsimile No.:</w:t>
            </w:r>
          </w:p>
        </w:tc>
        <w:tc>
          <w:tcPr>
            <w:tcW w:w="4500" w:type="dxa"/>
            <w:vAlign w:val="bottom"/>
            <w:tcBorders>
              <w:bottom w:val="single" w:sz="8" w:color="auto"/>
            </w:tcBorders>
          </w:tcPr>
          <w:p>
            <w:pPr>
              <w:spacing w:after="0"/>
              <w:rPr>
                <w:sz w:val="24"/>
                <w:szCs w:val="24"/>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Email</w:t>
            </w:r>
          </w:p>
        </w:tc>
        <w:tc>
          <w:tcPr>
            <w:tcW w:w="4500" w:type="dxa"/>
            <w:vAlign w:val="bottom"/>
          </w:tcPr>
          <w:p>
            <w:pPr>
              <w:spacing w:after="0"/>
              <w:rPr>
                <w:sz w:val="24"/>
                <w:szCs w:val="24"/>
                <w:color w:val="auto"/>
              </w:rPr>
            </w:pPr>
          </w:p>
        </w:tc>
      </w:tr>
      <w:tr>
        <w:trPr>
          <w:trHeight w:val="192"/>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500" w:type="dxa"/>
            <w:vAlign w:val="bottom"/>
          </w:tcPr>
          <w:p>
            <w:pPr>
              <w:spacing w:after="0"/>
              <w:rPr>
                <w:sz w:val="16"/>
                <w:szCs w:val="16"/>
                <w:color w:val="auto"/>
              </w:rPr>
            </w:pPr>
          </w:p>
        </w:tc>
      </w:tr>
    </w:tbl>
    <w:p>
      <w:pPr>
        <w:spacing w:after="0" w:line="3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[Signature Page to Amended and Restated Registration Rights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354965</wp:posOffset>
            </wp:positionV>
            <wp:extent cx="7157085" cy="139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40"/>
          </w:cols>
          <w:pgMar w:left="840" w:top="118" w:right="319" w:bottom="1440" w:gutter="0" w:footer="0" w:header="0"/>
        </w:sectPr>
      </w:pPr>
    </w:p>
    <w:bookmarkStart w:id="318" w:name="page319"/>
    <w:bookmarkEnd w:id="318"/>
    <w:p>
      <w:pPr>
        <w:jc w:val="right"/>
        <w:ind w:right="4079"/>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138430</wp:posOffset>
            </wp:positionV>
            <wp:extent cx="3578225" cy="57054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578225" cy="570547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Perceptive Holders</w:t>
      </w:r>
    </w:p>
    <w:p>
      <w:pPr>
        <w:spacing w:after="0" w:line="29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b w:val="1"/>
          <w:bCs w:val="1"/>
          <w:color w:val="auto"/>
        </w:rPr>
        <w:t>Name of Holder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Perceptive Life Sciences Master Fund Ltd.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ARYA Sciences Holdings III</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New Holders</w:t>
      </w:r>
    </w:p>
    <w:p>
      <w:pPr>
        <w:spacing w:after="0" w:line="29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b w:val="1"/>
          <w:bCs w:val="1"/>
          <w:color w:val="auto"/>
        </w:rPr>
        <w:t>Name of Holder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Sujal Patel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PFV I, LLC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Sujal Patel 2020 Children’s Trust, u/a/d December 3, 2020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Parag Mallick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Vijay Pande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AH Bio Fund II, 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Andreesen Horowitz</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LSV Fund II, 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Farzad Nazem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HAND Capital, LLC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Matthew McIlwain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Madrona Venture Fund VI, 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Madrona Venture Fund VI-A, 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VCVC V LLC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Vulcan Capital Columbia Holdings LLC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Melissa Epperly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Matthew Posard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Independent Directors</w:t>
      </w:r>
    </w:p>
    <w:p>
      <w:pPr>
        <w:spacing w:after="0" w:line="29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b w:val="1"/>
          <w:bCs w:val="1"/>
          <w:color w:val="auto"/>
        </w:rPr>
        <w:t>Name of Holder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Todd Wider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Bradley L. Campbell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491490</wp:posOffset>
            </wp:positionV>
            <wp:extent cx="7157085" cy="139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079"/>
          </w:cols>
          <w:pgMar w:left="380" w:top="114" w:right="1440"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Exhbit 10.3</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ARYA Sciences Acquisition Corp III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rPr>
          <w:sz w:val="20"/>
          <w:szCs w:val="20"/>
          <w:color w:val="auto"/>
        </w:rPr>
      </w:pPr>
      <w:r>
        <w:rPr>
          <w:rFonts w:ascii="Times New Roman" w:cs="Times New Roman" w:eastAsia="Times New Roman" w:hAnsi="Times New Roman"/>
          <w:sz w:val="18"/>
          <w:szCs w:val="18"/>
          <w:color w:val="auto"/>
        </w:rPr>
        <w:t>New York, New York 10002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2" w:lineRule="exact"/>
        <w:rPr>
          <w:sz w:val="20"/>
          <w:szCs w:val="20"/>
          <w:color w:val="auto"/>
        </w:rPr>
      </w:pPr>
    </w:p>
    <w:p>
      <w:pPr>
        <w:jc w:val="both"/>
        <w:ind w:firstLine="532"/>
        <w:spacing w:after="0" w:line="23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being entered into as of the date set forth on the signature page hereto, by and between ARYA Sciences Acquisition Corp III, a Cayman Islands exempted company (“</w:t>
      </w:r>
      <w:r>
        <w:rPr>
          <w:rFonts w:ascii="Times New Roman" w:cs="Times New Roman" w:eastAsia="Times New Roman" w:hAnsi="Times New Roman"/>
          <w:sz w:val="18"/>
          <w:szCs w:val="18"/>
          <w:u w:val="single" w:color="auto"/>
          <w:color w:val="auto"/>
        </w:rPr>
        <w:t>ARYA</w:t>
      </w:r>
      <w:r>
        <w:rPr>
          <w:rFonts w:ascii="Times New Roman" w:cs="Times New Roman" w:eastAsia="Times New Roman" w:hAnsi="Times New Roman"/>
          <w:sz w:val="18"/>
          <w:szCs w:val="18"/>
          <w:color w:val="auto"/>
        </w:rPr>
        <w:t>”), which shall be domesticated as a Delaware corporation prior to the closing of the Transaction (as defined herein), and the undersigned subscriber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in connection with the Business Combination Agreement, dated as of the date hereof (as may be amended, supplemented or otherwise modified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ARYA, Mako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Nautilus Biotechnology,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532"/>
        <w:spacing w:after="0" w:line="234" w:lineRule="auto"/>
        <w:rPr>
          <w:sz w:val="20"/>
          <w:szCs w:val="20"/>
          <w:color w:val="auto"/>
        </w:rPr>
      </w:pPr>
      <w:r>
        <w:rPr>
          <w:rFonts w:ascii="Times New Roman" w:cs="Times New Roman" w:eastAsia="Times New Roman" w:hAnsi="Times New Roman"/>
          <w:sz w:val="18"/>
          <w:szCs w:val="18"/>
          <w:color w:val="auto"/>
        </w:rPr>
        <w:t>In connection with the Transaction, ARYA is seeking commitments from interested investors to purchase, following the Domestication (as defined below) and prior to the closing of the Transaction, shares of ARYA’s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a private placement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On or about the date of this Subscription Agreement, ARYA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the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w:t>
      </w:r>
      <w:r>
        <w:rPr>
          <w:rFonts w:ascii="Times New Roman" w:cs="Times New Roman" w:eastAsia="Times New Roman" w:hAnsi="Times New Roman"/>
          <w:sz w:val="18"/>
          <w:szCs w:val="18"/>
          <w:u w:val="single" w:color="auto"/>
          <w:color w:val="auto"/>
        </w:rPr>
        <w:t>Domestication</w:t>
      </w:r>
      <w:r>
        <w:rPr>
          <w:rFonts w:ascii="Times New Roman" w:cs="Times New Roman" w:eastAsia="Times New Roman" w:hAnsi="Times New Roman"/>
          <w:sz w:val="18"/>
          <w:szCs w:val="18"/>
          <w:color w:val="auto"/>
        </w:rPr>
        <w:t>”). The aggregate purchase price to be paid by the Investor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532"/>
        <w:spacing w:after="0" w:line="260"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spacing w:after="0" w:line="151" w:lineRule="exact"/>
        <w:rPr>
          <w:sz w:val="20"/>
          <w:szCs w:val="20"/>
          <w:color w:val="auto"/>
        </w:rPr>
      </w:pPr>
    </w:p>
    <w:p>
      <w:pPr>
        <w:jc w:val="both"/>
        <w:ind w:firstLine="541"/>
        <w:spacing w:after="0" w:line="252" w:lineRule="auto"/>
        <w:tabs>
          <w:tab w:leader="none" w:pos="1309"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Subscription</w:t>
      </w:r>
      <w:r>
        <w:rPr>
          <w:rFonts w:ascii="Times New Roman" w:cs="Times New Roman" w:eastAsia="Times New Roman" w:hAnsi="Times New Roman"/>
          <w:sz w:val="17"/>
          <w:szCs w:val="17"/>
          <w:color w:val="auto"/>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208280</wp:posOffset>
            </wp:positionV>
            <wp:extent cx="7157085" cy="139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5" w:right="319" w:bottom="1440" w:gutter="0" w:footer="0" w:header="0"/>
        </w:sectPr>
      </w:pPr>
    </w:p>
    <w:bookmarkStart w:id="320" w:name="page321"/>
    <w:bookmarkEnd w:id="320"/>
    <w:p>
      <w:pPr>
        <w:jc w:val="both"/>
        <w:ind w:left="-541" w:firstLine="541"/>
        <w:spacing w:after="0" w:line="234" w:lineRule="auto"/>
        <w:tabs>
          <w:tab w:leader="none" w:pos="57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purchase and issuance of the Shares contemplated hereby (the “Closing”) is contingent upon the substantially concurrent consummation of the Transaction. The Closing shall occur on the date of, and immediately prior to, the effectiveness of the Transaction (the date the Closing so occurs, the “Closing Date”). Upon delivery of written notice from (or on behalf of) ARYA to the Investor (the “Closing Notice”),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 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spacing w:after="0" w:line="173"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541" w:right="20" w:firstLine="1074"/>
        <w:spacing w:after="0" w:line="260" w:lineRule="auto"/>
        <w:tabs>
          <w:tab w:leader="none" w:pos="1332" w:val="left"/>
        </w:tabs>
        <w:numPr>
          <w:ilvl w:val="1"/>
          <w:numId w:val="2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the parties hereto to consummate the sale, purchase and issuance of the Shares pursuant to this Subscription Agreement is subject to the following conditions:</w:t>
      </w:r>
    </w:p>
    <w:p>
      <w:pPr>
        <w:spacing w:after="0" w:line="150" w:lineRule="exact"/>
        <w:rPr>
          <w:rFonts w:ascii="Times New Roman" w:cs="Times New Roman" w:eastAsia="Times New Roman" w:hAnsi="Times New Roman"/>
          <w:sz w:val="18"/>
          <w:szCs w:val="18"/>
          <w:color w:val="010000"/>
        </w:rPr>
      </w:pPr>
    </w:p>
    <w:p>
      <w:pPr>
        <w:jc w:val="both"/>
        <w:ind w:left="539" w:firstLine="526"/>
        <w:spacing w:after="0" w:line="267" w:lineRule="auto"/>
        <w:tabs>
          <w:tab w:leader="none" w:pos="1771" w:val="left"/>
        </w:tabs>
        <w:numPr>
          <w:ilvl w:val="2"/>
          <w:numId w:val="29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46" w:lineRule="exact"/>
        <w:rPr>
          <w:rFonts w:ascii="Times New Roman" w:cs="Times New Roman" w:eastAsia="Times New Roman" w:hAnsi="Times New Roman"/>
          <w:sz w:val="17"/>
          <w:szCs w:val="17"/>
          <w:color w:val="010000"/>
        </w:rPr>
      </w:pPr>
    </w:p>
    <w:p>
      <w:pPr>
        <w:jc w:val="both"/>
        <w:ind w:left="539" w:firstLine="526"/>
        <w:spacing w:after="0" w:line="250" w:lineRule="auto"/>
        <w:tabs>
          <w:tab w:leader="none" w:pos="1828" w:val="left"/>
        </w:tabs>
        <w:numPr>
          <w:ilvl w:val="2"/>
          <w:numId w:val="29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w:t>
      </w:r>
    </w:p>
    <w:p>
      <w:pPr>
        <w:ind w:left="539"/>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(B) the closing of the Transaction shall be scheduled to occur concurrently with or on the same date as the Closing.</w:t>
      </w:r>
    </w:p>
    <w:p>
      <w:pPr>
        <w:spacing w:after="0" w:line="172" w:lineRule="exact"/>
        <w:rPr>
          <w:rFonts w:ascii="Times New Roman" w:cs="Times New Roman" w:eastAsia="Times New Roman" w:hAnsi="Times New Roman"/>
          <w:sz w:val="17"/>
          <w:szCs w:val="17"/>
          <w:color w:val="010000"/>
        </w:rPr>
      </w:pPr>
    </w:p>
    <w:p>
      <w:pPr>
        <w:jc w:val="both"/>
        <w:ind w:left="-541" w:firstLine="1074"/>
        <w:spacing w:after="0" w:line="237" w:lineRule="auto"/>
        <w:tabs>
          <w:tab w:leader="none" w:pos="1104" w:val="left"/>
        </w:tabs>
        <w:numPr>
          <w:ilvl w:val="1"/>
          <w:numId w:val="2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214630</wp:posOffset>
            </wp:positionV>
            <wp:extent cx="7157085" cy="139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321" w:name="page322"/>
    <w:bookmarkEnd w:id="321"/>
    <w:p>
      <w:pPr>
        <w:jc w:val="both"/>
        <w:ind w:left="-541" w:firstLine="1074"/>
        <w:spacing w:after="0" w:line="250" w:lineRule="auto"/>
        <w:tabs>
          <w:tab w:leader="none" w:pos="1172" w:val="left"/>
        </w:tabs>
        <w:numPr>
          <w:ilvl w:val="1"/>
          <w:numId w:val="29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spacing w:after="0" w:line="163" w:lineRule="exact"/>
        <w:rPr>
          <w:rFonts w:ascii="Times New Roman" w:cs="Times New Roman" w:eastAsia="Times New Roman" w:hAnsi="Times New Roman"/>
          <w:sz w:val="17"/>
          <w:szCs w:val="17"/>
          <w:color w:val="010000"/>
        </w:rPr>
      </w:pPr>
    </w:p>
    <w:p>
      <w:pPr>
        <w:ind w:left="-541" w:firstLine="541"/>
        <w:spacing w:after="0" w:line="260" w:lineRule="auto"/>
        <w:tabs>
          <w:tab w:leader="none" w:pos="601"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50" w:lineRule="exact"/>
        <w:rPr>
          <w:rFonts w:ascii="Times New Roman" w:cs="Times New Roman" w:eastAsia="Times New Roman" w:hAnsi="Times New Roman"/>
          <w:sz w:val="18"/>
          <w:szCs w:val="18"/>
          <w:color w:val="auto"/>
        </w:rPr>
      </w:pPr>
    </w:p>
    <w:p>
      <w:pPr>
        <w:ind w:left="579" w:hanging="579"/>
        <w:spacing w:after="0"/>
        <w:tabs>
          <w:tab w:leader="none" w:pos="57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ARYA Representations and Warranties</w:t>
      </w:r>
      <w:r>
        <w:rPr>
          <w:rFonts w:ascii="Times New Roman" w:cs="Times New Roman" w:eastAsia="Times New Roman" w:hAnsi="Times New Roman"/>
          <w:sz w:val="18"/>
          <w:szCs w:val="18"/>
          <w:color w:val="auto"/>
        </w:rPr>
        <w:t>. ARYA represents and warrants to the Investor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60" w:lineRule="auto"/>
        <w:tabs>
          <w:tab w:leader="none" w:pos="1124" w:val="left"/>
        </w:tabs>
        <w:numPr>
          <w:ilvl w:val="1"/>
          <w:numId w:val="29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spacing w:after="0" w:line="151" w:lineRule="exact"/>
        <w:rPr>
          <w:rFonts w:ascii="Times New Roman" w:cs="Times New Roman" w:eastAsia="Times New Roman" w:hAnsi="Times New Roman"/>
          <w:sz w:val="17"/>
          <w:szCs w:val="17"/>
          <w:color w:val="010000"/>
        </w:rPr>
      </w:pPr>
    </w:p>
    <w:p>
      <w:pPr>
        <w:jc w:val="both"/>
        <w:ind w:left="-541" w:firstLine="1074"/>
        <w:spacing w:after="0" w:line="241" w:lineRule="auto"/>
        <w:tabs>
          <w:tab w:leader="none" w:pos="1112" w:val="left"/>
        </w:tabs>
        <w:numPr>
          <w:ilvl w:val="1"/>
          <w:numId w:val="2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339" w:val="left"/>
        </w:tabs>
        <w:numPr>
          <w:ilvl w:val="1"/>
          <w:numId w:val="2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34" w:lineRule="auto"/>
        <w:tabs>
          <w:tab w:leader="none" w:pos="1191" w:val="left"/>
        </w:tabs>
        <w:numPr>
          <w:ilvl w:val="1"/>
          <w:numId w:val="2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materially affect the validity of the Shares or the legal authority of ARYA to comply in all material respects with the terms of this Subscription Agreement; (ii) result in any violation of the provisions of the organizational documents of ARYA; or (iii) 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217805</wp:posOffset>
            </wp:positionV>
            <wp:extent cx="7157085" cy="139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322" w:name="page323"/>
    <w:bookmarkEnd w:id="322"/>
    <w:p>
      <w:pPr>
        <w:jc w:val="both"/>
        <w:ind w:left="-1074" w:firstLine="1074"/>
        <w:spacing w:after="0" w:line="235" w:lineRule="auto"/>
        <w:tabs>
          <w:tab w:leader="none" w:pos="708" w:val="left"/>
        </w:tabs>
        <w:numPr>
          <w:ilvl w:val="0"/>
          <w:numId w:val="2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their respective dates, all reports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required to be filed by ARYA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spacing w:after="0" w:line="168"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607" w:val="left"/>
        </w:tabs>
        <w:numPr>
          <w:ilvl w:val="0"/>
          <w:numId w:val="2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 advantageous to any such Other Investor than the Investor hereunder, and such Other Subscription Agreements have not been amended or modified in any material respect following the date of this Subscription Agreement.</w:t>
      </w:r>
    </w:p>
    <w:p>
      <w:pPr>
        <w:spacing w:after="0" w:line="172" w:lineRule="exact"/>
        <w:rPr>
          <w:rFonts w:ascii="Times New Roman" w:cs="Times New Roman" w:eastAsia="Times New Roman" w:hAnsi="Times New Roman"/>
          <w:sz w:val="18"/>
          <w:szCs w:val="18"/>
          <w:color w:val="010000"/>
        </w:rPr>
      </w:pPr>
    </w:p>
    <w:p>
      <w:pPr>
        <w:jc w:val="both"/>
        <w:ind w:left="-1074" w:firstLine="1074"/>
        <w:spacing w:after="0" w:line="237" w:lineRule="auto"/>
        <w:tabs>
          <w:tab w:leader="none" w:pos="666" w:val="left"/>
        </w:tabs>
        <w:numPr>
          <w:ilvl w:val="0"/>
          <w:numId w:val="2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w:t>
      </w:r>
    </w:p>
    <w:p>
      <w:pPr>
        <w:spacing w:after="0" w:line="171" w:lineRule="exact"/>
        <w:rPr>
          <w:rFonts w:ascii="Times New Roman" w:cs="Times New Roman" w:eastAsia="Times New Roman" w:hAnsi="Times New Roman"/>
          <w:sz w:val="18"/>
          <w:szCs w:val="18"/>
          <w:color w:val="010000"/>
        </w:rPr>
      </w:pPr>
    </w:p>
    <w:p>
      <w:pPr>
        <w:jc w:val="both"/>
        <w:ind w:left="-1074" w:firstLine="1074"/>
        <w:spacing w:after="0" w:line="234" w:lineRule="auto"/>
        <w:tabs>
          <w:tab w:leader="none" w:pos="614" w:val="left"/>
        </w:tabs>
        <w:numPr>
          <w:ilvl w:val="0"/>
          <w:numId w:val="2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Subscription Agreement, the authorized capital stock of ARYA consists of 479,000,000 Class A ordinary shares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20,000,000 Class B ordinary shares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spacing w:after="0" w:line="176"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605" w:val="left"/>
        </w:tabs>
        <w:numPr>
          <w:ilvl w:val="0"/>
          <w:numId w:val="2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Times New Roman" w:cs="Times New Roman" w:eastAsia="Times New Roman" w:hAnsi="Times New Roman"/>
          <w:sz w:val="18"/>
          <w:szCs w:val="18"/>
          <w:u w:val="single" w:color="auto"/>
          <w:color w:val="auto"/>
        </w:rPr>
        <w:t>Delaware Common Shares</w:t>
      </w:r>
      <w:r>
        <w:rPr>
          <w:rFonts w:ascii="Times New Roman" w:cs="Times New Roman" w:eastAsia="Times New Roman" w:hAnsi="Times New Roman"/>
          <w:sz w:val="18"/>
          <w:szCs w:val="18"/>
          <w:color w:val="auto"/>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215900</wp:posOffset>
            </wp:positionV>
            <wp:extent cx="7157085" cy="139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323" w:name="page324"/>
    <w:bookmarkEnd w:id="323"/>
    <w:p>
      <w:pPr>
        <w:jc w:val="both"/>
        <w:ind w:left="-541" w:firstLine="1074"/>
        <w:spacing w:after="0"/>
        <w:tabs>
          <w:tab w:leader="none" w:pos="1066" w:val="left"/>
        </w:tabs>
        <w:numPr>
          <w:ilvl w:val="1"/>
          <w:numId w:val="2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69"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281" w:val="left"/>
        </w:tabs>
        <w:numPr>
          <w:ilvl w:val="1"/>
          <w:numId w:val="2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spacing w:after="0" w:line="166" w:lineRule="exact"/>
        <w:rPr>
          <w:rFonts w:ascii="Times New Roman" w:cs="Times New Roman" w:eastAsia="Times New Roman" w:hAnsi="Times New Roman"/>
          <w:sz w:val="18"/>
          <w:szCs w:val="18"/>
          <w:color w:val="010000"/>
        </w:rPr>
      </w:pPr>
    </w:p>
    <w:p>
      <w:pPr>
        <w:jc w:val="both"/>
        <w:ind w:left="-541" w:firstLine="1074"/>
        <w:spacing w:after="0" w:line="246" w:lineRule="auto"/>
        <w:tabs>
          <w:tab w:leader="none" w:pos="1088" w:val="left"/>
        </w:tabs>
        <w:numPr>
          <w:ilvl w:val="1"/>
          <w:numId w:val="2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spacing w:after="0" w:line="162" w:lineRule="exact"/>
        <w:rPr>
          <w:rFonts w:ascii="Times New Roman" w:cs="Times New Roman" w:eastAsia="Times New Roman" w:hAnsi="Times New Roman"/>
          <w:sz w:val="18"/>
          <w:szCs w:val="18"/>
          <w:color w:val="010000"/>
        </w:rPr>
      </w:pPr>
    </w:p>
    <w:p>
      <w:pPr>
        <w:jc w:val="both"/>
        <w:ind w:left="-541" w:firstLine="1074"/>
        <w:spacing w:after="0" w:line="236" w:lineRule="auto"/>
        <w:tabs>
          <w:tab w:leader="none" w:pos="1310" w:val="left"/>
        </w:tabs>
        <w:numPr>
          <w:ilvl w:val="1"/>
          <w:numId w:val="2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ARYA with any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spacing w:after="0" w:line="172" w:lineRule="exact"/>
        <w:rPr>
          <w:rFonts w:ascii="Times New Roman" w:cs="Times New Roman" w:eastAsia="Times New Roman" w:hAnsi="Times New Roman"/>
          <w:sz w:val="18"/>
          <w:szCs w:val="18"/>
          <w:color w:val="010000"/>
        </w:rPr>
      </w:pPr>
    </w:p>
    <w:p>
      <w:pPr>
        <w:ind w:left="579" w:hanging="579"/>
        <w:spacing w:after="0"/>
        <w:tabs>
          <w:tab w:leader="none" w:pos="579"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ARYA that:</w:t>
      </w:r>
    </w:p>
    <w:p>
      <w:pPr>
        <w:spacing w:after="0" w:line="192" w:lineRule="exact"/>
        <w:rPr>
          <w:rFonts w:ascii="Times New Roman" w:cs="Times New Roman" w:eastAsia="Times New Roman" w:hAnsi="Times New Roman"/>
          <w:sz w:val="18"/>
          <w:szCs w:val="18"/>
          <w:color w:val="auto"/>
        </w:rPr>
      </w:pPr>
    </w:p>
    <w:p>
      <w:pPr>
        <w:jc w:val="both"/>
        <w:ind w:left="-541" w:firstLine="1074"/>
        <w:spacing w:after="0" w:line="236" w:lineRule="auto"/>
        <w:tabs>
          <w:tab w:leader="none" w:pos="1180" w:val="left"/>
        </w:tabs>
        <w:numPr>
          <w:ilvl w:val="1"/>
          <w:numId w:val="3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72" w:lineRule="exact"/>
        <w:rPr>
          <w:rFonts w:ascii="Times New Roman" w:cs="Times New Roman" w:eastAsia="Times New Roman" w:hAnsi="Times New Roman"/>
          <w:sz w:val="18"/>
          <w:szCs w:val="18"/>
          <w:color w:val="010000"/>
        </w:rPr>
      </w:pPr>
    </w:p>
    <w:p>
      <w:pPr>
        <w:jc w:val="both"/>
        <w:ind w:left="-541" w:firstLine="1074"/>
        <w:spacing w:after="0" w:line="249" w:lineRule="auto"/>
        <w:tabs>
          <w:tab w:leader="none" w:pos="1179" w:val="left"/>
        </w:tabs>
        <w:numPr>
          <w:ilvl w:val="1"/>
          <w:numId w:val="30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210820</wp:posOffset>
            </wp:positionV>
            <wp:extent cx="7157085" cy="139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324" w:name="page325"/>
    <w:bookmarkEnd w:id="324"/>
    <w:p>
      <w:pPr>
        <w:jc w:val="both"/>
        <w:ind w:left="-9" w:firstLine="1074"/>
        <w:spacing w:after="0" w:line="238" w:lineRule="auto"/>
        <w:tabs>
          <w:tab w:leader="none" w:pos="1671" w:val="left"/>
        </w:tabs>
        <w:numPr>
          <w:ilvl w:val="1"/>
          <w:numId w:val="3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spacing w:after="0" w:line="170" w:lineRule="exact"/>
        <w:rPr>
          <w:rFonts w:ascii="Times New Roman" w:cs="Times New Roman" w:eastAsia="Times New Roman" w:hAnsi="Times New Roman"/>
          <w:sz w:val="18"/>
          <w:szCs w:val="18"/>
          <w:color w:val="010000"/>
        </w:rPr>
      </w:pPr>
    </w:p>
    <w:p>
      <w:pPr>
        <w:jc w:val="both"/>
        <w:ind w:left="-9" w:firstLine="1074"/>
        <w:spacing w:after="0" w:line="246" w:lineRule="auto"/>
        <w:tabs>
          <w:tab w:leader="none" w:pos="1679" w:val="left"/>
        </w:tabs>
        <w:numPr>
          <w:ilvl w:val="1"/>
          <w:numId w:val="3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62" w:lineRule="exact"/>
        <w:rPr>
          <w:rFonts w:ascii="Times New Roman" w:cs="Times New Roman" w:eastAsia="Times New Roman" w:hAnsi="Times New Roman"/>
          <w:sz w:val="18"/>
          <w:szCs w:val="18"/>
          <w:color w:val="010000"/>
        </w:rPr>
      </w:pPr>
    </w:p>
    <w:p>
      <w:pPr>
        <w:jc w:val="both"/>
        <w:ind w:left="-9" w:firstLine="1074"/>
        <w:spacing w:after="0" w:line="237" w:lineRule="auto"/>
        <w:tabs>
          <w:tab w:leader="none" w:pos="1761" w:val="left"/>
        </w:tabs>
        <w:numPr>
          <w:ilvl w:val="1"/>
          <w:numId w:val="30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without 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171" w:lineRule="exact"/>
        <w:rPr>
          <w:rFonts w:ascii="Times New Roman" w:cs="Times New Roman" w:eastAsia="Times New Roman" w:hAnsi="Times New Roman"/>
          <w:sz w:val="18"/>
          <w:szCs w:val="18"/>
          <w:color w:val="010000"/>
        </w:rPr>
      </w:pPr>
    </w:p>
    <w:p>
      <w:pPr>
        <w:jc w:val="both"/>
        <w:ind w:left="-9" w:firstLine="1074"/>
        <w:spacing w:after="0" w:line="251" w:lineRule="auto"/>
        <w:tabs>
          <w:tab w:leader="none" w:pos="1790" w:val="left"/>
        </w:tabs>
        <w:numPr>
          <w:ilvl w:val="1"/>
          <w:numId w:val="30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became aware of this offering of the Shares solely by means of direct contact between the Investor and ARYA, the Company or a representative of ARYA or the Company, and the Shares were 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w:t>
      </w:r>
    </w:p>
    <w:p>
      <w:pPr>
        <w:jc w:val="both"/>
        <w:ind w:left="-9" w:firstLine="9"/>
        <w:spacing w:after="0" w:line="234" w:lineRule="auto"/>
        <w:tabs>
          <w:tab w:leader="none" w:pos="25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spacing w:after="0" w:line="168" w:lineRule="exact"/>
        <w:rPr>
          <w:rFonts w:ascii="Times New Roman" w:cs="Times New Roman" w:eastAsia="Times New Roman" w:hAnsi="Times New Roman"/>
          <w:sz w:val="18"/>
          <w:szCs w:val="18"/>
          <w:color w:val="auto"/>
        </w:rPr>
      </w:pPr>
    </w:p>
    <w:p>
      <w:pPr>
        <w:jc w:val="both"/>
        <w:ind w:left="-9" w:firstLine="1074"/>
        <w:spacing w:after="0" w:line="241" w:lineRule="auto"/>
        <w:tabs>
          <w:tab w:leader="none" w:pos="1829" w:val="left"/>
        </w:tabs>
        <w:numPr>
          <w:ilvl w:val="1"/>
          <w:numId w:val="3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66" w:lineRule="exact"/>
        <w:rPr>
          <w:rFonts w:ascii="Times New Roman" w:cs="Times New Roman" w:eastAsia="Times New Roman" w:hAnsi="Times New Roman"/>
          <w:sz w:val="18"/>
          <w:szCs w:val="18"/>
          <w:color w:val="010000"/>
        </w:rPr>
      </w:pPr>
    </w:p>
    <w:p>
      <w:pPr>
        <w:jc w:val="both"/>
        <w:ind w:left="-9" w:firstLine="1074"/>
        <w:spacing w:after="0" w:line="246" w:lineRule="auto"/>
        <w:tabs>
          <w:tab w:leader="none" w:pos="1730" w:val="left"/>
        </w:tabs>
        <w:numPr>
          <w:ilvl w:val="1"/>
          <w:numId w:val="3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spacing w:after="0" w:line="162" w:lineRule="exact"/>
        <w:rPr>
          <w:rFonts w:ascii="Times New Roman" w:cs="Times New Roman" w:eastAsia="Times New Roman" w:hAnsi="Times New Roman"/>
          <w:sz w:val="18"/>
          <w:szCs w:val="18"/>
          <w:color w:val="010000"/>
        </w:rPr>
      </w:pPr>
    </w:p>
    <w:p>
      <w:pPr>
        <w:jc w:val="both"/>
        <w:ind w:left="-9" w:firstLine="1074"/>
        <w:spacing w:after="0" w:line="239" w:lineRule="auto"/>
        <w:tabs>
          <w:tab w:leader="none" w:pos="1758" w:val="left"/>
        </w:tabs>
        <w:numPr>
          <w:ilvl w:val="1"/>
          <w:numId w:val="3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spacing w:after="0" w:line="167" w:lineRule="exact"/>
        <w:rPr>
          <w:rFonts w:ascii="Times New Roman" w:cs="Times New Roman" w:eastAsia="Times New Roman" w:hAnsi="Times New Roman"/>
          <w:sz w:val="18"/>
          <w:szCs w:val="18"/>
          <w:color w:val="010000"/>
        </w:rPr>
      </w:pPr>
    </w:p>
    <w:p>
      <w:pPr>
        <w:ind w:left="-9" w:firstLine="1074"/>
        <w:spacing w:after="0" w:line="260" w:lineRule="auto"/>
        <w:tabs>
          <w:tab w:leader="none" w:pos="1715" w:val="left"/>
        </w:tabs>
        <w:numPr>
          <w:ilvl w:val="1"/>
          <w:numId w:val="3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no federal or state agency has passed upon or endorsed the merits of the offering of the Shares or made any findings or determination as to the fairness of this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57085" cy="139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325" w:name="page326"/>
    <w:bookmarkEnd w:id="325"/>
    <w:p>
      <w:pPr>
        <w:ind w:left="-1074" w:firstLine="1074"/>
        <w:spacing w:after="0" w:line="259" w:lineRule="auto"/>
        <w:tabs>
          <w:tab w:leader="none" w:pos="622"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151" w:lineRule="exact"/>
        <w:rPr>
          <w:rFonts w:ascii="Times New Roman" w:cs="Times New Roman" w:eastAsia="Times New Roman" w:hAnsi="Times New Roman"/>
          <w:sz w:val="18"/>
          <w:szCs w:val="18"/>
          <w:color w:val="010000"/>
        </w:rPr>
      </w:pPr>
    </w:p>
    <w:p>
      <w:pPr>
        <w:jc w:val="both"/>
        <w:ind w:left="-1074" w:firstLine="1074"/>
        <w:spacing w:after="0" w:line="235" w:lineRule="auto"/>
        <w:tabs>
          <w:tab w:leader="none" w:pos="625"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69" w:lineRule="exact"/>
        <w:rPr>
          <w:rFonts w:ascii="Times New Roman" w:cs="Times New Roman" w:eastAsia="Times New Roman" w:hAnsi="Times New Roman"/>
          <w:sz w:val="18"/>
          <w:szCs w:val="18"/>
          <w:color w:val="010000"/>
        </w:rPr>
      </w:pPr>
    </w:p>
    <w:p>
      <w:pPr>
        <w:jc w:val="both"/>
        <w:ind w:left="-1074" w:firstLine="1074"/>
        <w:spacing w:after="0" w:line="234" w:lineRule="auto"/>
        <w:tabs>
          <w:tab w:leader="none" w:pos="693"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spacing w:after="0" w:line="176" w:lineRule="exact"/>
        <w:rPr>
          <w:rFonts w:ascii="Times New Roman" w:cs="Times New Roman" w:eastAsia="Times New Roman" w:hAnsi="Times New Roman"/>
          <w:sz w:val="18"/>
          <w:szCs w:val="18"/>
          <w:color w:val="010000"/>
        </w:rPr>
      </w:pPr>
    </w:p>
    <w:p>
      <w:pPr>
        <w:ind w:left="-1074" w:firstLine="1074"/>
        <w:spacing w:after="0" w:line="260" w:lineRule="auto"/>
        <w:tabs>
          <w:tab w:leader="none" w:pos="565"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no disclosure or offering document has been prepared by Jefferies LLC, Goldman Sachs &amp; Co. LLC or any of their respective affiliates (collectively,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in connection with the offer and sale of the Shares.</w:t>
      </w:r>
    </w:p>
    <w:p>
      <w:pPr>
        <w:spacing w:after="0" w:line="150" w:lineRule="exact"/>
        <w:rPr>
          <w:rFonts w:ascii="Times New Roman" w:cs="Times New Roman" w:eastAsia="Times New Roman" w:hAnsi="Times New Roman"/>
          <w:sz w:val="18"/>
          <w:szCs w:val="18"/>
          <w:color w:val="010000"/>
        </w:rPr>
      </w:pPr>
    </w:p>
    <w:p>
      <w:pPr>
        <w:jc w:val="both"/>
        <w:ind w:left="-1074" w:firstLine="1074"/>
        <w:spacing w:after="0" w:line="241" w:lineRule="auto"/>
        <w:tabs>
          <w:tab w:leader="none" w:pos="569"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spacing w:after="0" w:line="166" w:lineRule="exact"/>
        <w:rPr>
          <w:rFonts w:ascii="Times New Roman" w:cs="Times New Roman" w:eastAsia="Times New Roman" w:hAnsi="Times New Roman"/>
          <w:sz w:val="18"/>
          <w:szCs w:val="18"/>
          <w:color w:val="010000"/>
        </w:rPr>
      </w:pPr>
    </w:p>
    <w:p>
      <w:pPr>
        <w:ind w:left="-1074" w:firstLine="1074"/>
        <w:spacing w:after="0" w:line="260" w:lineRule="auto"/>
        <w:tabs>
          <w:tab w:leader="none" w:pos="698"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in connection with the issue and purchase of the Shares, neither Placement Agent has acted as the Investor’s financial advisor or fiduciary.</w:t>
      </w:r>
    </w:p>
    <w:p>
      <w:pPr>
        <w:spacing w:after="0" w:line="150" w:lineRule="exact"/>
        <w:rPr>
          <w:rFonts w:ascii="Times New Roman" w:cs="Times New Roman" w:eastAsia="Times New Roman" w:hAnsi="Times New Roman"/>
          <w:sz w:val="18"/>
          <w:szCs w:val="18"/>
          <w:color w:val="010000"/>
        </w:rPr>
      </w:pPr>
    </w:p>
    <w:p>
      <w:pPr>
        <w:ind w:left="-1074" w:firstLine="1074"/>
        <w:spacing w:after="0" w:line="290" w:lineRule="auto"/>
        <w:tabs>
          <w:tab w:leader="none" w:pos="600" w:val="left"/>
        </w:tabs>
        <w:numPr>
          <w:ilvl w:val="0"/>
          <w:numId w:val="30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spacing w:after="0" w:line="126" w:lineRule="exact"/>
        <w:rPr>
          <w:rFonts w:ascii="Times New Roman" w:cs="Times New Roman" w:eastAsia="Times New Roman" w:hAnsi="Times New Roman"/>
          <w:sz w:val="17"/>
          <w:szCs w:val="17"/>
          <w:color w:val="010000"/>
        </w:rPr>
      </w:pPr>
    </w:p>
    <w:p>
      <w:pPr>
        <w:jc w:val="both"/>
        <w:ind w:left="-1074" w:firstLine="1074"/>
        <w:spacing w:after="0" w:line="237" w:lineRule="auto"/>
        <w:tabs>
          <w:tab w:leader="none" w:pos="583" w:val="left"/>
        </w:tabs>
        <w:numPr>
          <w:ilvl w:val="0"/>
          <w:numId w:val="3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214630</wp:posOffset>
            </wp:positionV>
            <wp:extent cx="7157085" cy="139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326" w:name="page327"/>
    <w:bookmarkEnd w:id="326"/>
    <w:p>
      <w:pPr>
        <w:ind w:left="1160" w:hanging="619"/>
        <w:spacing w:after="0"/>
        <w:tabs>
          <w:tab w:leader="none" w:pos="116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w:t>
      </w:r>
    </w:p>
    <w:p>
      <w:pPr>
        <w:spacing w:after="0" w:line="191" w:lineRule="exact"/>
        <w:rPr>
          <w:rFonts w:ascii="Times New Roman" w:cs="Times New Roman" w:eastAsia="Times New Roman" w:hAnsi="Times New Roman"/>
          <w:sz w:val="18"/>
          <w:szCs w:val="18"/>
          <w:color w:val="auto"/>
        </w:rPr>
      </w:pPr>
    </w:p>
    <w:p>
      <w:pPr>
        <w:jc w:val="both"/>
        <w:ind w:firstLine="1065"/>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010000"/>
        </w:rPr>
        <w:t xml:space="preserve">a. </w:t>
      </w:r>
      <w:r>
        <w:rPr>
          <w:rFonts w:ascii="Times New Roman" w:cs="Times New Roman" w:eastAsia="Times New Roman" w:hAnsi="Times New Roman"/>
          <w:sz w:val="17"/>
          <w:szCs w:val="17"/>
          <w:color w:val="000000"/>
        </w:rPr>
        <w:t>In the event that the Shares are not registered in connection with the consummation of the Transaction, ARYA agrees that, within forty-five (45) calendar days after the consummation of the Transaction (the “Filing Date”), it will file with the SEC (at its sole cost and expense) a registration statement registering the resale of the Shares (the “Registration Statement”), and it shall use its commercially reasonable efforts to have the Registration Statement declared effective as soon as practicable after the filing thereof but no later than the earlier of (i) ninety (90) calendar days (or one hundred-twenty</w:t>
      </w:r>
    </w:p>
    <w:p>
      <w:pPr>
        <w:jc w:val="both"/>
        <w:ind w:firstLine="9"/>
        <w:spacing w:after="0" w:line="232" w:lineRule="auto"/>
        <w:tabs>
          <w:tab w:leader="none" w:pos="43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if the SEC notifies ARYA that it will “review” the Registration Statement) following the Filing Date and (ii) ten (10) Business Days after ARYA is notified (orally or in writing, whichever is earlier) by the SEC that the Registration Statement will not be “reviewed” or will not be subject to further review. ARYA agrees to cause such Registration Statement, or another shelf registration statement that includes the Shares to be sold pursuant to this Subscription Agreement, to remain effective until the earliest of (i) the fourth anniversary of the Closing, (ii) the date on which the Investor ceases to hold any Shares issued pursuant to this Subscription Agreement, or (iii) on the first date on which the Investor is able to sell all of its Shares issued pursuant to this Subscription Agreement (or shares received in exchange therefor) under Rule 144 of the Securities Act within 90 days without limitation as to the amount of such securities that may be sold and without the requirement for ARYA to be in compliance with the current public information required under Rule 144(c)(i) (or Rule 144(i)(2), if applicable). Notwithstanding the foregoing, if the Commission prevents the Company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 shall be reduced pro rata among all such selling stockholders. In no event shall the undersigned be identified as a statutory underwriter in the Registration Statement unless in response to a comment or request from the staff of the Commission or another regulatory agency; provided, however, that if the Commission requests that the undersigned be identified as a statutory underwriter in the Registration Statement, the undersigned will have an opportunity to withdraw from the Registration Statement. The Investor agrees to disclose its ownership to ARYA upon request to assist it in making the determination described above. For as long as the Registration Statement shall remain effective pursuant to this Section 7(a), ARYA will use commercially reasonably efforts to (1) qualify the Shares for listing on the Stock Exchange and (2) update or amend the Registration Statement as necessary to include the Shares. For as long as the Investor holds the Shares, ARYA will use commercially reasonable efforts to file all reports, and provide all customary and reasonable cooperation, necessary to enable the Investor to resell the Shares pursuant to the Registration Statement or Rule 144 of the Securities Act (when Rule 144 of the Securities Act becomes available to the Investor), as applicable. The Investor acknowledges and agrees that ARYA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that (i) ARYA shall not so suspend the use of a registration statement for a period of more than ninety (90) consecutive days or more than a total of one hundred and eighty (180) calendar days, in each case in any three hundred and sixty (360) day period and (ii) ARYA shall use commercially reasonably efforts to make such registration statement available for the sale by the undersigned of such securities as soon as practicable thereafter. ARYA’s obligations to include the Shares issued pursuant to this Subscription Agreement (or shares issued in exchange therefor) for resale in the Registration Statement are contingent upon the Investor furnishing in writing to ARYA such information regarding the Investor, the securities of ARYA held by the Investor and the intended method of disposition of such Shares, which shall be limited to non-underwritten public offerings, as shall be reasonably requested by ARYA to effect the registration of such Shares, and shall execute such documents in connection with such registration as ARYA may reasonably request that are customary of a selling stockholder in similar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57085" cy="139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27" w:name="page328"/>
    <w:bookmarkEnd w:id="327"/>
    <w:p>
      <w:pPr>
        <w:jc w:val="both"/>
        <w:ind w:left="-9" w:firstLine="1074"/>
        <w:spacing w:after="0" w:line="247" w:lineRule="auto"/>
        <w:tabs>
          <w:tab w:leader="none" w:pos="1679" w:val="left"/>
        </w:tabs>
        <w:numPr>
          <w:ilvl w:val="1"/>
          <w:numId w:val="30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At its expense, ARYA shall advise the Investor within two (2) Business Days: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ARYA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ARYA (which notice shall not contain any material non-public information regarding ARYA) of the happening any event contemplated in clauses (ii) through</w:t>
      </w:r>
    </w:p>
    <w:p>
      <w:pPr>
        <w:spacing w:after="0" w:line="5" w:lineRule="exact"/>
        <w:rPr>
          <w:rFonts w:ascii="Times New Roman" w:cs="Times New Roman" w:eastAsia="Times New Roman" w:hAnsi="Times New Roman"/>
          <w:sz w:val="17"/>
          <w:szCs w:val="17"/>
          <w:color w:val="010000"/>
        </w:rPr>
      </w:pPr>
    </w:p>
    <w:p>
      <w:pPr>
        <w:jc w:val="both"/>
        <w:ind w:left="-9" w:firstLine="9"/>
        <w:spacing w:after="0" w:line="246" w:lineRule="auto"/>
        <w:tabs>
          <w:tab w:leader="none" w:pos="252"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during the period that the Registration Statement is effective or if as a result of the occurrence of such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ARYA agrees to promptly prepare) that corrects the misstatement(s) or omission(s) referred to above and receives notice that any post-effective amendment has become effective or unless otherwise notified by ARYA that it may resume such offers and sales, and (2) it will maintain the confidentiality of any information included in such written notice delivered by ARYA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ARYA shall use its commercially reasonable efforts to obtain the withdrawal of any order suspending the effectiveness of any Registration Statement as soon as reasonably practicable. Upon the occurrence of any event contemplated in clauses (ii) through (v) above, except for such times as ARYA is permitted hereunder to suspend, and has suspended, the use of a prospectus forming part of a Registration Statement, ARYA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368" w:lineRule="exact"/>
        <w:rPr>
          <w:rFonts w:ascii="Times New Roman" w:cs="Times New Roman" w:eastAsia="Times New Roman" w:hAnsi="Times New Roman"/>
          <w:sz w:val="17"/>
          <w:szCs w:val="17"/>
          <w:color w:val="auto"/>
        </w:rPr>
      </w:pPr>
    </w:p>
    <w:p>
      <w:pPr>
        <w:ind w:left="1631" w:hanging="566"/>
        <w:spacing w:after="0"/>
        <w:tabs>
          <w:tab w:leader="none" w:pos="1631" w:val="left"/>
        </w:tabs>
        <w:numPr>
          <w:ilvl w:val="1"/>
          <w:numId w:val="3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Indemnification.</w:t>
      </w:r>
    </w:p>
    <w:p>
      <w:pPr>
        <w:spacing w:after="0" w:line="192" w:lineRule="exact"/>
        <w:rPr>
          <w:rFonts w:ascii="Times New Roman" w:cs="Times New Roman" w:eastAsia="Times New Roman" w:hAnsi="Times New Roman"/>
          <w:sz w:val="18"/>
          <w:szCs w:val="18"/>
          <w:color w:val="010000"/>
        </w:rPr>
      </w:pPr>
    </w:p>
    <w:p>
      <w:pPr>
        <w:jc w:val="both"/>
        <w:ind w:left="1071" w:firstLine="526"/>
        <w:spacing w:after="0" w:line="236" w:lineRule="auto"/>
        <w:tabs>
          <w:tab w:leader="none" w:pos="2486" w:val="left"/>
        </w:tabs>
        <w:numPr>
          <w:ilvl w:val="2"/>
          <w:numId w:val="3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agrees to indemnify and hold harmless, to the extent permitted by law, the Investor, its directors, and officers, employees, and agents, and each person who controls the Investor (within the meaning of the Securities Act or the Exchange Act) from and against any and all losses, claims, damages, liabilities and expenses (including, without limitation, reasonable attorneys’ fees) caused by any untrue or alleged untrue statement of material fact contained in any Registration Statement, prospectus included in any Registration Statement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ARYA by or on behalf of the Investor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157085" cy="139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71"/>
          </w:cols>
          <w:pgMar w:left="309" w:top="118" w:right="319" w:bottom="1440" w:gutter="0" w:footer="0" w:header="0"/>
        </w:sectPr>
      </w:pPr>
    </w:p>
    <w:bookmarkStart w:id="328" w:name="page329"/>
    <w:bookmarkEnd w:id="328"/>
    <w:p>
      <w:pPr>
        <w:jc w:val="both"/>
        <w:ind w:left="-60" w:firstLine="526"/>
        <w:spacing w:after="0" w:line="235" w:lineRule="auto"/>
        <w:tabs>
          <w:tab w:leader="none" w:pos="1211" w:val="left"/>
        </w:tabs>
        <w:numPr>
          <w:ilvl w:val="0"/>
          <w:numId w:val="3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agrees, severally and not jointly with any other person that is a party to the Other Subscription Agreements, to indemnify and hold harmless ARYA, its directors and officers and agents and each person who controls ARYA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In no event shall the liability of the Investor be greater in amount than the dollar amount of the net proceeds received by such Investor upon the sale of the Shares purchased pursuant to this Subscription Agreement giving rise to such indemnification obligation.</w:t>
      </w:r>
    </w:p>
    <w:p>
      <w:pPr>
        <w:spacing w:after="0" w:line="171" w:lineRule="exact"/>
        <w:rPr>
          <w:rFonts w:ascii="Times New Roman" w:cs="Times New Roman" w:eastAsia="Times New Roman" w:hAnsi="Times New Roman"/>
          <w:sz w:val="18"/>
          <w:szCs w:val="18"/>
          <w:color w:val="010000"/>
        </w:rPr>
      </w:pPr>
    </w:p>
    <w:p>
      <w:pPr>
        <w:jc w:val="both"/>
        <w:ind w:left="-60" w:firstLine="526"/>
        <w:spacing w:after="0" w:line="234" w:lineRule="auto"/>
        <w:tabs>
          <w:tab w:leader="none" w:pos="1180" w:val="left"/>
        </w:tabs>
        <w:numPr>
          <w:ilvl w:val="0"/>
          <w:numId w:val="3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74" w:lineRule="exact"/>
        <w:rPr>
          <w:rFonts w:ascii="Times New Roman" w:cs="Times New Roman" w:eastAsia="Times New Roman" w:hAnsi="Times New Roman"/>
          <w:sz w:val="18"/>
          <w:szCs w:val="18"/>
          <w:color w:val="010000"/>
        </w:rPr>
      </w:pPr>
    </w:p>
    <w:p>
      <w:pPr>
        <w:jc w:val="both"/>
        <w:ind w:left="-60" w:firstLine="526"/>
        <w:spacing w:after="0" w:line="246" w:lineRule="auto"/>
        <w:tabs>
          <w:tab w:leader="none" w:pos="1272" w:val="left"/>
        </w:tabs>
        <w:numPr>
          <w:ilvl w:val="0"/>
          <w:numId w:val="3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spacing w:after="0" w:line="162" w:lineRule="exact"/>
        <w:rPr>
          <w:rFonts w:ascii="Times New Roman" w:cs="Times New Roman" w:eastAsia="Times New Roman" w:hAnsi="Times New Roman"/>
          <w:sz w:val="18"/>
          <w:szCs w:val="18"/>
          <w:color w:val="010000"/>
        </w:rPr>
      </w:pPr>
    </w:p>
    <w:p>
      <w:pPr>
        <w:jc w:val="both"/>
        <w:ind w:left="-60" w:firstLine="526"/>
        <w:spacing w:after="0" w:line="234" w:lineRule="auto"/>
        <w:tabs>
          <w:tab w:leader="none" w:pos="1296" w:val="left"/>
        </w:tabs>
        <w:numPr>
          <w:ilvl w:val="0"/>
          <w:numId w:val="3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the indemnification provided under this Section 7(c)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7(c) from any person who was not guilty of such fraudulent misrepresentation. In no event shall the liability of the Investor pursuant to this Section 7(c)(v) be greater in amount than the dollar amount of the net proceeds received by such Investor upon the sale of the Shares purchased pursuant to this Subscription Agreement giving rise to such indemnification obligation, and such obligations of the Investor shall be several and not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212725</wp:posOffset>
            </wp:positionV>
            <wp:extent cx="7157085" cy="139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40"/>
          </w:cols>
          <w:pgMar w:left="1440" w:top="118" w:right="319" w:bottom="1440" w:gutter="0" w:footer="0" w:header="0"/>
        </w:sectPr>
      </w:pPr>
    </w:p>
    <w:bookmarkStart w:id="329" w:name="page330"/>
    <w:bookmarkEnd w:id="329"/>
    <w:p>
      <w:pPr>
        <w:jc w:val="both"/>
        <w:ind w:left="-541" w:firstLine="541"/>
        <w:spacing w:after="0" w:line="233" w:lineRule="auto"/>
        <w:tabs>
          <w:tab w:leader="none" w:pos="612"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“Outside Date”), if the Closing has not occurred by the Outside Date (provided, that the right to terminate this Subscription Agreement pursuant to this clause (c) shall not be available to the Investor if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(the termination events described in clauses (a)–(c) above, collectively, the “Termination Events”); provided 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spacing w:after="0" w:line="179" w:lineRule="exact"/>
        <w:rPr>
          <w:rFonts w:ascii="Times New Roman" w:cs="Times New Roman" w:eastAsia="Times New Roman" w:hAnsi="Times New Roman"/>
          <w:sz w:val="18"/>
          <w:szCs w:val="18"/>
          <w:color w:val="auto"/>
        </w:rPr>
      </w:pPr>
    </w:p>
    <w:p>
      <w:pPr>
        <w:jc w:val="both"/>
        <w:ind w:left="-541" w:firstLine="541"/>
        <w:spacing w:after="0" w:line="233" w:lineRule="auto"/>
        <w:tabs>
          <w:tab w:leader="none" w:pos="657"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“Final Prospectus”) available at www.sec.gov, substantially all of ARYA’s assets consist of the cash proceeds of ARYA’s initial public offering and private placement of its securities, and substantially all of those proceeds have been deposited in a trust account (the “Trust Account”)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 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spacing w:after="0" w:line="179" w:lineRule="exact"/>
        <w:rPr>
          <w:rFonts w:ascii="Times New Roman" w:cs="Times New Roman" w:eastAsia="Times New Roman" w:hAnsi="Times New Roman"/>
          <w:sz w:val="18"/>
          <w:szCs w:val="18"/>
          <w:color w:val="auto"/>
        </w:rPr>
      </w:pPr>
    </w:p>
    <w:p>
      <w:pPr>
        <w:ind w:left="659" w:hanging="659"/>
        <w:spacing w:after="0"/>
        <w:tabs>
          <w:tab w:leader="none" w:pos="65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192" w:lineRule="exact"/>
        <w:rPr>
          <w:rFonts w:ascii="Times New Roman" w:cs="Times New Roman" w:eastAsia="Times New Roman" w:hAnsi="Times New Roman"/>
          <w:sz w:val="18"/>
          <w:szCs w:val="18"/>
          <w:color w:val="auto"/>
        </w:rPr>
      </w:pPr>
    </w:p>
    <w:p>
      <w:pPr>
        <w:ind w:left="-541" w:firstLine="1074"/>
        <w:spacing w:after="0" w:line="260" w:lineRule="auto"/>
        <w:tabs>
          <w:tab w:leader="none" w:pos="1360" w:val="left"/>
        </w:tabs>
        <w:numPr>
          <w:ilvl w:val="1"/>
          <w:numId w:val="3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w:t>
      </w:r>
    </w:p>
    <w:p>
      <w:pPr>
        <w:spacing w:after="0" w:line="150" w:lineRule="exact"/>
        <w:rPr>
          <w:rFonts w:ascii="Times New Roman" w:cs="Times New Roman" w:eastAsia="Times New Roman" w:hAnsi="Times New Roman"/>
          <w:sz w:val="18"/>
          <w:szCs w:val="18"/>
          <w:color w:val="010000"/>
        </w:rPr>
      </w:pPr>
    </w:p>
    <w:p>
      <w:pPr>
        <w:jc w:val="both"/>
        <w:ind w:left="-541" w:firstLine="1074"/>
        <w:spacing w:after="0" w:line="241" w:lineRule="auto"/>
        <w:tabs>
          <w:tab w:leader="none" w:pos="1091" w:val="left"/>
        </w:tabs>
        <w:numPr>
          <w:ilvl w:val="1"/>
          <w:numId w:val="30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212090</wp:posOffset>
            </wp:positionV>
            <wp:extent cx="7157085" cy="139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739"/>
          </w:cols>
          <w:pgMar w:left="841" w:top="118" w:right="319" w:bottom="1440" w:gutter="0" w:footer="0" w:header="0"/>
        </w:sectPr>
      </w:pPr>
    </w:p>
    <w:bookmarkStart w:id="330" w:name="page331"/>
    <w:bookmarkEnd w:id="330"/>
    <w:p>
      <w:pPr>
        <w:jc w:val="both"/>
        <w:ind w:firstLine="1074"/>
        <w:spacing w:after="0" w:line="236" w:lineRule="auto"/>
        <w:tabs>
          <w:tab w:leader="none" w:pos="1983"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w:t>
      </w:r>
    </w:p>
    <w:p>
      <w:pPr>
        <w:spacing w:after="0" w:line="171" w:lineRule="exact"/>
        <w:rPr>
          <w:rFonts w:ascii="Times New Roman" w:cs="Times New Roman" w:eastAsia="Times New Roman" w:hAnsi="Times New Roman"/>
          <w:sz w:val="18"/>
          <w:szCs w:val="18"/>
          <w:color w:val="010000"/>
        </w:rPr>
      </w:pPr>
    </w:p>
    <w:p>
      <w:pPr>
        <w:jc w:val="both"/>
        <w:ind w:firstLine="1074"/>
        <w:spacing w:after="0" w:line="235" w:lineRule="auto"/>
        <w:tabs>
          <w:tab w:leader="none" w:pos="1742"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69" w:lineRule="exact"/>
        <w:rPr>
          <w:rFonts w:ascii="Times New Roman" w:cs="Times New Roman" w:eastAsia="Times New Roman" w:hAnsi="Times New Roman"/>
          <w:sz w:val="18"/>
          <w:szCs w:val="18"/>
          <w:color w:val="010000"/>
        </w:rPr>
      </w:pPr>
    </w:p>
    <w:p>
      <w:pPr>
        <w:jc w:val="both"/>
        <w:ind w:firstLine="1074"/>
        <w:spacing w:after="0" w:line="239" w:lineRule="auto"/>
        <w:tabs>
          <w:tab w:leader="none" w:pos="1748"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spacing w:after="0" w:line="167" w:lineRule="exact"/>
        <w:rPr>
          <w:rFonts w:ascii="Times New Roman" w:cs="Times New Roman" w:eastAsia="Times New Roman" w:hAnsi="Times New Roman"/>
          <w:sz w:val="18"/>
          <w:szCs w:val="18"/>
          <w:color w:val="010000"/>
        </w:rPr>
      </w:pPr>
    </w:p>
    <w:p>
      <w:pPr>
        <w:ind w:left="1780" w:hanging="706"/>
        <w:spacing w:after="0"/>
        <w:tabs>
          <w:tab w:leader="none" w:pos="1780"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w:t>
      </w:r>
    </w:p>
    <w:p>
      <w:pPr>
        <w:spacing w:after="0" w:line="12"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Closing.</w:t>
      </w:r>
    </w:p>
    <w:p>
      <w:pPr>
        <w:spacing w:after="0" w:line="172" w:lineRule="exact"/>
        <w:rPr>
          <w:rFonts w:ascii="Times New Roman" w:cs="Times New Roman" w:eastAsia="Times New Roman" w:hAnsi="Times New Roman"/>
          <w:sz w:val="18"/>
          <w:szCs w:val="18"/>
          <w:color w:val="010000"/>
        </w:rPr>
      </w:pPr>
    </w:p>
    <w:p>
      <w:pPr>
        <w:jc w:val="both"/>
        <w:ind w:firstLine="1074"/>
        <w:spacing w:after="0" w:line="236" w:lineRule="auto"/>
        <w:tabs>
          <w:tab w:leader="none" w:pos="1795"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68" w:lineRule="exact"/>
        <w:rPr>
          <w:rFonts w:ascii="Times New Roman" w:cs="Times New Roman" w:eastAsia="Times New Roman" w:hAnsi="Times New Roman"/>
          <w:sz w:val="18"/>
          <w:szCs w:val="18"/>
          <w:color w:val="010000"/>
        </w:rPr>
      </w:pPr>
    </w:p>
    <w:p>
      <w:pPr>
        <w:jc w:val="both"/>
        <w:ind w:firstLine="1074"/>
        <w:spacing w:after="0" w:line="237" w:lineRule="auto"/>
        <w:tabs>
          <w:tab w:leader="none" w:pos="1718" w:val="left"/>
        </w:tabs>
        <w:numPr>
          <w:ilvl w:val="0"/>
          <w:numId w:val="3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7157085" cy="139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1" w:name="page332"/>
    <w:bookmarkEnd w:id="331"/>
    <w:p>
      <w:pPr>
        <w:jc w:val="both"/>
        <w:ind w:left="-1074" w:firstLine="1074"/>
        <w:spacing w:after="0"/>
        <w:tabs>
          <w:tab w:leader="none" w:pos="591" w:val="left"/>
        </w:tabs>
        <w:numPr>
          <w:ilvl w:val="0"/>
          <w:numId w:val="3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69" w:lineRule="exact"/>
        <w:rPr>
          <w:rFonts w:ascii="Times New Roman" w:cs="Times New Roman" w:eastAsia="Times New Roman" w:hAnsi="Times New Roman"/>
          <w:sz w:val="18"/>
          <w:szCs w:val="18"/>
          <w:color w:val="010000"/>
        </w:rPr>
      </w:pPr>
    </w:p>
    <w:p>
      <w:pPr>
        <w:jc w:val="both"/>
        <w:ind w:left="-1074" w:firstLine="1074"/>
        <w:spacing w:after="0" w:line="246" w:lineRule="auto"/>
        <w:tabs>
          <w:tab w:leader="none" w:pos="717" w:val="left"/>
        </w:tabs>
        <w:numPr>
          <w:ilvl w:val="0"/>
          <w:numId w:val="3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62" w:lineRule="exact"/>
        <w:rPr>
          <w:rFonts w:ascii="Times New Roman" w:cs="Times New Roman" w:eastAsia="Times New Roman" w:hAnsi="Times New Roman"/>
          <w:sz w:val="18"/>
          <w:szCs w:val="18"/>
          <w:color w:val="010000"/>
        </w:rPr>
      </w:pPr>
    </w:p>
    <w:p>
      <w:pPr>
        <w:jc w:val="both"/>
        <w:ind w:left="-1074" w:firstLine="1074"/>
        <w:spacing w:after="0" w:line="246" w:lineRule="auto"/>
        <w:tabs>
          <w:tab w:leader="none" w:pos="659" w:val="left"/>
        </w:tabs>
        <w:numPr>
          <w:ilvl w:val="0"/>
          <w:numId w:val="3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2" w:lineRule="exact"/>
        <w:rPr>
          <w:rFonts w:ascii="Times New Roman" w:cs="Times New Roman" w:eastAsia="Times New Roman" w:hAnsi="Times New Roman"/>
          <w:sz w:val="18"/>
          <w:szCs w:val="18"/>
          <w:color w:val="010000"/>
        </w:rPr>
      </w:pPr>
    </w:p>
    <w:p>
      <w:pPr>
        <w:jc w:val="both"/>
        <w:ind w:left="-1074" w:firstLine="1074"/>
        <w:spacing w:after="0" w:line="236" w:lineRule="auto"/>
        <w:tabs>
          <w:tab w:leader="none" w:pos="548" w:val="left"/>
        </w:tabs>
        <w:numPr>
          <w:ilvl w:val="0"/>
          <w:numId w:val="3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spacing w:after="0" w:line="172" w:lineRule="exact"/>
        <w:rPr>
          <w:rFonts w:ascii="Times New Roman" w:cs="Times New Roman" w:eastAsia="Times New Roman" w:hAnsi="Times New Roman"/>
          <w:sz w:val="18"/>
          <w:szCs w:val="18"/>
          <w:color w:val="010000"/>
        </w:rPr>
      </w:pPr>
    </w:p>
    <w:p>
      <w:pPr>
        <w:jc w:val="both"/>
        <w:ind w:left="-1074" w:firstLine="1074"/>
        <w:spacing w:after="0" w:line="239" w:lineRule="auto"/>
        <w:tabs>
          <w:tab w:leader="none" w:pos="763" w:val="left"/>
        </w:tabs>
        <w:numPr>
          <w:ilvl w:val="0"/>
          <w:numId w:val="3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spacing w:after="0" w:line="167" w:lineRule="exact"/>
        <w:rPr>
          <w:rFonts w:ascii="Times New Roman" w:cs="Times New Roman" w:eastAsia="Times New Roman" w:hAnsi="Times New Roman"/>
          <w:sz w:val="18"/>
          <w:szCs w:val="18"/>
          <w:color w:val="010000"/>
        </w:rPr>
      </w:pPr>
    </w:p>
    <w:p>
      <w:pPr>
        <w:jc w:val="both"/>
        <w:ind w:left="-1074" w:firstLine="1074"/>
        <w:spacing w:after="0" w:line="247" w:lineRule="auto"/>
        <w:tabs>
          <w:tab w:leader="none" w:pos="618" w:val="left"/>
        </w:tabs>
        <w:numPr>
          <w:ilvl w:val="0"/>
          <w:numId w:val="31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 (OR,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 OF THIS SUBSCRIPTION AGREEMENT OR IN SUCH OTHER MANNER AS MAY BE PERMITTED BY LAW SHALL BE VALID AND SUFFICIENT SERVICE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-675640</wp:posOffset>
            </wp:positionH>
            <wp:positionV relativeFrom="paragraph">
              <wp:posOffset>214630</wp:posOffset>
            </wp:positionV>
            <wp:extent cx="7157085" cy="139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206"/>
          </w:cols>
          <w:pgMar w:left="1374" w:top="118" w:right="319" w:bottom="1440" w:gutter="0" w:footer="0" w:header="0"/>
        </w:sectPr>
      </w:pPr>
    </w:p>
    <w:bookmarkStart w:id="332" w:name="page333"/>
    <w:bookmarkEnd w:id="332"/>
    <w:p>
      <w:pPr>
        <w:jc w:val="both"/>
        <w:spacing w:after="0" w:line="235"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w:t>
      </w:r>
    </w:p>
    <w:p>
      <w:pPr>
        <w:spacing w:after="0" w:line="169" w:lineRule="exact"/>
        <w:rPr>
          <w:sz w:val="20"/>
          <w:szCs w:val="20"/>
          <w:color w:val="auto"/>
        </w:rPr>
      </w:pPr>
    </w:p>
    <w:p>
      <w:pPr>
        <w:jc w:val="both"/>
        <w:ind w:firstLine="541"/>
        <w:spacing w:after="0" w:line="233" w:lineRule="auto"/>
        <w:tabs>
          <w:tab w:leader="none" w:pos="151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The Investor acknowledges that it is not relying upon, and has not relied upon,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 partner, member, manager, direct or indirect equityholder or affiliate of ARYA, the Company, any Placement Agent or any of ARYA’s, the Company’s or any Placement Agent’s controlled affiliates or any family member of the foregoing.</w:t>
      </w:r>
    </w:p>
    <w:p>
      <w:pPr>
        <w:spacing w:after="0" w:line="177" w:lineRule="exact"/>
        <w:rPr>
          <w:sz w:val="20"/>
          <w:szCs w:val="20"/>
          <w:color w:val="auto"/>
        </w:rPr>
      </w:pPr>
    </w:p>
    <w:p>
      <w:pPr>
        <w:jc w:val="both"/>
        <w:ind w:firstLine="541"/>
        <w:spacing w:after="0" w:line="234" w:lineRule="auto"/>
        <w:tabs>
          <w:tab w:leader="none" w:pos="1498"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ARYA shall, by 9:00 a.m., New York City time, on the first (1st) business day immediately following the date of this Subscription Agreement, issue one or more press releases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all material terms of the transactions contemplated hereby and by the Other Subscription Agreements, the Transaction and any other material, nonpublic information that ARYA has provided to the Investor at any time prior to the filing of the Disclosure Document. Upon the issuance of the Disclosure Document, to the actual knowledge of ARYA, the Investor shall not be in possession of any material, non-public information received from ARYA or any of its officers, directors, or employees or agents, and the Investor shall no longer be subject to any confidentiality or similar obligations under any current agreement, whether written or oral with ARYA or any of its affiliates, relating to the transactions contemplated by this Subscription Agreement. Notwithstanding anything in this Subscription Agreement to the contrary, ARYA shall not (i) publicly disclose the name of the Investor or any of its affiliates or advisers or include the name of the Investor or any of its affiliates or advisers in any press release without the prior written consent of the Investor except as required by the federal securities law or pursuant to other routine proceedings of regulatory authorities, or to the extent such disclosure is required by law, at the request of the staff of the SEC or regulatory agency or under the regulations of the Stock Exchange, in which case ARYA will provide Investor with prior written notice (including by e-mail) of such disclosure under this clause (i), or (ii) to the extent such announcements or other communications contain only information previously disclosed in a public statement, press release or other communication that was approved by the Investor in accordance with this Section 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229235</wp:posOffset>
            </wp:positionV>
            <wp:extent cx="7157085" cy="139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3" w:name="page334"/>
    <w:bookmarkEnd w:id="333"/>
    <w:p>
      <w:pPr>
        <w:ind w:firstLine="532"/>
        <w:spacing w:after="0" w:line="264"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 executed by its duly authorized representative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set forth below.</w:t>
      </w:r>
    </w:p>
    <w:p>
      <w:pPr>
        <w:sectPr>
          <w:pgSz w:w="11900" w:h="16838" w:orient="portrait"/>
          <w:cols w:equalWidth="0" w:num="1">
            <w:col w:w="11280"/>
          </w:cols>
          <w:pgMar w:left="300" w:top="114" w:right="31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of Investor: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State/Country of Formation or Domicile:</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By: _____________________________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_____________________________</w:t>
      </w:r>
    </w:p>
    <w:p>
      <w:pPr>
        <w:sectPr>
          <w:pgSz w:w="11900" w:h="16838" w:orient="portrait"/>
          <w:cols w:equalWidth="0" w:num="1">
            <w:col w:w="11280"/>
          </w:cols>
          <w:pgMar w:left="300" w:top="114" w:right="31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in which Shares are to be registered (if different):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________, 2021</w:t>
      </w:r>
    </w:p>
    <w:p>
      <w:pPr>
        <w:spacing w:after="0" w:line="194"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Investor’s EIN:</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Business Address-Street: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_____________________________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Mailing Address-Street (if different):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_____________________________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w:t>
      </w:r>
    </w:p>
    <w:p>
      <w:pPr>
        <w:spacing w:after="0" w:line="182"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Number of Shares subscribed for:</w:t>
      </w:r>
    </w:p>
    <w:p>
      <w:pPr>
        <w:sectPr>
          <w:pgSz w:w="11900" w:h="16838" w:orient="portrait"/>
          <w:cols w:equalWidth="0" w:num="1">
            <w:col w:w="11280"/>
          </w:cols>
          <w:pgMar w:left="300" w:top="114" w:right="31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Aggregate Subscription Amount: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 Per Share: $10.00</w:t>
      </w:r>
    </w:p>
    <w:p>
      <w:pPr>
        <w:spacing w:after="0" w:line="186" w:lineRule="exact"/>
        <w:rPr>
          <w:sz w:val="20"/>
          <w:szCs w:val="20"/>
          <w:color w:val="auto"/>
        </w:rPr>
      </w:pPr>
    </w:p>
    <w:p>
      <w:pPr>
        <w:sectPr>
          <w:pgSz w:w="11900" w:h="16838" w:orient="portrait"/>
          <w:cols w:equalWidth="0" w:num="2">
            <w:col w:w="4920" w:space="720"/>
            <w:col w:w="5640"/>
          </w:cols>
          <w:pgMar w:left="300" w:top="114" w:right="319" w:bottom="1440" w:gutter="0" w:footer="0" w:header="0"/>
          <w:type w:val="continuous"/>
        </w:sectPr>
      </w:pPr>
    </w:p>
    <w:p>
      <w:pPr>
        <w:ind w:firstLine="532"/>
        <w:spacing w:after="0" w:line="260"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ARYA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7157085" cy="139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type w:val="continuous"/>
        </w:sectPr>
      </w:pPr>
    </w:p>
    <w:bookmarkStart w:id="334" w:name="page335"/>
    <w:bookmarkEnd w:id="334"/>
    <w:p>
      <w:pPr>
        <w:ind w:left="540"/>
        <w:spacing w:after="0"/>
        <w:rPr>
          <w:sz w:val="20"/>
          <w:szCs w:val="20"/>
          <w:color w:val="auto"/>
        </w:rPr>
      </w:pPr>
      <w:r>
        <w:rPr>
          <w:rFonts w:ascii="Times New Roman" w:cs="Times New Roman" w:eastAsia="Times New Roman" w:hAnsi="Times New Roman"/>
          <w:sz w:val="18"/>
          <w:szCs w:val="18"/>
          <w:color w:val="auto"/>
        </w:rPr>
        <w:t>IN WITNESS WHEREOF, ARYA has accepted this Subscription Agreement as of the date set forth below.</w:t>
      </w:r>
    </w:p>
    <w:p>
      <w:pPr>
        <w:spacing w:after="0" w:line="20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ARYA SCIENCES ACQUISITION CORP III</w:t>
      </w:r>
    </w:p>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12700</wp:posOffset>
            </wp:positionV>
            <wp:extent cx="2789555" cy="139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89555" cy="1397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5"/>
          <w:szCs w:val="15"/>
          <w:color w:val="auto"/>
        </w:rPr>
        <w:t>Name:</w:t>
      </w:r>
    </w:p>
    <w:p>
      <w:pPr>
        <w:spacing w:after="0" w:line="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227965</wp:posOffset>
            </wp:positionV>
            <wp:extent cx="7157085" cy="139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335" w:name="page336"/>
    <w:bookmarkEnd w:id="3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03" w:lineRule="exact"/>
        <w:rPr>
          <w:sz w:val="20"/>
          <w:szCs w:val="20"/>
          <w:color w:val="auto"/>
        </w:rPr>
      </w:pPr>
    </w:p>
    <w:p>
      <w:pPr>
        <w:ind w:left="460" w:right="7760" w:hanging="451"/>
        <w:spacing w:after="0" w:line="543" w:lineRule="auto"/>
        <w:tabs>
          <w:tab w:leader="none" w:pos="46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INSTITUTIONAL BUYER STATUS (Please check the applicable subparagraphs):</w:t>
      </w:r>
    </w:p>
    <w:p>
      <w:pPr>
        <w:spacing w:after="0" w:line="28" w:lineRule="exact"/>
        <w:rPr>
          <w:rFonts w:ascii="Times New Roman" w:cs="Times New Roman" w:eastAsia="Times New Roman" w:hAnsi="Times New Roman"/>
          <w:sz w:val="14"/>
          <w:szCs w:val="14"/>
          <w:color w:val="auto"/>
        </w:rPr>
      </w:pPr>
    </w:p>
    <w:p>
      <w:pPr>
        <w:ind w:left="620" w:hanging="249"/>
        <w:spacing w:after="0"/>
        <w:tabs>
          <w:tab w:leader="none" w:pos="620" w:val="left"/>
        </w:tabs>
        <w:numPr>
          <w:ilvl w:val="1"/>
          <w:numId w:val="3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00" w:lineRule="exact"/>
        <w:rPr>
          <w:rFonts w:ascii="MS PGothic" w:cs="MS PGothic" w:eastAsia="MS PGothic" w:hAnsi="MS PGothic"/>
          <w:sz w:val="18"/>
          <w:szCs w:val="18"/>
          <w:color w:val="auto"/>
        </w:rPr>
      </w:pPr>
    </w:p>
    <w:p>
      <w:pPr>
        <w:ind w:left="460" w:right="7380" w:hanging="451"/>
        <w:spacing w:after="0" w:line="454" w:lineRule="auto"/>
        <w:tabs>
          <w:tab w:leader="none" w:pos="460" w:val="left"/>
        </w:tabs>
        <w:numPr>
          <w:ilvl w:val="0"/>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INSTITUTIONAL ACCREDITED INVESTOR STATUS (Please check the applicable subparagraphs):</w:t>
      </w:r>
    </w:p>
    <w:p>
      <w:pPr>
        <w:ind w:left="920" w:right="140" w:hanging="456"/>
        <w:spacing w:after="0" w:line="190" w:lineRule="exact"/>
        <w:tabs>
          <w:tab w:leader="none" w:pos="920" w:val="left"/>
        </w:tabs>
        <w:numPr>
          <w:ilvl w:val="2"/>
          <w:numId w:val="314"/>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85" w:lineRule="exact"/>
        <w:rPr>
          <w:rFonts w:ascii="Times New Roman" w:cs="Times New Roman" w:eastAsia="Times New Roman" w:hAnsi="Times New Roman"/>
          <w:sz w:val="15"/>
          <w:szCs w:val="15"/>
          <w:color w:val="auto"/>
        </w:rPr>
      </w:pPr>
    </w:p>
    <w:p>
      <w:pPr>
        <w:ind w:left="920" w:hanging="456"/>
        <w:spacing w:after="0" w:line="173" w:lineRule="exact"/>
        <w:tabs>
          <w:tab w:leader="none" w:pos="920" w:val="left"/>
        </w:tabs>
        <w:numPr>
          <w:ilvl w:val="2"/>
          <w:numId w:val="314"/>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 are not a natural person.</w:t>
      </w:r>
    </w:p>
    <w:p>
      <w:pPr>
        <w:spacing w:after="0" w:line="2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78" w:lineRule="exact"/>
        <w:rPr>
          <w:sz w:val="20"/>
          <w:szCs w:val="20"/>
          <w:color w:val="auto"/>
        </w:rPr>
      </w:pPr>
    </w:p>
    <w:p>
      <w:pPr>
        <w:ind w:left="380" w:right="620" w:hanging="9"/>
        <w:spacing w:after="0" w:line="260" w:lineRule="auto"/>
        <w:tabs>
          <w:tab w:leader="none" w:pos="614"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161" w:lineRule="exact"/>
        <w:rPr>
          <w:rFonts w:ascii="MS PGothic" w:cs="MS PGothic" w:eastAsia="MS PGothic" w:hAnsi="MS PGothic"/>
          <w:sz w:val="18"/>
          <w:szCs w:val="18"/>
          <w:color w:val="auto"/>
        </w:rPr>
      </w:pPr>
    </w:p>
    <w:p>
      <w:pPr>
        <w:ind w:left="380" w:right="220" w:hanging="9"/>
        <w:spacing w:after="0" w:line="260" w:lineRule="auto"/>
        <w:tabs>
          <w:tab w:leader="none" w:pos="614"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ind w:left="380" w:right="740" w:hanging="9"/>
        <w:spacing w:after="0" w:line="260" w:lineRule="auto"/>
        <w:tabs>
          <w:tab w:leader="none" w:pos="614"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61" w:lineRule="exact"/>
        <w:rPr>
          <w:rFonts w:ascii="MS PGothic" w:cs="MS PGothic" w:eastAsia="MS PGothic" w:hAnsi="MS PGothic"/>
          <w:sz w:val="18"/>
          <w:szCs w:val="18"/>
          <w:color w:val="auto"/>
        </w:rPr>
      </w:pPr>
    </w:p>
    <w:p>
      <w:pPr>
        <w:ind w:left="380" w:right="500" w:hanging="9"/>
        <w:spacing w:after="0" w:line="260" w:lineRule="auto"/>
        <w:tabs>
          <w:tab w:leader="none" w:pos="614"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600" w:hanging="229"/>
        <w:spacing w:after="0"/>
        <w:tabs>
          <w:tab w:leader="none" w:pos="600"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203" w:lineRule="exact"/>
        <w:rPr>
          <w:rFonts w:ascii="MS PGothic" w:cs="MS PGothic" w:eastAsia="MS PGothic" w:hAnsi="MS PGothic"/>
          <w:sz w:val="18"/>
          <w:szCs w:val="18"/>
          <w:color w:val="auto"/>
        </w:rPr>
      </w:pPr>
    </w:p>
    <w:p>
      <w:pPr>
        <w:ind w:left="600" w:hanging="229"/>
        <w:spacing w:after="0"/>
        <w:tabs>
          <w:tab w:leader="none" w:pos="600" w:val="left"/>
        </w:tabs>
        <w:numPr>
          <w:ilvl w:val="0"/>
          <w:numId w:val="31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7157085" cy="139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36" w:name="page337"/>
    <w:bookmarkEnd w:id="336"/>
    <w:p>
      <w:pPr>
        <w:ind w:left="10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Exhibit 99.1</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Next-Gen Proteomics Company Nautilus Biotechnology to List on Nasdaq Through Merger with Arya Sciences Acquisition Corp III</w:t>
      </w:r>
    </w:p>
    <w:p>
      <w:pPr>
        <w:spacing w:after="0" w:line="192"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i w:val="1"/>
          <w:iCs w:val="1"/>
          <w:color w:val="auto"/>
        </w:rPr>
        <w:t>Nautilus Biotechnology has entered into a definitive merger agreement with Arya Sciences Acquisition Corp III (Nasdaq: ARYA). Upon closing, the combined company is expected to be listed on Nasdaq under the ticker symbol “NAUT”</w:t>
      </w:r>
    </w:p>
    <w:p>
      <w:pPr>
        <w:spacing w:after="0" w:line="145"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i w:val="1"/>
          <w:iCs w:val="1"/>
          <w:color w:val="auto"/>
        </w:rPr>
        <w:t>Nautilus Biotechnology is expected to receive $350 million in proceeds through the business combination, including a $200 million fully committed PIPE led by Perceptive Advisors and other top-tier healthcare investors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business combination is expected to be completed in the second quarter of 2021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joint investor conference call to discuss the proposed transaction will be conducted today, February 8, 2021, at 8:00 AM ET</w:t>
      </w:r>
    </w:p>
    <w:p>
      <w:pPr>
        <w:spacing w:after="0" w:line="192"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b w:val="1"/>
          <w:bCs w:val="1"/>
          <w:color w:val="auto"/>
        </w:rPr>
        <w:t>SEATTLE, WA / NEW YORK, 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February 8, 2021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white"/>
        </w:rPr>
        <w:t>Nautilus Biotechnology, Inc. ("Nautilus Biotechnology" or “Nautilus”), a company pioneering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white"/>
        </w:rPr>
        <w:t xml:space="preserve">single-molecule protein analysis platform for quantifying the human proteome, and Arya Sciences Acquisition Corp III (Nasdaq: ARYA) (“Arya III”), a special purpose acquisition company or </w:t>
      </w:r>
      <w:r>
        <w:rPr>
          <w:rFonts w:ascii="Times New Roman" w:cs="Times New Roman" w:eastAsia="Times New Roman" w:hAnsi="Times New Roman"/>
          <w:sz w:val="18"/>
          <w:szCs w:val="18"/>
          <w:i w:val="1"/>
          <w:iCs w:val="1"/>
          <w:color w:val="auto"/>
          <w:highlight w:val="white"/>
        </w:rPr>
        <w:t>SPAC</w:t>
      </w:r>
      <w:r>
        <w:rPr>
          <w:rFonts w:ascii="Times New Roman" w:cs="Times New Roman" w:eastAsia="Times New Roman" w:hAnsi="Times New Roman"/>
          <w:sz w:val="18"/>
          <w:szCs w:val="18"/>
          <w:color w:val="auto"/>
          <w:highlight w:val="white"/>
        </w:rPr>
        <w:t>, sponsored by Perceptive Advisors, today announced they have entered into a definitive business combination agreement. Upon closing of the transaction, Arya III will redomicile as a Delaware corporation, be renamed Nautilus Biotechnology, Inc. and its common stock is expected to be listed on Nasdaq under the ticker symbol “NAUT”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1270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085" cy="127000"/>
                    </a:xfrm>
                    <a:prstGeom prst="rect">
                      <a:avLst/>
                    </a:prstGeom>
                    <a:noFill/>
                  </pic:spPr>
                </pic:pic>
              </a:graphicData>
            </a:graphic>
          </wp:anchor>
        </w:drawing>
      </w:r>
    </w:p>
    <w:p>
      <w:pPr>
        <w:spacing w:after="0" w:line="14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In addition to the approximately $150 million held in Arya III’s trust account (assuming no redemptions are effected), a group of premier healthcare investors has committed to participate in the transaction through a common stock PIPE of approximately $200 million at $10 per share. Investors in the PIPE include lead investor Perceptive Advisors, an affiliate of Arya III’s sponsor, as well as RA Capital Management, Ally Bridge Group, Bain Capital Life Sciences, Franklin Templeton Investments, OrbiMed, Alyeska Investment Group, L.P., Casdin Capital and existing Nautilus Biotechnology shareholders including Andreessen Horowitz, Madrona Venture Group, and Vulcan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157085" cy="8877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085" cy="887730"/>
                    </a:xfrm>
                    <a:prstGeom prst="rect">
                      <a:avLst/>
                    </a:prstGeom>
                    <a:noFill/>
                  </pic:spPr>
                </pic:pic>
              </a:graphicData>
            </a:graphic>
          </wp:anchor>
        </w:drawing>
      </w:r>
    </w:p>
    <w:p>
      <w:pPr>
        <w:spacing w:after="0" w:line="14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The Combined Company is expected to receive proceeds of approximately $350 million at the closing of the transaction (assuming no redemptions are effected) and will continue to operate under the Nautilus management team, led by founder and Chief Executive Officer, Sujal Patel, and founder and Chief Scientist, Parag Mallick. The boards of directors of both Arya III and Nautilus have approved the proposed transaction. Completion of the transaction, which is expected in the second quarter of 2021, is subject to approval of Arya III’s shareholders and the satisfaction or waiver of certain other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57085" cy="139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6" w:right="319" w:bottom="1440" w:gutter="0" w:footer="0" w:header="0"/>
        </w:sectPr>
      </w:pPr>
    </w:p>
    <w:bookmarkStart w:id="337" w:name="page338"/>
    <w:bookmarkEnd w:id="337"/>
    <w:p>
      <w:pPr>
        <w:ind w:right="220"/>
        <w:spacing w:after="0"/>
        <w:rPr>
          <w:sz w:val="20"/>
          <w:szCs w:val="20"/>
          <w:color w:val="auto"/>
        </w:rPr>
      </w:pPr>
      <w:r>
        <w:rPr>
          <w:rFonts w:ascii="Times New Roman" w:cs="Times New Roman" w:eastAsia="Times New Roman" w:hAnsi="Times New Roman"/>
          <w:sz w:val="18"/>
          <w:szCs w:val="18"/>
          <w:color w:val="auto"/>
        </w:rPr>
        <w:t>“We believe Nautilus has the potential to help revolutionize biomedicine with an ultra-sensitive, single-molecule protein analysis platform designed to comprehensively analyze and quantify the human proteome,” said Nautilus CEO, Sujal Patel. “Our long-standing relationship with Perceptive Advisors, combined with a strong syndicate of other investors, make us confident that this transaction aligns well with our goals of unlocking what we believe to be a significant opportunity in biological science, and creating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-511175</wp:posOffset>
            </wp:positionV>
            <wp:extent cx="7157085" cy="45643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085" cy="4564380"/>
                    </a:xfrm>
                    <a:prstGeom prst="rect">
                      <a:avLst/>
                    </a:prstGeom>
                    <a:noFill/>
                  </pic:spPr>
                </pic:pic>
              </a:graphicData>
            </a:graphic>
          </wp:anchor>
        </w:drawing>
      </w:r>
    </w:p>
    <w:p>
      <w:pPr>
        <w:spacing w:after="0" w:line="14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“When Arya III was formed, our objective was to identify a company with the potential to successfully address a significant, unmet need in biomedical science,” said Adam Stone, chief investment officer of Perceptive Advisors and CEO of Arya III. “In Nautilus, we are combining with a company we believe has the potential to transform the field of proteomics, unlocking access to the proteome and enabling fundamental advancements in biology, human health, and medicine. Over the course of our diligence, we've come to believe that the company’s innovative science, thoughtful commercialization strategy, and experienced leadership team make it an exceptional fit to meet our objectives.”</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Proceeds of the business combination and PIPE will be used to advance development of Nautilus Biotechnology’s unique proteomic analysis platform, as well as growth across the company’s scientific, engineering, and commercial teams, and to support general corporate activities.</w:t>
      </w:r>
    </w:p>
    <w:p>
      <w:pPr>
        <w:spacing w:after="0" w:line="151"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Since its founding, Nautilus has been driven by a desire to enable the biological community to rapidly and comprehensively access the proteome, thereby potentially transforming the ability to examine disease mechanisms, and develop new therapeutics and diagnostics. This mission is guided by a recognition that major advances in proteomics have lagged behind genomics, which Nautilus Biotechnology believes is primarily due to a lack of available tools for measuring the proteome as easily or completely as one can measure the genome and transcriptome.</w:t>
      </w:r>
    </w:p>
    <w:p>
      <w:pPr>
        <w:spacing w:after="0" w:line="167"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8"/>
          <w:szCs w:val="18"/>
          <w:color w:val="auto"/>
        </w:rPr>
        <w:t>Nautilus believes that a fundamentally new approach is required to unlock this potential opportunity in biological science. Nautilus is aiming to create a bold, disruptive technology that has the potential to dramatically accelerate the generation of proteomics-based insight, drive new discoveries, and propel this field forward to better understand our fundamental biology and the molecular mechanisms of disease.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Transaction</w:t>
      </w:r>
    </w:p>
    <w:p>
      <w:pPr>
        <w:spacing w:after="0" w:line="1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Current Nautilus Biotechnology stockholders and holders of outstanding equity awards are converting 100% of their existing equity interests into shares or equivalent awards of the Combined Company at an implied Nautilus Biotechnology equity value of $900 million. Current shareholders of Arya III are converting their class A ordinary shares and class B ordinary shares of Arya III into common stock of the Combined Company on a one for one basis. Assuming that no Arya III shareholders elect to redeem their shares, and taking into account their participation in the PIPE, the current stockholders of Nautilus Biotechnology, excluding Perceptive Advisors, are expected to own approximately 70% of the Combined Company after closing. Further assuming a share price of $10 per share, the Combined Company is expected to have an initial market capitalization of approximately $1.3 billion. Upon closing, it is expected that the Combined Company’s common stock will be publicly traded on Nasdaq under the ticker symbol “NAUT.”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the transaction will be provided in a Current Report on Form 8-K that will contain an investor presentation to be filed by Arya</w:t>
      </w:r>
    </w:p>
    <w:p>
      <w:pPr>
        <w:spacing w:after="0" w:line="13" w:lineRule="exact"/>
        <w:rPr>
          <w:sz w:val="20"/>
          <w:szCs w:val="20"/>
          <w:color w:val="auto"/>
        </w:rPr>
      </w:pPr>
    </w:p>
    <w:p>
      <w:pPr>
        <w:jc w:val="both"/>
        <w:ind w:right="140" w:firstLine="9"/>
        <w:spacing w:after="0" w:line="265" w:lineRule="auto"/>
        <w:tabs>
          <w:tab w:leader="none" w:pos="222"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Securities and Exchange Commission (“SEC”) and will be available at www.sec.gov. In addition, Arya III intends to file a registration statement on Form S-4 with the SEC, which will include a proxy statement/prospectus, and will file other documents regarding the proposed transaction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199390</wp:posOffset>
            </wp:positionV>
            <wp:extent cx="7157085" cy="139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7157085" cy="17748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085" cy="1774825"/>
                    </a:xfrm>
                    <a:prstGeom prst="rect">
                      <a:avLst/>
                    </a:prstGeom>
                    <a:noFill/>
                  </pic:spPr>
                </pic:pic>
              </a:graphicData>
            </a:graphic>
          </wp:anchor>
        </w:drawing>
      </w: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Morgan Stanley is acting as lead financial advisor to Nautilus Biotechnology, with Cowen also acting as financial advisor to Nautilus Biotechnology. Jefferies LLC and Goldman Sachs &amp; Co. LLC are acting as financial advisors to Arya III as well as private placement agents. Wilson Sonsini Goodrich &amp; Rosati, P.C., is acting as legal counsel to Nautilus Biotechnology. Kirkland &amp; Ellis LLP is acting as legal counsel to Arya III.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Monday, February 8, 2021 at 8:00 AM ET</w:t>
      </w:r>
    </w:p>
    <w:p>
      <w:pPr>
        <w:spacing w:after="0" w:line="231" w:lineRule="auto"/>
        <w:rPr>
          <w:sz w:val="20"/>
          <w:szCs w:val="20"/>
          <w:color w:val="auto"/>
        </w:rPr>
      </w:pPr>
      <w:r>
        <w:rPr>
          <w:rFonts w:ascii="Times New Roman" w:cs="Times New Roman" w:eastAsia="Times New Roman" w:hAnsi="Times New Roman"/>
          <w:sz w:val="18"/>
          <w:szCs w:val="18"/>
          <w:color w:val="auto"/>
        </w:rPr>
        <w:t>US Toll-Free Dial In: (855) 920-2730</w:t>
      </w:r>
    </w:p>
    <w:p>
      <w:pPr>
        <w:spacing w:after="0" w:line="232" w:lineRule="auto"/>
        <w:rPr>
          <w:sz w:val="20"/>
          <w:szCs w:val="20"/>
          <w:color w:val="auto"/>
        </w:rPr>
      </w:pPr>
      <w:r>
        <w:rPr>
          <w:rFonts w:ascii="Times New Roman" w:cs="Times New Roman" w:eastAsia="Times New Roman" w:hAnsi="Times New Roman"/>
          <w:sz w:val="18"/>
          <w:szCs w:val="18"/>
          <w:color w:val="auto"/>
        </w:rPr>
        <w:t>US Local Dial In: +1 (469) 598-1899</w:t>
      </w:r>
    </w:p>
    <w:p>
      <w:pPr>
        <w:spacing w:after="0" w:line="231" w:lineRule="auto"/>
        <w:rPr>
          <w:sz w:val="20"/>
          <w:szCs w:val="20"/>
          <w:color w:val="auto"/>
        </w:rPr>
      </w:pPr>
      <w:r>
        <w:rPr>
          <w:rFonts w:ascii="Times New Roman" w:cs="Times New Roman" w:eastAsia="Times New Roman" w:hAnsi="Times New Roman"/>
          <w:sz w:val="18"/>
          <w:szCs w:val="18"/>
          <w:color w:val="auto"/>
        </w:rPr>
        <w:t>Universal Int’l Dial In: +1 (913) 270-0999</w:t>
      </w:r>
    </w:p>
    <w:p>
      <w:pPr>
        <w:spacing w:after="0"/>
        <w:rPr>
          <w:sz w:val="20"/>
          <w:szCs w:val="20"/>
          <w:color w:val="auto"/>
        </w:rPr>
      </w:pPr>
      <w:r>
        <w:rPr>
          <w:rFonts w:ascii="Times New Roman" w:cs="Times New Roman" w:eastAsia="Times New Roman" w:hAnsi="Times New Roman"/>
          <w:sz w:val="18"/>
          <w:szCs w:val="18"/>
          <w:color w:val="auto"/>
        </w:rPr>
        <w:t>Conference ID: 67993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webcast of the conference call and associated presentation materials will also be available on Deal Roadshow: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 Roadshow Investor Login Details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URL</w:t>
      </w:r>
      <w:r>
        <w:rPr>
          <w:rFonts w:ascii="Times New Roman" w:cs="Times New Roman" w:eastAsia="Times New Roman" w:hAnsi="Times New Roman"/>
          <w:sz w:val="18"/>
          <w:szCs w:val="18"/>
          <w:color w:val="auto"/>
        </w:rPr>
        <w:t>: https://dealroadshow.com</w:t>
      </w:r>
    </w:p>
    <w:p>
      <w:pPr>
        <w:spacing w:after="0" w:line="231" w:lineRule="auto"/>
        <w:rPr>
          <w:sz w:val="20"/>
          <w:szCs w:val="20"/>
          <w:color w:val="auto"/>
        </w:rPr>
      </w:pPr>
      <w:r>
        <w:rPr>
          <w:rFonts w:ascii="Times New Roman" w:cs="Times New Roman" w:eastAsia="Times New Roman" w:hAnsi="Times New Roman"/>
          <w:sz w:val="18"/>
          <w:szCs w:val="18"/>
          <w:b w:val="1"/>
          <w:bCs w:val="1"/>
          <w:color w:val="auto"/>
        </w:rPr>
        <w:t>Entry Code (</w:t>
      </w:r>
      <w:r>
        <w:rPr>
          <w:rFonts w:ascii="Times New Roman" w:cs="Times New Roman" w:eastAsia="Times New Roman" w:hAnsi="Times New Roman"/>
          <w:sz w:val="18"/>
          <w:szCs w:val="18"/>
          <w:color w:val="auto"/>
        </w:rPr>
        <w:t>Mon, Feb 8, 8:00AM - 9:00AM 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NAUT2021</w:t>
      </w:r>
    </w:p>
    <w:p>
      <w:pPr>
        <w:spacing w:after="0"/>
        <w:rPr>
          <w:sz w:val="20"/>
          <w:szCs w:val="20"/>
          <w:color w:val="auto"/>
        </w:rPr>
      </w:pPr>
      <w:r>
        <w:rPr>
          <w:rFonts w:ascii="Times New Roman" w:cs="Times New Roman" w:eastAsia="Times New Roman" w:hAnsi="Times New Roman"/>
          <w:sz w:val="18"/>
          <w:szCs w:val="18"/>
          <w:b w:val="1"/>
          <w:bCs w:val="1"/>
          <w:color w:val="auto"/>
        </w:rPr>
        <w:t>Direct Link</w:t>
      </w:r>
      <w:r>
        <w:rPr>
          <w:rFonts w:ascii="Times New Roman" w:cs="Times New Roman" w:eastAsia="Times New Roman" w:hAnsi="Times New Roman"/>
          <w:sz w:val="18"/>
          <w:szCs w:val="18"/>
          <w:color w:val="auto"/>
        </w:rPr>
        <w:t>: https://dealroadshow.com/e/NAUT2021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7157085" cy="30429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085" cy="304292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Arya III</w:t>
      </w:r>
    </w:p>
    <w:p>
      <w:pPr>
        <w:spacing w:after="0" w:line="15"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highlight w:val="white"/>
        </w:rPr>
        <w:t>Arya III is a blank check company newly incorporated as a Cayman Islands exempted company for the purpose of effecting a merger, share exchange, asset acquisition, share purchase, reorganization or similar business combination with one or more businesses or entities. Arya III is led by Chairman Joseph Edelman, Chief Executive Officer Adam Stone, Chief Financial Officer Michael Altman and Chief Business Officer Konstantin Poukalov.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w:t>
      </w:r>
    </w:p>
    <w:p>
      <w:pPr>
        <w:spacing w:after="0" w:line="15"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Nautilus is a biotechnology company who is developing a proteomics platform that aims to deliver superior sensitivity more quickly, more completely, and less expensively than is currently possible. Nautilus Biotechnology aims to enable a dramatic acceleration of basic science research, significantly improve the success rate of therapeutic development, and enhance opportunities for personalized and predictive medicine. Nautilus’ corporate headquarters is in Seattle, Washington and scientific research and development is being conducted from its San Carlos, California office and labs.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1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 xml:space="preserve">A full description of the terms of the transaction will be provided in a registration statement on Form S-4 to be filed with the SEC by Arya III that will include a prospectus with respect to the Combined Company’s securities to be issued in connection with the business combination and a proxy statement with respect to the shareholder meeting of Arya III to vote on the business combination. </w:t>
      </w:r>
      <w:r>
        <w:rPr>
          <w:rFonts w:ascii="Times New Roman" w:cs="Times New Roman" w:eastAsia="Times New Roman" w:hAnsi="Times New Roman"/>
          <w:sz w:val="18"/>
          <w:szCs w:val="18"/>
          <w:b w:val="1"/>
          <w:bCs w:val="1"/>
          <w:color w:val="auto"/>
        </w:rPr>
        <w:t>Arya III and Nautilus urge their investors, shareholders and other interested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persons to read, when available, the preliminary proxy statement/ prospectus as well as other documents filed with the SEC because these documents will contain important information about Arya III, Nautilus Biotechnology and the transaction. </w:t>
      </w:r>
      <w:r>
        <w:rPr>
          <w:rFonts w:ascii="Times New Roman" w:cs="Times New Roman" w:eastAsia="Times New Roman" w:hAnsi="Times New Roman"/>
          <w:sz w:val="18"/>
          <w:szCs w:val="18"/>
          <w:color w:val="auto"/>
        </w:rPr>
        <w:t>After the registration statement is declared effective,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definitive proxy statement/prospectus to be included in the registration statement will be mailed to shareholders of Arya III as of a record date to be established for voting on the proposed business combination. Once available, shareholders of Arya III will also be able to obtain a copy of the S-4, including the proxy statement/prospectus, and other documents filed with the SEC without charge, by directing a request to: ARYA Sciences Acquisition Corp III, 51 Astor Place, 10th Floor, New York, New York 10003, Attn: Secretary. The preliminary and definitive proxy statement/prospectus to be included in the registration statement, once available, can also be obtained, without charge, at the SEC’s website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217805</wp:posOffset>
            </wp:positionV>
            <wp:extent cx="7157085" cy="139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7157085" cy="20281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085" cy="2028190"/>
                    </a:xfrm>
                    <a:prstGeom prst="rect">
                      <a:avLst/>
                    </a:prstGeom>
                    <a:noFill/>
                  </pic:spPr>
                </pic:pic>
              </a:graphicData>
            </a:graphic>
          </wp:anchor>
        </w:drawing>
      </w:r>
    </w:p>
    <w:p>
      <w:pPr>
        <w:spacing w:after="0" w:line="248" w:lineRule="auto"/>
        <w:rPr>
          <w:sz w:val="20"/>
          <w:szCs w:val="20"/>
          <w:color w:val="auto"/>
        </w:rPr>
      </w:pPr>
      <w:r>
        <w:rPr>
          <w:rFonts w:ascii="Times New Roman" w:cs="Times New Roman" w:eastAsia="Times New Roman" w:hAnsi="Times New Roman"/>
          <w:sz w:val="17"/>
          <w:szCs w:val="17"/>
          <w:color w:val="auto"/>
        </w:rPr>
        <w:t>Arya III and Nautilus Biotechnology and their respective directors and executive officers may be considered participants in the solicitation of proxies with respect to the potential transaction described in this press release under the rules of the SEC. Information about the directors and executive officers of Arya III is set forth in Arya III’s final prospectus filed with the SEC pursuant to Rule 424(b) of the Securities Act of 1933, as amended (the “Securities Act”) on August 10, 2020 and is available free of charge at the SEC’s website at www.sec.gov or by directing a request to: ARYA Sciences Acquisition Corp III, 51 Astor Place, 10th Floor, New York, New York 10003, Attn: Secretary. Information regarding the persons who may, under the rules of the SEC, be deemed participants in the solicitation of the Arya III shareholders in connection with the potential transaction will be set forth in the registration statement containing the preliminary proxy statement/prospectus when it is filed with the SEC. These documents can be obtained free of charge from the sources indicated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Non-Solicitation</w:t>
      </w:r>
    </w:p>
    <w:p>
      <w:pPr>
        <w:spacing w:after="0" w:line="1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Arya III, the Combined Company or Nautilus Biotechnology,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7157085" cy="139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14" w:right="3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7157085" cy="38036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085" cy="3803650"/>
                    </a:xfrm>
                    <a:prstGeom prst="rect">
                      <a:avLst/>
                    </a:prstGeom>
                    <a:noFill/>
                  </pic:spPr>
                </pic:pic>
              </a:graphicData>
            </a:graphic>
          </wp:anchor>
        </w:drawing>
      </w:r>
    </w:p>
    <w:p>
      <w:pPr>
        <w:spacing w:after="0" w:line="245" w:lineRule="auto"/>
        <w:rPr>
          <w:sz w:val="20"/>
          <w:szCs w:val="20"/>
          <w:color w:val="auto"/>
        </w:rPr>
      </w:pPr>
      <w:r>
        <w:rPr>
          <w:rFonts w:ascii="Times New Roman" w:cs="Times New Roman" w:eastAsia="Times New Roman" w:hAnsi="Times New Roman"/>
          <w:sz w:val="17"/>
          <w:szCs w:val="17"/>
          <w:i w:val="1"/>
          <w:iCs w:val="1"/>
          <w:color w:val="auto"/>
          <w:highlight w:val="white"/>
        </w:rPr>
        <w:t>This press release contains forward-looking statements within the meaning of Section 27A of the Securities Act and Section 21E of the Securities Exchange Act of 1934, as amended,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press release, we caution you that these statements are based on a combination of facts and factors currently known by us and our projections of the future, about which we cannot be certain. Forward-looking statements in this press release include, but are not limited to, statements regarding the proposed business combination, including the timing and structure of the transaction, the proceeds of the transaction, the initial market capitalization of the Combined Company, the benefits of the transaction and the Combined Company’s future financial performance, as well as statements about the potential attributes and benefits of Nautilus Biotechnology’s proteomics platform, the potential market opportunity, and the development and performance of Nautilus Biotechnology’s platform. We cannot assure you that the forward-looking statements in this press release will prove to be accurate. These forward looking statements are subject to a number of risks and uncertainties, including, among others, the ability to complete the business combination due to the failure to obtain approval from Arya III’s shareholders or satisfy other closing conditions in the business combination agreement, the occurrence of any event or other circumstances that could give rise to the termination of the business combination agreement, the outcome of any legal proceedings that may be instituted against Nautilus Biotechnology or Arya III following announcement of the transactions, the risk that the proposed business combination disrupts Nautilus Biotechnology’s or Arya III’s current plans and operations as a result of the announcement of the transactions, the ability to recognize the anticipated benefits of the business combination, costs related to the business combination, the amount of redemption requests made by Arya III’s stockholders, changes in applicable laws or regulations, the possibility that the expected timeframe for, and other expectations regarding the development and performance of, Nautilus Biotechnology’s proteomic platform will differ from current assumptions, and other risks and uncertainties, including those to be included under the header “Risk Factors” in the registration statement on Form S-4 to be filed by Arya III with the SEC and those included under the header “Risk Factors” in the final prospectus of Arya III related to its initial public offering.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press release represent our views as of the date of this press release. We anticipate that subsequent events and developments will cause our views to change. Except as otherwise required by applicable law, Nautilus Biotechnology and Arya</w:t>
      </w:r>
    </w:p>
    <w:p>
      <w:pPr>
        <w:spacing w:after="0" w:line="3" w:lineRule="exact"/>
        <w:rPr>
          <w:sz w:val="20"/>
          <w:szCs w:val="20"/>
          <w:color w:val="auto"/>
        </w:rPr>
      </w:pPr>
    </w:p>
    <w:p>
      <w:pPr>
        <w:ind w:right="80" w:firstLine="9"/>
        <w:spacing w:after="0" w:line="238" w:lineRule="auto"/>
        <w:tabs>
          <w:tab w:leader="none" w:pos="222" w:val="left"/>
        </w:tabs>
        <w:numPr>
          <w:ilvl w:val="0"/>
          <w:numId w:val="317"/>
        </w:numPr>
        <w:rPr>
          <w:rFonts w:ascii="Times New Roman" w:cs="Times New Roman" w:eastAsia="Times New Roman" w:hAnsi="Times New Roman"/>
          <w:sz w:val="18"/>
          <w:szCs w:val="18"/>
          <w:i w:val="1"/>
          <w:iCs w:val="1"/>
          <w:color w:val="auto"/>
          <w:highlight w:val="white"/>
        </w:rPr>
      </w:pPr>
      <w:r>
        <w:rPr>
          <w:rFonts w:ascii="Times New Roman" w:cs="Times New Roman" w:eastAsia="Times New Roman" w:hAnsi="Times New Roman"/>
          <w:sz w:val="18"/>
          <w:szCs w:val="18"/>
          <w:i w:val="1"/>
          <w:iCs w:val="1"/>
          <w:color w:val="auto"/>
          <w:highlight w:val="white"/>
        </w:rPr>
        <w:t>disclaim any duty to update any forward-looking statements. You should, therefore, not rely on these forward-looking statements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7157085" cy="139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7157085" cy="19723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085" cy="197231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Arya III: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Altman</w:t>
      </w:r>
    </w:p>
    <w:p>
      <w:pPr>
        <w:spacing w:after="0"/>
        <w:rPr>
          <w:sz w:val="20"/>
          <w:szCs w:val="20"/>
          <w:color w:val="auto"/>
        </w:rPr>
      </w:pPr>
      <w:r>
        <w:rPr>
          <w:rFonts w:ascii="Times New Roman" w:cs="Times New Roman" w:eastAsia="Times New Roman" w:hAnsi="Times New Roman"/>
          <w:sz w:val="17"/>
          <w:szCs w:val="17"/>
          <w:color w:val="auto"/>
        </w:rPr>
        <w:t>Chief Financial Officer of ARYA Sciences Acquisition Corp III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Arya3@perceptivelife.com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Nautilus Biotechnology Investor: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Nautilus Biotechnology Media: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Blessington</w:t>
      </w:r>
    </w:p>
    <w:p>
      <w:pPr>
        <w:spacing w:after="0" w:line="231" w:lineRule="auto"/>
        <w:rPr>
          <w:sz w:val="20"/>
          <w:szCs w:val="20"/>
          <w:color w:val="auto"/>
        </w:rPr>
      </w:pPr>
      <w:r>
        <w:rPr>
          <w:rFonts w:ascii="Times New Roman" w:cs="Times New Roman" w:eastAsia="Times New Roman" w:hAnsi="Times New Roman"/>
          <w:sz w:val="18"/>
          <w:szCs w:val="18"/>
          <w:color w:val="auto"/>
        </w:rPr>
        <w:t>Vice President, Corporate Marketing and Communications</w:t>
      </w:r>
    </w:p>
    <w:p>
      <w:pPr>
        <w:spacing w:after="0"/>
        <w:rPr>
          <w:sz w:val="20"/>
          <w:szCs w:val="20"/>
          <w:color w:val="auto"/>
        </w:rPr>
      </w:pPr>
      <w:r>
        <w:rPr>
          <w:rFonts w:ascii="Times New Roman" w:cs="Times New Roman" w:eastAsia="Times New Roman" w:hAnsi="Times New Roman"/>
          <w:sz w:val="18"/>
          <w:szCs w:val="18"/>
          <w:color w:val="auto"/>
        </w:rPr>
        <w:t>chrisb@nautilus.bio</w:t>
      </w:r>
    </w:p>
    <w:p>
      <w:pPr>
        <w:sectPr>
          <w:pgSz w:w="11900" w:h="16838" w:orient="portrait"/>
          <w:cols w:equalWidth="0" w:num="1">
            <w:col w:w="10159"/>
          </w:cols>
          <w:pgMar w:left="300" w:top="114" w:right="1440" w:bottom="1440" w:gutter="0" w:footer="0" w:header="0"/>
        </w:sectPr>
      </w:pPr>
    </w:p>
    <w:bookmarkStart w:id="342" w:name="page343"/>
    <w:bookmarkEnd w:id="342"/>
    <w:p>
      <w:pPr>
        <w:ind w:left="92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18415</wp:posOffset>
            </wp:positionV>
            <wp:extent cx="7207885" cy="42970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0" w:num="1">
            <w:col w:w="10140"/>
          </w:cols>
          <w:pgMar w:left="1440" w:top="248" w:right="319" w:bottom="1440" w:gutter="0" w:footer="0" w:header="0"/>
        </w:sectPr>
      </w:pPr>
    </w:p>
    <w:bookmarkStart w:id="343" w:name="page344"/>
    <w:bookmarkEnd w:id="3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24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07885"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9" w:name="page370"/>
    <w:bookmarkEnd w:id="3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5" w:name="page376"/>
    <w:bookmarkEnd w:id="3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040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07885" cy="430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954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07885" cy="4395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Exhibit 99.3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 Presentation Transcript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 Blessington:</w:t>
      </w:r>
    </w:p>
    <w:p>
      <w:pPr>
        <w:spacing w:after="0" w:line="19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Thank you for joining our call today. In this call we’ll be discussing information contained in our press release issued today and available at www.nautilus.bio. Before we discuss what we believe is a very exciting announcement and a significant milestone for both Nautilus Biotechnology and Arya III, I will make some important disclaimers. Please note that today’s presentation is neither an offering of securities nor a solicitation of a proxy vote. The information discussed today is qualified in its entirety by the registration statement on Form S-4, containing a prospectus/proxy statement, that Arya III and Nautilus will file with the SEC in the future. The shareholders of Arya III are urged to read those filings carefully when they become available because they will contain important information about the proposed transaction. Additionally, during the presentation we will make certain forward-looking statements that reflect our current views related to our future financial performance, future events, and industry and market conditions, as well as forward-looking statements related to the business combination, including the timing, proceeds and benefits of the transaction, as well as statements about the potential attributes and benefits of Nautilus’ technology and timing of Nautilus’ milestones.</w:t>
      </w:r>
    </w:p>
    <w:p>
      <w:pPr>
        <w:spacing w:after="0" w:line="173"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color w:val="auto"/>
        </w:rPr>
        <w:t>These forward-looking statements are subject to risks and uncertainties that could cause actual results to differ materially from such forward-looking statements. We strongly encourage you to review the information that Arya III files with the SEC regarding specific risks and uncertainties - in particular, those that are described in the risk factors section of Arya III’s most recent filings.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I’ll turn the call over to Adam Stone.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Adam Stone:</w:t>
      </w:r>
    </w:p>
    <w:p>
      <w:pPr>
        <w:spacing w:after="0" w:line="19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Good morning everyone, and thanks for joining. When Arya III was formed, our objective was to identify a company with the potential to successfully address a significant, unmet need in biomedical science. In Nautilus, we are combining with a company we believe has the potential to transform the field of proteomics, unlocking access to the proteome and enabling fundamental advancements in biology, human health, and medicine. Over the course of our diligence, we've come to believe that the company’s innovative science, thoughtful commercialization strategy, and experienced leadership team make it an exceptional fit to meet our objectives.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pleased to be on this journey with you and your team, Sujal…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227965</wp:posOffset>
            </wp:positionV>
            <wp:extent cx="7157085" cy="139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6" w:right="31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color w:val="auto"/>
        </w:rPr>
        <w:t>Sujal Patel:</w:t>
      </w:r>
    </w:p>
    <w:p>
      <w:pPr>
        <w:spacing w:after="0" w:line="195"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8"/>
          <w:szCs w:val="18"/>
          <w:color w:val="auto"/>
        </w:rPr>
        <w:t>Thanks Adam, and hello everyone. I'm Sujal Patel, co-founder and CEO of Nautilus Biotechnology. We are really pleased to continue our work with the great team at Perceptive including Joe, Mike, Konstantin, and, of course, Adam. Our long-standing relationship with Perceptive, combined with a strong syndicate of other investors, make us confident that this transaction aligns well with our goals of unlocking what we believe to be a significant opportunity in biological science, and creating long-term shareholder value.</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And with that, I’m excited to introduce everyone to Nautilus Biotechnology. Here with me today are Parag Mallick, our co-founder and chief scientist, and the man behind the idea that has become Nautilus, and Anna Mowry, our company CFO. I'm going to start by telling you a little bit about the background of how Nautilus got started, as well as telling you a bit about my background.</w:t>
      </w:r>
    </w:p>
    <w:p>
      <w:pPr>
        <w:spacing w:after="0" w:line="16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 spent the first 20 years of my career purely in the tech world and I'm a tech entrepreneur who started a company in January 2001 called Isilon, and I led that company as CEO through commercialization and an initial public offering in 2006, and ultimately a sale to EMC in 2010 for $2.6B. I was at that company with Anna Mowry, who’s our Nautilus CFO, and together, the two of us built a commercial engine from pre-revenue all the way through $100M a quarter and a positive 20% operating margin before we sold it to EMC, and then both of us stayed onboard to grow it through a $1B run rate, and beyond in Anna’s case.</w:t>
      </w:r>
    </w:p>
    <w:p>
      <w:pPr>
        <w:spacing w:after="0" w:line="15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My previous company, Isilon, was focused on building data storage solutions for the new world – unstructured data, and 20 years ago, the world was in transition from text-based information to video, images, graphics, and machine generated data. That's where I met Parag, my co-founder here at Nautilus. 15 years ago, I met Parag while he was running clinical proteomics, the study of proteins, at Cedars Sinai Medical Center. Parag become a large customer of mine and I built a close relationship with Parag that parlayed itself into Parag calling me about 10 years ago and telling me about the lab he was building at Stanford, sitting at the intersection of computing and biochemistry. My wife and I were so excited about Parag’s work that we’ve been philanthropically supporting the Stanford lab for the last decade continuously, and that built a really close relationship with Parag and I, and in 2016, Parag called me up one day and he said, “I have to start a company because you know I've struggled with proteomics my whole career and I've come up with a new method”, and that's the method that we're going to tell you about here, and that's the method that Nautilus Biotechnology is commercializing.</w:t>
      </w:r>
    </w:p>
    <w:p>
      <w:pPr>
        <w:spacing w:after="0" w:line="169" w:lineRule="exact"/>
        <w:rPr>
          <w:sz w:val="20"/>
          <w:szCs w:val="20"/>
          <w:color w:val="auto"/>
        </w:rPr>
      </w:pPr>
    </w:p>
    <w:p>
      <w:pPr>
        <w:ind w:right="900"/>
        <w:spacing w:after="0" w:line="260" w:lineRule="auto"/>
        <w:rPr>
          <w:sz w:val="20"/>
          <w:szCs w:val="20"/>
          <w:color w:val="auto"/>
        </w:rPr>
      </w:pPr>
      <w:r>
        <w:rPr>
          <w:rFonts w:ascii="Times New Roman" w:cs="Times New Roman" w:eastAsia="Times New Roman" w:hAnsi="Times New Roman"/>
          <w:sz w:val="18"/>
          <w:szCs w:val="18"/>
          <w:color w:val="auto"/>
        </w:rPr>
        <w:t>Please note the company’s disclaimer referencing our forward-looking statements and the fact that this communication and this presentation is for informational purposes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201930</wp:posOffset>
            </wp:positionV>
            <wp:extent cx="7157085" cy="139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4" w:right="339" w:bottom="1440" w:gutter="0" w:footer="0" w:header="0"/>
        </w:sectPr>
      </w:pPr>
    </w:p>
    <w:bookmarkStart w:id="389" w:name="page390"/>
    <w:bookmarkEnd w:id="389"/>
    <w:p>
      <w:pPr>
        <w:ind w:right="180"/>
        <w:spacing w:after="0"/>
        <w:rPr>
          <w:sz w:val="20"/>
          <w:szCs w:val="20"/>
          <w:color w:val="auto"/>
        </w:rPr>
      </w:pPr>
      <w:r>
        <w:rPr>
          <w:rFonts w:ascii="Times New Roman" w:cs="Times New Roman" w:eastAsia="Times New Roman" w:hAnsi="Times New Roman"/>
          <w:sz w:val="18"/>
          <w:szCs w:val="18"/>
          <w:color w:val="auto"/>
        </w:rPr>
        <w:t>We believe that our company has the potential to revolutionize biomedicine. The proteome, the make-up of all the proteins in the human, is among the most dynamic and valuable sources of biological insight. Unlike the genome, which is pretty much static from the day you were born to the day you die, the proteome is dynamic; it's different in a cardiac cell than it is in a liver cell. The proteome is different in healthy cells and sick cells, and this has big implications across healthcare.</w:t>
      </w:r>
    </w:p>
    <w:p>
      <w:pPr>
        <w:spacing w:after="0" w:line="16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90% of our FDA-approved drugs target a protein. Most of our molecular diagnostics target proteins and in order to develop these drugs and diagnostics, over $25B a year is spent on technology that profiles proteins. And even with that level of investment, our ability to measure proteins today is awful. The coverage, meaning the number of proteins that you can detect in a given sample like blood, is very low. Ease of use is not where it should be, and certain platforms have challenging performance, dynamic range and high cost. A recent article highlighted that therapeutic development over the last decade has been in a steep productivity decline. Today, of the drugs that reach the milestone of FDA approval, only two in 10 will ever return the R&amp;D dollars that went into creating them, and that's because at this point, biopharma has picked off many of the easy drugs that are available to treat common ailments, and what's left is a difficult task that proteomics can help us with. We believe that humanity needs, and frankly deserves, a dramatic acceleration in drug development, and we think a scientific leap is needed to usher in this new world of precision and personalized medicine. To deliver, we believe we need to radically reinvent proteomics, and we believe that this is one of the last, untapped opportunities in biological science today.</w:t>
      </w:r>
    </w:p>
    <w:p>
      <w:pPr>
        <w:spacing w:after="0" w:line="17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Nautilus’ vision is to build a complete end-to-end platform comprised of instrumentation, reagents and software which takes a sample in and returns unique biological data and insight out. To accomplish this, we've designed a single molecule analysis platform of extreme sensitivity, scale and ease of use. Leveraging the unique architecture, advanced machine learning and algorithms, we believe our platform has the potential to identify substantially all proteins in a sample from almost any organism, of course human being the most important. In short, this is not an incremental or evolutionary instrument, but a complete reimagining, and we believe that this unlocks the $25B market opportunity in proteomics, as well as allows us to expand long term into many adjacent markets. Only a few months out of our stealth mode, in 2020, we quickly captured the attention of many of our future large biopharma customers, and at the end of 2020 we signed our first formal partnership with Genentech in a high impact technology application area. Lastly, we're a founder-led organization with a highly experienced leadership team that we're going to tell you about, but the most important thing is that our leadership team possesses a unique hybrid of tech and biotech experience which we believe is an important source of unique, long-term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215900</wp:posOffset>
            </wp:positionV>
            <wp:extent cx="7157085" cy="139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90" w:name="page391"/>
    <w:bookmarkEnd w:id="390"/>
    <w:p>
      <w:pPr>
        <w:ind w:right="80"/>
        <w:spacing w:after="0" w:line="235" w:lineRule="auto"/>
        <w:rPr>
          <w:sz w:val="20"/>
          <w:szCs w:val="20"/>
          <w:color w:val="auto"/>
        </w:rPr>
      </w:pPr>
      <w:r>
        <w:rPr>
          <w:rFonts w:ascii="Times New Roman" w:cs="Times New Roman" w:eastAsia="Times New Roman" w:hAnsi="Times New Roman"/>
          <w:sz w:val="18"/>
          <w:szCs w:val="18"/>
          <w:color w:val="auto"/>
        </w:rPr>
        <w:t>When Parag brought the idea behind Nautilus to me in 2016, I first looked at it through the eyes of an investor. At the time, I was investing in private companies, having made about 80 investments, and I asked myself some questions: Why is this idea unique? Why did Parag come up with this idea and not someone else? Why is it timely? I think the answers to these questions are really quite interesting. The core idea behind Nautilus is completely counterintuitive and it requires thinking at the intersection of 3 distinct disciplines that don't often come together: the life sciences, the computer and data sciences, and the physical sciences and engineering. Having sat at the intersection of these disciplines for Parag’s whole career and having academic degrees in both biochemistry and computer science, Parag was uniquely suited to be able to discover our core innovation. It is also timely; the compute power and bandwidth required in the cloud to run our core algorithm really wasn't feasible 5 to 7 years ago. Also, we rely on the maturity in the machine learning world to power our adaptive, decoding algorithm. Nautilus is pursuing the deep, hard science with an entrepreneurial mindset to go and bring this innovation to the world.</w:t>
      </w:r>
    </w:p>
    <w:p>
      <w:pPr>
        <w:spacing w:after="0" w:line="17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Over the last few years, in addition to building a strong management team, we’ve assembled a team of individuals with unique experience across many different disciplines, protein biochemists working with nanofabrication engineers, working side by side software and machine learning engineers and single molecule biophysicists and optical engineers, all working together to bring this innovation to the world. I’m going to introduce Parag Mallick now and let him walk through a little bit about the current proteomics landscape and our design criteria for this product and how it works. Parag.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 Mallick</w:t>
      </w:r>
    </w:p>
    <w:p>
      <w:pPr>
        <w:spacing w:after="0" w:line="19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Well, Sujal already gave you a bit of my background but I'll just briefly introduce myself. I'm Parag Mallick, Nautilus’ scientific co-founder. My training has been at the intersection of computer science, biochemistry and engineering, always with a focus on human health. And my faculty positions, first in Los Angeles and then at Stanford, my lab has been really active in proteomics, in nanotechnology and next generation AI through a variety of NIH and DARPA initiatives and in general what we've tried to do is use a variety of both computational and experimental approaches to bring together diverse measurement modalities with the best analytical tools to accelerate biomarker discovery and precision medicine.</w:t>
      </w:r>
    </w:p>
    <w:p>
      <w:pPr>
        <w:spacing w:after="0" w:line="16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7"/>
          <w:szCs w:val="17"/>
          <w:color w:val="auto"/>
        </w:rPr>
        <w:t>Nautilus grew out of my personal experiences and frustrations in large scale multiomics and systems medicine. In the studies, it was clear how simple and straight forward the genomics pieces have become, and just how infuriating and difficult the proteomics pieces were. I don't want you to stare too closely at the slide; it gets overwhelming pretty quickly, but what is outlined here are the pieces of the canonical mass spectrometry-based proteomics workflow. Broadly speaking, starting with sample collection and extraction and fractionation, moving through digestion, where we take all the proteins and chop them up into fragments and then a series of further sample preparation steps before ultimately putting them into a mass spectrometer and doing data analysis.</w:t>
      </w:r>
    </w:p>
    <w:p>
      <w:pPr>
        <w:spacing w:after="0" w:line="15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Over the past 30 years, there's been a tremendous amount of effort required to analyze a sample, and myself and others have explored a variety of approaches to improve individual pieces of this workflow. But after turning the problem over and over again, I just couldn't ever get to a solution that would bring proteomics into parity with genomics.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391" w:name="page392"/>
    <w:bookmarkEnd w:id="391"/>
    <w:p>
      <w:pPr>
        <w:ind w:right="20"/>
        <w:spacing w:after="0" w:line="235" w:lineRule="auto"/>
        <w:rPr>
          <w:sz w:val="20"/>
          <w:szCs w:val="20"/>
          <w:color w:val="auto"/>
        </w:rPr>
      </w:pPr>
      <w:r>
        <w:rPr>
          <w:rFonts w:ascii="Times New Roman" w:cs="Times New Roman" w:eastAsia="Times New Roman" w:hAnsi="Times New Roman"/>
          <w:sz w:val="18"/>
          <w:szCs w:val="18"/>
          <w:color w:val="auto"/>
        </w:rPr>
        <w:t>If we go to the next slide, slide 7. Despite all the effort that has occurred over the past decades, when you pile up those optimizations and ask: what can this mass spec proteomics workflow observe? It's limited. In the plot here, using mass spec, the average lab can only identify about 8% of the proteins present in a blood sample, shown here in red. From a cell or from a tissue sample, it's a bit better at around 30%, but just because you can identify a protein doesn't mean you can quantify it very well. And still, most of that blue proteome ocean isn't accessible. We don't believe anyone has ever measured the entire proteome, and that's only part of the story. There's this whole other dimension of data known as proteoforms that are essentially invisible to existing shotgun proteomics approaches. Proteoforms are alternative versions of the same protein that have different decorations on them that are critical to how the protein functions, defining their activation, how they move throughout the cell, and more. I’m personally really excited by the fact that there is so much of the dark proteome and these millions of invisible proteoforms available, as tapping into them could have tremendous potential as novel drug targets or biomarkers to really help catalyze the future of personalized medicine.</w:t>
      </w:r>
    </w:p>
    <w:p>
      <w:pPr>
        <w:spacing w:after="0" w:line="17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After years of trying to incrementally fix the mass spec proteomics workflow, it became clear that we had to do something radically different. Turning the problem in my head over and over again, I started with a blank sheet of paper, wrote down what scientists and researchers like me want, and then tried to design something from the ground up to achieve those goals. There were a very clear set of design criteria. Number one was we wanted the whole proteome, we wanted to be able to measure everything, not just 8% of it. It had to be easy to use so that virtually any lab can benefit from using it. Anyone who wants a proteome, gets a proteome, rather than restricting it to a small collection of power user, analytical chemists. Of course, the platform has to be ultra-sensitive. Unlike NGS technologies, where you can leverage natural processes to amplify DNA and RNA, you can't amplify proteins. You have one molecule in a sample? You need to be able to measure one molecule in a sample. If you want to measure the complete proteome of a single cell? You need a method that has the sensitivity to pull that off. Of course, the process has to be reproducible and robust. To have any value, the results you get today must be the same as the results you get tomorrow. It also has to be complete. One of the largest challenges we have with mass spec is that when you run the same sample twice, you might observe different proteins in one run versus another. Critically, it has to be fast. You want to be able to churn through tens of thousands of samples. And importantly, it has to be integrated. You want to go from sample to insight. You want the biologist to be able to put a sample in and get an answer out.</w:t>
      </w:r>
    </w:p>
    <w:p>
      <w:pPr>
        <w:spacing w:after="0" w:line="165" w:lineRule="exact"/>
        <w:rPr>
          <w:sz w:val="20"/>
          <w:szCs w:val="20"/>
          <w:color w:val="auto"/>
        </w:rPr>
      </w:pPr>
    </w:p>
    <w:p>
      <w:pPr>
        <w:jc w:val="both"/>
        <w:ind w:right="500"/>
        <w:spacing w:after="0" w:line="290" w:lineRule="auto"/>
        <w:rPr>
          <w:sz w:val="20"/>
          <w:szCs w:val="20"/>
          <w:color w:val="auto"/>
        </w:rPr>
      </w:pPr>
      <w:r>
        <w:rPr>
          <w:rFonts w:ascii="Times New Roman" w:cs="Times New Roman" w:eastAsia="Times New Roman" w:hAnsi="Times New Roman"/>
          <w:sz w:val="17"/>
          <w:szCs w:val="17"/>
          <w:color w:val="auto"/>
        </w:rPr>
        <w:t>With these objectives as the design criteria, we set out to create a transformational platform which we show here on slide 9. The platform itself has key technical innovations across sample preparation, instrumentation, and machine learning, designed to achieve the system specifications I outlined above.</w:t>
      </w:r>
    </w:p>
    <w:p>
      <w:pPr>
        <w:spacing w:after="0" w:line="12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first innovation was the recognition that we would need a single molecule protein array. This is really hard and upside down of how people typically think of the problem where they immobilized antibodies or aptamers in bulk and tried to capture proteins in solution. In this instance we're going to flip things upside down and put the single protein molecules on a hyperdense array. This allows you to go beyond bulk measurements of proteins, which is how everything is done today and is necessary to achieve the sensitivity and scale we want. Remember, we can't copy proteins like we can DNA and RNA. There's only one molecule: that's what we have to work with. That array has to be hyperdense so we can be really efficient with our measurement and not waste measurement time measuring empty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7157085" cy="139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2" w:name="page393"/>
    <w:bookmarkEnd w:id="392"/>
    <w:p>
      <w:pPr>
        <w:spacing w:after="0" w:line="245" w:lineRule="auto"/>
        <w:rPr>
          <w:sz w:val="20"/>
          <w:szCs w:val="20"/>
          <w:color w:val="auto"/>
        </w:rPr>
      </w:pPr>
      <w:r>
        <w:rPr>
          <w:rFonts w:ascii="Times New Roman" w:cs="Times New Roman" w:eastAsia="Times New Roman" w:hAnsi="Times New Roman"/>
          <w:sz w:val="18"/>
          <w:szCs w:val="18"/>
          <w:color w:val="auto"/>
        </w:rPr>
        <w:t>And that leads to our second major breakthrough, which was the instrument itself. This innovation was in the creation of a stable ultrafast, ultrasensitive, multi-cycle imaging process, which we can use to repetitively probe each individual protein molecule on our array over and over and over again with different binding reagents. Each cycle allows us to get more and more information about each individual molecule.</w:t>
      </w:r>
    </w:p>
    <w:p>
      <w:pPr>
        <w:spacing w:after="0" w:line="16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And the third significant innovation is the integration of a sophisticated machine learning framework within the measurement. Most platforms, if they do use ML, they tack it on at the end when they're comparing their cases in their controls or their responders and their non-responders. We recognized that by bringing ML up in the process, into the measurement itself, it fundamentally changes the landscape of what's possible and potentially unlocks your ability to measure substantially the entire proteome. In the next few slides, I'm going to walk through the pieces of the process in more detail. The IP is quite complex but remember that the ultimate product our customers will see will be a fully integrated sample-in, answer-out approach.</w:t>
      </w:r>
    </w:p>
    <w:p>
      <w:pPr>
        <w:spacing w:after="0" w:line="16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Moving to Slide 10, our sample prep process was designed to support the generation of a single molecule protein array. In prior work, people had attempted to build such things by fabricating substrates with really small landing pads, so that only 1 protein could dock at a given coordinate because the 2 proteins wouldn't be able to fit. But that approach isn't cost effective or robust at scale, so the team came up with a really clever approach. Instead of making the landing pad small, what we're going to do is we're going to make the proteins big. This allows us to fabricate a chip with much larger landing pads, which is easier to make, cheaper and more robust. We make the proteins big by conjugating them to a very special scaffold that we've designed to have exactly 1 protein attachment site. That scaffold is about 300 nanometers in dimension and holds exactly 1 protein. Accordingly, the chip is fabricated with landing pads that are 300 nanometers and hold exactly 1 scaffold. You put together both of those and you have a self-assembling, high density, single molecule array. You can see from the experimental results on the right, after years of development and optimization, we've achieved a method for conjugation that's both rapid and high efficiency. This is critical for giving biologists easy, quick and robust sample handling; a huge contrast to existing approaches.</w:t>
      </w:r>
    </w:p>
    <w:p>
      <w:pPr>
        <w:spacing w:after="0" w:line="17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nano fabricated biochip that we have designed has a few very important features to it. The first is that it is massive; each chip is about the size of an index card and holds 10 billion protein molecules. What you're looking at here on the left is a tiny, tiny, tiny portion of our array. Our actual array has about 10,000 of these squares on it. If you zoom in far enough you can see the individual landing pads holding single protein molecules. You might ask why measuring 10 billion individual molecules is so important, and the answer comes back to our design criteria of sensitivity. In talking to our pharma partners, their high content screening is done in microtitre plates, where it's common to have somewhere between 100 and 1,000 cells per well. And they want to be able to capture down to 1 molecule in those 1,000 cells. In order to measure that, with that sensitivity and dynamic range, you need to measure about 10 billion intact protein molecules. A similar dynamic range problem exists with blood profiling. The experimental results of a titration experiment demonstrate sensitivity is approaching the atomolar range, an amazing dynamic range, allowing us to really ask the critical biological questions we want.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213360</wp:posOffset>
            </wp:positionV>
            <wp:extent cx="7157085" cy="139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93" w:name="page394"/>
    <w:bookmarkEnd w:id="393"/>
    <w:p>
      <w:pPr>
        <w:ind w:right="100"/>
        <w:spacing w:after="0" w:line="234" w:lineRule="auto"/>
        <w:rPr>
          <w:sz w:val="20"/>
          <w:szCs w:val="20"/>
          <w:color w:val="auto"/>
        </w:rPr>
      </w:pPr>
      <w:r>
        <w:rPr>
          <w:rFonts w:ascii="Times New Roman" w:cs="Times New Roman" w:eastAsia="Times New Roman" w:hAnsi="Times New Roman"/>
          <w:sz w:val="18"/>
          <w:szCs w:val="18"/>
          <w:color w:val="auto"/>
        </w:rPr>
        <w:t>Moving to the next slide, slide 12. Once we have the proteins down on the array, we load the flow cells into the measurement instrument to characterize each individual molecule. Typically, one might attempt to identify each protein using highly targeted and specific antibodies, but that would be slow and depends on having great affinity reagents for every protein in the proteome, which is likely interactable. So, we do something different. People often complain that their antibodies aren't specific enough; they cross-react. We're going to take advantage of that concept and take it to extremes, intentionally generating a special class of proprietary probes that are highly, highly cross-reactive. Such probes that recognize very short peptide epitopes, we call these multi-affinity probes. To your typical analytical chemist, this kind of reagent might be considered crazy talk, but it's a key part of our approach. We introduce each probe into the flow cell, rinse out the unbound fraction, image, and then wipe them all away and do this again, over, and over, and over again. Each of these probes, binds to a multiplicity of proteins. While each probe on its own is not specific to any particular protein, each probing gives us a little nugget of information. The counterintuitive, but important observation is that with the right machine learning framework, we believe it's possible to take all those tiny little nuggets of information and decode substantially the entire proteome. The instrument itself is designed to be fast, allowing us to perform hundreds of cycles within about a day. In addition, we intend to offer 6-sample multiplexing initially, with more multiplexing coming in the future to further enable high throughput application. This is also very important because multiplexing is a great way to drive the cost per sample down, while maintaining a dynamic range that is far greater than other approaches.</w:t>
      </w:r>
    </w:p>
    <w:p>
      <w:pPr>
        <w:spacing w:after="0" w:line="1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Once we’ve iteratively imaged the flow cells, we take that gargantuan amount of protein characterization digital information, about 20TB, and process it down to a simple binary binding matrix that simply says that a given probe bound or didn't bind to each coordinate. So, for example, here we look at coordinate to 2, 1, this would say that we had no binding from probe 1, but we did have binding from probes 2 and 3 and maybe ultimately 83 and 95 and on and on. We take this data and push it up into the cloud for decoding. This cloud ecosystem also allows us to provide a great experience for customers, allowing us to get to that sample-in, insight-out paradigm that is so critical.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57085" cy="139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4" w:name="page395"/>
    <w:bookmarkEnd w:id="394"/>
    <w:p>
      <w:pPr>
        <w:spacing w:after="0" w:line="234" w:lineRule="auto"/>
        <w:rPr>
          <w:sz w:val="20"/>
          <w:szCs w:val="20"/>
          <w:color w:val="auto"/>
        </w:rPr>
      </w:pPr>
      <w:r>
        <w:rPr>
          <w:rFonts w:ascii="Times New Roman" w:cs="Times New Roman" w:eastAsia="Times New Roman" w:hAnsi="Times New Roman"/>
          <w:sz w:val="18"/>
          <w:szCs w:val="18"/>
          <w:color w:val="auto"/>
        </w:rPr>
        <w:t>In the cloud, the machine learning now takes in all of that information and converts it to protein identities, asking the question, ‘given this pattern of finding, what protein is compatible’? For instance, if we look at coordinate 2, 1 again, we might take that pattern of 2, 3, 85, 92 and then say okay, given this set of probe landings, which protein could this be? Now, it's important to recognize that while it's tempting to say that there's a signature so that every time I see cMET, I'm going to see probes 2, 3, 85 and 92 landing, but that's simply not the case. There's so much stochasticity in the system, as a single molecule platform, that we really need to ask the question, is this pattern of probe bindings compatible? And that's part of the machine learning architecture that we've built over the past 4 years, asking those kinds of questions in a sophisticated manner. Once we've identified virtually every protein on the array at their individual coordinates, we accomplish our quantitation by simply counting. As a single molecule platform, it is designed to be definitionally among the most sensitive you can get. It is also designed to be definitionally among the most accurate you can get. It also provides an absolute quantitation read out. A critical and important aspect of the platform is that the machine learning is on the inside and then it learns from every experiment. So, there may be a spot that in some experiment today, the machine learning says, “well, I'm not really totally sure what this is. I've only got about 80% confidence.” But after many, many, more years of experiments and getting smarter and learning the details of how these probes bind, we might be able to go back and say, “You know what? Actually, we figured it out, we now know that this protein is BRAF.” That stickiness, that iterative learning, the fact that the platform gets smarter over time is a really important attribute of our platform.</w:t>
      </w:r>
    </w:p>
    <w:p>
      <w:pPr>
        <w:spacing w:after="0" w:line="17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What we've been designing over the past 4 years is a technology that could do both the discovery science and the clinical science required to take that discovery into health care practice. And to really understand how stable this process was to make sure it was highly robust, we had to test the durability of proteins on our array and our ability to detect them over time. And as you can see on the left, over many, many, many cycles, the protein loss is very, is incredibly minimal: less than 1%. And on the right, the proteins after probing, and re-probing, and re-probing, they continue to be re-probable over, and over, and over again.</w:t>
      </w:r>
    </w:p>
    <w:p>
      <w:pPr>
        <w:spacing w:after="0" w:line="16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On this slide we're going to go under the hood of the machine learning to understand: How does it figure out what protein is on a particular landing pad? And what you can see on the graph on the left, is that over time as a particular landing pad is getting more and more touches, from more and more landings from probes, initially the algorithm can't quite figure out which protein it is. But after about 12 or 15 touches, it starts to lock in on the right answer this GRK6 protein. And from that point onward it just gets increasingly confident, as all those little pieces of nuggets of information start to build up. To the point that GRK6 is the only possible answer, it's incredibly confident and every other protein is exceedingly improbable.</w:t>
      </w:r>
    </w:p>
    <w:p>
      <w:pPr>
        <w:spacing w:after="0" w:line="16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One key question you might ask is, how many cycles and probes are required to decode the whole human proteome? Based on our internal test the answer is surprisingly low. In about 200 to 300 cycles, you're able to decode the vast majority of the proteome. We believe this method and our analysis approach represent a quantum leap forward in studying the proteome. It's just so exciting.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395" w:name="page396"/>
    <w:bookmarkEnd w:id="395"/>
    <w:p>
      <w:pPr>
        <w:ind w:right="140"/>
        <w:spacing w:after="0" w:line="237" w:lineRule="auto"/>
        <w:rPr>
          <w:sz w:val="20"/>
          <w:szCs w:val="20"/>
          <w:color w:val="auto"/>
        </w:rPr>
      </w:pPr>
      <w:r>
        <w:rPr>
          <w:rFonts w:ascii="Times New Roman" w:cs="Times New Roman" w:eastAsia="Times New Roman" w:hAnsi="Times New Roman"/>
          <w:sz w:val="18"/>
          <w:szCs w:val="18"/>
          <w:color w:val="auto"/>
        </w:rPr>
        <w:t>Beyond broad scale profiling, our platform also unlocks a tremendously exciting opportunity to measure proteoforms. For those who aren't familiar, each protein exists in potentially hundreds or thousands of different forms with different patterns of modifications on them. So, you can see some of these modifications in the center panel here; methylation, acetylation, phosphorylation. These modifications govern the protein's function, its activity, its location and are compounded. So, on the right, you can see multiple forms of the same protein that are decorated in different ways. It's believed that there are potentially millions of different proteoforms in the world. And the pattern of these modifications is biologically critical in defining drug function, in defining potential biomarkers and more.</w:t>
      </w:r>
    </w:p>
    <w:p>
      <w:pPr>
        <w:spacing w:after="0" w:line="17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Historically, peptide-centric proteomics methods are unable to differentiate mixtures of proteoforms. What we can see on the left, is we have a mixture where we have one protein that has three modifications on it at different locations. And then two molecules that are unmodified at all. On the right, we have three different molecules each of which is modified in a different location. These are clearly distinct from a biological function perspective, their molecular heterogeneity is very distinct and yet, to existing peptide-centric platforms, one could not differentiate these 2 samples at all. They look identical, because you take the proteins, you break them up into little pieces and the context that helps you understand the difference between having one modification on each individual molecule versus three modifications on a single molecule is lost.</w:t>
      </w:r>
    </w:p>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Moving to slide 20. In our platform, because we study the proteins intact our approach is designed to be able to preserve that context to truly measure the proteoforms. The way it works is we come in with an existing reagent, a commercially available reagent perhaps, that allows us to first identify a given protein on the surface. So, for instance EGFR, and, say, here on our array are where all the EGFRs are. We next come in with a position-specific reagent that allows us to interrogate. For instance, threonine at position 678, wipe it off and come in with a third reagent and then a fourth one and a fifth one. And you can see that very quickly, this allows us to elucidate the molecular heterogeneity of these diverse proteoforms. In five cycles, looking at 32 distinct proteoforms, which should be completely invisible to any other platform. On the right, you see a demonstration of this where we looked at samples that were dominated by either one proteoform or another or a mix, and being able to quantitatively resolve samples that would have looked identical to any other method, it is incredibly thrilling.</w:t>
      </w:r>
    </w:p>
    <w:p>
      <w:pPr>
        <w:spacing w:after="0" w:line="16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Moving to slide 21, one very important aspect of our technology is that it’s highly open and customizable with compatibility to a wide variety of binary agents. This lets us tune the system to be very good at asking different types of questions based on the profile of binding reagents we introduced. As an example, on the left we have an entire process developed in house for creating these multi-affinity probe reagents. These aptamers and mini-protein binders let us probe broadly to study substantially the entire proteome. On the right we've tested targeted reagents from partners and vendors with high affinity to specific proteins and proteoforms. On our platform these reagents provide a detailed view of the proteome form landscape and the molecular heterogeneity of individual proteins and pathways. Additionally, with a simple labeling kit our platform is designed to be able to access virtually any reagent in the library of biologicals that have been created by biopharma, or academia, or commercial antibody manufacturers today. This is an incredibly powerful aspect of our technology which makes it customizable for the community to ask the questions that they want to ask. Now I'm going to turn the conversation back over to Sujal.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215900</wp:posOffset>
            </wp:positionV>
            <wp:extent cx="7157085" cy="139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color w:val="auto"/>
        </w:rPr>
        <w:t>Sujal Patel:</w:t>
      </w:r>
    </w:p>
    <w:p>
      <w:pPr>
        <w:spacing w:after="0" w:line="19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Thank you, Parag. We're going to turn our attention now to talking about the market opportunity, talking about our commercial strategy, and then I'll wrap up with the team and a little bit about our first partner collaboration. The global proteomics market is a very large, immediate opportunity for Nautilus. The market is sized at about $25B and it's growing at a 12% compound annual growth rate. This market includes the sales of mass spectrometry instruments and reagents, it includes assays, it includes, micro-arrays and it’s about 50% biopharma, 30% applied markets like agriculture, industrial science and environmental and 20% academic and research. While that market opportunity is an immediate focus area for us and really exciting, we think what's more exciting is that we believe that long term, there's a transformation of healthcare that is enabled by proteomics and there's huge high value applications in precision and personalized medicine, in drug discovery and in diagnostics that are unlocked by broad proteomic profiling. The clinical diagnostic opportunity alone by itself is interesting just in this first phase where we're partnering with biomarker discovery companies in building new diagnostics and better diagnostics, but in the long run we believe that our platform could be used in the clinical setting as a molecular diagnostic as well.</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Let's talk about some of the potential markets and applications for this technology. When Parag and I got this company off the ground, I was really fortunate. My co-founder Parag is a KOL of the proteomic space and he already knew the five or six key application areas where our technology would have the potential to be transformative. But very early on in our company's life, we had over 100 conversations with biopharma companies, with academic and research organizations, and the feedback was a bit surprising. What we learned was that there is a much wider range of potential applications for our future customers and they were keenly interested in what we were doing. Some customers wanted to do longitudinal monitoring of proteome dynamics for therapeutic response monitoring, some of our customers were interested in profiling exosomes. Some were interested in the proteoform composition and landscape. Some were interested in drug repurpose and rescue and a big, broad swath of our customers were focused on translational research. These translation research customers are focused on building drugs, they spend in aggregate over $200B a year and some key themes have emerged. Biomarker and drug target discovery is a major area of pain because of existing proteomics solutions. Mechanism impaction studies, trying to understand how a target compound interacts with different cell lines and trying to pick between 5,6,7 different compounds which one might be right, is another area where proteomics can have a substantial benefit. And last, in toxicity profiling and prediction there's a real need for full proteomic profiling to figure out where cross reactivity from particular compounds exist so that it could be either mitigated or understood better, making the drug development process more effective and less time consuming.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208915</wp:posOffset>
            </wp:positionV>
            <wp:extent cx="7157085" cy="139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97" w:name="page398"/>
    <w:bookmarkEnd w:id="397"/>
    <w:p>
      <w:pPr>
        <w:spacing w:after="0" w:line="234" w:lineRule="auto"/>
        <w:rPr>
          <w:sz w:val="20"/>
          <w:szCs w:val="20"/>
          <w:color w:val="auto"/>
        </w:rPr>
      </w:pPr>
      <w:r>
        <w:rPr>
          <w:rFonts w:ascii="Times New Roman" w:cs="Times New Roman" w:eastAsia="Times New Roman" w:hAnsi="Times New Roman"/>
          <w:sz w:val="18"/>
          <w:szCs w:val="18"/>
          <w:color w:val="auto"/>
        </w:rPr>
        <w:t>On this slide you see a number of significant milestones that Nautilus has up to comprehensive proteomic profiling, and then through comprehensive proteomic profiling. At the end of 2020 and through 2021 we have been and will continue to work with pharma partners, leveraging the single molecule hyperdense array that we've demonstrated, and being able to run multiple reagents through that array in multiple cycles each time putting data together in a way that returns unique biological insight to our customers. In 2022 and up through the middle of 2023 we will move through a number of milestones related to broad proteomic profiling. We'll move through the milestone of being able to get through 2,500 proteins per run, 10,000 proteins per run, and by run I mean in a single sample identified. And then by mid-2023, comprehensive proteomic profiling. In these first 4 phases and milestones we're really focused on a model where the customer can send us the sample, we can analyze it in our facility on our prototype equipment with our own staff and return data for the customer in the cloud. At the end of 2023, we anticipate launching an instrument and from that point forward the predominant business model we expect is selling instruments, consumables and software. This is the point where the significant revenue ramp is really expected to begin for our company. Customers will be installing this instrument in their labs. They’ll be buying consumables from us. They’ll be leveraging it for all of their life sciences experiments in drug discovery, translational research, diagnostic and other applications. And we believe from this point forward our revenue ramp has the potential to look pretty similar to that of other disruptive life sciences instrumentation companies, many of which you're familiar with. For example, the Illumina NGS ramp post the acquisition of Solexa. And of course, from late 2023 on, this is really a business model where the customers are largely generating data from instruments that are in their own facilities.</w:t>
      </w:r>
    </w:p>
    <w:p>
      <w:pPr>
        <w:spacing w:after="0" w:line="16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milestones that I just described to you map to a 3-phase commercial strategy, and we're in phase 1 right now. In phase 1, we're focused on partnerships and collaborations that are getting key KOLs in the proteomics industry familiar with our platform; we're starting to validate the reproducibility of it, and we're working with pharmaceutical companies to get endorsement of our platform's capabilities prior to the stages 2 and 3 that we’ve outlined here. The primary goal of these engagements is to jointly publish data and to start showing what our platform is capable of doing. In phase 1 we also see a unique opportunity in that some of these partnerships are really close to a development type of opportunity and may yield high potential discovery and IP licensing opportunities as well. In phase 2 of our commercial strategy we launch what’s called our early access program. While we do that we scale up our in house data production capability to be able to support a wider range of customers who are looking to get familiar with our platform’s performance, they’re getting familiar with how to manage the data coming out of our platform and the tools that are required to analyze it, and in this phase our goal is really not just to scale up but to also start building the early pipelines for instrument sales, and in actuality starting preorders of the instrument is a key goal for us in this early access program. As the early access program progresses and we're getting closer and closer to our platform launch, many of these engagements will really look like paid proof of concept studies where a customer is paying us to analyze some samples, they're getting value from the data, and that leads to a signed pre order for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216535</wp:posOffset>
            </wp:positionV>
            <wp:extent cx="7157085" cy="139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8" w:name="page399"/>
    <w:bookmarkEnd w:id="398"/>
    <w:p>
      <w:pPr>
        <w:ind w:right="40"/>
        <w:spacing w:after="0" w:line="238" w:lineRule="auto"/>
        <w:rPr>
          <w:sz w:val="20"/>
          <w:szCs w:val="20"/>
          <w:color w:val="auto"/>
        </w:rPr>
      </w:pPr>
      <w:r>
        <w:rPr>
          <w:rFonts w:ascii="Times New Roman" w:cs="Times New Roman" w:eastAsia="Times New Roman" w:hAnsi="Times New Roman"/>
          <w:sz w:val="18"/>
          <w:szCs w:val="18"/>
          <w:color w:val="auto"/>
        </w:rPr>
        <w:t>In phase 3 of this commercial strategy we largely are moving to that instrument, consumables and software model. In North America, we’ll largely go to market with a direct sales force, and in international geographies we’ll use distribution channels, a very common model in life sciences, Dx and tools, and a model that is very similar to the enterprise sales motion that my CFO Anna and I worked on in our last company from $0 of revenue through $100M a quarter as a public company. Once we're in this stage, we have already thought through a multi-year roadmap of product innovation and really view this as the significant inflection point in our top line.</w:t>
      </w:r>
    </w:p>
    <w:p>
      <w:pPr>
        <w:spacing w:after="0" w:line="17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One of the other keys to our commercial strategy is this land and expand sales model that you see on the slide. And this model is true in all 3 phases of our commercial strategy. Our goal is, just like working with our first pharma partner, to establish an initial beachhead in an account. Focus on one research group, one therapeutic area, one application. And from there we want to show value to the customer, we want to demonstrate the reproducibility of our results, we want to grow into other research groups, other therapeutic areas, perhaps even other geographies within that one account. From there we expect that we’ll grow their workflows. Not just doing target discovery but maybe doing target discovery and mechanism of action. Maybe from there we're going to toxicity. We grow our capacity by having a world where we’re adding value to our customer, they want to run more samples through the system per experiment, and whereby more reagents and more capacity is being utilized and that leads to more product sales. And this is really a way to build a high lifetime value in a single account. And the thing that really is great about that is it leads to a very efficient sales model. On the right you see our target customers we've talked about bio pharma and academic and research quite a bit, but we also see significant opportunity to work with large scale multiomics core laboratories and CROs, and we see diagnostic service partnerships as another key area, and these are the five that really round out the initial customers that we see over the course of the next 3 to 5 years.</w:t>
      </w:r>
    </w:p>
    <w:p>
      <w:pPr>
        <w:spacing w:after="0" w:line="17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So, what you see here on this slide is how the milestones that I laid out just a couple of minutes ago map to the 3 phases of the commercial strategy that I outlined. You see that early collaborations and partnerships is the first section here. We're focused on working with pharma and biotech as well as influential academic sites and our goal here is to create foundational publications to demonstrate utility and value to build confidence around our solution, and our goal here is really to validate the technology. Because we will be introducing new capabilities for many, many years to come, you see that this phase will probably continue indefinitely. Starting in the middle to late 2022 time period we’ll begin that early access period that I talked about. Here, in addition to working with biopharma and academic customers, we’ll also add advanced proteomic laboratories. And our goal here, as I mentioned earlier, is to seed the market for instrument pre-sales by expanding the applications we focus on, by showing value and utility, and really the goal here is to start to build that customer pipeline for our instrument launch, which comes at the end of 2023. And then, lastly, at the end of 2023, with this instrument launch, this is where we really set ourselves up to have a diversified customer base. This launch catalyzes our business growth because the instrument sale in total is about $1M and $1M sales average selling price, you're able to grow the topline very quickly with putting instruments out into the marketplace, and then of course there's the recurring revenues from consumables sales and software that comes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217805</wp:posOffset>
            </wp:positionV>
            <wp:extent cx="7157085" cy="139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99" w:name="page400"/>
    <w:bookmarkEnd w:id="399"/>
    <w:p>
      <w:pPr>
        <w:ind w:right="80"/>
        <w:spacing w:after="0" w:line="245" w:lineRule="auto"/>
        <w:rPr>
          <w:sz w:val="20"/>
          <w:szCs w:val="20"/>
          <w:color w:val="auto"/>
        </w:rPr>
      </w:pPr>
      <w:r>
        <w:rPr>
          <w:rFonts w:ascii="Times New Roman" w:cs="Times New Roman" w:eastAsia="Times New Roman" w:hAnsi="Times New Roman"/>
          <w:sz w:val="18"/>
          <w:szCs w:val="18"/>
          <w:color w:val="auto"/>
        </w:rPr>
        <w:t>There are a number of planned strategic elements of our platform that are designed to create competitive advantage in the field. As we've talked about, we are building an end-to-end platform that focuses on sample-in and data- and insight-out. We believe that a platform that is end-to-end and delivers broad proteomic profiling is going to be incredibly disruptive to the market and unlock primary sources of biological information.</w:t>
      </w:r>
    </w:p>
    <w:p>
      <w:pPr>
        <w:spacing w:after="0" w:line="1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And we believe, based on our current development, that we'll have first-mover advantage in this very large and expanding market. The thing that gets you is it gets you an early base of customers, and gets you to the point where you're generating data for proteomic information. We view data as an asset. As we generate that data, we build algorithms and we use machine learning to learn off of that data. That delivers more value to our customers, that in turn makes our customers want to run more samples through the system, and you create this cycle where it's reinforcing and it creates value for the customer and it makes our products more sticky.</w:t>
      </w:r>
    </w:p>
    <w:p>
      <w:pPr>
        <w:spacing w:after="0" w:line="16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7"/>
          <w:szCs w:val="17"/>
          <w:color w:val="auto"/>
        </w:rPr>
        <w:t>The commercial model that we're employing is a proven commercial model. Many life sciences research tools companies (Illumina included) use a model that's very similar to this, but the big advantage that we have is that in addition to that land-and-expand sales motion that I talked about, our competitor in the marketplace is a mass spectrometer. We don't directly compete with a mass spectrometer, but our price point is harmonized with where a mass spectrometer would typically be for a discovery proteomics application. And with that high ASP as a starting place, it makes for a very efficient sales model. Lastly, in conjunction with that instrument sale, there are a number of recurring revenue sources that create a diversified revenue model. With each instrument sale there's a recurring stream of consumable sales, there's a recurring stream of service and support, and software as a service. If you look at instruments, consumables, services support and software in conjunction with partnerships where we’re working closely with customers on joint development types of opportunities, what you have is a layer cake of revenue streams that creates diversity and more predictability in our business, which we think is very valuable.</w:t>
      </w:r>
    </w:p>
    <w:p>
      <w:pPr>
        <w:spacing w:after="0" w:line="17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5"/>
          <w:szCs w:val="15"/>
          <w:color w:val="auto"/>
        </w:rPr>
        <w:t>In this slide, we describe the collaboration that we’ve signed with Genentech. In December 2020, we signed a research collaboration agreement with Genentech to use the Nautilus platform to analyze and map the proteoform landscape of a particular protein target of interest to Genentech. The primary goal of this collaboration is to reach a publication by late 2021. And really the way the Nautilus technology works here is very similar to what Parag described earlier in terms of the technology that we built for mapping proteoform landscapes. It's hypothesized that these proteform patterns, different modifications, and isoforms play a critical role in understanding molecular disease progression and understanding molecular disease pathways, and we’ll focus on working with Genentech and eventually with other customers on trying to figure out if these protein modifications could be a biomarker, or whether they're indicative of therapeutic response. It's really an exciting area and we think there's a lot of room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7157085" cy="139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0" w:name="page401"/>
    <w:bookmarkEnd w:id="400"/>
    <w:p>
      <w:pPr>
        <w:ind w:right="40"/>
        <w:spacing w:after="0" w:line="251" w:lineRule="auto"/>
        <w:rPr>
          <w:sz w:val="20"/>
          <w:szCs w:val="20"/>
          <w:color w:val="auto"/>
        </w:rPr>
      </w:pPr>
      <w:r>
        <w:rPr>
          <w:rFonts w:ascii="Times New Roman" w:cs="Times New Roman" w:eastAsia="Times New Roman" w:hAnsi="Times New Roman"/>
          <w:sz w:val="15"/>
          <w:szCs w:val="15"/>
          <w:color w:val="auto"/>
        </w:rPr>
        <w:t>One of the things that we’ve thought a lot about at Nautilus is trying to build a competitive moat that gives us a long-term competitive advantage. Some of the things that we have are really quite great for that. Our solution is very counterintuitive. It requires specialized experience and expertise to build the type of product that we're trying to bring to market. And we’ve spent many years building a diverse set of talent in our company that's capable of building all of these components and integrating them together. The third leg of that stool is really an IP portfolio. We were very fortunate in 2016 when Parag came up with this idea that the IP landscape for what Parag conceived of was relatively open. And the reason for that is it's really a very counterintuitive and different prospect than anything else that had come out before that. We've spent substantial time, energy and money over the course of the last 4+ years filing patents both in the US and internationally, and multiple patent families across each of the major areas of our process. We have 3 allowed US patents today and we have many more patents in various stages of prosecution.</w:t>
      </w:r>
    </w:p>
    <w:p>
      <w:pPr>
        <w:spacing w:after="0" w:line="17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So, with that, let me introduce Anna Mowry, the company CFO. She's going to walk you through leadership and some of our financial targets and then I look forward to wrapping up after that. Anna.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Anna Mowry:</w:t>
      </w:r>
    </w:p>
    <w:p>
      <w:pPr>
        <w:spacing w:after="0" w:line="19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Great, thank you, Sujal. As you just heard, Sujal and Parag bring together a unique and powerful combination of talent and experience. That deep interdisciplinary experience is now reflected in the leadership team that they've assembled together here. That’s important because as Nautilus evolves from its research roots into commercialization, we believe this is the team to do it. Chris, Mary, and myself, under Sujal’s leadership as CEO, worked closely together at Isilon, where we built a $1B revenue engine from the ground up. Nick, Subra, John and Matt Posard on our board were in leadership roles at Illumina at the time of the Solexa acquisition, and they drove the NGS ramp from there. We have a first-class set of investors who put together a seasoned board, who have experience leading public companies, as well as proven operational experience. Finally, on our scientific advisory board we have an amazing team of KOLs. Ruedi Aebersold is widely considered the father of modern proteomics. We have a Nobel laureate in Lee Hartwell, and he earned that prize for discovering the protein that drives cell division. And Joshua Labaer is the head of the Biodesign Institute at ASU. He’s also the former president of the Human Proteome Organization. As you can see, we’ve put together an extraordinary team in anticipation of the enormous opportunity that's in front of us, and we're well set up to execute.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213995</wp:posOffset>
            </wp:positionV>
            <wp:extent cx="7157085" cy="139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01" w:name="page402"/>
    <w:bookmarkEnd w:id="401"/>
    <w:p>
      <w:pPr>
        <w:spacing w:after="0" w:line="234" w:lineRule="auto"/>
        <w:rPr>
          <w:sz w:val="20"/>
          <w:szCs w:val="20"/>
          <w:color w:val="auto"/>
        </w:rPr>
      </w:pPr>
      <w:r>
        <w:rPr>
          <w:rFonts w:ascii="Times New Roman" w:cs="Times New Roman" w:eastAsia="Times New Roman" w:hAnsi="Times New Roman"/>
          <w:sz w:val="18"/>
          <w:szCs w:val="18"/>
          <w:color w:val="auto"/>
        </w:rPr>
        <w:t>Sujal talked about our commercial strengths just a few minutes ago. I want to show you how those strengths translate into our long-term financial targets. Our long-term gross margin target of 70% is really a function of our high ASP, that's based off of the high cost of alternatives out in the market today. It's also a function of our multiple revenue streams. Once launched we believed initially, the majority of our revenue will come from those instruments. But very quickly the pull-through revenue coming from software, support, and consumables will drive a recurring revenue stream that's predictable and highly profitable. On the other hand, the cost to manufacture the equipment is expected to remain relatively modest, because we believe we’ll be able to use readily available parts from a well-established supply chain. On the opex side, we intend to continue investing in R&amp;D. Right now, we're focused on development and preparing for commercialization, but over the longer term we intend to extend our lead, build on early successes, and expand into new categories and use cases. In SG&amp;A we expect significant leverage from our high ASP, but also from the land-and-expand motion that will drive a high lifetime value for each account. Our highly profitable sales combined with productive spending are expected to lead to an operating margin target over the long term, in the range of 25 to 30%, but we believe there are so many adjacent opportunity that about 25%, we expect to reinvest in R&amp;D and strategic opportunities in order to grow our top line even further. We've been very capital-efficient to date, but we believe now is the time to accelerate the pace of our investment, and Sujal will recap why we think this is a great time to get involved. Sujal.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Sujal Patel:</w:t>
      </w:r>
    </w:p>
    <w:p>
      <w:pPr>
        <w:spacing w:after="0" w:line="19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Thank you, Anna. As we talked for the last hour, we believe that a radical reinvention of proteomics is necessary. And we believe that Nautilus has a platform with the potential to revolutionize biomedicine. And in doing that, we could unlock significant new potential market opportunities, and we're building a platform that we believe is fine-tuned for what our customers need in drug development, diagnostics development, and a wide range of proteomics applications. Over the course of the last four years, we’ve built a proven team that is driven to win. And next, I’m going to talk to you about this transaction with Arya III, and why we believe it aligns us with investors on a path to long term shareholder value creation.</w:t>
      </w:r>
    </w:p>
    <w:p>
      <w:pPr>
        <w:spacing w:after="0" w:line="16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Let me take a minute and talk about the merger with Arya III from Nautilus’ perspective. This transaction allows Nautilus a more direct path to an IPO where the company will experience greater visibility and greater access to capital as a public company. It enables us to go public in one step, versus a traditional two or three step process, with venture-backed private rounds and a traditional IPO. And in addition to that, it enables us to establish a premier healthcare – focused investor base and allows us to continue our long-term partnership with Perceptive. The $385 million we expect to have through a combination of cash on hand at Nautilus and the merger with the SPAC and our PIPE is going to be used to fund long-term development of our proteomics platform. This capital is expected to provide the cash runway to achieve all the key catalyst and commercialization milestones we talked about earlier, and the capital enables us to accelerate the development of our proteomics platform and expand into new opportunities and more staff across our scientific, engineering and commercial teams.</w:t>
      </w:r>
    </w:p>
    <w:p>
      <w:pPr>
        <w:spacing w:after="0" w:line="16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This slide summarizes the terms of the transaction. The transaction with Arya III ascribes a $900M pre-money equity value to Nautilus. The implied pro forma enterprise value of the combined enterprise is approximately $905M. Of the cash coming in from the transaction, $150M of it is in trust with the Arya</w:t>
      </w:r>
    </w:p>
    <w:p>
      <w:pPr>
        <w:spacing w:after="0" w:line="1" w:lineRule="exact"/>
        <w:rPr>
          <w:sz w:val="20"/>
          <w:szCs w:val="20"/>
          <w:color w:val="auto"/>
        </w:rPr>
      </w:pPr>
    </w:p>
    <w:p>
      <w:pPr>
        <w:jc w:val="both"/>
        <w:ind w:right="160" w:firstLine="9"/>
        <w:spacing w:after="0" w:line="236" w:lineRule="auto"/>
        <w:tabs>
          <w:tab w:leader="none" w:pos="22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and $200M is being raised through a PIPE. Of the PIPE, $55 million is committed by Perceptive and an additional $38 million is committed from existing Nautilus shareholders, not including Perceptive. We’re very pleased to have a strong syndicate of investors supporting this PIPE, as well as the 45% plus participation from insiders.</w:t>
      </w:r>
    </w:p>
    <w:p>
      <w:pPr>
        <w:spacing w:after="0" w:line="16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With that, we'd like to conclude our presentation. Thank you so much for allowing us to take this opportunity to tell you more about Nautilus and our plans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166370</wp:posOffset>
            </wp:positionV>
            <wp:extent cx="7157085" cy="139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2" w:name="page403"/>
    <w:bookmarkEnd w:id="402"/>
    <w:p>
      <w:pPr>
        <w:ind w:left="10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Exhibit 99.4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(silence) Okay. Good afternoon, everyone. For our audience, I am Nick Nelson. I'm the senior vice president and chief business officer at Nautilus. Here with me today, I'll be interviewing Dr. Josh LaBaer. Josh is currently the executive director of the Biodesign Institute at ASU, and he's also recently just served as the president of the US Human Proteome Organization. So Josh, welcome.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thanks. Thanks for having 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Appreciate your time. We're happy to have a chance to learn from you and hear your insights on the proteomics market and on Nautilus.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Yeah.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So if I could, I'd like to ask first if we could just kick it off with you sharing a little bit of background on yourself, your role at the Biodesign Institute, perhaps your areas of research today.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Sure, sure. Very brief background, I'm a MD PhD. I went to medical school at UCF, where I also did my PhD. I trained in Boston for many years. I did the full clinical training. I did an internship in residency at the Brigham Women's Hospital and then a medical oncology fellowship at the Dana Farber. So I got board certified in internal medicine and medical oncology. But I've long time been focused on research. My research primarily is involved in diagnostics and early detection of disease. Fundamentally, the tools that I use in my research involve proteomics, especially proteomics driven from expressing proteins from cloned copies of genes. I serve as an editor for the Journal Reporting on Research. I was on the board of scientific advisors for the National Cancer Institute for a number of years, and I'm an advisor for the National Cancer Institute's clinical proteomics program, the CB Tech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Wonderful. Thank you. So, I mean, given your background, it's a perfect opportunity for us to learn a little bit about your experience with the technologies out in the field today. Share with us a little bit on what your lab's doing, what technologies you're interested in or familiar with.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Right. So back when I was at Harvard, I started the Harvard Institute of Proteomics, and the approach that we have always taken was proteomics from their perspective of taking cloned copies of genes and producing proteins in a variety of settings in high throughput. The notion that we take is that we want to understand how, by producing proteins in high throughput, we can both understand what they do, but also how they are altered in disease or how they can trigger the ability to identify biomarkers for early detection of disease.</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5" w:right="31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So my lab has cloned tens of thousands of full-length copies of genes. We have largest collection of genes for the human I think anywhere on the planet, close to the full complement of genes now, around almost 18,000 full-length genes, as well as tens of thousands of genes from both microorganisms and model systems.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A key part of our technology has been to produce those proteins in a protein microarray setting. So we print the genes on the chip and then synthesize the proteins in situ on the chip, which we can then probe with serum from patients to look for responses to proteins that betray the presence of diseases. So in that context, we've identified a number of biomarkers for the early detection of breast cancer that have been now licensed out and are part of a CLIA-approved test for breast cancer, as well as biomarkers for detections of various inflammatory diseases, autoimmune diseases, and also infectious diseases.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So my lab has also been involved in a number of other high throughput projects. We had a $40 million project with an agency called BARDA to assess responses in the context of a nuclear explosion using a technology called qPCR, which we've now pivoted to use for detection of COVID. We now run a clinical testing lab for COVID-19 that has processed more than a half million samples in the state of Arizona. Then more recently, we have been developing some serological assays for detection of disease and became part of the SeroNet, which is NIH's response to COVID-19 for serology. We're one of four capacity building centers in the country to develop a high throughput test for detecting response there.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Wonderful. Thank you. So, I mean, I think it's pretty clear your background and experience with proteomics is extensive. One of the themes here, obviously, given Nautilus's interest in building next gen proteomics systems and analysis, we're really interested in the pros and cons of the methods that are out there in the field. Can you talk to us about your experience with proteomics platforms today, maybe some of the benefits and some of the drawbacks?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Right. So typically, most proteomics are just focused on sort of measuring proteins and samples, falls into two general classes. One would be sort of antibody-based, and the other would be mass spectrometry-based. So the antibody-based technologies have some advantages. If you have good antibodies to specific proteins, you can readily detect the presence of those proteins in samples. It's a relatively fast assay if you have the reagents. The challenge there, of course, is that you pretty much are forced to make antibodies to specific protein species almost one by one, really, and there is a wide variation of quality in affinity reagents to specific proteins. A lot, a lot of antibodies out there are not very good.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I've been involved in a project to try to help develop better tools for making antibodies better because there is such a variation and because you never know when you get an antibody, when you buy one whether it's going to be good or not. It's very much a buyer beware situation. Of course, to have antibodies against proteins, you have to know what proteins you're looking for. You have to know it in advance. You have to sort of plan ahead as to what you're looking for.</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The mass spectrometry approach, a little bit different. The benefits of mass spectrometry is you don't necessarily need to know a priori what you're looking for. You can apply a mass spec broadly to samples. You can put a whole sample, and you kind of look at what's there. The problem with mass spec, of course, is that it's not a particularly sensitive technique. It really looks at abundant species. Anything that's rare or uncommon it's going to have a hard time detecting, and, of course, some of the most important biomarkers that we want to look for fall into that category of rare proteins.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The other problem with mass spectrometry, of course, is that it's taking sort of bulk measurements of the sample. I mean, a metaphor one could use here, not perfect, of course, is if you had a room of 1,000 people and you knew that there was $1,000,000 distributed in that room, you wouldn't necessarily know whether there was $1,000 in the pocket of every person in that room or whether there was $500,000 in one person and several people with $100,000 and everybody else had $100 in their pockets. There's a big difference in terms of understanding what's going on in that room and the dynamic, depending on how that is distributed. Mass spec can't tell you that, and that's, I think, something we need to get at here.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Yeah, that's very helpful. Thank you. Maybe before I launch into my next question, I should mention just for the audience that the Dr. LaBaer is a longtime advisor of Nautilus and our chief scientist, Dr. Parag Mallick. He's also followed Nautilus since its inception back in 2016, so just to kind of set the stage for folks. So Josh, I think you've been tracking progress for a while. I wanted to just for a moment here, in your words, your understanding of how the technology works and maybe kind of some of the more recent reactions you've had to our data and the method.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Right, right. So what I think is really special about the approach that sort of Parag conceived of is this idea that you're going to take proteins from a sample and, using their technology, affix individual molecules of proteins on a kind of landing pad. So now what you've got is, on some surface, individual proteins separated from each other that you can then probe using affinity reagents to those proteins. The affinity reagents you use can either be very specific to a specific protein, or they can be general agents that bind a specific motif in proteins. That becomes important later, because what you're ultimately going to do is take a picture of which proteins are recognized, remove the reagents, and then come in with the next round of reagents. You can repeat that cycle over and over again using different affinity reagents and essentially measuring the frequency that a particular motif or a particular protein appears in your sample.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This allows you to do a couple of things. On one end of the spectrum, you can, by using ... and, again, this involves a lot of the sort of machine learning approaches that they're using, as well as some of the sort of informatics that they've cleverly worked out in terms of how to mix and match different affinity reagents. You can look at a whole proteome and ask what's there, basically identifying specific proteins by the content of the motifs they contain, or you can look at post-translational modification of proteins, if you have antibodies to those, and ask which proteins have which post-translational modifications, or you can look at just specific sets of proteins based on the interests that you have.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So kind of a wide spectrum of applications there, but the notion here fundamentally is that you are digitizing the proteome, right? So this gets at, in the context of genomics, it was a big deal when we could get single-cell genomics or when we could get single-cell measurements of the RNA in cells. That allowed us, for example, to look at a cancer and ask, "What's the distribution of specific mutations in individual cells in that cancer or gene expression?" Well, now we can do the same thing with proteins, and that kind of opens up ... It revolutionizes, really, how we think about proteomics.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8"/>
          <w:szCs w:val="18"/>
          <w:color w:val="auto"/>
        </w:rPr>
        <w:t>When you think about that, and I know you track what's out there in the emerging technology space, I mean, there's some other companies and other methods that have been in development for some time, some starting to emerge with data, others still early. I mean, what are you aware of in the community for other methods that kind of compare to what Nautilus is building?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So let me first say I don't think anything really compares to what Nautilus is doing. There are some new technologies out there. There are some antibody technologies that use antibodies to specific motifs followed by mass spectrometry, right? So that's a quick way at assessing specific proteins and species. It's kind of a hybrid method between the antibody approach and the mass spec approach. Then there are other types of affinity reagent protein, things like SomaLogic or things like that, where they have various binding reagents that can look for specific proteins in samples.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problem with that particular approach, I think, is that the characterization of their different SOMAmers, as they call them, is not particularly great. Some of them are okay. A lot of them, they've sort of made them against a particular molecule in the hope that it buys with good affinity and good avidity and all that stuff, and, of course, they're looking at subsets that they've been able to make their reagents against. Everything else, they can't 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So I think those are okay technologies. All of them still have the bottom line limitation that you're looking in bulk. None of them are digitized technologies. None of them allow you to look at specific protein molecules and ask what's specific about that particular molecule?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That's really helpful. Thank you. I mean, the other question I have for you as a follow-on, I know we've been really trying to build some progress here in a few areas in the company. Then more recently, at the end of last year, we shared some data on proteoform detection. You got an early peek at that. So I wanted to kind of ask for the group here, what were your reactions to some of the data that you've seen coming out of Nautilus?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Yeah, right. So, obviously, I'm very excited. I'm excited on a couple levels. So first of all, I think, step-by-step, one of the things that Nautilus has done is sort of developed technologies at a lot of different levels for what they're trying to accomplish. I think each of those solutions is itself of great value. The ability to be able to lock down an individual protein on a surface apart from all other proteins is huge, and I think that in and of itself is an ability that will become useful in other platforms. The ability to get very strong signals in detecting an individual protein, again, huge, huge approach there.</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But, of course, I think the thing that's especially exciting now is that they are realizing that they don't necessarily have to look at whole proteomes. They can look at specific modifications, specific proteomes, specific proteoforms and ask questions about the abundance of those individual species in specific samples. Again, to use kind of a silly metaphor here, if the traditional approach to proteomics would be kind of like looking at a store full of shoppers and being able to say that there are many people in that store buying books and some of them are buying books on pregnancy and there are many people in that store buying vitamins, some of them buying folate, that's one thing. But when you can look individually and say, "In these individual shopping carts, there are both books on pregnancy and bottles of folate," now you can say, "Aha. That's a shopper that's probably pregnant," right? It's a different kind of way of thinking, and it gets down to the importance of digitization.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So for me, this is now a whole new chapter, right? It allows us to say, "In these individual samples, I can tell you that these are these very specific proteoforms that have a phosphate on this amino acid and a phosphate on that amino acid, as opposed to just some proteins that have phosphates on this amino acid and some proteins in here that probably have it on that one." Now we can say they're on the same molecule, and it's a game changer.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That's exciting. I'm interested to hear, now with this capability, what should we do with it? I mean, where do you point it? What are the disease areas or applications that make sense to use 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Right, right. So I'm obviously biased. I'm a cancer doctor by training. So for me, one of the most important next steps for this kind of approach would be to identify biomarkers that either help me with the early detection of cancer, in which case I can save lives, or help me understand the characterization of specific cancers so that I can both better prognosticate outcomes and maybe better target my therapy, because I can say, "This subtype of cancer that we're looking at here would best respond to this class of drugs or this type of therapy."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So that's where I would go. Of course, the same could be said for autoimmune diseases. The same could be said for a whole series of other clinical conditions or even for infectious diseases. So lots of different sort of diagnostic possibilities, and the ability to have a tool that can sort of broad look at specimens will help me identify those biomarkers. Of course, those will be opportunities for Nautilus to get intellectual property on those biomarkers so that they essentially could own their own diagnostic tests to look for specific diseases.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jc w:val="both"/>
        <w:ind w:right="320"/>
        <w:spacing w:after="0" w:line="246" w:lineRule="auto"/>
        <w:rPr>
          <w:sz w:val="20"/>
          <w:szCs w:val="20"/>
          <w:color w:val="auto"/>
        </w:rPr>
      </w:pPr>
      <w:r>
        <w:rPr>
          <w:rFonts w:ascii="Times New Roman" w:cs="Times New Roman" w:eastAsia="Times New Roman" w:hAnsi="Times New Roman"/>
          <w:sz w:val="18"/>
          <w:szCs w:val="18"/>
          <w:color w:val="auto"/>
        </w:rPr>
        <w:t>That's an interesting thought, because in watching and observing the market evolve, particularly the genomics market, there's just a tremendous amount of clinical application now. Proteomics hasn't followed suit. What do you think the barriers have been that have held the proteomics technologies back from really entering the clinic in a meaningful way?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Right, right. Well, I mean, I think a key issue here for sort of most of these technologies are technologies that work in laboratories, particularly things like mass spectrometry, which although it's a science is also an art, and it requires very careful practitioners. So it's not easy for clinicians to imagine ordering tests to kind of getting mass spectrometry reads. I think that's, in my view, one of the things I think Nautilus ought to be thinking about in the future, is Nautilus has developed a technology that can measure individual modifications on specific proteins. That's going to lead them to develop unique diagnostic tests for specific conditions, but they are the ones who have the technology that could be used to actually read those diagnostics, right?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So I think that they should be building boxes that they can place in clinics, that they can place in CVSes, that they can place in doctors' offices or hospitals that can actually read the very biomarkers, the very diagnostic tests that they will have discovered, because they've got the tool to read those quickly. I think there's a whole market there in the clinics that I think could be very important for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 mean, when you think about it, there's been certainly a rush in terms of new diagnostic applications, particularly in liquid biopsy. So this is an area that a lot of us follow closely, and you look at the application of things like cell-free DNA for cancer as a biomarker.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do you think the pros and cons are in looking at nucleic acids versus proteins in a liquid biopsy setting?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Right. Well, cell-free DNA is certainly interesting. In the context of cancer, it is really not readily detectable until it's already too late, until the cancer is really advanced. By and large, DNA tells you what could happen, whereas proteins tell you what is happening, right? Proteins get modified in the course of disease. They are, in fact, the drivers that make disease disease. I would argue that all disease is a result of protein malfunction, and virtually almost every therapeutic either alters proteins or is itself a protein. So to me, I'm very much a protein chauvinist, and I think that's where we really need to go for active diagnostics and prognostics. So that's where I think we should be focusing right now, is what's happening at the protein level and what's happening at the modification of the protein level? What's happening in the post-translational protein level?</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I've got another question kind of on that same thread. Then we're starting to get a feel now for the diagnostic potential and the biomarker discovery potential, PTMs and proteoforms. That's taking shape. Another area is clearly there's a need to just unlock more data in the protein, right?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right.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I mean, there's just a tremendous appetite for that in the market today. So we've built this roadmap within Nautilus, and I think you've seen it, where we're starting to make headway over the course of the year. The first major milestone is we want to unlock, say, 2,500 proteins per run, and then we want to move into 10,000 proteins per run and then ultimately the whole proteome.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as you think about that, I want to hear, in your view, does 2,500 proteins in a run unlock something new for you? What would you do with 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Well, I mean, first of all, I think the ability to look at five proteins, maybe, [inaudible 00:21:01] species is already a big deal to me. 2,500 is fantastic. Obviously, as Nautilus has the ability to look at larger and larger protein species and then, in parallel, invoke machine learning or deep learning techniques so they can actually understand what those patterns mean, that becomes sort of the facial recognition of disease, right? I mean, this is all of a sudden now, they can start looking at both biology and medicine in a way that we've never been able to look at before, right? Because now they're coupling this ability to do deep learning with all of these potential data points in a much broader way. So I think it's huge, and I think the beauty of what they've got is that they can, in the short term, do specific diagnostics on specific proteins and specific proteoforms, use that to help bootstrap the development of better reagents to keep looking at more and more proteins, and broaden their capacity to look at the entire proteome.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That's great. Thank you for the feedback. I think I actually covered most of the questions I had.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there any other topics that you wanted to bring up or [crosstalk 00:22:21]?</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7157085" cy="139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1"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7"/>
          <w:szCs w:val="17"/>
          <w:color w:val="auto"/>
        </w:rPr>
        <w:t>No, I think this is a really exciting opportunity. I mean, I think it really is the evolution of proteomics, right? The next step beyond looking at bulk, starting to look much more broadly by digitizing the information and then coupling that with sort of deep learning approaches to really imagine what you're looking at.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Well, thank you again for your time. We so appreciate it. Then, of course, we'll keep you posted on progress.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Can't wait to see what happens next.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Very good. Take care.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Josh LaBaer: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Thanks.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Nelson: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 Bye-bye.</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7157085" cy="139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10" w:name="page411"/>
    <w:bookmarkEnd w:id="410"/>
    <w:p>
      <w:pPr>
        <w:ind w:left="103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139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t>Exhibit 99.5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Nautilus Employees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Sujal Patel</w:t>
      </w:r>
    </w:p>
    <w:p>
      <w:pPr>
        <w:spacing w:after="0"/>
        <w:rPr>
          <w:sz w:val="20"/>
          <w:szCs w:val="20"/>
          <w:color w:val="auto"/>
        </w:rPr>
      </w:pPr>
      <w:r>
        <w:rPr>
          <w:rFonts w:ascii="Times New Roman" w:cs="Times New Roman" w:eastAsia="Times New Roman" w:hAnsi="Times New Roman"/>
          <w:sz w:val="18"/>
          <w:szCs w:val="18"/>
          <w:color w:val="auto"/>
        </w:rPr>
        <w:t>SUBJECT: Some Exciting News!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NAUTILUS CONFIDENTIAL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morning Nautilus Team!</w:t>
      </w:r>
    </w:p>
    <w:p>
      <w:pPr>
        <w:spacing w:after="0" w:line="192"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This is a very special day. We just announced that we’ve signed a definitive agreement for a transaction that will – upon completion - result in Nautilus becoming a public company.</w:t>
      </w:r>
    </w:p>
    <w:p>
      <w:pPr>
        <w:spacing w:after="0" w:line="151"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7"/>
          <w:szCs w:val="17"/>
          <w:color w:val="auto"/>
        </w:rPr>
        <w:t>We will be doing so through a merger with Arya Sciences Acquisition Corp III, a Special Purpose Acquisition Company (SPAC) that is already listed on Nasdaq. SPACs are also known as “blank check” companies and they are formed for the sole purpose of combining with an operating business like ours to help accelerate its growth. It’s essentially a different, and potentially more efficient path to going public and raising capital than through a traditional IPO.</w:t>
      </w:r>
    </w:p>
    <w:p>
      <w:pPr>
        <w:spacing w:after="0" w:line="14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I want to be clear that this exciting development does not change our focus now or into the future. Parag and I will continue to lead Nautilus, alongside our existing executive team, and we will remain focused on our mission and vision.</w:t>
      </w:r>
    </w:p>
    <w:p>
      <w:pPr>
        <w:spacing w:after="0" w:line="15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We are thrilled to partner with this particular SPAC, which is sponsored by Perceptive Advisors, who share our goal to transform the field of proteomics, unlocking access to the proteome and enabling fundamental advancements in biology, human health, and medicine. Perceptive Advisors became an investor in Nautilus through our Series B funding round and has a deep understanding and appreciation of our business, our science, and our mission. Given their impressive track record and experience, we are confident that they are the right partner for us. We expect that combining with Arya III will result in proceeds of $150 million. We are also welcoming other long-term, high-performing investors, including RA Capital Management, Ally Bridge Group, Bain Capital Life Sciences, Franklin Templeton Investments, OrbiMed, Alyeska Investment Group, L.P., Casdin Capital and existing Nautilus Biotechnology shareholders including Andreessen Horowitz, Madrona Venture Group, and Vulcan Capital who have committed an additional $200 million in PIPE financing. This PIPE is led by a $55 million commitment from Perceptive Advisors, in addition to their ownership in ARYA III. The combined company is expected to receive proceeds of approximately $350 million at the closing of the transaction. We expect the proceeds to accelerate development and commercialization of our platform. We expect that approximately 70% of the shares in the combined company will be owned by existing Nautilus shareholders, excluding Perceptive, and that our pro forma market capitalization will be approximately $1.3 billion.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What’s Next</w:t>
      </w:r>
    </w:p>
    <w:p>
      <w:pPr>
        <w:spacing w:after="0" w:line="15"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7"/>
          <w:szCs w:val="17"/>
          <w:color w:val="auto"/>
        </w:rPr>
        <w:t>Please keep in mind that today’s announcement is just the first step in the process. There are several things that need to be completed before the transaction closes and we become a public company. During this time, we will continue to operate as an independent company and there will be no changes to your role or responsibilities due to the transaction. We encourage everyone to remain focused on their day-to-day work and reaching our important milestones.</w:t>
      </w:r>
    </w:p>
    <w:p>
      <w:pPr>
        <w:spacing w:after="0" w:line="15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As you all know, we value our transparent culture and intend to maintain that to the degree possible, but we are likely not going to be able to share some information as freely as we have previously because of additional legal requirements placed on all public companies. We will also need everyone to exercise a greater degree of discretion and confidentiality. This announcement may generate interest from the media or other third parties who may contact you in search of more information. If you receive any inquiries, please do not share ANY information. If asked about the announcement by friends and family, please only share public information that is included in the press release we issued this morning (link included below). In the meantime, if you have any questions, please contact our Vice President of Corporate Marketing and Communications, Chris Blessington.</w:t>
      </w:r>
    </w:p>
    <w:p>
      <w:pPr>
        <w:spacing w:after="0" w:line="17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This last part of this email contains legal language but is a very important point. We will continue to hold regular all-team meetings and will aim to answer questions during these meetings. However, until the merger is complete, there are strict securities laws that limit what details can be shared about the transaction. Our goal is to provide you with the information you need about the deal, while at the same time complying with securities laws. Written communication about the transaction may be required to be filed publicly so please avoid discussing the transaction over email or Slack. We are committed to keeping you updated throughout this process, so please bear with us as we work through it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212090</wp:posOffset>
            </wp:positionV>
            <wp:extent cx="7157085" cy="139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25" w:right="319" w:bottom="1440" w:gutter="0" w:footer="0" w:header="0"/>
        </w:sectPr>
      </w:pPr>
    </w:p>
    <w:bookmarkStart w:id="411" w:name="page412"/>
    <w:bookmarkEnd w:id="411"/>
    <w:p>
      <w:pPr>
        <w:ind w:right="200"/>
        <w:spacing w:after="0" w:line="245" w:lineRule="auto"/>
        <w:rPr>
          <w:sz w:val="20"/>
          <w:szCs w:val="20"/>
          <w:color w:val="auto"/>
        </w:rPr>
      </w:pPr>
      <w:r>
        <w:rPr>
          <w:rFonts w:ascii="Times New Roman" w:cs="Times New Roman" w:eastAsia="Times New Roman" w:hAnsi="Times New Roman"/>
          <w:sz w:val="18"/>
          <w:szCs w:val="18"/>
          <w:color w:val="auto"/>
        </w:rPr>
        <w:t>I know this is a lot of information. Later today, we’ll be hosting a team All-hands, where we’ll discuss today’s announcement in more detail and you’ll have the opportunity to ask questions. In the meantime, I encourage you to read our press release [LINK], and watch the recording of our investor presentation, which will be available later this morning at [LINK].</w:t>
      </w:r>
    </w:p>
    <w:p>
      <w:pPr>
        <w:spacing w:after="0" w:line="16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I know I speak for Parag and the entire senior team when I say that we are incredibly excited for what the future holds. Thank you all for being part of this journey!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Sujal</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9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This communication contains certain “forward-looking statements” within the meaning of Section 27A of the Securities Act and Section 21E of the Securities Exchange Act of 1934, as amended, including statements regarding the anticipated timing and benefits of the merger (the “Transaction”) with ARYA Sciences Acquisition Corp III (“Arya III”). The words “anticipate,” “believe,” “continue,” “could,” “estimate,” “expect”, “intends,” “may,” “might,” “plan,” “possible,” “potential,” “predict,” “project,” “should,” “would” and similar expressions may identify forward looking statements, but the absence of these words does not mean that a statement is not forward looking. The forward-looking statements contained herein are based on Nautilus’ current expectations and beliefs concerning future developments and their potential effects, but there can be no assurance that these will be as anticipated. These forward-looking statements involve a number of risks, uncertainties (some of which are beyond the control of Nautilus) or other assumptions that may cause actual results or performance to be materially different from those expressed or implied by these forward-looking statements. These factors include, among others: the inability to complete the Transaction on the expected timeline or at all; the inability to recognize the anticipated benefits of the proposed Transaction, including due to the failure to receive required security holder approvals, or the failure of other closing conditions; and costs related to the proposed Transaction. Except as required by law, Arya III and Nautilus do not undertake any obligation to update or revise any forward-looking statements whether as a result of new information, future events or otherwise</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9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 xml:space="preserve">A full description of the terms of the transaction will be provided in a registration statement on Form S-4 to be filed with the SEC by Arya III that will include a prospectus with respect to the combined company’s securities to be issued in connection with the business combination and a proxy statement with respect to the shareholder meeting of Arya III to vote on the business combination. </w:t>
      </w:r>
      <w:r>
        <w:rPr>
          <w:rFonts w:ascii="Times New Roman" w:cs="Times New Roman" w:eastAsia="Times New Roman" w:hAnsi="Times New Roman"/>
          <w:sz w:val="18"/>
          <w:szCs w:val="18"/>
          <w:b w:val="1"/>
          <w:bCs w:val="1"/>
          <w:color w:val="auto"/>
        </w:rPr>
        <w:t>Arya III and Nautilus urge their investors, shareholders and other interested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persons to read, when available, the preliminary proxy statement/ prospectus as well as other documents filed with the SEC because these documents will contain important information about Arya III, Nautilus and the transaction. </w:t>
      </w:r>
      <w:r>
        <w:rPr>
          <w:rFonts w:ascii="Times New Roman" w:cs="Times New Roman" w:eastAsia="Times New Roman" w:hAnsi="Times New Roman"/>
          <w:sz w:val="18"/>
          <w:szCs w:val="18"/>
          <w:color w:val="auto"/>
        </w:rPr>
        <w:t>After the registration statement is declared effective, the definitive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statement/prospectus to be included in the registration statement will be mailed to shareholders of Arya III as of a record date to be established for voting on the proposed business combination. Once available, shareholders of ARYA III will also be able to obtain a copy of the S-4, including the proxy statement/prospectus, and other documents filed with the SEC without charge, by directing a request to: ARYA Sciences Acquisition Corp III, 51 Astor Place, 10th Floor, New York, New York 10003, Attn: Secretary. The preliminary and definitive proxy statement/prospectus to be included in the registration statement, once available, can also be obtained, without charge, at the SEC’s website (www.sec.gov).</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9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Arya III and Nautilus Biotechnology and their respective directors and executive officers may be considered participants in the solicitation of proxies with respect to the potential transaction described in this communication under the rules of the SEC. Information about the directors and executive officers of Arya</w:t>
      </w:r>
    </w:p>
    <w:p>
      <w:pPr>
        <w:spacing w:after="0" w:line="1" w:lineRule="exact"/>
        <w:rPr>
          <w:sz w:val="20"/>
          <w:szCs w:val="20"/>
          <w:color w:val="auto"/>
        </w:rPr>
      </w:pPr>
    </w:p>
    <w:p>
      <w:pPr>
        <w:ind w:right="60" w:firstLine="9"/>
        <w:spacing w:after="0" w:line="250" w:lineRule="auto"/>
        <w:tabs>
          <w:tab w:leader="none" w:pos="222"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set forth in Arya III’s final prospectus filed with the SEC pursuant to Rule 424(b) of the Securities Act of 1933, as amended (the “Securities Act”) on August 10, 2020 and is available free of charge at the SEC’s website at www.sec.gov or by directing a request to: ARYA Sciences Acquisition Corp III, 51 Astor Place, 10th Floor, New York, New York 10003, Attn: Secretary. Information regarding the persons who may, under the rules of the SEC, be deemed participants in the solicitation of the Arya III shareholders in connection with the potential transaction will be set forth in the registration statement containing the preliminary proxy statement/prospectus when it is filed with the SEC.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207645</wp:posOffset>
            </wp:positionV>
            <wp:extent cx="7157085" cy="139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color w:val="auto"/>
        </w:rPr>
        <w:t>Non-Solicitation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157085" cy="10140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085" cy="1014095"/>
                    </a:xfrm>
                    <a:prstGeom prst="rect">
                      <a:avLst/>
                    </a:prstGeom>
                    <a:noFill/>
                  </pic:spPr>
                </pic:pic>
              </a:graphicData>
            </a:graphic>
          </wp:anchor>
        </w:drawing>
      </w:r>
    </w:p>
    <w:p>
      <w:pPr>
        <w:spacing w:after="0" w:line="17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Arya III, the combined company or Nautilus Biotechnology,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193040</wp:posOffset>
            </wp:positionV>
            <wp:extent cx="7157085" cy="139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14" w:right="359" w:bottom="1440" w:gutter="0" w:footer="0" w:header="0"/>
        </w:sectPr>
      </w:pPr>
    </w:p>
    <w:bookmarkStart w:id="413" w:name="page414"/>
    <w:bookmarkEnd w:id="413"/>
    <w:p>
      <w:pPr>
        <w:ind w:left="92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145415</wp:posOffset>
            </wp:positionV>
            <wp:extent cx="7207885" cy="42970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0" w:num="1">
            <w:col w:w="10140"/>
          </w:cols>
          <w:pgMar w:left="1440" w:top="247" w:right="319" w:bottom="1440" w:gutter="0" w:footer="0" w:header="0"/>
        </w:sectPr>
      </w:pPr>
    </w:p>
    <w:bookmarkStart w:id="414" w:name="page415"/>
    <w:bookmarkEnd w:id="4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110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07885"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5" w:name="page416"/>
    <w:bookmarkEnd w:id="4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6" w:name="page417"/>
    <w:bookmarkEnd w:id="4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7" w:name="page418"/>
    <w:bookmarkEnd w:id="4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8" w:name="page419"/>
    <w:bookmarkEnd w:id="4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9" w:name="page420"/>
    <w:bookmarkEnd w:id="4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0" w:name="page421"/>
    <w:bookmarkEnd w:id="4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1" w:name="page422"/>
    <w:bookmarkEnd w:id="4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2" w:name="page423"/>
    <w:bookmarkEnd w:id="4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3" w:name="page424"/>
    <w:bookmarkEnd w:id="4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5" w:name="page426"/>
    <w:bookmarkEnd w:id="4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6" w:name="page427"/>
    <w:bookmarkEnd w:id="4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7" w:name="page428"/>
    <w:bookmarkEnd w:id="4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8" w:name="page429"/>
    <w:bookmarkEnd w:id="4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9" w:name="page430"/>
    <w:bookmarkEnd w:id="4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64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07885" cy="4296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884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07885" cy="43884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07ACC3"/>
    <w:multiLevelType w:val="hybridMultilevel"/>
    <w:lvl w:ilvl="0">
      <w:lvlJc w:val="left"/>
      <w:lvlText w:val="☒"/>
      <w:numFmt w:val="bullet"/>
      <w:start w:val="1"/>
    </w:lvl>
  </w:abstractNum>
  <w:abstractNum w:abstractNumId="1">
    <w:nsid w:val="6B47F63E"/>
    <w:multiLevelType w:val="hybridMultilevel"/>
    <w:lvl w:ilvl="0">
      <w:lvlJc w:val="left"/>
      <w:lvlText w:val="(%1)"/>
      <w:numFmt w:val="lowerRoman"/>
      <w:start w:val="1"/>
    </w:lvl>
  </w:abstractNum>
  <w:abstractNum w:abstractNumId="2">
    <w:nsid w:val="5CB44A05"/>
    <w:multiLevelType w:val="hybridMultilevel"/>
    <w:lvl w:ilvl="0">
      <w:lvlJc w:val="left"/>
      <w:lvlText w:val="†"/>
      <w:numFmt w:val="bullet"/>
      <w:start w:val="1"/>
    </w:lvl>
  </w:abstractNum>
  <w:abstractNum w:abstractNumId="3">
    <w:nsid w:val="16CF80F1"/>
    <w:multiLevelType w:val="hybridMultilevel"/>
    <w:lvl w:ilvl="0">
      <w:lvlJc w:val="left"/>
      <w:lvlText w:val="(%1)"/>
      <w:numFmt w:val="lowerLetter"/>
      <w:start w:val="1"/>
    </w:lvl>
  </w:abstractNum>
  <w:abstractNum w:abstractNumId="4">
    <w:nsid w:val="1C695DEC"/>
    <w:multiLevelType w:val="hybridMultilevel"/>
    <w:lvl w:ilvl="0">
      <w:lvlJc w:val="left"/>
      <w:lvlText w:val="(%1)"/>
      <w:numFmt w:val="lowerLetter"/>
      <w:start w:val="2"/>
    </w:lvl>
  </w:abstractNum>
  <w:abstractNum w:abstractNumId="5">
    <w:nsid w:val="3FCFAED9"/>
    <w:multiLevelType w:val="hybridMultilevel"/>
    <w:lvl w:ilvl="0">
      <w:lvlJc w:val="left"/>
      <w:lvlText w:val="(%1)"/>
      <w:numFmt w:val="lowerRoman"/>
      <w:start w:val="1"/>
    </w:lvl>
  </w:abstractNum>
  <w:abstractNum w:abstractNumId="6">
    <w:nsid w:val="F856867"/>
    <w:multiLevelType w:val="hybridMultilevel"/>
    <w:lvl w:ilvl="0">
      <w:lvlJc w:val="left"/>
      <w:lvlText w:val="(%1)"/>
      <w:numFmt w:val="lowerLetter"/>
      <w:start w:val="1"/>
    </w:lvl>
  </w:abstractNum>
  <w:abstractNum w:abstractNumId="7">
    <w:nsid w:val="11B1CC33"/>
    <w:multiLevelType w:val="hybridMultilevel"/>
    <w:lvl w:ilvl="0">
      <w:lvlJc w:val="left"/>
      <w:lvlText w:val="(%1)"/>
      <w:numFmt w:val="lowerLetter"/>
      <w:start w:val="2"/>
    </w:lvl>
    <w:lvl w:ilvl="1">
      <w:lvlJc w:val="left"/>
      <w:lvlText w:val="(%2)"/>
      <w:numFmt w:val="lowerRoman"/>
      <w:start w:val="1"/>
    </w:lvl>
  </w:abstractNum>
  <w:abstractNum w:abstractNumId="8">
    <w:nsid w:val="2E22FBB7"/>
    <w:multiLevelType w:val="hybridMultilevel"/>
    <w:lvl w:ilvl="0">
      <w:lvlJc w:val="left"/>
      <w:lvlText w:val="(%1)"/>
      <w:numFmt w:val="lowerRoman"/>
      <w:start w:val="7"/>
    </w:lvl>
  </w:abstractNum>
  <w:abstractNum w:abstractNumId="9">
    <w:nsid w:val="29934699"/>
    <w:multiLevelType w:val="hybridMultilevel"/>
    <w:lvl w:ilvl="0">
      <w:lvlJc w:val="left"/>
      <w:lvlText w:val="(%1)"/>
      <w:numFmt w:val="lowerLetter"/>
      <w:start w:val="1"/>
    </w:lvl>
  </w:abstractNum>
  <w:abstractNum w:abstractNumId="10">
    <w:nsid w:val="77485850"/>
    <w:multiLevelType w:val="hybridMultilevel"/>
    <w:lvl w:ilvl="0">
      <w:lvlJc w:val="left"/>
      <w:lvlText w:val="%1"/>
      <w:numFmt w:val="lowerLetter"/>
      <w:start w:val="1"/>
    </w:lvl>
    <w:lvl w:ilvl="1">
      <w:lvlJc w:val="left"/>
      <w:lvlText w:val="(%2)"/>
      <w:numFmt w:val="lowerLetter"/>
      <w:start w:val="2"/>
    </w:lvl>
  </w:abstractNum>
  <w:abstractNum w:abstractNumId="11">
    <w:nsid w:val="744939A3"/>
    <w:multiLevelType w:val="hybridMultilevel"/>
    <w:lvl w:ilvl="0">
      <w:lvlJc w:val="left"/>
      <w:lvlText w:val="(%1)"/>
      <w:numFmt w:val="lowerLetter"/>
      <w:start w:val="35"/>
    </w:lvl>
    <w:lvl w:ilvl="1">
      <w:lvlJc w:val="left"/>
      <w:lvlText w:val="%2"/>
      <w:numFmt w:val="lowerLetter"/>
      <w:start w:val="1"/>
    </w:lvl>
  </w:abstractNum>
  <w:abstractNum w:abstractNumId="12">
    <w:nsid w:val="4FA0D2E3"/>
    <w:multiLevelType w:val="hybridMultilevel"/>
    <w:lvl w:ilvl="0">
      <w:lvlJc w:val="left"/>
      <w:lvlText w:val="%1"/>
      <w:numFmt w:val="lowerLetter"/>
      <w:start w:val="1"/>
    </w:lvl>
    <w:lvl w:ilvl="1">
      <w:lvlJc w:val="left"/>
      <w:lvlText w:val="(%2)"/>
      <w:numFmt w:val="lowerLetter"/>
      <w:start w:val="1"/>
    </w:lvl>
  </w:abstractNum>
  <w:abstractNum w:abstractNumId="13">
    <w:nsid w:val="6B1D2C14"/>
    <w:multiLevelType w:val="hybridMultilevel"/>
    <w:lvl w:ilvl="0">
      <w:lvlJc w:val="left"/>
      <w:lvlText w:val="(%1)"/>
      <w:numFmt w:val="lowerLetter"/>
      <w:start w:val="35"/>
    </w:lvl>
    <w:lvl w:ilvl="1">
      <w:lvlJc w:val="left"/>
      <w:lvlText w:val="(%2)"/>
      <w:numFmt w:val="lowerLetter"/>
      <w:start w:val="2"/>
    </w:lvl>
  </w:abstractNum>
  <w:abstractNum w:abstractNumId="14">
    <w:nsid w:val="68B867D3"/>
    <w:multiLevelType w:val="hybridMultilevel"/>
    <w:lvl w:ilvl="0">
      <w:lvlJc w:val="left"/>
      <w:lvlText w:val="(%1)"/>
      <w:numFmt w:val="lowerLetter"/>
      <w:start w:val="3"/>
    </w:lvl>
  </w:abstractNum>
  <w:abstractNum w:abstractNumId="15">
    <w:nsid w:val="3F7F5DD9"/>
    <w:multiLevelType w:val="hybridMultilevel"/>
    <w:lvl w:ilvl="0">
      <w:lvlJc w:val="left"/>
      <w:lvlText w:val="(%1)"/>
      <w:numFmt w:val="lowerLetter"/>
      <w:start w:val="1"/>
    </w:lvl>
  </w:abstractNum>
  <w:abstractNum w:abstractNumId="16">
    <w:nsid w:val="2AE05A34"/>
    <w:multiLevelType w:val="hybridMultilevel"/>
    <w:lvl w:ilvl="0">
      <w:lvlJc w:val="left"/>
      <w:lvlText w:val="(%1)"/>
      <w:numFmt w:val="lowerLetter"/>
      <w:start w:val="4"/>
    </w:lvl>
  </w:abstractNum>
  <w:abstractNum w:abstractNumId="17">
    <w:nsid w:val="32794FF7"/>
    <w:multiLevelType w:val="hybridMultilevel"/>
    <w:lvl w:ilvl="0">
      <w:lvlJc w:val="left"/>
      <w:lvlText w:val="(%1)"/>
      <w:numFmt w:val="lowerLetter"/>
      <w:start w:val="8"/>
    </w:lvl>
  </w:abstractNum>
  <w:abstractNum w:abstractNumId="18">
    <w:nsid w:val="5454945E"/>
    <w:multiLevelType w:val="hybridMultilevel"/>
    <w:lvl w:ilvl="0">
      <w:lvlJc w:val="left"/>
      <w:lvlText w:val="(%1)"/>
      <w:numFmt w:val="lowerLetter"/>
      <w:start w:val="1"/>
    </w:lvl>
  </w:abstractNum>
  <w:abstractNum w:abstractNumId="19">
    <w:nsid w:val="4DEFDFA0"/>
    <w:multiLevelType w:val="hybridMultilevel"/>
    <w:lvl w:ilvl="0">
      <w:lvlJc w:val="left"/>
      <w:lvlText w:val="(%1)"/>
      <w:numFmt w:val="lowerLetter"/>
      <w:start w:val="1"/>
    </w:lvl>
  </w:abstractNum>
  <w:abstractNum w:abstractNumId="20">
    <w:nsid w:val="2123D5F2"/>
    <w:multiLevelType w:val="hybridMultilevel"/>
    <w:lvl w:ilvl="0">
      <w:lvlJc w:val="left"/>
      <w:lvlText w:val="(%1)"/>
      <w:numFmt w:val="lowerLetter"/>
      <w:start w:val="4"/>
    </w:lvl>
  </w:abstractNum>
  <w:abstractNum w:abstractNumId="21">
    <w:nsid w:val="135B8110"/>
    <w:multiLevelType w:val="hybridMultilevel"/>
    <w:lvl w:ilvl="0">
      <w:lvlJc w:val="left"/>
      <w:lvlText w:val="(%1)"/>
      <w:numFmt w:val="lowerLetter"/>
      <w:start w:val="1"/>
    </w:lvl>
  </w:abstractNum>
  <w:abstractNum w:abstractNumId="22">
    <w:nsid w:val="94927A8"/>
    <w:multiLevelType w:val="hybridMultilevel"/>
    <w:lvl w:ilvl="0">
      <w:lvlJc w:val="left"/>
      <w:lvlText w:val="(%1)"/>
      <w:numFmt w:val="lowerLetter"/>
      <w:start w:val="3"/>
    </w:lvl>
  </w:abstractNum>
  <w:abstractNum w:abstractNumId="23">
    <w:nsid w:val="DCDF8F6"/>
    <w:multiLevelType w:val="hybridMultilevel"/>
    <w:lvl w:ilvl="0">
      <w:lvlJc w:val="left"/>
      <w:lvlText w:val="%1"/>
      <w:numFmt w:val="lowerLetter"/>
      <w:start w:val="1"/>
    </w:lvl>
    <w:lvl w:ilvl="1">
      <w:lvlJc w:val="left"/>
      <w:lvlText w:val="(%2)"/>
      <w:numFmt w:val="lowerLetter"/>
      <w:start w:val="1"/>
    </w:lvl>
  </w:abstractNum>
  <w:abstractNum w:abstractNumId="24">
    <w:nsid w:val="52D7B105"/>
    <w:multiLevelType w:val="hybridMultilevel"/>
    <w:lvl w:ilvl="0">
      <w:lvlJc w:val="left"/>
      <w:lvlText w:val="(%1)"/>
      <w:numFmt w:val="lowerLetter"/>
      <w:start w:val="35"/>
    </w:lvl>
    <w:lvl w:ilvl="1">
      <w:lvlJc w:val="left"/>
      <w:lvlText w:val="%2"/>
      <w:numFmt w:val="lowerLetter"/>
      <w:start w:val="1"/>
    </w:lvl>
  </w:abstractNum>
  <w:abstractNum w:abstractNumId="25">
    <w:nsid w:val="2E8A6394"/>
    <w:multiLevelType w:val="hybridMultilevel"/>
    <w:lvl w:ilvl="0">
      <w:lvlJc w:val="left"/>
      <w:lvlText w:val="(%1)"/>
      <w:numFmt w:val="lowerLetter"/>
      <w:start w:val="1"/>
    </w:lvl>
    <w:lvl w:ilvl="1">
      <w:lvlJc w:val="left"/>
      <w:lvlText w:val="(%2)"/>
      <w:numFmt w:val="lowerRoman"/>
      <w:start w:val="1"/>
    </w:lvl>
  </w:abstractNum>
  <w:abstractNum w:abstractNumId="26">
    <w:nsid w:val="24E60401"/>
    <w:multiLevelType w:val="hybridMultilevel"/>
    <w:lvl w:ilvl="0">
      <w:lvlJc w:val="left"/>
      <w:lvlText w:val="(%1)"/>
      <w:numFmt w:val="lowerRoman"/>
      <w:start w:val="6"/>
    </w:lvl>
  </w:abstractNum>
  <w:abstractNum w:abstractNumId="27">
    <w:nsid w:val="2A6AD9BE"/>
    <w:multiLevelType w:val="hybridMultilevel"/>
    <w:lvl w:ilvl="0">
      <w:lvlJc w:val="left"/>
      <w:lvlText w:val="%1"/>
      <w:numFmt w:val="lowerLetter"/>
      <w:start w:val="1"/>
    </w:lvl>
    <w:lvl w:ilvl="1">
      <w:lvlJc w:val="left"/>
      <w:lvlText w:val="(%2)"/>
      <w:numFmt w:val="lowerRoman"/>
      <w:start w:val="14"/>
    </w:lvl>
  </w:abstractNum>
  <w:abstractNum w:abstractNumId="28">
    <w:nsid w:val="BAAC1B4"/>
    <w:multiLevelType w:val="hybridMultilevel"/>
    <w:lvl w:ilvl="0">
      <w:lvlJc w:val="left"/>
      <w:lvlText w:val="(%1)"/>
      <w:numFmt w:val="lowerLetter"/>
      <w:start w:val="2"/>
    </w:lvl>
    <w:lvl w:ilvl="1">
      <w:lvlJc w:val="left"/>
      <w:lvlText w:val="%2"/>
      <w:numFmt w:val="lowerRoman"/>
      <w:start w:val="1"/>
    </w:lvl>
  </w:abstractNum>
  <w:abstractNum w:abstractNumId="29">
    <w:nsid w:val="36B2ACBC"/>
    <w:multiLevelType w:val="hybridMultilevel"/>
    <w:lvl w:ilvl="0">
      <w:lvlJc w:val="left"/>
      <w:lvlText w:val="(%1)"/>
      <w:numFmt w:val="lowerLetter"/>
      <w:start w:val="1"/>
    </w:lvl>
  </w:abstractNum>
  <w:abstractNum w:abstractNumId="30">
    <w:nsid w:val="779D8544"/>
    <w:multiLevelType w:val="hybridMultilevel"/>
    <w:lvl w:ilvl="0">
      <w:lvlJc w:val="left"/>
      <w:lvlText w:val="(%1)"/>
      <w:numFmt w:val="lowerLetter"/>
      <w:start w:val="6"/>
    </w:lvl>
  </w:abstractNum>
  <w:abstractNum w:abstractNumId="31">
    <w:nsid w:val="4AB26E78"/>
    <w:multiLevelType w:val="hybridMultilevel"/>
    <w:lvl w:ilvl="0">
      <w:lvlJc w:val="left"/>
      <w:lvlText w:val="(%1)"/>
      <w:numFmt w:val="lowerLetter"/>
      <w:start w:val="1"/>
    </w:lvl>
  </w:abstractNum>
  <w:abstractNum w:abstractNumId="32">
    <w:nsid w:val="21FAA2FA"/>
    <w:multiLevelType w:val="hybridMultilevel"/>
    <w:lvl w:ilvl="0">
      <w:lvlJc w:val="left"/>
      <w:lvlText w:val="(%1)"/>
      <w:numFmt w:val="lowerLetter"/>
      <w:start w:val="2"/>
    </w:lvl>
  </w:abstractNum>
  <w:abstractNum w:abstractNumId="33">
    <w:nsid w:val="5451CF49"/>
    <w:multiLevelType w:val="hybridMultilevel"/>
    <w:lvl w:ilvl="0">
      <w:lvlJc w:val="left"/>
      <w:lvlText w:val="(%1)"/>
      <w:numFmt w:val="lowerLetter"/>
      <w:start w:val="1"/>
    </w:lvl>
  </w:abstractNum>
  <w:abstractNum w:abstractNumId="34">
    <w:nsid w:val="6181EF69"/>
    <w:multiLevelType w:val="hybridMultilevel"/>
    <w:lvl w:ilvl="0">
      <w:lvlJc w:val="left"/>
      <w:lvlText w:val="(%1)"/>
      <w:numFmt w:val="lowerLetter"/>
      <w:start w:val="3"/>
    </w:lvl>
  </w:abstractNum>
  <w:abstractNum w:abstractNumId="35">
    <w:nsid w:val="3E6400E6"/>
    <w:multiLevelType w:val="hybridMultilevel"/>
    <w:lvl w:ilvl="0">
      <w:lvlJc w:val="left"/>
      <w:lvlText w:val="(%1)"/>
      <w:numFmt w:val="lowerLetter"/>
      <w:start w:val="6"/>
    </w:lvl>
  </w:abstractNum>
  <w:abstractNum w:abstractNumId="36">
    <w:nsid w:val="14217E23"/>
    <w:multiLevelType w:val="hybridMultilevel"/>
    <w:lvl w:ilvl="0">
      <w:lvlJc w:val="left"/>
      <w:lvlText w:val="(%1)"/>
      <w:numFmt w:val="lowerLetter"/>
      <w:start w:val="11"/>
    </w:lvl>
  </w:abstractNum>
  <w:abstractNum w:abstractNumId="37">
    <w:nsid w:val="710757D0"/>
    <w:multiLevelType w:val="hybridMultilevel"/>
    <w:lvl w:ilvl="0">
      <w:lvlJc w:val="left"/>
      <w:lvlText w:val="(%1)"/>
      <w:numFmt w:val="lowerLetter"/>
      <w:start w:val="1"/>
    </w:lvl>
  </w:abstractNum>
  <w:abstractNum w:abstractNumId="38">
    <w:nsid w:val="5015CD1A"/>
    <w:multiLevelType w:val="hybridMultilevel"/>
    <w:lvl w:ilvl="0">
      <w:lvlJc w:val="left"/>
      <w:lvlText w:val="(%1)"/>
      <w:numFmt w:val="lowerLetter"/>
      <w:start w:val="3"/>
    </w:lvl>
  </w:abstractNum>
  <w:abstractNum w:abstractNumId="39">
    <w:nsid w:val="424479DA"/>
    <w:multiLevelType w:val="hybridMultilevel"/>
    <w:lvl w:ilvl="0">
      <w:lvlJc w:val="left"/>
      <w:lvlText w:val="(%1)"/>
      <w:numFmt w:val="lowerLetter"/>
      <w:start w:val="1"/>
    </w:lvl>
  </w:abstractNum>
  <w:abstractNum w:abstractNumId="40">
    <w:nsid w:val="1A9A9E69"/>
    <w:multiLevelType w:val="hybridMultilevel"/>
    <w:lvl w:ilvl="0">
      <w:lvlJc w:val="left"/>
      <w:lvlText w:val="(%1)"/>
      <w:numFmt w:val="lowerLetter"/>
      <w:start w:val="3"/>
    </w:lvl>
  </w:abstractNum>
  <w:abstractNum w:abstractNumId="41">
    <w:nsid w:val="475E256A"/>
    <w:multiLevelType w:val="hybridMultilevel"/>
    <w:lvl w:ilvl="0">
      <w:lvlJc w:val="left"/>
      <w:lvlText w:val="(%1)"/>
      <w:numFmt w:val="lowerLetter"/>
      <w:start w:val="13"/>
    </w:lvl>
  </w:abstractNum>
  <w:abstractNum w:abstractNumId="42">
    <w:nsid w:val="368DB37E"/>
    <w:multiLevelType w:val="hybridMultilevel"/>
    <w:lvl w:ilvl="0">
      <w:lvlJc w:val="left"/>
      <w:lvlText w:val="(%1)"/>
      <w:numFmt w:val="lowerLetter"/>
      <w:start w:val="1"/>
    </w:lvl>
  </w:abstractNum>
  <w:abstractNum w:abstractNumId="43">
    <w:nsid w:val="6A3B714C"/>
    <w:multiLevelType w:val="hybridMultilevel"/>
    <w:lvl w:ilvl="0">
      <w:lvlJc w:val="left"/>
      <w:lvlText w:val="(%1)"/>
      <w:numFmt w:val="lowerLetter"/>
      <w:start w:val="4"/>
    </w:lvl>
  </w:abstractNum>
  <w:abstractNum w:abstractNumId="44">
    <w:nsid w:val="327B517E"/>
    <w:multiLevelType w:val="hybridMultilevel"/>
    <w:lvl w:ilvl="0">
      <w:lvlJc w:val="left"/>
      <w:lvlText w:val="%1"/>
      <w:numFmt w:val="lowerLetter"/>
      <w:start w:val="1"/>
    </w:lvl>
    <w:lvl w:ilvl="1">
      <w:lvlJc w:val="left"/>
      <w:lvlText w:val="(%2)"/>
      <w:numFmt w:val="lowerLetter"/>
      <w:start w:val="1"/>
    </w:lvl>
  </w:abstractNum>
  <w:abstractNum w:abstractNumId="45">
    <w:nsid w:val="1F461B51"/>
    <w:multiLevelType w:val="hybridMultilevel"/>
    <w:lvl w:ilvl="0">
      <w:lvlJc w:val="left"/>
      <w:lvlText w:val="(%1)"/>
      <w:numFmt w:val="lowerLetter"/>
      <w:start w:val="35"/>
    </w:lvl>
    <w:lvl w:ilvl="1">
      <w:lvlJc w:val="left"/>
      <w:lvlText w:val="%2"/>
      <w:numFmt w:val="lowerLetter"/>
      <w:start w:val="1"/>
    </w:lvl>
  </w:abstractNum>
  <w:abstractNum w:abstractNumId="46">
    <w:nsid w:val="29BACF25"/>
    <w:multiLevelType w:val="hybridMultilevel"/>
    <w:lvl w:ilvl="0">
      <w:lvlJc w:val="left"/>
      <w:lvlText w:val="(%1)"/>
      <w:numFmt w:val="lowerLetter"/>
      <w:start w:val="3"/>
    </w:lvl>
  </w:abstractNum>
  <w:abstractNum w:abstractNumId="47">
    <w:nsid w:val="5D5BABB3"/>
    <w:multiLevelType w:val="hybridMultilevel"/>
    <w:lvl w:ilvl="0">
      <w:lvlJc w:val="left"/>
      <w:lvlText w:val="(%1)"/>
      <w:numFmt w:val="lowerLetter"/>
      <w:start w:val="1"/>
    </w:lvl>
  </w:abstractNum>
  <w:abstractNum w:abstractNumId="48">
    <w:nsid w:val="51BF6B48"/>
    <w:multiLevelType w:val="hybridMultilevel"/>
    <w:lvl w:ilvl="0">
      <w:lvlJc w:val="left"/>
      <w:lvlText w:val="(%1)"/>
      <w:numFmt w:val="lowerLetter"/>
      <w:start w:val="1"/>
    </w:lvl>
  </w:abstractNum>
  <w:abstractNum w:abstractNumId="49">
    <w:nsid w:val="7E0F6384"/>
    <w:multiLevelType w:val="hybridMultilevel"/>
    <w:lvl w:ilvl="0">
      <w:lvlJc w:val="left"/>
      <w:lvlText w:val="(%1)"/>
      <w:numFmt w:val="lowerLetter"/>
      <w:start w:val="1"/>
    </w:lvl>
  </w:abstractNum>
  <w:abstractNum w:abstractNumId="50">
    <w:nsid w:val="2B4B8B53"/>
    <w:multiLevelType w:val="hybridMultilevel"/>
    <w:lvl w:ilvl="0">
      <w:lvlJc w:val="left"/>
      <w:lvlText w:val="%1"/>
      <w:numFmt w:val="lowerLetter"/>
      <w:start w:val="1"/>
    </w:lvl>
    <w:lvl w:ilvl="1">
      <w:lvlJc w:val="left"/>
      <w:lvlText w:val="(%2)"/>
      <w:numFmt w:val="lowerLetter"/>
      <w:start w:val="1"/>
    </w:lvl>
  </w:abstractNum>
  <w:abstractNum w:abstractNumId="51">
    <w:nsid w:val="72E3413A"/>
    <w:multiLevelType w:val="hybridMultilevel"/>
    <w:lvl w:ilvl="0">
      <w:lvlJc w:val="left"/>
      <w:lvlText w:val="(%1)"/>
      <w:numFmt w:val="lowerLetter"/>
      <w:start w:val="22"/>
    </w:lvl>
    <w:lvl w:ilvl="1">
      <w:lvlJc w:val="left"/>
      <w:lvlText w:val="(%2)"/>
      <w:numFmt w:val="lowerLetter"/>
      <w:start w:val="2"/>
    </w:lvl>
  </w:abstractNum>
  <w:abstractNum w:abstractNumId="52">
    <w:nsid w:val="116AE494"/>
    <w:multiLevelType w:val="hybridMultilevel"/>
    <w:lvl w:ilvl="0">
      <w:lvlJc w:val="left"/>
      <w:lvlText w:val="(%1)"/>
      <w:numFmt w:val="lowerLetter"/>
      <w:start w:val="1"/>
    </w:lvl>
  </w:abstractNum>
  <w:abstractNum w:abstractNumId="53">
    <w:nsid w:val="3494B2FB"/>
    <w:multiLevelType w:val="hybridMultilevel"/>
    <w:lvl w:ilvl="0">
      <w:lvlJc w:val="left"/>
      <w:lvlText w:val="(%1)"/>
      <w:numFmt w:val="lowerLetter"/>
      <w:start w:val="3"/>
    </w:lvl>
  </w:abstractNum>
  <w:abstractNum w:abstractNumId="54">
    <w:nsid w:val="B13A31"/>
    <w:multiLevelType w:val="hybridMultilevel"/>
    <w:lvl w:ilvl="0">
      <w:lvlJc w:val="left"/>
      <w:lvlText w:val="(%1)"/>
      <w:numFmt w:val="lowerLetter"/>
      <w:start w:val="5"/>
    </w:lvl>
  </w:abstractNum>
  <w:abstractNum w:abstractNumId="55">
    <w:nsid w:val="64429599"/>
    <w:multiLevelType w:val="hybridMultilevel"/>
    <w:lvl w:ilvl="0">
      <w:lvlJc w:val="left"/>
      <w:lvlText w:val="%1"/>
      <w:numFmt w:val="lowerLetter"/>
      <w:start w:val="1"/>
    </w:lvl>
    <w:lvl w:ilvl="1">
      <w:lvlJc w:val="left"/>
      <w:lvlText w:val="(%2)"/>
      <w:numFmt w:val="lowerLetter"/>
      <w:start w:val="1"/>
    </w:lvl>
  </w:abstractNum>
  <w:abstractNum w:abstractNumId="56">
    <w:nsid w:val="631F1690"/>
    <w:multiLevelType w:val="hybridMultilevel"/>
    <w:lvl w:ilvl="0">
      <w:lvlJc w:val="left"/>
      <w:lvlText w:val="(%1)"/>
      <w:numFmt w:val="lowerLetter"/>
      <w:start w:val="9"/>
    </w:lvl>
    <w:lvl w:ilvl="1">
      <w:lvlJc w:val="left"/>
      <w:lvlText w:val="%2"/>
      <w:numFmt w:val="lowerLetter"/>
      <w:start w:val="1"/>
    </w:lvl>
  </w:abstractNum>
  <w:abstractNum w:abstractNumId="57">
    <w:nsid w:val="25973E32"/>
    <w:multiLevelType w:val="hybridMultilevel"/>
    <w:lvl w:ilvl="0">
      <w:lvlJc w:val="left"/>
      <w:lvlText w:val="(%1)"/>
      <w:numFmt w:val="lowerRoman"/>
      <w:start w:val="4"/>
    </w:lvl>
  </w:abstractNum>
  <w:abstractNum w:abstractNumId="58">
    <w:nsid w:val="EAD6F57"/>
    <w:multiLevelType w:val="hybridMultilevel"/>
    <w:lvl w:ilvl="0">
      <w:lvlJc w:val="left"/>
      <w:lvlText w:val="(%1)"/>
      <w:numFmt w:val="lowerLetter"/>
      <w:start w:val="1"/>
    </w:lvl>
  </w:abstractNum>
  <w:abstractNum w:abstractNumId="59">
    <w:nsid w:val="6EC9D844"/>
    <w:multiLevelType w:val="hybridMultilevel"/>
    <w:lvl w:ilvl="0">
      <w:lvlJc w:val="left"/>
      <w:lvlText w:val="(%1)"/>
      <w:numFmt w:val="lowerLetter"/>
      <w:start w:val="1"/>
    </w:lvl>
  </w:abstractNum>
  <w:abstractNum w:abstractNumId="60">
    <w:nsid w:val="5C49EAEE"/>
    <w:multiLevelType w:val="hybridMultilevel"/>
    <w:lvl w:ilvl="0">
      <w:lvlJc w:val="left"/>
      <w:lvlText w:val="%1"/>
      <w:numFmt w:val="lowerLetter"/>
      <w:start w:val="1"/>
    </w:lvl>
    <w:lvl w:ilvl="1">
      <w:lvlJc w:val="left"/>
      <w:lvlText w:val="(%2)"/>
      <w:numFmt w:val="lowerLetter"/>
      <w:start w:val="2"/>
    </w:lvl>
  </w:abstractNum>
  <w:abstractNum w:abstractNumId="61">
    <w:nsid w:val="64AF49B"/>
    <w:multiLevelType w:val="hybridMultilevel"/>
    <w:lvl w:ilvl="0">
      <w:lvlJc w:val="left"/>
      <w:lvlText w:val="(%1)"/>
      <w:numFmt w:val="lowerLetter"/>
      <w:start w:val="61"/>
    </w:lvl>
    <w:lvl w:ilvl="1">
      <w:lvlJc w:val="left"/>
      <w:lvlText w:val="%2"/>
      <w:numFmt w:val="lowerLetter"/>
      <w:start w:val="1"/>
    </w:lvl>
  </w:abstractNum>
  <w:abstractNum w:abstractNumId="62">
    <w:nsid w:val="397C46BC"/>
    <w:multiLevelType w:val="hybridMultilevel"/>
    <w:lvl w:ilvl="0">
      <w:lvlJc w:val="left"/>
      <w:lvlText w:val="(%1)"/>
      <w:numFmt w:val="lowerLetter"/>
      <w:start w:val="1"/>
    </w:lvl>
  </w:abstractNum>
  <w:abstractNum w:abstractNumId="63">
    <w:nsid w:val="7E448DE9"/>
    <w:multiLevelType w:val="hybridMultilevel"/>
    <w:lvl w:ilvl="0">
      <w:lvlJc w:val="left"/>
      <w:lvlText w:val="(%1)"/>
      <w:numFmt w:val="lowerLetter"/>
      <w:start w:val="2"/>
    </w:lvl>
  </w:abstractNum>
  <w:abstractNum w:abstractNumId="64">
    <w:nsid w:val="5A9CC3E5"/>
    <w:multiLevelType w:val="hybridMultilevel"/>
    <w:lvl w:ilvl="0">
      <w:lvlJc w:val="left"/>
      <w:lvlText w:val="(%1)"/>
      <w:numFmt w:val="lowerRoman"/>
      <w:start w:val="2"/>
    </w:lvl>
  </w:abstractNum>
  <w:abstractNum w:abstractNumId="65">
    <w:nsid w:val="1AFE3625"/>
    <w:multiLevelType w:val="hybridMultilevel"/>
    <w:lvl w:ilvl="0">
      <w:lvlJc w:val="left"/>
      <w:lvlText w:val="(%1)"/>
      <w:numFmt w:val="lowerLetter"/>
      <w:start w:val="1"/>
    </w:lvl>
  </w:abstractNum>
  <w:abstractNum w:abstractNumId="66">
    <w:nsid w:val="3CA88ECF"/>
    <w:multiLevelType w:val="hybridMultilevel"/>
    <w:lvl w:ilvl="0">
      <w:lvlJc w:val="left"/>
      <w:lvlText w:val="(%1)"/>
      <w:numFmt w:val="lowerLetter"/>
      <w:start w:val="1"/>
    </w:lvl>
  </w:abstractNum>
  <w:abstractNum w:abstractNumId="67">
    <w:nsid w:val="6EBE4208"/>
    <w:multiLevelType w:val="hybridMultilevel"/>
    <w:lvl w:ilvl="0">
      <w:lvlJc w:val="left"/>
      <w:lvlText w:val="(%1)"/>
      <w:numFmt w:val="lowerLetter"/>
      <w:start w:val="2"/>
    </w:lvl>
  </w:abstractNum>
  <w:abstractNum w:abstractNumId="68">
    <w:nsid w:val="C058DF5"/>
    <w:multiLevelType w:val="hybridMultilevel"/>
    <w:lvl w:ilvl="0">
      <w:lvlJc w:val="left"/>
      <w:lvlText w:val="(%1)"/>
      <w:numFmt w:val="lowerLetter"/>
      <w:start w:val="1"/>
    </w:lvl>
    <w:lvl w:ilvl="1">
      <w:lvlJc w:val="left"/>
      <w:lvlText w:val="(%2)"/>
      <w:numFmt w:val="lowerRoman"/>
      <w:start w:val="1"/>
    </w:lvl>
  </w:abstractNum>
  <w:abstractNum w:abstractNumId="69">
    <w:nsid w:val="CBE5BE9"/>
    <w:multiLevelType w:val="hybridMultilevel"/>
    <w:lvl w:ilvl="0">
      <w:lvlJc w:val="left"/>
      <w:lvlText w:val="(%1)"/>
      <w:numFmt w:val="lowerRoman"/>
      <w:start w:val="5"/>
    </w:lvl>
  </w:abstractNum>
  <w:abstractNum w:abstractNumId="70">
    <w:nsid w:val="3102BBE2"/>
    <w:multiLevelType w:val="hybridMultilevel"/>
    <w:lvl w:ilvl="0">
      <w:lvlJc w:val="left"/>
      <w:lvlText w:val="(%1)"/>
      <w:numFmt w:val="lowerRoman"/>
      <w:start w:val="10"/>
    </w:lvl>
  </w:abstractNum>
  <w:abstractNum w:abstractNumId="71">
    <w:nsid w:val="26A02C5E"/>
    <w:multiLevelType w:val="hybridMultilevel"/>
    <w:lvl w:ilvl="0">
      <w:lvlJc w:val="left"/>
      <w:lvlText w:val="(%1)"/>
      <w:numFmt w:val="lowerLetter"/>
      <w:start w:val="1"/>
    </w:lvl>
  </w:abstractNum>
  <w:abstractNum w:abstractNumId="72">
    <w:nsid w:val="541C8153"/>
    <w:multiLevelType w:val="hybridMultilevel"/>
    <w:lvl w:ilvl="0">
      <w:lvlJc w:val="left"/>
      <w:lvlText w:val="(%1)"/>
      <w:numFmt w:val="lowerLetter"/>
      <w:start w:val="2"/>
    </w:lvl>
  </w:abstractNum>
  <w:abstractNum w:abstractNumId="73">
    <w:nsid w:val="67906F60"/>
    <w:multiLevelType w:val="hybridMultilevel"/>
    <w:lvl w:ilvl="0">
      <w:lvlJc w:val="left"/>
      <w:lvlText w:val="(%1)"/>
      <w:numFmt w:val="lowerLetter"/>
      <w:start w:val="4"/>
    </w:lvl>
  </w:abstractNum>
  <w:abstractNum w:abstractNumId="74">
    <w:nsid w:val="10DB9DAA"/>
    <w:multiLevelType w:val="hybridMultilevel"/>
    <w:lvl w:ilvl="0">
      <w:lvlJc w:val="left"/>
      <w:lvlText w:val="(%1)"/>
      <w:numFmt w:val="lowerLetter"/>
      <w:start w:val="1"/>
    </w:lvl>
  </w:abstractNum>
  <w:abstractNum w:abstractNumId="75">
    <w:nsid w:val="697D2D2"/>
    <w:multiLevelType w:val="hybridMultilevel"/>
    <w:lvl w:ilvl="0">
      <w:lvlJc w:val="left"/>
      <w:lvlText w:val="(%1)"/>
      <w:numFmt w:val="lowerLetter"/>
      <w:start w:val="3"/>
    </w:lvl>
  </w:abstractNum>
  <w:abstractNum w:abstractNumId="76">
    <w:nsid w:val="6D68AB2"/>
    <w:multiLevelType w:val="hybridMultilevel"/>
    <w:lvl w:ilvl="0">
      <w:lvlJc w:val="left"/>
      <w:lvlText w:val="(%1)"/>
      <w:numFmt w:val="lowerLetter"/>
      <w:start w:val="1"/>
    </w:lvl>
  </w:abstractNum>
  <w:abstractNum w:abstractNumId="77">
    <w:nsid w:val="3A966CD0"/>
    <w:multiLevelType w:val="hybridMultilevel"/>
    <w:lvl w:ilvl="0">
      <w:lvlJc w:val="left"/>
      <w:lvlText w:val="(%1)"/>
      <w:numFmt w:val="lowerLetter"/>
      <w:start w:val="2"/>
    </w:lvl>
  </w:abstractNum>
  <w:abstractNum w:abstractNumId="78">
    <w:nsid w:val="63F37E85"/>
    <w:multiLevelType w:val="hybridMultilevel"/>
    <w:lvl w:ilvl="0">
      <w:lvlJc w:val="left"/>
      <w:lvlText w:val="(%1)"/>
      <w:numFmt w:val="lowerLetter"/>
      <w:start w:val="1"/>
    </w:lvl>
    <w:lvl w:ilvl="1">
      <w:lvlJc w:val="left"/>
      <w:lvlText w:val="(%2)"/>
      <w:numFmt w:val="lowerRoman"/>
      <w:start w:val="1"/>
    </w:lvl>
  </w:abstractNum>
  <w:abstractNum w:abstractNumId="79">
    <w:nsid w:val="5895F5FA"/>
    <w:multiLevelType w:val="hybridMultilevel"/>
    <w:lvl w:ilvl="0">
      <w:lvlJc w:val="left"/>
      <w:lvlText w:val="(%1)"/>
      <w:numFmt w:val="lowerLetter"/>
      <w:start w:val="2"/>
    </w:lvl>
  </w:abstractNum>
  <w:abstractNum w:abstractNumId="80">
    <w:nsid w:val="38A5D054"/>
    <w:multiLevelType w:val="hybridMultilevel"/>
    <w:lvl w:ilvl="0">
      <w:lvlJc w:val="left"/>
      <w:lvlText w:val="(%1)"/>
      <w:numFmt w:val="lowerLetter"/>
      <w:start w:val="1"/>
    </w:lvl>
  </w:abstractNum>
  <w:abstractNum w:abstractNumId="81">
    <w:nsid w:val="F3F09D8"/>
    <w:multiLevelType w:val="hybridMultilevel"/>
    <w:lvl w:ilvl="0">
      <w:lvlJc w:val="left"/>
      <w:lvlText w:val="(%1)"/>
      <w:numFmt w:val="lowerLetter"/>
      <w:start w:val="1"/>
    </w:lvl>
  </w:abstractNum>
  <w:abstractNum w:abstractNumId="82">
    <w:nsid w:val="4B793735"/>
    <w:multiLevelType w:val="hybridMultilevel"/>
    <w:lvl w:ilvl="0">
      <w:lvlJc w:val="left"/>
      <w:lvlText w:val="(%1)"/>
      <w:numFmt w:val="upperLetter"/>
      <w:start w:val="2"/>
    </w:lvl>
  </w:abstractNum>
  <w:abstractNum w:abstractNumId="83">
    <w:nsid w:val="4A10B4E8"/>
    <w:multiLevelType w:val="hybridMultilevel"/>
    <w:lvl w:ilvl="0">
      <w:lvlJc w:val="left"/>
      <w:lvlText w:val="(%1)"/>
      <w:numFmt w:val="lowerLetter"/>
      <w:start w:val="1"/>
    </w:lvl>
  </w:abstractNum>
  <w:abstractNum w:abstractNumId="84">
    <w:nsid w:val="43D3BCD4"/>
    <w:multiLevelType w:val="hybridMultilevel"/>
    <w:lvl w:ilvl="0">
      <w:lvlJc w:val="left"/>
      <w:lvlText w:val="(%1)"/>
      <w:numFmt w:val="lowerLetter"/>
      <w:start w:val="2"/>
    </w:lvl>
  </w:abstractNum>
  <w:abstractNum w:abstractNumId="85">
    <w:nsid w:val="4C2A7166"/>
    <w:multiLevelType w:val="hybridMultilevel"/>
    <w:lvl w:ilvl="0">
      <w:lvlJc w:val="left"/>
      <w:lvlText w:val="(%1)"/>
      <w:numFmt w:val="lowerLetter"/>
      <w:start w:val="9"/>
    </w:lvl>
  </w:abstractNum>
  <w:abstractNum w:abstractNumId="86">
    <w:nsid w:val="2E534A82"/>
    <w:multiLevelType w:val="hybridMultilevel"/>
    <w:lvl w:ilvl="0">
      <w:lvlJc w:val="left"/>
      <w:lvlText w:val="(%1)"/>
      <w:numFmt w:val="lowerLetter"/>
      <w:start w:val="1"/>
    </w:lvl>
  </w:abstractNum>
  <w:abstractNum w:abstractNumId="87">
    <w:nsid w:val="26F2D364"/>
    <w:multiLevelType w:val="hybridMultilevel"/>
    <w:lvl w:ilvl="0">
      <w:lvlJc w:val="left"/>
      <w:lvlText w:val="(%1)"/>
      <w:numFmt w:val="lowerLetter"/>
      <w:start w:val="1"/>
    </w:lvl>
  </w:abstractNum>
  <w:abstractNum w:abstractNumId="88">
    <w:nsid w:val="71C1AF98"/>
    <w:multiLevelType w:val="hybridMultilevel"/>
    <w:lvl w:ilvl="0">
      <w:lvlJc w:val="left"/>
      <w:lvlText w:val="(%1)"/>
      <w:numFmt w:val="lowerLetter"/>
      <w:start w:val="2"/>
    </w:lvl>
  </w:abstractNum>
  <w:abstractNum w:abstractNumId="89">
    <w:nsid w:val="3D00B9D9"/>
    <w:multiLevelType w:val="hybridMultilevel"/>
    <w:lvl w:ilvl="0">
      <w:lvlJc w:val="left"/>
      <w:lvlText w:val="(%1)"/>
      <w:numFmt w:val="lowerLetter"/>
      <w:start w:val="1"/>
    </w:lvl>
  </w:abstractNum>
  <w:abstractNum w:abstractNumId="90">
    <w:nsid w:val="15BCABA8"/>
    <w:multiLevelType w:val="hybridMultilevel"/>
    <w:lvl w:ilvl="0">
      <w:lvlJc w:val="left"/>
      <w:lvlText w:val="(%1)"/>
      <w:numFmt w:val="lowerLetter"/>
      <w:start w:val="3"/>
    </w:lvl>
  </w:abstractNum>
  <w:abstractNum w:abstractNumId="91">
    <w:nsid w:val="4E0B9A87"/>
    <w:multiLevelType w:val="hybridMultilevel"/>
    <w:lvl w:ilvl="0">
      <w:lvlJc w:val="left"/>
      <w:lvlText w:val="(%1)"/>
      <w:numFmt w:val="lowerLetter"/>
      <w:start w:val="1"/>
    </w:lvl>
  </w:abstractNum>
  <w:abstractNum w:abstractNumId="92">
    <w:nsid w:val="434BAE75"/>
    <w:multiLevelType w:val="hybridMultilevel"/>
    <w:lvl w:ilvl="0">
      <w:lvlJc w:val="left"/>
      <w:lvlText w:val="(%1)"/>
      <w:numFmt w:val="lowerLetter"/>
      <w:start w:val="3"/>
    </w:lvl>
  </w:abstractNum>
  <w:abstractNum w:abstractNumId="93">
    <w:nsid w:val="4F38F265"/>
    <w:multiLevelType w:val="hybridMultilevel"/>
    <w:lvl w:ilvl="0">
      <w:lvlJc w:val="left"/>
      <w:lvlText w:val="(%1)"/>
      <w:numFmt w:val="lowerLetter"/>
      <w:start w:val="1"/>
    </w:lvl>
  </w:abstractNum>
  <w:abstractNum w:abstractNumId="94">
    <w:nsid w:val="4C502870"/>
    <w:multiLevelType w:val="hybridMultilevel"/>
    <w:lvl w:ilvl="0">
      <w:lvlJc w:val="left"/>
      <w:lvlText w:val="(%1)"/>
      <w:numFmt w:val="lowerLetter"/>
      <w:start w:val="4"/>
    </w:lvl>
  </w:abstractNum>
  <w:abstractNum w:abstractNumId="95">
    <w:nsid w:val="1DE8725A"/>
    <w:multiLevelType w:val="hybridMultilevel"/>
    <w:lvl w:ilvl="0">
      <w:lvlJc w:val="left"/>
      <w:lvlText w:val="(%1)"/>
      <w:numFmt w:val="lowerLetter"/>
      <w:start w:val="1"/>
    </w:lvl>
  </w:abstractNum>
  <w:abstractNum w:abstractNumId="96">
    <w:nsid w:val="6A37288A"/>
    <w:multiLevelType w:val="hybridMultilevel"/>
    <w:lvl w:ilvl="0">
      <w:lvlJc w:val="left"/>
      <w:lvlText w:val="(%1)"/>
      <w:numFmt w:val="lowerLetter"/>
      <w:start w:val="4"/>
    </w:lvl>
  </w:abstractNum>
  <w:abstractNum w:abstractNumId="97">
    <w:nsid w:val="8F8B73F"/>
    <w:multiLevelType w:val="hybridMultilevel"/>
    <w:lvl w:ilvl="0">
      <w:lvlJc w:val="left"/>
      <w:lvlText w:val="(%1)"/>
      <w:numFmt w:val="lowerLetter"/>
      <w:start w:val="1"/>
    </w:lvl>
  </w:abstractNum>
  <w:abstractNum w:abstractNumId="98">
    <w:nsid w:val="CA6B462"/>
    <w:multiLevelType w:val="hybridMultilevel"/>
    <w:lvl w:ilvl="0">
      <w:lvlJc w:val="left"/>
      <w:lvlText w:val="(%1)"/>
      <w:numFmt w:val="lowerLetter"/>
      <w:start w:val="1"/>
    </w:lvl>
  </w:abstractNum>
  <w:abstractNum w:abstractNumId="99">
    <w:nsid w:val="763CB680"/>
    <w:multiLevelType w:val="hybridMultilevel"/>
    <w:lvl w:ilvl="0">
      <w:lvlJc w:val="left"/>
      <w:lvlText w:val="(%1)"/>
      <w:numFmt w:val="lowerLetter"/>
      <w:start w:val="1"/>
    </w:lvl>
  </w:abstractNum>
  <w:abstractNum w:abstractNumId="100">
    <w:nsid w:val="15B71329"/>
    <w:multiLevelType w:val="hybridMultilevel"/>
    <w:lvl w:ilvl="0">
      <w:lvlJc w:val="left"/>
      <w:lvlText w:val="(%1)"/>
      <w:numFmt w:val="lowerLetter"/>
      <w:start w:val="7"/>
    </w:lvl>
  </w:abstractNum>
  <w:abstractNum w:abstractNumId="101">
    <w:nsid w:val="3DA97044"/>
    <w:multiLevelType w:val="hybridMultilevel"/>
    <w:lvl w:ilvl="0">
      <w:lvlJc w:val="left"/>
      <w:lvlText w:val="(%1)"/>
      <w:numFmt w:val="lowerLetter"/>
      <w:start w:val="1"/>
    </w:lvl>
  </w:abstractNum>
  <w:abstractNum w:abstractNumId="102">
    <w:nsid w:val="1CDCE2DE"/>
    <w:multiLevelType w:val="hybridMultilevel"/>
    <w:lvl w:ilvl="0">
      <w:lvlJc w:val="left"/>
      <w:lvlText w:val="(%1)"/>
      <w:numFmt w:val="lowerRoman"/>
      <w:start w:val="1"/>
    </w:lvl>
  </w:abstractNum>
  <w:abstractNum w:abstractNumId="103">
    <w:nsid w:val="69D3947C"/>
    <w:multiLevelType w:val="hybridMultilevel"/>
    <w:lvl w:ilvl="0">
      <w:lvlJc w:val="left"/>
      <w:lvlText w:val="(%1)"/>
      <w:numFmt w:val="lowerLetter"/>
      <w:start w:val="1"/>
    </w:lvl>
  </w:abstractNum>
  <w:abstractNum w:abstractNumId="104">
    <w:nsid w:val="2539DFA5"/>
    <w:multiLevelType w:val="hybridMultilevel"/>
    <w:lvl w:ilvl="0">
      <w:lvlJc w:val="left"/>
      <w:lvlText w:val="(%1)"/>
      <w:numFmt w:val="lowerLetter"/>
      <w:start w:val="6"/>
    </w:lvl>
    <w:lvl w:ilvl="1">
      <w:lvlJc w:val="left"/>
      <w:lvlText w:val="(%2)"/>
      <w:numFmt w:val="lowerRoman"/>
      <w:start w:val="1"/>
    </w:lvl>
  </w:abstractNum>
  <w:abstractNum w:abstractNumId="105">
    <w:nsid w:val="2DB88089"/>
    <w:multiLevelType w:val="hybridMultilevel"/>
    <w:lvl w:ilvl="0">
      <w:lvlJc w:val="left"/>
      <w:lvlText w:val="(%1)"/>
      <w:numFmt w:val="lowerLetter"/>
      <w:start w:val="1"/>
    </w:lvl>
  </w:abstractNum>
  <w:abstractNum w:abstractNumId="106">
    <w:nsid w:val="706B674E"/>
    <w:multiLevelType w:val="hybridMultilevel"/>
    <w:lvl w:ilvl="0">
      <w:lvlJc w:val="left"/>
      <w:lvlText w:val="(%1)"/>
      <w:numFmt w:val="lowerLetter"/>
      <w:start w:val="3"/>
    </w:lvl>
  </w:abstractNum>
  <w:abstractNum w:abstractNumId="107">
    <w:nsid w:val="2C106A57"/>
    <w:multiLevelType w:val="hybridMultilevel"/>
    <w:lvl w:ilvl="0">
      <w:lvlJc w:val="left"/>
      <w:lvlText w:val="(%1)"/>
      <w:numFmt w:val="lowerLetter"/>
      <w:start w:val="5"/>
    </w:lvl>
  </w:abstractNum>
  <w:abstractNum w:abstractNumId="108">
    <w:nsid w:val="684EED59"/>
    <w:multiLevelType w:val="hybridMultilevel"/>
    <w:lvl w:ilvl="0">
      <w:lvlJc w:val="left"/>
      <w:lvlText w:val="(%1)"/>
      <w:numFmt w:val="lowerLetter"/>
      <w:start w:val="1"/>
    </w:lvl>
  </w:abstractNum>
  <w:abstractNum w:abstractNumId="109">
    <w:nsid w:val="545EE5D3"/>
    <w:multiLevelType w:val="hybridMultilevel"/>
    <w:lvl w:ilvl="0">
      <w:lvlJc w:val="left"/>
      <w:lvlText w:val="(%1)"/>
      <w:numFmt w:val="lowerLetter"/>
      <w:start w:val="2"/>
    </w:lvl>
  </w:abstractNum>
  <w:abstractNum w:abstractNumId="110">
    <w:nsid w:val="4A66051"/>
    <w:multiLevelType w:val="hybridMultilevel"/>
    <w:lvl w:ilvl="0">
      <w:lvlJc w:val="left"/>
      <w:lvlText w:val="(%1)"/>
      <w:numFmt w:val="lowerLetter"/>
      <w:start w:val="1"/>
    </w:lvl>
  </w:abstractNum>
  <w:abstractNum w:abstractNumId="111">
    <w:nsid w:val="20F4BDAD"/>
    <w:multiLevelType w:val="hybridMultilevel"/>
    <w:lvl w:ilvl="0">
      <w:lvlJc w:val="left"/>
      <w:lvlText w:val="(%1)"/>
      <w:numFmt w:val="lowerLetter"/>
      <w:start w:val="2"/>
    </w:lvl>
  </w:abstractNum>
  <w:abstractNum w:abstractNumId="112">
    <w:nsid w:val="639DEFAC"/>
    <w:multiLevelType w:val="hybridMultilevel"/>
    <w:lvl w:ilvl="0">
      <w:lvlJc w:val="left"/>
      <w:lvlText w:val="%1."/>
      <w:numFmt w:val="decimal"/>
      <w:start w:val="1"/>
    </w:lvl>
  </w:abstractNum>
  <w:abstractNum w:abstractNumId="113">
    <w:nsid w:val="501F9786"/>
    <w:multiLevelType w:val="hybridMultilevel"/>
    <w:lvl w:ilvl="0">
      <w:lvlJc w:val="left"/>
      <w:lvlText w:val="%1."/>
      <w:numFmt w:val="decimal"/>
      <w:start w:val="1"/>
    </w:lvl>
  </w:abstractNum>
  <w:abstractNum w:abstractNumId="114">
    <w:nsid w:val="6B057295"/>
    <w:multiLevelType w:val="hybridMultilevel"/>
    <w:lvl w:ilvl="0">
      <w:lvlJc w:val="left"/>
      <w:lvlText w:val="%1."/>
      <w:numFmt w:val="decimal"/>
      <w:start w:val="1"/>
    </w:lvl>
  </w:abstractNum>
  <w:abstractNum w:abstractNumId="115">
    <w:nsid w:val="2771AC8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6">
    <w:nsid w:val="1C4A08EC"/>
    <w:multiLevelType w:val="hybridMultilevel"/>
    <w:lvl w:ilvl="0">
      <w:lvlJc w:val="left"/>
      <w:lvlText w:val="%1."/>
      <w:numFmt w:val="decimal"/>
      <w:start w:val="4"/>
    </w:lvl>
    <w:lvl w:ilvl="1">
      <w:lvlJc w:val="left"/>
      <w:lvlText w:val="%2."/>
      <w:numFmt w:val="lowerLetter"/>
      <w:start w:val="1"/>
    </w:lvl>
  </w:abstractNum>
  <w:abstractNum w:abstractNumId="117">
    <w:nsid w:val="1958BD17"/>
    <w:multiLevelType w:val="hybridMultilevel"/>
    <w:lvl w:ilvl="0">
      <w:lvlJc w:val="left"/>
      <w:lvlText w:val="%1."/>
      <w:numFmt w:val="lowerLetter"/>
      <w:start w:val="6"/>
    </w:lvl>
  </w:abstractNum>
  <w:abstractNum w:abstractNumId="118">
    <w:nsid w:val="4E647FE4"/>
    <w:multiLevelType w:val="hybridMultilevel"/>
    <w:lvl w:ilvl="0">
      <w:lvlJc w:val="left"/>
      <w:lvlText w:val="%1"/>
      <w:numFmt w:val="decimal"/>
      <w:start w:val="1"/>
    </w:lvl>
    <w:lvl w:ilvl="1">
      <w:lvlJc w:val="left"/>
      <w:lvlText w:val="%2."/>
      <w:numFmt w:val="lowerLetter"/>
      <w:start w:val="12"/>
    </w:lvl>
  </w:abstractNum>
  <w:abstractNum w:abstractNumId="119">
    <w:nsid w:val="E0BB885"/>
    <w:multiLevelType w:val="hybridMultilevel"/>
    <w:lvl w:ilvl="0">
      <w:lvlJc w:val="left"/>
      <w:lvlText w:val="%1."/>
      <w:numFmt w:val="decimal"/>
      <w:start w:val="6"/>
    </w:lvl>
    <w:lvl w:ilvl="1">
      <w:lvlJc w:val="left"/>
      <w:lvlText w:val="%2."/>
      <w:numFmt w:val="lowerLetter"/>
      <w:start w:val="1"/>
    </w:lvl>
  </w:abstractNum>
  <w:abstractNum w:abstractNumId="120">
    <w:nsid w:val="565976F1"/>
    <w:multiLevelType w:val="hybridMultilevel"/>
    <w:lvl w:ilvl="0">
      <w:lvlJc w:val="left"/>
      <w:lvlText w:val="%1"/>
      <w:numFmt w:val="lowerRoman"/>
      <w:start w:val="1"/>
    </w:lvl>
    <w:lvl w:ilvl="1">
      <w:lvlJc w:val="left"/>
      <w:lvlText w:val="%2."/>
      <w:numFmt w:val="lowerLetter"/>
      <w:start w:val="5"/>
    </w:lvl>
  </w:abstractNum>
  <w:abstractNum w:abstractNumId="121">
    <w:nsid w:val="64212B8C"/>
    <w:multiLevelType w:val="hybridMultilevel"/>
    <w:lvl w:ilvl="0">
      <w:lvlJc w:val="left"/>
      <w:lvlText w:val="(%1)"/>
      <w:numFmt w:val="lowerRoman"/>
      <w:start w:val="2"/>
    </w:lvl>
    <w:lvl w:ilvl="1">
      <w:lvlJc w:val="left"/>
      <w:lvlText w:val="%2."/>
      <w:numFmt w:val="lowerLetter"/>
      <w:start w:val="7"/>
    </w:lvl>
  </w:abstractNum>
  <w:abstractNum w:abstractNumId="122">
    <w:nsid w:val="5C17530C"/>
    <w:multiLevelType w:val="hybridMultilevel"/>
    <w:lvl w:ilvl="0">
      <w:lvlJc w:val="left"/>
      <w:lvlText w:val="%1."/>
      <w:numFmt w:val="lowerLetter"/>
      <w:start w:val="13"/>
    </w:lvl>
  </w:abstractNum>
  <w:abstractNum w:abstractNumId="123">
    <w:nsid w:val="19A52566"/>
    <w:multiLevelType w:val="hybridMultilevel"/>
    <w:lvl w:ilvl="0">
      <w:lvlJc w:val="left"/>
      <w:lvlText w:val="%1."/>
      <w:numFmt w:val="decimal"/>
      <w:start w:val="7"/>
    </w:lvl>
  </w:abstractNum>
  <w:abstractNum w:abstractNumId="124">
    <w:nsid w:val="335A1DF1"/>
    <w:multiLevelType w:val="hybridMultilevel"/>
    <w:lvl w:ilvl="0">
      <w:lvlJc w:val="left"/>
      <w:lvlText w:val="%1."/>
      <w:numFmt w:val="decimal"/>
      <w:start w:val="10"/>
    </w:lvl>
    <w:lvl w:ilvl="1">
      <w:lvlJc w:val="left"/>
      <w:lvlText w:val="%2."/>
      <w:numFmt w:val="lowerLetter"/>
      <w:start w:val="1"/>
    </w:lvl>
  </w:abstractNum>
  <w:abstractNum w:abstractNumId="125">
    <w:nsid w:val="28677B7C"/>
    <w:multiLevelType w:val="hybridMultilevel"/>
    <w:lvl w:ilvl="0">
      <w:lvlJc w:val="left"/>
      <w:lvlText w:val="%1."/>
      <w:numFmt w:val="lowerLetter"/>
      <w:start w:val="8"/>
    </w:lvl>
  </w:abstractNum>
  <w:abstractNum w:abstractNumId="126">
    <w:nsid w:val="378D97C0"/>
    <w:multiLevelType w:val="hybridMultilevel"/>
    <w:lvl w:ilvl="0">
      <w:lvlJc w:val="left"/>
      <w:lvlText w:val="%1."/>
      <w:numFmt w:val="lowerLetter"/>
      <w:start w:val="14"/>
    </w:lvl>
  </w:abstractNum>
  <w:abstractNum w:abstractNumId="127">
    <w:nsid w:val="1D91467C"/>
    <w:multiLevelType w:val="hybridMultilevel"/>
    <w:lvl w:ilvl="0">
      <w:lvlJc w:val="left"/>
      <w:lvlText w:val="%1."/>
      <w:numFmt w:val="decimal"/>
      <w:start w:val="11"/>
    </w:lvl>
  </w:abstractNum>
  <w:abstractNum w:abstractNumId="128">
    <w:nsid w:val="316032BB"/>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29">
    <w:nsid w:val="44344C22"/>
    <w:multiLevelType w:val="hybridMultilevel"/>
    <w:lvl w:ilvl="0">
      <w:lvlJc w:val="left"/>
      <w:lvlText w:val="☐"/>
      <w:numFmt w:val="bullet"/>
      <w:start w:val="1"/>
    </w:lvl>
  </w:abstractNum>
  <w:abstractNum w:abstractNumId="130">
    <w:nsid w:val="13CDFCFC"/>
    <w:multiLevelType w:val="hybridMultilevel"/>
    <w:lvl w:ilvl="0">
      <w:lvlJc w:val="left"/>
      <w:lvlText w:val="%1."/>
      <w:numFmt w:val="decimal"/>
      <w:start w:val="1"/>
    </w:lvl>
  </w:abstractNum>
  <w:abstractNum w:abstractNumId="131">
    <w:nsid w:val="471745E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2">
    <w:nsid w:val="1DDBC66"/>
    <w:multiLevelType w:val="hybridMultilevel"/>
    <w:lvl w:ilvl="0">
      <w:lvlJc w:val="left"/>
      <w:lvlText w:val="%1."/>
      <w:numFmt w:val="decimal"/>
      <w:start w:val="4"/>
    </w:lvl>
    <w:lvl w:ilvl="1">
      <w:lvlJc w:val="left"/>
      <w:lvlText w:val="%2."/>
      <w:numFmt w:val="lowerLetter"/>
      <w:start w:val="1"/>
    </w:lvl>
  </w:abstractNum>
  <w:abstractNum w:abstractNumId="133">
    <w:nsid w:val="30AADFDA"/>
    <w:multiLevelType w:val="hybridMultilevel"/>
    <w:lvl w:ilvl="0">
      <w:lvlJc w:val="left"/>
      <w:lvlText w:val="%1."/>
      <w:numFmt w:val="lowerLetter"/>
      <w:start w:val="6"/>
    </w:lvl>
  </w:abstractNum>
  <w:abstractNum w:abstractNumId="134">
    <w:nsid w:val="30EADA61"/>
    <w:multiLevelType w:val="hybridMultilevel"/>
    <w:lvl w:ilvl="0">
      <w:lvlJc w:val="left"/>
      <w:lvlText w:val="%1"/>
      <w:numFmt w:val="decimal"/>
      <w:start w:val="1"/>
    </w:lvl>
    <w:lvl w:ilvl="1">
      <w:lvlJc w:val="left"/>
      <w:lvlText w:val="%2."/>
      <w:numFmt w:val="lowerLetter"/>
      <w:start w:val="12"/>
    </w:lvl>
  </w:abstractNum>
  <w:abstractNum w:abstractNumId="135">
    <w:nsid w:val="27179C0B"/>
    <w:multiLevelType w:val="hybridMultilevel"/>
    <w:lvl w:ilvl="0">
      <w:lvlJc w:val="left"/>
      <w:lvlText w:val="%1."/>
      <w:numFmt w:val="decimal"/>
      <w:start w:val="6"/>
    </w:lvl>
    <w:lvl w:ilvl="1">
      <w:lvlJc w:val="left"/>
      <w:lvlText w:val="%2."/>
      <w:numFmt w:val="lowerLetter"/>
      <w:start w:val="1"/>
    </w:lvl>
  </w:abstractNum>
  <w:abstractNum w:abstractNumId="136">
    <w:nsid w:val="5E636063"/>
    <w:multiLevelType w:val="hybridMultilevel"/>
    <w:lvl w:ilvl="0">
      <w:lvlJc w:val="left"/>
      <w:lvlText w:val="%1"/>
      <w:numFmt w:val="lowerRoman"/>
      <w:start w:val="1"/>
    </w:lvl>
    <w:lvl w:ilvl="1">
      <w:lvlJc w:val="left"/>
      <w:lvlText w:val="%2."/>
      <w:numFmt w:val="lowerLetter"/>
      <w:start w:val="6"/>
    </w:lvl>
  </w:abstractNum>
  <w:abstractNum w:abstractNumId="137">
    <w:nsid w:val="215641AF"/>
    <w:multiLevelType w:val="hybridMultilevel"/>
    <w:lvl w:ilvl="0">
      <w:lvlJc w:val="left"/>
      <w:lvlText w:val="(%1)"/>
      <w:numFmt w:val="lowerRoman"/>
      <w:start w:val="2"/>
    </w:lvl>
    <w:lvl w:ilvl="1">
      <w:lvlJc w:val="left"/>
      <w:lvlText w:val="%2."/>
      <w:numFmt w:val="lowerLetter"/>
      <w:start w:val="7"/>
    </w:lvl>
  </w:abstractNum>
  <w:abstractNum w:abstractNumId="138">
    <w:nsid w:val="53280662"/>
    <w:multiLevelType w:val="hybridMultilevel"/>
    <w:lvl w:ilvl="0">
      <w:lvlJc w:val="left"/>
      <w:lvlText w:val="%1."/>
      <w:numFmt w:val="lowerLetter"/>
      <w:start w:val="13"/>
    </w:lvl>
  </w:abstractNum>
  <w:abstractNum w:abstractNumId="139">
    <w:nsid w:val="46B24DBC"/>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40">
    <w:nsid w:val="75B52783"/>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2"/>
    </w:lvl>
  </w:abstractNum>
  <w:abstractNum w:abstractNumId="141">
    <w:nsid w:val="57CE66B4"/>
    <w:multiLevelType w:val="hybridMultilevel"/>
    <w:lvl w:ilvl="0">
      <w:lvlJc w:val="left"/>
      <w:lvlText w:val="%1."/>
      <w:numFmt w:val="lowerLetter"/>
      <w:start w:val="3"/>
    </w:lvl>
    <w:lvl w:ilvl="1">
      <w:lvlJc w:val="left"/>
      <w:lvlText w:val="(%2)"/>
      <w:numFmt w:val="lowerRoman"/>
      <w:start w:val="1"/>
    </w:lvl>
  </w:abstractNum>
  <w:abstractNum w:abstractNumId="142">
    <w:nsid w:val="67A70B69"/>
    <w:multiLevelType w:val="hybridMultilevel"/>
    <w:lvl w:ilvl="0">
      <w:lvlJc w:val="left"/>
      <w:lvlText w:val="%1"/>
      <w:numFmt w:val="decimal"/>
      <w:start w:val="1"/>
    </w:lvl>
    <w:lvl w:ilvl="1">
      <w:lvlJc w:val="left"/>
      <w:lvlText w:val="(%2)"/>
      <w:numFmt w:val="lowerRoman"/>
      <w:start w:val="4"/>
    </w:lvl>
  </w:abstractNum>
  <w:abstractNum w:abstractNumId="143">
    <w:nsid w:val="5953172F"/>
    <w:multiLevelType w:val="hybridMultilevel"/>
    <w:lvl w:ilvl="0">
      <w:lvlJc w:val="left"/>
      <w:lvlText w:val="%1."/>
      <w:numFmt w:val="decimal"/>
      <w:start w:val="8"/>
    </w:lvl>
    <w:lvl w:ilvl="1">
      <w:lvlJc w:val="left"/>
      <w:lvlText w:val="%2"/>
      <w:numFmt w:val="lowerRoman"/>
      <w:start w:val="1"/>
    </w:lvl>
  </w:abstractNum>
  <w:abstractNum w:abstractNumId="144">
    <w:nsid w:val="27EDFE3A"/>
    <w:multiLevelType w:val="hybridMultilevel"/>
    <w:lvl w:ilvl="0">
      <w:lvlJc w:val="left"/>
      <w:lvlText w:val="%1."/>
      <w:numFmt w:val="decimal"/>
      <w:start w:val="9"/>
    </w:lvl>
    <w:lvl w:ilvl="1">
      <w:lvlJc w:val="left"/>
      <w:lvlText w:val="%2."/>
      <w:numFmt w:val="lowerLetter"/>
      <w:start w:val="1"/>
    </w:lvl>
  </w:abstractNum>
  <w:abstractNum w:abstractNumId="145">
    <w:nsid w:val="52AC7DFF"/>
    <w:multiLevelType w:val="hybridMultilevel"/>
    <w:lvl w:ilvl="0">
      <w:lvlJc w:val="left"/>
      <w:lvlText w:val="%1."/>
      <w:numFmt w:val="lowerLetter"/>
      <w:start w:val="5"/>
    </w:lvl>
  </w:abstractNum>
  <w:abstractNum w:abstractNumId="146">
    <w:nsid w:val="C4C3AF"/>
    <w:multiLevelType w:val="hybridMultilevel"/>
    <w:lvl w:ilvl="0">
      <w:lvlJc w:val="left"/>
      <w:lvlText w:val="%1."/>
      <w:numFmt w:val="lowerLetter"/>
      <w:start w:val="13"/>
    </w:lvl>
  </w:abstractNum>
  <w:abstractNum w:abstractNumId="147">
    <w:nsid w:val="44380727"/>
    <w:multiLevelType w:val="hybridMultilevel"/>
    <w:lvl w:ilvl="0">
      <w:lvlJc w:val="left"/>
      <w:lvlText w:val="%1."/>
      <w:numFmt w:val="decimal"/>
      <w:start w:val="11"/>
    </w:lvl>
  </w:abstractNum>
  <w:abstractNum w:abstractNumId="148">
    <w:nsid w:val="6C053B16"/>
    <w:multiLevelType w:val="hybridMultilevel"/>
    <w:lvl w:ilvl="0">
      <w:lvlJc w:val="left"/>
      <w:lvlText w:val="%1."/>
      <w:numFmt w:val="decimal"/>
      <w:start w:val="13"/>
    </w:lvl>
  </w:abstractNum>
  <w:abstractNum w:abstractNumId="149">
    <w:nsid w:val="4F294393"/>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50">
    <w:nsid w:val="5243BFAC"/>
    <w:multiLevelType w:val="hybridMultilevel"/>
    <w:lvl w:ilvl="0">
      <w:lvlJc w:val="left"/>
      <w:lvlText w:val="☐"/>
      <w:numFmt w:val="bullet"/>
      <w:start w:val="1"/>
    </w:lvl>
  </w:abstractNum>
  <w:abstractNum w:abstractNumId="151">
    <w:nsid w:val="425EB207"/>
    <w:multiLevelType w:val="hybridMultilevel"/>
    <w:lvl w:ilvl="0">
      <w:lvlJc w:val="left"/>
      <w:lvlText w:val="%1."/>
      <w:numFmt w:val="decimal"/>
      <w:start w:val="1"/>
    </w:lvl>
  </w:abstractNum>
  <w:abstractNum w:abstractNumId="152">
    <w:nsid w:val="334A6F1F"/>
    <w:multiLevelType w:val="hybridMultilevel"/>
    <w:lvl w:ilvl="0">
      <w:lvlJc w:val="left"/>
      <w:lvlText w:val="(%1)"/>
      <w:numFmt w:val="lowerLetter"/>
      <w:start w:val="1"/>
    </w:lvl>
  </w:abstractNum>
  <w:abstractNum w:abstractNumId="153">
    <w:nsid w:val="2E5B12B8"/>
    <w:multiLevelType w:val="hybridMultilevel"/>
    <w:lvl w:ilvl="0">
      <w:lvlJc w:val="left"/>
      <w:lvlText w:val="%1"/>
      <w:numFmt w:val="decimal"/>
      <w:start w:val="1"/>
    </w:lvl>
    <w:lvl w:ilvl="1">
      <w:lvlJc w:val="left"/>
      <w:lvlText w:val="(%2)"/>
      <w:numFmt w:val="lowerLetter"/>
      <w:start w:val="2"/>
    </w:lvl>
  </w:abstractNum>
  <w:abstractNum w:abstractNumId="154">
    <w:nsid w:val="5C03D76D"/>
    <w:multiLevelType w:val="hybridMultilevel"/>
    <w:lvl w:ilvl="0">
      <w:lvlJc w:val="left"/>
      <w:lvlText w:val="%1."/>
      <w:numFmt w:val="decimal"/>
      <w:start w:val="2"/>
    </w:lvl>
    <w:lvl w:ilvl="1">
      <w:lvlJc w:val="left"/>
      <w:lvlText w:val="%2"/>
      <w:numFmt w:val="lowerLetter"/>
      <w:start w:val="1"/>
    </w:lvl>
  </w:abstractNum>
  <w:abstractNum w:abstractNumId="155">
    <w:nsid w:val="66A48D11"/>
    <w:multiLevelType w:val="hybridMultilevel"/>
    <w:lvl w:ilvl="0">
      <w:lvlJc w:val="left"/>
      <w:lvlText w:val="(%1)"/>
      <w:numFmt w:val="lowerLetter"/>
      <w:start w:val="1"/>
    </w:lvl>
  </w:abstractNum>
  <w:abstractNum w:abstractNumId="156">
    <w:nsid w:val="56C28E34"/>
    <w:multiLevelType w:val="hybridMultilevel"/>
    <w:lvl w:ilvl="0">
      <w:lvlJc w:val="left"/>
      <w:lvlText w:val="(%1)"/>
      <w:numFmt w:val="lowerLetter"/>
      <w:start w:val="2"/>
    </w:lvl>
  </w:abstractNum>
  <w:abstractNum w:abstractNumId="157">
    <w:nsid w:val="13916F2D"/>
    <w:multiLevelType w:val="hybridMultilevel"/>
    <w:lvl w:ilvl="0">
      <w:lvlJc w:val="left"/>
      <w:lvlText w:val="%1."/>
      <w:numFmt w:val="decimal"/>
      <w:start w:val="3"/>
    </w:lvl>
  </w:abstractNum>
  <w:abstractNum w:abstractNumId="158">
    <w:nsid w:val="435D38D"/>
    <w:multiLevelType w:val="hybridMultilevel"/>
    <w:lvl w:ilvl="0">
      <w:lvlJc w:val="left"/>
      <w:lvlText w:val="(%1)"/>
      <w:numFmt w:val="lowerLetter"/>
      <w:start w:val="1"/>
    </w:lvl>
  </w:abstractNum>
  <w:abstractNum w:abstractNumId="159">
    <w:nsid w:val="822C0EF"/>
    <w:multiLevelType w:val="hybridMultilevel"/>
    <w:lvl w:ilvl="0">
      <w:lvlJc w:val="left"/>
      <w:lvlText w:val="(%1)"/>
      <w:numFmt w:val="lowerLetter"/>
      <w:start w:val="5"/>
    </w:lvl>
  </w:abstractNum>
  <w:abstractNum w:abstractNumId="160">
    <w:nsid w:val="57C5BB4F"/>
    <w:multiLevelType w:val="hybridMultilevel"/>
    <w:lvl w:ilvl="0">
      <w:lvlJc w:val="left"/>
      <w:lvlText w:val="%1."/>
      <w:numFmt w:val="decimal"/>
      <w:start w:val="4"/>
    </w:lvl>
  </w:abstractNum>
  <w:abstractNum w:abstractNumId="161">
    <w:nsid w:val="1803D089"/>
    <w:multiLevelType w:val="hybridMultilevel"/>
    <w:lvl w:ilvl="0">
      <w:lvlJc w:val="left"/>
      <w:lvlText w:val="%1."/>
      <w:numFmt w:val="decimal"/>
      <w:start w:val="6"/>
    </w:lvl>
  </w:abstractNum>
  <w:abstractNum w:abstractNumId="162">
    <w:nsid w:val="4F3A06D4"/>
    <w:multiLevelType w:val="hybridMultilevel"/>
    <w:lvl w:ilvl="0">
      <w:lvlJc w:val="left"/>
      <w:lvlText w:val="%1."/>
      <w:numFmt w:val="decimal"/>
      <w:start w:val="8"/>
    </w:lvl>
  </w:abstractNum>
  <w:abstractNum w:abstractNumId="163">
    <w:nsid w:val="59A377B6"/>
    <w:multiLevelType w:val="hybridMultilevel"/>
    <w:lvl w:ilvl="0">
      <w:lvlJc w:val="left"/>
      <w:lvlText w:val="%1."/>
      <w:numFmt w:val="decimal"/>
      <w:start w:val="9"/>
    </w:lvl>
  </w:abstractNum>
  <w:abstractNum w:abstractNumId="164">
    <w:nsid w:val="48AEB063"/>
    <w:multiLevelType w:val="hybridMultilevel"/>
    <w:lvl w:ilvl="0">
      <w:lvlJc w:val="left"/>
      <w:lvlText w:val="%1."/>
      <w:numFmt w:val="decimal"/>
      <w:start w:val="12"/>
    </w:lvl>
  </w:abstractNum>
  <w:abstractNum w:abstractNumId="165">
    <w:nsid w:val="24E135"/>
    <w:multiLevelType w:val="hybridMultilevel"/>
    <w:lvl w:ilvl="0">
      <w:lvlJc w:val="left"/>
      <w:lvlText w:val="%1."/>
      <w:numFmt w:val="decimal"/>
      <w:start w:val="17"/>
    </w:lvl>
  </w:abstractNum>
  <w:abstractNum w:abstractNumId="166">
    <w:nsid w:val="BB13C1"/>
    <w:multiLevelType w:val="hybridMultilevel"/>
    <w:lvl w:ilvl="0">
      <w:lvlJc w:val="left"/>
      <w:lvlText w:val="%1"/>
      <w:numFmt w:val="lowerRoman"/>
      <w:start w:val="1"/>
    </w:lvl>
    <w:lvl w:ilvl="1">
      <w:lvlJc w:val="left"/>
      <w:lvlText w:val="%2."/>
      <w:numFmt w:val="decimal"/>
      <w:start w:val="21"/>
    </w:lvl>
  </w:abstractNum>
  <w:abstractNum w:abstractNumId="167">
    <w:nsid w:val="271210C7"/>
    <w:multiLevelType w:val="hybridMultilevel"/>
    <w:lvl w:ilvl="0">
      <w:lvlJc w:val="left"/>
      <w:lvlText w:val="(%1)"/>
      <w:numFmt w:val="lowerRoman"/>
      <w:start w:val="2"/>
    </w:lvl>
    <w:lvl w:ilvl="1">
      <w:lvlJc w:val="left"/>
      <w:lvlText w:val="%2"/>
      <w:numFmt w:val="decimal"/>
      <w:start w:val="1"/>
    </w:lvl>
  </w:abstractNum>
  <w:abstractNum w:abstractNumId="168">
    <w:nsid w:val="217B22E4"/>
    <w:multiLevelType w:val="hybridMultilevel"/>
    <w:lvl w:ilvl="0">
      <w:lvlJc w:val="left"/>
      <w:lvlText w:val="["/>
      <w:numFmt w:val="bullet"/>
      <w:start w:val="1"/>
    </w:lvl>
  </w:abstractNum>
  <w:abstractNum w:abstractNumId="169">
    <w:nsid w:val="53E31A24"/>
    <w:multiLevelType w:val="hybridMultilevel"/>
    <w:lvl w:ilvl="0">
      <w:lvlJc w:val="left"/>
      <w:lvlText w:val="(%1)"/>
      <w:numFmt w:val="decimal"/>
      <w:start w:val="1"/>
    </w:lvl>
  </w:abstractNum>
  <w:abstractNum w:abstractNumId="170">
    <w:nsid w:val="6DC45E83"/>
    <w:multiLevelType w:val="hybridMultilevel"/>
    <w:lvl w:ilvl="0">
      <w:lvlJc w:val="left"/>
      <w:lvlText w:val="%1."/>
      <w:numFmt w:val="decimal"/>
      <w:start w:val="1"/>
    </w:lvl>
  </w:abstractNum>
  <w:abstractNum w:abstractNumId="171">
    <w:nsid w:val="17304A67"/>
    <w:multiLevelType w:val="hybridMultilevel"/>
    <w:lvl w:ilvl="0">
      <w:lvlJc w:val="left"/>
      <w:lvlText w:val="%1."/>
      <w:numFmt w:val="decimal"/>
      <w:start w:val="3"/>
    </w:lvl>
  </w:abstractNum>
  <w:abstractNum w:abstractNumId="172">
    <w:nsid w:val="2BB180D8"/>
    <w:multiLevelType w:val="hybridMultilevel"/>
    <w:lvl w:ilvl="0">
      <w:lvlJc w:val="left"/>
      <w:lvlText w:val="%1."/>
      <w:numFmt w:val="decimal"/>
      <w:start w:val="5"/>
    </w:lvl>
  </w:abstractNum>
  <w:abstractNum w:abstractNumId="173">
    <w:nsid w:val="556B69ED"/>
    <w:multiLevelType w:val="hybridMultilevel"/>
    <w:lvl w:ilvl="0">
      <w:lvlJc w:val="left"/>
      <w:lvlText w:val="(%1)"/>
      <w:numFmt w:val="lowerLetter"/>
      <w:start w:val="1"/>
    </w:lvl>
  </w:abstractNum>
  <w:abstractNum w:abstractNumId="174">
    <w:nsid w:val="70836196"/>
    <w:multiLevelType w:val="hybridMultilevel"/>
    <w:lvl w:ilvl="0">
      <w:lvlJc w:val="left"/>
      <w:lvlText w:val="(%1)"/>
      <w:numFmt w:val="lowerLetter"/>
      <w:start w:val="2"/>
    </w:lvl>
  </w:abstractNum>
  <w:abstractNum w:abstractNumId="175">
    <w:nsid w:val="539F7F12"/>
    <w:multiLevelType w:val="hybridMultilevel"/>
    <w:lvl w:ilvl="0">
      <w:lvlJc w:val="left"/>
      <w:lvlText w:val="(%1)"/>
      <w:numFmt w:val="lowerLetter"/>
      <w:start w:val="1"/>
    </w:lvl>
    <w:lvl w:ilvl="1">
      <w:lvlJc w:val="left"/>
      <w:lvlText w:val="(%2)"/>
      <w:numFmt w:val="lowerRoman"/>
      <w:start w:val="1"/>
    </w:lvl>
  </w:abstractNum>
  <w:abstractNum w:abstractNumId="176">
    <w:nsid w:val="2817E7EC"/>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177">
    <w:nsid w:val="71482545"/>
    <w:multiLevelType w:val="hybridMultilevel"/>
    <w:lvl w:ilvl="0">
      <w:lvlJc w:val="left"/>
      <w:lvlText w:val="%1"/>
      <w:numFmt w:val="decimal"/>
      <w:start w:val="1"/>
    </w:lvl>
    <w:lvl w:ilvl="1">
      <w:lvlJc w:val="left"/>
      <w:lvlText w:val="(%2)"/>
      <w:numFmt w:val="upperLetter"/>
      <w:start w:val="5"/>
    </w:lvl>
  </w:abstractNum>
  <w:abstractNum w:abstractNumId="178">
    <w:nsid w:val="17D78639"/>
    <w:multiLevelType w:val="hybridMultilevel"/>
    <w:lvl w:ilvl="0">
      <w:lvlJc w:val="left"/>
      <w:lvlText w:val="(%1)"/>
      <w:numFmt w:val="decimal"/>
      <w:start w:val="3"/>
    </w:lvl>
    <w:lvl w:ilvl="1">
      <w:lvlJc w:val="left"/>
      <w:lvlText w:val="(%2)"/>
      <w:numFmt w:val="upperLetter"/>
      <w:start w:val="1"/>
    </w:lvl>
  </w:abstractNum>
  <w:abstractNum w:abstractNumId="179">
    <w:nsid w:val="141D2302"/>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8"/>
    </w:lvl>
  </w:abstractNum>
  <w:abstractNum w:abstractNumId="180">
    <w:nsid w:val="407168D8"/>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2"/>
    </w:lvl>
  </w:abstractNum>
  <w:abstractNum w:abstractNumId="181">
    <w:nsid w:val="6A1B45E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82">
    <w:nsid w:val="567BD50A"/>
    <w:multiLevelType w:val="hybridMultilevel"/>
    <w:lvl w:ilvl="0">
      <w:lvlJc w:val="left"/>
      <w:lvlText w:val="(%1)"/>
      <w:numFmt w:val="lowerRoman"/>
      <w:start w:val="2"/>
    </w:lvl>
  </w:abstractNum>
  <w:abstractNum w:abstractNumId="183">
    <w:nsid w:val="73BBD7F8"/>
    <w:multiLevelType w:val="hybridMultilevel"/>
    <w:lvl w:ilvl="0">
      <w:lvlJc w:val="left"/>
      <w:lvlText w:val="(%1)"/>
      <w:numFmt w:val="lowerLetter"/>
      <w:start w:val="1"/>
    </w:lvl>
  </w:abstractNum>
  <w:abstractNum w:abstractNumId="184">
    <w:nsid w:val="1876589D"/>
    <w:multiLevelType w:val="hybridMultilevel"/>
    <w:lvl w:ilvl="0">
      <w:lvlJc w:val="left"/>
      <w:lvlText w:val="(%1)"/>
      <w:numFmt w:val="lowerLetter"/>
      <w:start w:val="1"/>
    </w:lvl>
  </w:abstractNum>
  <w:abstractNum w:abstractNumId="185">
    <w:nsid w:val="327FAC77"/>
    <w:multiLevelType w:val="hybridMultilevel"/>
    <w:lvl w:ilvl="0">
      <w:lvlJc w:val="left"/>
      <w:lvlText w:val="(%1)"/>
      <w:numFmt w:val="lowerRoman"/>
      <w:start w:val="2"/>
    </w:lvl>
  </w:abstractNum>
  <w:abstractNum w:abstractNumId="186">
    <w:nsid w:val="5A606509"/>
    <w:multiLevelType w:val="hybridMultilevel"/>
    <w:lvl w:ilvl="0">
      <w:lvlJc w:val="left"/>
      <w:lvlText w:val="(%1)"/>
      <w:numFmt w:val="lowerLetter"/>
      <w:start w:val="1"/>
    </w:lvl>
  </w:abstractNum>
  <w:abstractNum w:abstractNumId="187">
    <w:nsid w:val="6F38E6D1"/>
    <w:multiLevelType w:val="hybridMultilevel"/>
    <w:lvl w:ilvl="0">
      <w:lvlJc w:val="left"/>
      <w:lvlText w:val="(%1)"/>
      <w:numFmt w:val="lowerRoman"/>
      <w:start w:val="2"/>
    </w:lvl>
  </w:abstractNum>
  <w:abstractNum w:abstractNumId="188">
    <w:nsid w:val="46111BA5"/>
    <w:multiLevelType w:val="hybridMultilevel"/>
    <w:lvl w:ilvl="0">
      <w:lvlJc w:val="left"/>
      <w:lvlText w:val="(%1)"/>
      <w:numFmt w:val="lowerLetter"/>
      <w:start w:val="1"/>
    </w:lvl>
  </w:abstractNum>
  <w:abstractNum w:abstractNumId="189">
    <w:nsid w:val="5E963896"/>
    <w:multiLevelType w:val="hybridMultilevel"/>
    <w:lvl w:ilvl="0">
      <w:lvlJc w:val="left"/>
      <w:lvlText w:val="(%1)"/>
      <w:numFmt w:val="lowerLetter"/>
      <w:start w:val="2"/>
    </w:lvl>
  </w:abstractNum>
  <w:abstractNum w:abstractNumId="190">
    <w:nsid w:val="775BA7C1"/>
    <w:multiLevelType w:val="hybridMultilevel"/>
    <w:lvl w:ilvl="0">
      <w:lvlJc w:val="left"/>
      <w:lvlText w:val="%1"/>
      <w:numFmt w:val="lowerRoman"/>
      <w:start w:val="1"/>
    </w:lvl>
    <w:lvl w:ilvl="1">
      <w:lvlJc w:val="left"/>
      <w:lvlText w:val="(%2)"/>
      <w:numFmt w:val="lowerLetter"/>
      <w:start w:val="1"/>
    </w:lvl>
  </w:abstractNum>
  <w:abstractNum w:abstractNumId="191">
    <w:nsid w:val="1DD6D6F4"/>
    <w:multiLevelType w:val="hybridMultilevel"/>
    <w:lvl w:ilvl="0">
      <w:lvlJc w:val="left"/>
      <w:lvlText w:val="(%1)"/>
      <w:numFmt w:val="lowerRoman"/>
      <w:start w:val="7"/>
    </w:lvl>
    <w:lvl w:ilvl="1">
      <w:lvlJc w:val="left"/>
      <w:lvlText w:val="%2"/>
      <w:numFmt w:val="lowerLetter"/>
      <w:start w:val="1"/>
    </w:lvl>
  </w:abstractNum>
  <w:abstractNum w:abstractNumId="192">
    <w:nsid w:val="769A091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93">
    <w:nsid w:val="4695AE95"/>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94">
    <w:nsid w:val="777A4EAA"/>
    <w:multiLevelType w:val="hybridMultilevel"/>
    <w:lvl w:ilvl="0">
      <w:lvlJc w:val="left"/>
      <w:lvlText w:val="(%1)"/>
      <w:numFmt w:val="lowerLetter"/>
      <w:start w:val="1"/>
    </w:lvl>
  </w:abstractNum>
  <w:abstractNum w:abstractNumId="195">
    <w:nsid w:val="3F48B982"/>
    <w:multiLevelType w:val="hybridMultilevel"/>
    <w:lvl w:ilvl="0">
      <w:lvlJc w:val="left"/>
      <w:lvlText w:val="%1."/>
      <w:numFmt w:val="upperLetter"/>
      <w:start w:val="1"/>
    </w:lvl>
  </w:abstractNum>
  <w:abstractNum w:abstractNumId="196">
    <w:nsid w:val="46BA8FCA"/>
    <w:multiLevelType w:val="hybridMultilevel"/>
    <w:lvl w:ilvl="0">
      <w:lvlJc w:val="left"/>
      <w:lvlText w:val="(%1)"/>
      <w:numFmt w:val="lowerLetter"/>
      <w:start w:val="1"/>
    </w:lvl>
  </w:abstractNum>
  <w:abstractNum w:abstractNumId="197">
    <w:nsid w:val="7835626C"/>
    <w:multiLevelType w:val="hybridMultilevel"/>
    <w:lvl w:ilvl="0">
      <w:lvlJc w:val="left"/>
      <w:lvlText w:val="(%1)"/>
      <w:numFmt w:val="decimal"/>
      <w:start w:val="1"/>
    </w:lvl>
  </w:abstractNum>
  <w:abstractNum w:abstractNumId="198">
    <w:nsid w:val="665ACA49"/>
    <w:multiLevelType w:val="hybridMultilevel"/>
    <w:lvl w:ilvl="0">
      <w:lvlJc w:val="left"/>
      <w:lvlText w:val="(%1)"/>
      <w:numFmt w:val="decimal"/>
      <w:start w:val="3"/>
    </w:lvl>
  </w:abstractNum>
  <w:abstractNum w:abstractNumId="199">
    <w:nsid w:val="6835B2AE"/>
    <w:multiLevelType w:val="hybridMultilevel"/>
    <w:lvl w:ilvl="0">
      <w:lvlJc w:val="left"/>
      <w:lvlText w:val="(%1)"/>
      <w:numFmt w:val="lowerLetter"/>
      <w:start w:val="3"/>
    </w:lvl>
  </w:abstractNum>
  <w:abstractNum w:abstractNumId="200">
    <w:nsid w:val="4C187C90"/>
    <w:multiLevelType w:val="hybridMultilevel"/>
    <w:lvl w:ilvl="0">
      <w:lvlJc w:val="left"/>
      <w:lvlText w:val="(%1)"/>
      <w:numFmt w:val="decimal"/>
      <w:start w:val="1"/>
    </w:lvl>
  </w:abstractNum>
  <w:abstractNum w:abstractNumId="201">
    <w:nsid w:val="541F28CD"/>
    <w:multiLevelType w:val="hybridMultilevel"/>
    <w:lvl w:ilvl="0">
      <w:lvlJc w:val="left"/>
      <w:lvlText w:val="(%1)"/>
      <w:numFmt w:val="decimal"/>
      <w:start w:val="2"/>
    </w:lvl>
  </w:abstractNum>
  <w:abstractNum w:abstractNumId="202">
    <w:nsid w:val="7F65FD16"/>
    <w:multiLevelType w:val="hybridMultilevel"/>
    <w:lvl w:ilvl="0">
      <w:lvlJc w:val="left"/>
      <w:lvlText w:val="(%1)"/>
      <w:numFmt w:val="lowerLetter"/>
      <w:start w:val="5"/>
    </w:lvl>
  </w:abstractNum>
  <w:abstractNum w:abstractNumId="203">
    <w:nsid w:val="77C9FD68"/>
    <w:multiLevelType w:val="hybridMultilevel"/>
    <w:lvl w:ilvl="0">
      <w:lvlJc w:val="left"/>
      <w:lvlText w:val="(%1)"/>
      <w:numFmt w:val="lowerLetter"/>
      <w:start w:val="6"/>
    </w:lvl>
  </w:abstractNum>
  <w:abstractNum w:abstractNumId="204">
    <w:nsid w:val="298A92BA"/>
    <w:multiLevelType w:val="hybridMultilevel"/>
    <w:lvl w:ilvl="0">
      <w:lvlJc w:val="left"/>
      <w:lvlText w:val="(%1)"/>
      <w:numFmt w:val="lowerLetter"/>
      <w:start w:val="9"/>
    </w:lvl>
  </w:abstractNum>
  <w:abstractNum w:abstractNumId="205">
    <w:nsid w:val="6FE95EAC"/>
    <w:multiLevelType w:val="hybridMultilevel"/>
    <w:lvl w:ilvl="0">
      <w:lvlJc w:val="left"/>
      <w:lvlText w:val="%1."/>
      <w:numFmt w:val="decimal"/>
      <w:start w:val="1"/>
    </w:lvl>
    <w:lvl w:ilvl="1">
      <w:lvlJc w:val="left"/>
      <w:lvlText w:val="●"/>
      <w:numFmt w:val="bullet"/>
      <w:start w:val="1"/>
    </w:lvl>
  </w:abstractNum>
  <w:abstractNum w:abstractNumId="206">
    <w:nsid w:val="4B697C7A"/>
    <w:multiLevelType w:val="hybridMultilevel"/>
    <w:lvl w:ilvl="0">
      <w:lvlJc w:val="left"/>
      <w:lvlText w:val="%1."/>
      <w:numFmt w:val="decimal"/>
      <w:start w:val="2"/>
    </w:lvl>
  </w:abstractNum>
  <w:abstractNum w:abstractNumId="207">
    <w:nsid w:val="51A27AA6"/>
    <w:multiLevelType w:val="hybridMultilevel"/>
    <w:lvl w:ilvl="0">
      <w:lvlJc w:val="left"/>
      <w:lvlText w:val="(%1)"/>
      <w:numFmt w:val="lowerLetter"/>
      <w:start w:val="1"/>
    </w:lvl>
  </w:abstractNum>
  <w:abstractNum w:abstractNumId="208">
    <w:nsid w:val="613183F2"/>
    <w:multiLevelType w:val="hybridMultilevel"/>
    <w:lvl w:ilvl="0">
      <w:lvlJc w:val="left"/>
      <w:lvlText w:val="(%1)"/>
      <w:numFmt w:val="lowerLetter"/>
      <w:start w:val="2"/>
    </w:lvl>
  </w:abstractNum>
  <w:abstractNum w:abstractNumId="209">
    <w:nsid w:val="634102B4"/>
    <w:multiLevelType w:val="hybridMultilevel"/>
    <w:lvl w:ilvl="0">
      <w:lvlJc w:val="left"/>
      <w:lvlText w:val="(%1)"/>
      <w:numFmt w:val="lowerLetter"/>
      <w:start w:val="1"/>
    </w:lvl>
  </w:abstractNum>
  <w:abstractNum w:abstractNumId="210">
    <w:nsid w:val="65BF9DA8"/>
    <w:multiLevelType w:val="hybridMultilevel"/>
    <w:lvl w:ilvl="0">
      <w:lvlJc w:val="left"/>
      <w:lvlText w:val="%1."/>
      <w:numFmt w:val="decimal"/>
      <w:start w:val="3"/>
    </w:lvl>
  </w:abstractNum>
  <w:abstractNum w:abstractNumId="211">
    <w:nsid w:val="21A2ECCA"/>
    <w:multiLevelType w:val="hybridMultilevel"/>
    <w:lvl w:ilvl="0">
      <w:lvlJc w:val="left"/>
      <w:lvlText w:val="(%1)"/>
      <w:numFmt w:val="lowerLetter"/>
      <w:start w:val="1"/>
    </w:lvl>
  </w:abstractNum>
  <w:abstractNum w:abstractNumId="212">
    <w:nsid w:val="4D5C4899"/>
    <w:multiLevelType w:val="hybridMultilevel"/>
    <w:lvl w:ilvl="0">
      <w:lvlJc w:val="left"/>
      <w:lvlText w:val="%1."/>
      <w:numFmt w:val="decimal"/>
      <w:start w:val="4"/>
    </w:lvl>
  </w:abstractNum>
  <w:abstractNum w:abstractNumId="213">
    <w:nsid w:val="3C3B72B2"/>
    <w:multiLevelType w:val="hybridMultilevel"/>
    <w:lvl w:ilvl="0">
      <w:lvlJc w:val="left"/>
      <w:lvlText w:val="(%1)"/>
      <w:numFmt w:val="lowerLetter"/>
      <w:start w:val="1"/>
    </w:lvl>
  </w:abstractNum>
  <w:abstractNum w:abstractNumId="214">
    <w:nsid w:val="155EC4C2"/>
    <w:multiLevelType w:val="hybridMultilevel"/>
    <w:lvl w:ilvl="0">
      <w:lvlJc w:val="left"/>
      <w:lvlText w:val="(%1)"/>
      <w:numFmt w:val="lowerLetter"/>
      <w:start w:val="2"/>
    </w:lvl>
  </w:abstractNum>
  <w:abstractNum w:abstractNumId="215">
    <w:nsid w:val="65D2A137"/>
    <w:multiLevelType w:val="hybridMultilevel"/>
    <w:lvl w:ilvl="0">
      <w:lvlJc w:val="left"/>
      <w:lvlText w:val="%1."/>
      <w:numFmt w:val="decimal"/>
      <w:start w:val="5"/>
    </w:lvl>
  </w:abstractNum>
  <w:abstractNum w:abstractNumId="216">
    <w:nsid w:val="6EBB1F2A"/>
    <w:multiLevelType w:val="hybridMultilevel"/>
    <w:lvl w:ilvl="0">
      <w:lvlJc w:val="left"/>
      <w:lvlText w:val="%1"/>
      <w:numFmt w:val="decimal"/>
      <w:start w:val="1"/>
    </w:lvl>
    <w:lvl w:ilvl="1">
      <w:lvlJc w:val="left"/>
      <w:lvlText w:val="(%2)"/>
      <w:numFmt w:val="lowerLetter"/>
      <w:start w:val="1"/>
    </w:lvl>
  </w:abstractNum>
  <w:abstractNum w:abstractNumId="217">
    <w:nsid w:val="6FBF29CB"/>
    <w:multiLevelType w:val="hybridMultilevel"/>
    <w:lvl w:ilvl="0">
      <w:lvlJc w:val="left"/>
      <w:lvlText w:val="%1."/>
      <w:numFmt w:val="decimal"/>
      <w:start w:val="7"/>
    </w:lvl>
    <w:lvl w:ilvl="1">
      <w:lvlJc w:val="left"/>
      <w:lvlText w:val="%2"/>
      <w:numFmt w:val="lowerLetter"/>
      <w:start w:val="1"/>
    </w:lvl>
  </w:abstractNum>
  <w:abstractNum w:abstractNumId="218">
    <w:nsid w:val="550B8808"/>
    <w:multiLevelType w:val="hybridMultilevel"/>
    <w:lvl w:ilvl="0">
      <w:lvlJc w:val="left"/>
      <w:lvlText w:val="%1"/>
      <w:numFmt w:val="lowerLetter"/>
      <w:start w:val="1"/>
    </w:lvl>
    <w:lvl w:ilvl="1">
      <w:lvlJc w:val="left"/>
      <w:lvlText w:val="(%2)"/>
      <w:numFmt w:val="lowerLetter"/>
      <w:start w:val="1"/>
    </w:lvl>
  </w:abstractNum>
  <w:abstractNum w:abstractNumId="219">
    <w:nsid w:val="34CC3ACF"/>
    <w:multiLevelType w:val="hybridMultilevel"/>
    <w:lvl w:ilvl="0">
      <w:lvlJc w:val="left"/>
      <w:lvlText w:val="(%1)"/>
      <w:numFmt w:val="lowerLetter"/>
      <w:start w:val="2"/>
    </w:lvl>
    <w:lvl w:ilvl="1">
      <w:lvlJc w:val="left"/>
      <w:lvlText w:val="%2"/>
      <w:numFmt w:val="lowerLetter"/>
      <w:start w:val="1"/>
    </w:lvl>
  </w:abstractNum>
  <w:abstractNum w:abstractNumId="220">
    <w:nsid w:val="4E556261"/>
    <w:multiLevelType w:val="hybridMultilevel"/>
    <w:lvl w:ilvl="0">
      <w:lvlJc w:val="left"/>
      <w:lvlText w:val="%1."/>
      <w:numFmt w:val="decimal"/>
      <w:start w:val="8"/>
    </w:lvl>
  </w:abstractNum>
  <w:abstractNum w:abstractNumId="221">
    <w:nsid w:val="4C672FC9"/>
    <w:multiLevelType w:val="hybridMultilevel"/>
    <w:lvl w:ilvl="0">
      <w:lvlJc w:val="left"/>
      <w:lvlText w:val="%1."/>
      <w:numFmt w:val="decimal"/>
      <w:start w:val="9"/>
    </w:lvl>
  </w:abstractNum>
  <w:abstractNum w:abstractNumId="222">
    <w:nsid w:val="52A311C3"/>
    <w:multiLevelType w:val="hybridMultilevel"/>
    <w:lvl w:ilvl="0">
      <w:lvlJc w:val="left"/>
      <w:lvlText w:val="%1."/>
      <w:numFmt w:val="decimal"/>
      <w:start w:val="10"/>
    </w:lvl>
  </w:abstractNum>
  <w:abstractNum w:abstractNumId="223">
    <w:nsid w:val="44EF6B80"/>
    <w:multiLevelType w:val="hybridMultilevel"/>
    <w:lvl w:ilvl="0">
      <w:lvlJc w:val="left"/>
      <w:lvlText w:val="%1."/>
      <w:numFmt w:val="decimal"/>
      <w:start w:val="11"/>
    </w:lvl>
  </w:abstractNum>
  <w:abstractNum w:abstractNumId="224">
    <w:nsid w:val="12FCDE5E"/>
    <w:multiLevelType w:val="hybridMultilevel"/>
    <w:lvl w:ilvl="0">
      <w:lvlJc w:val="left"/>
      <w:lvlText w:val="%1."/>
      <w:numFmt w:val="decimal"/>
      <w:start w:val="14"/>
    </w:lvl>
  </w:abstractNum>
  <w:abstractNum w:abstractNumId="225">
    <w:nsid w:val="4A1D606E"/>
    <w:multiLevelType w:val="hybridMultilevel"/>
    <w:lvl w:ilvl="0">
      <w:lvlJc w:val="left"/>
      <w:lvlText w:val="(%1)"/>
      <w:numFmt w:val="lowerRoman"/>
      <w:start w:val="2"/>
    </w:lvl>
  </w:abstractNum>
  <w:abstractNum w:abstractNumId="226">
    <w:nsid w:val="4382503"/>
    <w:multiLevelType w:val="hybridMultilevel"/>
    <w:lvl w:ilvl="0">
      <w:lvlJc w:val="left"/>
      <w:lvlText w:val="%1."/>
      <w:numFmt w:val="decimal"/>
      <w:start w:val="16"/>
    </w:lvl>
  </w:abstractNum>
  <w:abstractNum w:abstractNumId="227">
    <w:nsid w:val="59B76E28"/>
    <w:multiLevelType w:val="hybridMultilevel"/>
    <w:lvl w:ilvl="0">
      <w:lvlJc w:val="left"/>
      <w:lvlText w:val="%1"/>
      <w:numFmt w:val="lowerLetter"/>
      <w:start w:val="1"/>
    </w:lvl>
    <w:lvl w:ilvl="1">
      <w:lvlJc w:val="left"/>
      <w:lvlText w:val="%2."/>
      <w:numFmt w:val="decimal"/>
      <w:start w:val="17"/>
    </w:lvl>
  </w:abstractNum>
  <w:abstractNum w:abstractNumId="228">
    <w:nsid w:val="4252C2DA"/>
    <w:multiLevelType w:val="hybridMultilevel"/>
    <w:lvl w:ilvl="0">
      <w:lvlJc w:val="left"/>
      <w:lvlText w:val="(%1)"/>
      <w:numFmt w:val="lowerLetter"/>
      <w:start w:val="2"/>
    </w:lvl>
    <w:lvl w:ilvl="1">
      <w:lvlJc w:val="left"/>
      <w:lvlText w:val="%2."/>
      <w:numFmt w:val="decimal"/>
      <w:start w:val="20"/>
    </w:lvl>
  </w:abstractNum>
  <w:abstractNum w:abstractNumId="229">
    <w:nsid w:val="6A92EF4C"/>
    <w:multiLevelType w:val="hybridMultilevel"/>
    <w:lvl w:ilvl="0">
      <w:lvlJc w:val="left"/>
      <w:lvlText w:val="%1."/>
      <w:numFmt w:val="decimal"/>
      <w:start w:val="21"/>
    </w:lvl>
  </w:abstractNum>
  <w:abstractNum w:abstractNumId="230">
    <w:nsid w:val="41ED20D7"/>
    <w:multiLevelType w:val="hybridMultilevel"/>
    <w:lvl w:ilvl="0">
      <w:lvlJc w:val="left"/>
      <w:lvlText w:val="%1."/>
      <w:numFmt w:val="decimal"/>
      <w:start w:val="22"/>
    </w:lvl>
    <w:lvl w:ilvl="1">
      <w:lvlJc w:val="left"/>
      <w:lvlText w:val="*"/>
      <w:numFmt w:val="bullet"/>
      <w:start w:val="1"/>
    </w:lvl>
  </w:abstractNum>
  <w:abstractNum w:abstractNumId="231">
    <w:nsid w:val="E6B3F6A"/>
    <w:multiLevelType w:val="hybridMultilevel"/>
    <w:lvl w:ilvl="0">
      <w:lvlJc w:val="left"/>
      <w:lvlText w:val="%1."/>
      <w:numFmt w:val="decimal"/>
      <w:start w:val="1"/>
    </w:lvl>
  </w:abstractNum>
  <w:abstractNum w:abstractNumId="232">
    <w:nsid w:val="3EB21819"/>
    <w:multiLevelType w:val="hybridMultilevel"/>
    <w:lvl w:ilvl="0">
      <w:lvlJc w:val="left"/>
      <w:lvlText w:val="(%1)"/>
      <w:numFmt w:val="lowerLetter"/>
      <w:start w:val="1"/>
    </w:lvl>
  </w:abstractNum>
  <w:abstractNum w:abstractNumId="233">
    <w:nsid w:val="41531DED"/>
    <w:multiLevelType w:val="hybridMultilevel"/>
    <w:lvl w:ilvl="0">
      <w:lvlJc w:val="left"/>
      <w:lvlText w:val="(%1)"/>
      <w:numFmt w:val="lowerLetter"/>
      <w:start w:val="2"/>
    </w:lvl>
  </w:abstractNum>
  <w:abstractNum w:abstractNumId="234">
    <w:nsid w:val="6353CD2"/>
    <w:multiLevelType w:val="hybridMultilevel"/>
    <w:lvl w:ilvl="0">
      <w:lvlJc w:val="left"/>
      <w:lvlText w:val="(%1)"/>
      <w:numFmt w:val="lowerLetter"/>
      <w:start w:val="1"/>
    </w:lvl>
  </w:abstractNum>
  <w:abstractNum w:abstractNumId="235">
    <w:nsid w:val="683CAAD3"/>
    <w:multiLevelType w:val="hybridMultilevel"/>
    <w:lvl w:ilvl="0">
      <w:lvlJc w:val="left"/>
      <w:lvlText w:val="(%1)"/>
      <w:numFmt w:val="lowerLetter"/>
      <w:start w:val="2"/>
    </w:lvl>
  </w:abstractNum>
  <w:abstractNum w:abstractNumId="236">
    <w:nsid w:val="313C7C99"/>
    <w:multiLevelType w:val="hybridMultilevel"/>
    <w:lvl w:ilvl="0">
      <w:lvlJc w:val="left"/>
      <w:lvlText w:val="%1."/>
      <w:numFmt w:val="decimal"/>
      <w:start w:val="3"/>
    </w:lvl>
  </w:abstractNum>
  <w:abstractNum w:abstractNumId="237">
    <w:nsid w:val="519EB94C"/>
    <w:multiLevelType w:val="hybridMultilevel"/>
    <w:lvl w:ilvl="0">
      <w:lvlJc w:val="left"/>
      <w:lvlText w:val="1"/>
      <w:numFmt w:val="bullet"/>
      <w:start w:val="1"/>
    </w:lvl>
  </w:abstractNum>
  <w:abstractNum w:abstractNumId="238">
    <w:nsid w:val="39DF2579"/>
    <w:multiLevelType w:val="hybridMultilevel"/>
    <w:lvl w:ilvl="0">
      <w:lvlJc w:val="left"/>
      <w:lvlText w:val="2"/>
      <w:numFmt w:val="bullet"/>
      <w:start w:val="1"/>
    </w:lvl>
  </w:abstractNum>
  <w:abstractNum w:abstractNumId="239">
    <w:nsid w:val="126E008B"/>
    <w:multiLevelType w:val="hybridMultilevel"/>
    <w:lvl w:ilvl="0">
      <w:lvlJc w:val="left"/>
      <w:lvlText w:val="%1."/>
      <w:numFmt w:val="decimal"/>
      <w:start w:val="4"/>
    </w:lvl>
    <w:lvl w:ilvl="1">
      <w:lvlJc w:val="left"/>
      <w:lvlText w:val="(%2)"/>
      <w:numFmt w:val="lowerLetter"/>
      <w:start w:val="1"/>
    </w:lvl>
  </w:abstractNum>
  <w:abstractNum w:abstractNumId="240">
    <w:nsid w:val="34DFBC00"/>
    <w:multiLevelType w:val="hybridMultilevel"/>
    <w:lvl w:ilvl="0">
      <w:lvlJc w:val="left"/>
      <w:lvlText w:val="%1."/>
      <w:numFmt w:val="decimal"/>
      <w:start w:val="5"/>
    </w:lvl>
  </w:abstractNum>
  <w:abstractNum w:abstractNumId="241">
    <w:nsid w:val="1F9EC322"/>
    <w:multiLevelType w:val="hybridMultilevel"/>
    <w:lvl w:ilvl="0">
      <w:lvlJc w:val="left"/>
      <w:lvlText w:val="%1."/>
      <w:numFmt w:val="decimal"/>
      <w:start w:val="6"/>
    </w:lvl>
  </w:abstractNum>
  <w:abstractNum w:abstractNumId="242">
    <w:nsid w:val="3410ED56"/>
    <w:multiLevelType w:val="hybridMultilevel"/>
    <w:lvl w:ilvl="0">
      <w:lvlJc w:val="left"/>
      <w:lvlText w:val="%1."/>
      <w:numFmt w:val="decimal"/>
      <w:start w:val="8"/>
    </w:lvl>
  </w:abstractNum>
  <w:abstractNum w:abstractNumId="243">
    <w:nsid w:val="23C049A"/>
    <w:multiLevelType w:val="hybridMultilevel"/>
    <w:lvl w:ilvl="0">
      <w:lvlJc w:val="left"/>
      <w:lvlText w:val="(%1)"/>
      <w:numFmt w:val="lowerLetter"/>
      <w:start w:val="1"/>
    </w:lvl>
  </w:abstractNum>
  <w:abstractNum w:abstractNumId="244">
    <w:nsid w:val="5BDA35D4"/>
    <w:multiLevelType w:val="hybridMultilevel"/>
    <w:lvl w:ilvl="0">
      <w:lvlJc w:val="left"/>
      <w:lvlText w:val="(%1)"/>
      <w:numFmt w:val="lowerLetter"/>
      <w:start w:val="1"/>
    </w:lvl>
  </w:abstractNum>
  <w:abstractNum w:abstractNumId="245">
    <w:nsid w:val="496FB218"/>
    <w:multiLevelType w:val="hybridMultilevel"/>
    <w:lvl w:ilvl="0">
      <w:lvlJc w:val="left"/>
      <w:lvlText w:val="(%1)"/>
      <w:numFmt w:val="lowerLetter"/>
      <w:start w:val="2"/>
    </w:lvl>
  </w:abstractNum>
  <w:abstractNum w:abstractNumId="246">
    <w:nsid w:val="680EA5D1"/>
    <w:multiLevelType w:val="hybridMultilevel"/>
    <w:lvl w:ilvl="0">
      <w:lvlJc w:val="left"/>
      <w:lvlText w:val="(%1)"/>
      <w:numFmt w:val="lowerLetter"/>
      <w:start w:val="2"/>
    </w:lvl>
  </w:abstractNum>
  <w:abstractNum w:abstractNumId="247">
    <w:nsid w:val="4A9554FE"/>
    <w:multiLevelType w:val="hybridMultilevel"/>
    <w:lvl w:ilvl="0">
      <w:lvlJc w:val="left"/>
      <w:lvlText w:val="%1."/>
      <w:numFmt w:val="decimal"/>
      <w:start w:val="9"/>
    </w:lvl>
  </w:abstractNum>
  <w:abstractNum w:abstractNumId="248">
    <w:nsid w:val="392EDBE4"/>
    <w:multiLevelType w:val="hybridMultilevel"/>
    <w:lvl w:ilvl="0">
      <w:lvlJc w:val="left"/>
      <w:lvlText w:val="%1."/>
      <w:numFmt w:val="decimal"/>
      <w:start w:val="10"/>
    </w:lvl>
  </w:abstractNum>
  <w:abstractNum w:abstractNumId="249">
    <w:nsid w:val="3D1A2DD9"/>
    <w:multiLevelType w:val="hybridMultilevel"/>
    <w:lvl w:ilvl="0">
      <w:lvlJc w:val="left"/>
      <w:lvlText w:val="3"/>
      <w:numFmt w:val="bullet"/>
      <w:start w:val="1"/>
    </w:lvl>
  </w:abstractNum>
  <w:abstractNum w:abstractNumId="250">
    <w:nsid w:val="7F618FCD"/>
    <w:multiLevelType w:val="hybridMultilevel"/>
    <w:lvl w:ilvl="0">
      <w:lvlJc w:val="left"/>
      <w:lvlText w:val="(%1)"/>
      <w:numFmt w:val="lowerLetter"/>
      <w:start w:val="25"/>
    </w:lvl>
    <w:lvl w:ilvl="1">
      <w:lvlJc w:val="left"/>
      <w:lvlText w:val="%2."/>
      <w:numFmt w:val="decimal"/>
      <w:start w:val="11"/>
    </w:lvl>
  </w:abstractNum>
  <w:abstractNum w:abstractNumId="251">
    <w:nsid w:val="7843E45"/>
    <w:multiLevelType w:val="hybridMultilevel"/>
    <w:lvl w:ilvl="0">
      <w:lvlJc w:val="left"/>
      <w:lvlText w:val="(%1)"/>
      <w:numFmt w:val="lowerLetter"/>
      <w:start w:val="2"/>
    </w:lvl>
  </w:abstractNum>
  <w:abstractNum w:abstractNumId="252">
    <w:nsid w:val="9815DA3"/>
    <w:multiLevelType w:val="hybridMultilevel"/>
    <w:lvl w:ilvl="0">
      <w:lvlJc w:val="left"/>
      <w:lvlText w:val="%1."/>
      <w:numFmt w:val="decimal"/>
      <w:start w:val="13"/>
    </w:lvl>
  </w:abstractNum>
  <w:abstractNum w:abstractNumId="253">
    <w:nsid w:val="5204A191"/>
    <w:multiLevelType w:val="hybridMultilevel"/>
    <w:lvl w:ilvl="0">
      <w:lvlJc w:val="left"/>
      <w:lvlText w:val="%1."/>
      <w:numFmt w:val="decimal"/>
      <w:start w:val="15"/>
    </w:lvl>
  </w:abstractNum>
  <w:abstractNum w:abstractNumId="254">
    <w:nsid w:val="4C73A9C6"/>
    <w:multiLevelType w:val="hybridMultilevel"/>
    <w:lvl w:ilvl="0">
      <w:lvlJc w:val="left"/>
      <w:lvlText w:val="%1."/>
      <w:numFmt w:val="decimal"/>
      <w:start w:val="18"/>
    </w:lvl>
  </w:abstractNum>
  <w:abstractNum w:abstractNumId="255">
    <w:nsid w:val="1C7E3C01"/>
    <w:multiLevelType w:val="hybridMultilevel"/>
    <w:lvl w:ilvl="0">
      <w:lvlJc w:val="left"/>
      <w:lvlText w:val="(%1)"/>
      <w:numFmt w:val="lowerLetter"/>
      <w:start w:val="1"/>
    </w:lvl>
  </w:abstractNum>
  <w:abstractNum w:abstractNumId="256">
    <w:nsid w:val="1C2201FF"/>
    <w:multiLevelType w:val="hybridMultilevel"/>
    <w:lvl w:ilvl="0">
      <w:lvlJc w:val="left"/>
      <w:lvlText w:val="(%1)"/>
      <w:numFmt w:val="lowerLetter"/>
      <w:start w:val="2"/>
    </w:lvl>
  </w:abstractNum>
  <w:abstractNum w:abstractNumId="257">
    <w:nsid w:val="50ABCEC9"/>
    <w:multiLevelType w:val="hybridMultilevel"/>
    <w:lvl w:ilvl="0">
      <w:lvlJc w:val="left"/>
      <w:lvlText w:val="%1."/>
      <w:numFmt w:val="decimal"/>
      <w:start w:val="19"/>
    </w:lvl>
  </w:abstractNum>
  <w:abstractNum w:abstractNumId="258">
    <w:nsid w:val="7635AA2A"/>
    <w:multiLevelType w:val="hybridMultilevel"/>
    <w:lvl w:ilvl="0">
      <w:lvlJc w:val="left"/>
      <w:lvlText w:val="%1."/>
      <w:numFmt w:val="decimal"/>
      <w:start w:val="20"/>
    </w:lvl>
  </w:abstractNum>
  <w:abstractNum w:abstractNumId="259">
    <w:nsid w:val="5E74C4D9"/>
    <w:multiLevelType w:val="hybridMultilevel"/>
    <w:lvl w:ilvl="0">
      <w:lvlJc w:val="left"/>
      <w:lvlText w:val="%1."/>
      <w:numFmt w:val="decimal"/>
      <w:start w:val="24"/>
    </w:lvl>
  </w:abstractNum>
  <w:abstractNum w:abstractNumId="260">
    <w:nsid w:val="3B3EBE15"/>
    <w:multiLevelType w:val="hybridMultilevel"/>
    <w:lvl w:ilvl="0">
      <w:lvlJc w:val="left"/>
      <w:lvlText w:val="%1."/>
      <w:numFmt w:val="decimal"/>
      <w:start w:val="27"/>
    </w:lvl>
  </w:abstractNum>
  <w:abstractNum w:abstractNumId="261">
    <w:nsid w:val="3822CB01"/>
    <w:multiLevelType w:val="hybridMultilevel"/>
    <w:lvl w:ilvl="0">
      <w:lvlJc w:val="left"/>
      <w:lvlText w:val="%1."/>
      <w:numFmt w:val="decimal"/>
      <w:start w:val="1"/>
    </w:lvl>
  </w:abstractNum>
  <w:abstractNum w:abstractNumId="262">
    <w:nsid w:val="6CE00443"/>
    <w:multiLevelType w:val="hybridMultilevel"/>
    <w:lvl w:ilvl="0">
      <w:lvlJc w:val="left"/>
      <w:lvlText w:val="%1."/>
      <w:numFmt w:val="decimal"/>
      <w:start w:val="6"/>
    </w:lvl>
  </w:abstractNum>
  <w:abstractNum w:abstractNumId="263">
    <w:nsid w:val="79F0D62F"/>
    <w:multiLevelType w:val="hybridMultilevel"/>
    <w:lvl w:ilvl="0">
      <w:lvlJc w:val="left"/>
      <w:lvlText w:val="%1."/>
      <w:numFmt w:val="decimal"/>
      <w:start w:val="8"/>
    </w:lvl>
    <w:lvl w:ilvl="1">
      <w:lvlJc w:val="left"/>
      <w:lvlText w:val="(%2)"/>
      <w:numFmt w:val="lowerLetter"/>
      <w:start w:val="1"/>
    </w:lvl>
  </w:abstractNum>
  <w:abstractNum w:abstractNumId="264">
    <w:nsid w:val="7975E8EE"/>
    <w:multiLevelType w:val="hybridMultilevel"/>
    <w:lvl w:ilvl="0">
      <w:lvlJc w:val="left"/>
      <w:lvlText w:val="%1"/>
      <w:numFmt w:val="decimal"/>
      <w:start w:val="1"/>
    </w:lvl>
    <w:lvl w:ilvl="1">
      <w:lvlJc w:val="left"/>
      <w:lvlText w:val="(%2)"/>
      <w:numFmt w:val="lowerLetter"/>
      <w:start w:val="10"/>
    </w:lvl>
  </w:abstractNum>
  <w:abstractNum w:abstractNumId="265">
    <w:nsid w:val="73154115"/>
    <w:multiLevelType w:val="hybridMultilevel"/>
    <w:lvl w:ilvl="0">
      <w:lvlJc w:val="left"/>
      <w:lvlText w:val="%1."/>
      <w:numFmt w:val="decimal"/>
      <w:start w:val="9"/>
    </w:lvl>
    <w:lvl w:ilvl="1">
      <w:lvlJc w:val="left"/>
      <w:lvlText w:val="%2"/>
      <w:numFmt w:val="lowerLetter"/>
      <w:start w:val="1"/>
    </w:lvl>
  </w:abstractNum>
  <w:abstractNum w:abstractNumId="266">
    <w:nsid w:val="622D8102"/>
    <w:multiLevelType w:val="hybridMultilevel"/>
    <w:lvl w:ilvl="0">
      <w:lvlJc w:val="left"/>
      <w:lvlText w:val="%1."/>
      <w:numFmt w:val="decimal"/>
      <w:start w:val="10"/>
    </w:lvl>
  </w:abstractNum>
  <w:abstractNum w:abstractNumId="267">
    <w:nsid w:val="2AB26587"/>
    <w:multiLevelType w:val="hybridMultilevel"/>
    <w:lvl w:ilvl="0">
      <w:lvlJc w:val="left"/>
      <w:lvlText w:val="%1."/>
      <w:numFmt w:val="decimal"/>
      <w:start w:val="13"/>
    </w:lvl>
  </w:abstractNum>
  <w:abstractNum w:abstractNumId="268">
    <w:nsid w:val="44B3FA61"/>
    <w:multiLevelType w:val="hybridMultilevel"/>
    <w:lvl w:ilvl="0">
      <w:lvlJc w:val="left"/>
      <w:lvlText w:val="%1."/>
      <w:numFmt w:val="decimal"/>
      <w:start w:val="1"/>
    </w:lvl>
    <w:lvl w:ilvl="1">
      <w:lvlJc w:val="left"/>
      <w:lvlText w:val="%2"/>
      <w:numFmt w:val="lowerLetter"/>
      <w:start w:val="1"/>
    </w:lvl>
  </w:abstractNum>
  <w:abstractNum w:abstractNumId="269">
    <w:nsid w:val="1C0CA67C"/>
    <w:multiLevelType w:val="hybridMultilevel"/>
    <w:lvl w:ilvl="0">
      <w:lvlJc w:val="left"/>
      <w:lvlText w:val="%1"/>
      <w:numFmt w:val="decimal"/>
      <w:start w:val="1"/>
    </w:lvl>
    <w:lvl w:ilvl="1">
      <w:lvlJc w:val="left"/>
      <w:lvlText w:val="%2."/>
      <w:numFmt w:val="lowerLetter"/>
      <w:start w:val="2"/>
    </w:lvl>
  </w:abstractNum>
  <w:abstractNum w:abstractNumId="270">
    <w:nsid w:val="3D206613"/>
    <w:multiLevelType w:val="hybridMultilevel"/>
    <w:lvl w:ilvl="0">
      <w:lvlJc w:val="left"/>
      <w:lvlText w:val="%1."/>
      <w:numFmt w:val="decimal"/>
      <w:start w:val="2"/>
    </w:lvl>
    <w:lvl w:ilvl="1">
      <w:lvlJc w:val="left"/>
      <w:lvlText w:val="%2"/>
      <w:numFmt w:val="lowerLetter"/>
      <w:start w:val="1"/>
    </w:lvl>
  </w:abstractNum>
  <w:abstractNum w:abstractNumId="271">
    <w:nsid w:val="7993B66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72">
    <w:nsid w:val="3BAB699E"/>
    <w:multiLevelType w:val="hybridMultilevel"/>
    <w:lvl w:ilvl="0">
      <w:lvlJc w:val="left"/>
      <w:lvlText w:val="(%1)"/>
      <w:numFmt w:val="decimal"/>
      <w:start w:val="1"/>
    </w:lvl>
    <w:lvl w:ilvl="1">
      <w:lvlJc w:val="left"/>
      <w:lvlText w:val="%2."/>
      <w:numFmt w:val="decimal"/>
      <w:start w:val="3"/>
    </w:lvl>
    <w:lvl w:ilvl="2">
      <w:lvlJc w:val="left"/>
      <w:lvlText w:val="%3."/>
      <w:numFmt w:val="lowerLetter"/>
      <w:start w:val="2"/>
    </w:lvl>
  </w:abstractNum>
  <w:abstractNum w:abstractNumId="273">
    <w:nsid w:val="7131536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4">
    <w:nsid w:val="7BCFBAFC"/>
    <w:multiLevelType w:val="hybridMultilevel"/>
    <w:lvl w:ilvl="0">
      <w:lvlJc w:val="left"/>
      <w:lvlText w:val="%1"/>
      <w:numFmt w:val="decimal"/>
      <w:start w:val="1"/>
    </w:lvl>
    <w:lvl w:ilvl="1">
      <w:lvlJc w:val="left"/>
      <w:lvlText w:val="%2."/>
      <w:numFmt w:val="lowerLetter"/>
      <w:start w:val="2"/>
    </w:lvl>
  </w:abstractNum>
  <w:abstractNum w:abstractNumId="275">
    <w:nsid w:val="17859F72"/>
    <w:multiLevelType w:val="hybridMultilevel"/>
    <w:lvl w:ilvl="0">
      <w:lvlJc w:val="left"/>
      <w:lvlText w:val="%1."/>
      <w:numFmt w:val="decimal"/>
      <w:start w:val="5"/>
    </w:lvl>
    <w:lvl w:ilvl="1">
      <w:lvlJc w:val="left"/>
      <w:lvlText w:val="%2"/>
      <w:numFmt w:val="lowerLetter"/>
      <w:start w:val="1"/>
    </w:lvl>
  </w:abstractNum>
  <w:abstractNum w:abstractNumId="276">
    <w:nsid w:val="3AA10581"/>
    <w:multiLevelType w:val="hybridMultilevel"/>
    <w:lvl w:ilvl="0">
      <w:lvlJc w:val="left"/>
      <w:lvlText w:val="%1."/>
      <w:numFmt w:val="decimal"/>
      <w:start w:val="6"/>
    </w:lvl>
    <w:lvl w:ilvl="1">
      <w:lvlJc w:val="left"/>
      <w:lvlText w:val="%2."/>
      <w:numFmt w:val="lowerLetter"/>
      <w:start w:val="1"/>
    </w:lvl>
  </w:abstractNum>
  <w:abstractNum w:abstractNumId="277">
    <w:nsid w:val="63DE60CD"/>
    <w:multiLevelType w:val="hybridMultilevel"/>
    <w:lvl w:ilvl="0">
      <w:lvlJc w:val="left"/>
      <w:lvlText w:val="%1."/>
      <w:numFmt w:val="lowerLetter"/>
      <w:start w:val="5"/>
    </w:lvl>
  </w:abstractNum>
  <w:abstractNum w:abstractNumId="278">
    <w:nsid w:val="621AF471"/>
    <w:multiLevelType w:val="hybridMultilevel"/>
    <w:lvl w:ilvl="0">
      <w:lvlJc w:val="left"/>
      <w:lvlText w:val="%1"/>
      <w:numFmt w:val="lowerRoman"/>
      <w:start w:val="1"/>
    </w:lvl>
    <w:lvl w:ilvl="1">
      <w:lvlJc w:val="left"/>
      <w:lvlText w:val="%2."/>
      <w:numFmt w:val="decimal"/>
      <w:start w:val="7"/>
    </w:lvl>
  </w:abstractNum>
  <w:abstractNum w:abstractNumId="279">
    <w:nsid w:val="73CFE165"/>
    <w:multiLevelType w:val="hybridMultilevel"/>
    <w:lvl w:ilvl="0">
      <w:lvlJc w:val="left"/>
      <w:lvlText w:val="(%1)"/>
      <w:numFmt w:val="lowerRoman"/>
      <w:start w:val="2"/>
    </w:lvl>
    <w:lvl w:ilvl="1">
      <w:lvlJc w:val="left"/>
      <w:lvlText w:val="%2."/>
      <w:numFmt w:val="decimal"/>
      <w:start w:val="8"/>
    </w:lvl>
  </w:abstractNum>
  <w:abstractNum w:abstractNumId="280">
    <w:nsid w:val="20F88EA6"/>
    <w:multiLevelType w:val="hybridMultilevel"/>
    <w:lvl w:ilvl="0">
      <w:lvlJc w:val="left"/>
      <w:lvlText w:val="%1"/>
      <w:numFmt w:val="lowerLetter"/>
      <w:start w:val="1"/>
    </w:lvl>
    <w:lvl w:ilvl="1">
      <w:lvlJc w:val="left"/>
      <w:lvlText w:val="%2."/>
      <w:numFmt w:val="decimal"/>
      <w:start w:val="9"/>
    </w:lvl>
  </w:abstractNum>
  <w:abstractNum w:abstractNumId="281">
    <w:nsid w:val="617C843E"/>
    <w:multiLevelType w:val="hybridMultilevel"/>
    <w:lvl w:ilvl="0">
      <w:lvlJc w:val="left"/>
      <w:lvlText w:val="(%1)"/>
      <w:numFmt w:val="lowerLetter"/>
      <w:start w:val="2"/>
    </w:lvl>
    <w:lvl w:ilvl="1">
      <w:lvlJc w:val="left"/>
      <w:lvlText w:val="%2."/>
      <w:numFmt w:val="decimal"/>
      <w:start w:val="10"/>
    </w:lvl>
  </w:abstractNum>
  <w:abstractNum w:abstractNumId="282">
    <w:nsid w:val="7B541FAB"/>
    <w:multiLevelType w:val="hybridMultilevel"/>
    <w:lvl w:ilvl="0">
      <w:lvlJc w:val="left"/>
      <w:lvlText w:val="%1."/>
      <w:numFmt w:val="decimal"/>
      <w:start w:val="12"/>
    </w:lvl>
  </w:abstractNum>
  <w:abstractNum w:abstractNumId="283">
    <w:nsid w:val="2A79EC49"/>
    <w:multiLevelType w:val="hybridMultilevel"/>
    <w:lvl w:ilvl="0">
      <w:lvlJc w:val="left"/>
      <w:lvlText w:val="%1."/>
      <w:numFmt w:val="decimal"/>
      <w:start w:val="15"/>
    </w:lvl>
  </w:abstractNum>
  <w:abstractNum w:abstractNumId="284">
    <w:nsid w:val="338125CF"/>
    <w:multiLevelType w:val="hybridMultilevel"/>
    <w:lvl w:ilvl="0">
      <w:lvlJc w:val="left"/>
      <w:lvlText w:val="%1."/>
      <w:numFmt w:val="decimal"/>
      <w:start w:val="20"/>
    </w:lvl>
  </w:abstractNum>
  <w:abstractNum w:abstractNumId="285">
    <w:nsid w:val="47C7C971"/>
    <w:multiLevelType w:val="hybridMultilevel"/>
    <w:lvl w:ilvl="0">
      <w:lvlJc w:val="left"/>
      <w:lvlText w:val="%1"/>
      <w:numFmt w:val="lowerRoman"/>
      <w:start w:val="1"/>
    </w:lvl>
    <w:lvl w:ilvl="1">
      <w:lvlJc w:val="left"/>
      <w:lvlText w:val="%2."/>
      <w:numFmt w:val="decimal"/>
      <w:start w:val="23"/>
    </w:lvl>
  </w:abstractNum>
  <w:abstractNum w:abstractNumId="286">
    <w:nsid w:val="46F8284B"/>
    <w:multiLevelType w:val="hybridMultilevel"/>
    <w:lvl w:ilvl="0">
      <w:lvlJc w:val="left"/>
      <w:lvlText w:val="(%1)"/>
      <w:numFmt w:val="lowerRoman"/>
      <w:start w:val="2"/>
    </w:lvl>
    <w:lvl w:ilvl="1">
      <w:lvlJc w:val="left"/>
      <w:lvlText w:val="%2"/>
      <w:numFmt w:val="decimal"/>
      <w:start w:val="1"/>
    </w:lvl>
  </w:abstractNum>
  <w:abstractNum w:abstractNumId="287">
    <w:nsid w:val="4FA327CE"/>
    <w:multiLevelType w:val="hybridMultilevel"/>
    <w:lvl w:ilvl="0">
      <w:lvlJc w:val="left"/>
      <w:lvlText w:val="%1."/>
      <w:numFmt w:val="decimal"/>
      <w:start w:val="1"/>
    </w:lvl>
  </w:abstractNum>
  <w:abstractNum w:abstractNumId="288">
    <w:nsid w:val="1873983A"/>
    <w:multiLevelType w:val="hybridMultilevel"/>
    <w:lvl w:ilvl="0">
      <w:lvlJc w:val="left"/>
      <w:lvlText w:val="(%1)"/>
      <w:numFmt w:val="upperLetter"/>
      <w:start w:val="1"/>
    </w:lvl>
  </w:abstractNum>
  <w:abstractNum w:abstractNumId="289">
    <w:nsid w:val="3D2DD275"/>
    <w:multiLevelType w:val="hybridMultilevel"/>
    <w:lvl w:ilvl="0">
      <w:lvlJc w:val="left"/>
      <w:lvlText w:val="(%1)"/>
      <w:numFmt w:val="upperLetter"/>
      <w:start w:val="2"/>
    </w:lvl>
  </w:abstractNum>
  <w:abstractNum w:abstractNumId="290">
    <w:nsid w:val="2E17ECA7"/>
    <w:multiLevelType w:val="hybridMultilevel"/>
    <w:lvl w:ilvl="0">
      <w:lvlJc w:val="left"/>
      <w:lvlText w:val="(%1)"/>
      <w:numFmt w:val="lowerRoman"/>
      <w:start w:val="1"/>
    </w:lvl>
  </w:abstractNum>
  <w:abstractNum w:abstractNumId="291">
    <w:nsid w:val="53B2564F"/>
    <w:multiLevelType w:val="hybridMultilevel"/>
    <w:lvl w:ilvl="0">
      <w:lvlJc w:val="left"/>
      <w:lvlText w:val="(%1)"/>
      <w:numFmt w:val="lowerRoman"/>
      <w:start w:val="10"/>
    </w:lvl>
  </w:abstractNum>
  <w:abstractNum w:abstractNumId="292">
    <w:nsid w:val="75509D76"/>
    <w:multiLevelType w:val="hybridMultilevel"/>
    <w:lvl w:ilvl="0">
      <w:lvlJc w:val="left"/>
      <w:lvlText w:val="(%1)"/>
      <w:numFmt w:val="lowerLetter"/>
      <w:start w:val="3"/>
    </w:lvl>
  </w:abstractNum>
  <w:abstractNum w:abstractNumId="293">
    <w:nsid w:val="1AF7F0EA"/>
    <w:multiLevelType w:val="hybridMultilevel"/>
    <w:lvl w:ilvl="0">
      <w:lvlJc w:val="left"/>
      <w:lvlText w:val="%1."/>
      <w:numFmt w:val="decimal"/>
      <w:start w:val="1"/>
    </w:lvl>
  </w:abstractNum>
  <w:abstractNum w:abstractNumId="294">
    <w:nsid w:val="4DA32C7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5">
    <w:nsid w:val="6EC68664"/>
    <w:multiLevelType w:val="hybridMultilevel"/>
    <w:lvl w:ilvl="0">
      <w:lvlJc w:val="left"/>
      <w:lvlText w:val="%1"/>
      <w:numFmt w:val="decimal"/>
      <w:start w:val="1"/>
    </w:lvl>
    <w:lvl w:ilvl="1">
      <w:lvlJc w:val="left"/>
      <w:lvlText w:val="%2."/>
      <w:numFmt w:val="lowerLetter"/>
      <w:start w:val="3"/>
    </w:lvl>
  </w:abstractNum>
  <w:abstractNum w:abstractNumId="296">
    <w:nsid w:val="E0D31FF"/>
    <w:multiLevelType w:val="hybridMultilevel"/>
    <w:lvl w:ilvl="0">
      <w:lvlJc w:val="left"/>
      <w:lvlText w:val="%1."/>
      <w:numFmt w:val="decimal"/>
      <w:start w:val="4"/>
    </w:lvl>
    <w:lvl w:ilvl="1">
      <w:lvlJc w:val="left"/>
      <w:lvlText w:val="%2."/>
      <w:numFmt w:val="lowerLetter"/>
      <w:start w:val="1"/>
    </w:lvl>
  </w:abstractNum>
  <w:abstractNum w:abstractNumId="297">
    <w:nsid w:val="2FD0AD81"/>
    <w:multiLevelType w:val="hybridMultilevel"/>
    <w:lvl w:ilvl="0">
      <w:lvlJc w:val="left"/>
      <w:lvlText w:val="%1."/>
      <w:numFmt w:val="lowerLetter"/>
      <w:start w:val="5"/>
    </w:lvl>
  </w:abstractNum>
  <w:abstractNum w:abstractNumId="298">
    <w:nsid w:val="1978EBEB"/>
    <w:multiLevelType w:val="hybridMultilevel"/>
    <w:lvl w:ilvl="0">
      <w:lvlJc w:val="left"/>
      <w:lvlText w:val="%1"/>
      <w:numFmt w:val="decimal"/>
      <w:start w:val="1"/>
    </w:lvl>
    <w:lvl w:ilvl="1">
      <w:lvlJc w:val="left"/>
      <w:lvlText w:val="%2."/>
      <w:numFmt w:val="lowerLetter"/>
      <w:start w:val="10"/>
    </w:lvl>
  </w:abstractNum>
  <w:abstractNum w:abstractNumId="299">
    <w:nsid w:val="52C12C61"/>
    <w:multiLevelType w:val="hybridMultilevel"/>
    <w:lvl w:ilvl="0">
      <w:lvlJc w:val="left"/>
      <w:lvlText w:val="%1."/>
      <w:numFmt w:val="decimal"/>
      <w:start w:val="6"/>
    </w:lvl>
    <w:lvl w:ilvl="1">
      <w:lvlJc w:val="left"/>
      <w:lvlText w:val="%2."/>
      <w:numFmt w:val="lowerLetter"/>
      <w:start w:val="1"/>
    </w:lvl>
  </w:abstractNum>
  <w:abstractNum w:abstractNumId="300">
    <w:nsid w:val="4BDD53FD"/>
    <w:multiLevelType w:val="hybridMultilevel"/>
    <w:lvl w:ilvl="0">
      <w:lvlJc w:val="left"/>
      <w:lvlText w:val="%1"/>
      <w:numFmt w:val="lowerRoman"/>
      <w:start w:val="1"/>
    </w:lvl>
    <w:lvl w:ilvl="1">
      <w:lvlJc w:val="left"/>
      <w:lvlText w:val="%2."/>
      <w:numFmt w:val="lowerLetter"/>
      <w:start w:val="3"/>
    </w:lvl>
  </w:abstractNum>
  <w:abstractNum w:abstractNumId="301">
    <w:nsid w:val="569951FE"/>
    <w:multiLevelType w:val="hybridMultilevel"/>
    <w:lvl w:ilvl="0">
      <w:lvlJc w:val="left"/>
      <w:lvlText w:val="(%1)"/>
      <w:numFmt w:val="lowerRoman"/>
      <w:start w:val="2"/>
    </w:lvl>
    <w:lvl w:ilvl="1">
      <w:lvlJc w:val="left"/>
      <w:lvlText w:val="%2."/>
      <w:numFmt w:val="lowerLetter"/>
      <w:start w:val="7"/>
    </w:lvl>
  </w:abstractNum>
  <w:abstractNum w:abstractNumId="302">
    <w:nsid w:val="4C54E2C3"/>
    <w:multiLevelType w:val="hybridMultilevel"/>
    <w:lvl w:ilvl="0">
      <w:lvlJc w:val="left"/>
      <w:lvlText w:val="%1."/>
      <w:numFmt w:val="lowerLetter"/>
      <w:start w:val="11"/>
    </w:lvl>
  </w:abstractNum>
  <w:abstractNum w:abstractNumId="303">
    <w:nsid w:val="788BD9B"/>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04">
    <w:nsid w:val="47CAA567"/>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1"/>
    </w:lvl>
  </w:abstractNum>
  <w:abstractNum w:abstractNumId="305">
    <w:nsid w:val="48249DB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06">
    <w:nsid w:val="1F0E5D0D"/>
    <w:multiLevelType w:val="hybridMultilevel"/>
    <w:lvl w:ilvl="0">
      <w:lvlJc w:val="left"/>
      <w:lvlText w:val="(%1)"/>
      <w:numFmt w:val="lowerRoman"/>
      <w:start w:val="5"/>
    </w:lvl>
    <w:lvl w:ilvl="1">
      <w:lvlJc w:val="left"/>
      <w:lvlText w:val="%2."/>
      <w:numFmt w:val="lowerLetter"/>
      <w:start w:val="3"/>
    </w:lvl>
    <w:lvl w:ilvl="2">
      <w:lvlJc w:val="left"/>
      <w:lvlText w:val="(%3)"/>
      <w:numFmt w:val="lowerRoman"/>
      <w:start w:val="1"/>
    </w:lvl>
  </w:abstractNum>
  <w:abstractNum w:abstractNumId="307">
    <w:nsid w:val="26BAAE9"/>
    <w:multiLevelType w:val="hybridMultilevel"/>
    <w:lvl w:ilvl="0">
      <w:lvlJc w:val="left"/>
      <w:lvlText w:val="(%1)"/>
      <w:numFmt w:val="lowerRoman"/>
      <w:start w:val="2"/>
    </w:lvl>
  </w:abstractNum>
  <w:abstractNum w:abstractNumId="308">
    <w:nsid w:val="2C02FE8C"/>
    <w:multiLevelType w:val="hybridMultilevel"/>
    <w:lvl w:ilvl="0">
      <w:lvlJc w:val="left"/>
      <w:lvlText w:val="%1."/>
      <w:numFmt w:val="decimal"/>
      <w:start w:val="8"/>
    </w:lvl>
    <w:lvl w:ilvl="1">
      <w:lvlJc w:val="left"/>
      <w:lvlText w:val="%2."/>
      <w:numFmt w:val="lowerLetter"/>
      <w:start w:val="1"/>
    </w:lvl>
  </w:abstractNum>
  <w:abstractNum w:abstractNumId="309">
    <w:nsid w:val="129517E"/>
    <w:multiLevelType w:val="hybridMultilevel"/>
    <w:lvl w:ilvl="0">
      <w:lvlJc w:val="left"/>
      <w:lvlText w:val="%1."/>
      <w:numFmt w:val="lowerLetter"/>
      <w:start w:val="3"/>
    </w:lvl>
  </w:abstractNum>
  <w:abstractNum w:abstractNumId="310">
    <w:nsid w:val="763B8C4E"/>
    <w:multiLevelType w:val="hybridMultilevel"/>
    <w:lvl w:ilvl="0">
      <w:lvlJc w:val="left"/>
      <w:lvlText w:val="%1."/>
      <w:numFmt w:val="lowerLetter"/>
      <w:start w:val="9"/>
    </w:lvl>
  </w:abstractNum>
  <w:abstractNum w:abstractNumId="311">
    <w:nsid w:val="4CFB8D32"/>
    <w:multiLevelType w:val="hybridMultilevel"/>
    <w:lvl w:ilvl="0">
      <w:lvlJc w:val="left"/>
      <w:lvlText w:val="%1."/>
      <w:numFmt w:val="decimal"/>
      <w:start w:val="11"/>
    </w:lvl>
  </w:abstractNum>
  <w:abstractNum w:abstractNumId="312">
    <w:nsid w:val="62A5D5BD"/>
    <w:multiLevelType w:val="hybridMultilevel"/>
    <w:lvl w:ilvl="0">
      <w:lvlJc w:val="left"/>
      <w:lvlText w:val="%1."/>
      <w:numFmt w:val="decimal"/>
      <w:start w:val="13"/>
    </w:lvl>
  </w:abstractNum>
  <w:abstractNum w:abstractNumId="313">
    <w:nsid w:val="718FABF9"/>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314">
    <w:nsid w:val="7775797C"/>
    <w:multiLevelType w:val="hybridMultilevel"/>
    <w:lvl w:ilvl="0">
      <w:lvlJc w:val="left"/>
      <w:lvlText w:val="☐"/>
      <w:numFmt w:val="bullet"/>
      <w:start w:val="1"/>
    </w:lvl>
  </w:abstractNum>
  <w:abstractNum w:abstractNumId="315">
    <w:nsid w:val="1626FB8C"/>
    <w:multiLevelType w:val="hybridMultilevel"/>
    <w:lvl w:ilvl="0">
      <w:lvlJc w:val="left"/>
      <w:lvlText w:val="%1"/>
      <w:numFmt w:val="upperLetter"/>
      <w:start w:val="61"/>
    </w:lvl>
  </w:abstractNum>
  <w:abstractNum w:abstractNumId="316">
    <w:nsid w:val="3957756A"/>
    <w:multiLevelType w:val="hybridMultilevel"/>
    <w:lvl w:ilvl="0">
      <w:lvlJc w:val="left"/>
      <w:lvlText w:val="%1"/>
      <w:numFmt w:val="upperLetter"/>
      <w:start w:val="61"/>
    </w:lvl>
  </w:abstractNum>
  <w:abstractNum w:abstractNumId="317">
    <w:nsid w:val="3E6DA1C7"/>
    <w:multiLevelType w:val="hybridMultilevel"/>
    <w:lvl w:ilvl="0">
      <w:lvlJc w:val="left"/>
      <w:lvlText w:val="%1"/>
      <w:numFmt w:val="upperLetter"/>
      <w:start w:val="61"/>
    </w:lvl>
  </w:abstractNum>
  <w:abstractNum w:abstractNumId="318">
    <w:nsid w:val="65CA235B"/>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2021-02-08T06:18:44Z</dcterms:created>
  <dcterms:modified xsi:type="dcterms:W3CDTF">2021-02-08T06:18:44Z</dcterms:modified>
</cp:coreProperties>
</file>