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28, 2026</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41"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689"/>
        <w:gridCol w:w="689"/>
        <w:gridCol w:w="691"/>
        <w:gridCol w:w="109"/>
        <w:gridCol w:w="109"/>
        <w:gridCol w:w="109"/>
        <w:gridCol w:w="425"/>
        <w:gridCol w:w="425"/>
        <w:gridCol w:w="60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001-39434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98-1541723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616" w:type="dxa"/>
        <w:jc w:val="left"/>
        <w:tblInd w:w="0" w:type="dxa"/>
        <w:tblLayout w:type="fixed"/>
        <w:tblCellMar>
          <w:top w:w="28" w:type="dxa"/>
          <w:left w:w="28" w:type="dxa"/>
          <w:bottom w:w="28" w:type="dxa"/>
          <w:right w:w="28" w:type="dxa"/>
        </w:tblCellMar>
      </w:tblPr>
      <w:tblGrid>
        <w:gridCol w:w="1196"/>
        <w:gridCol w:w="1048"/>
        <w:gridCol w:w="1055"/>
        <w:gridCol w:w="109"/>
        <w:gridCol w:w="109"/>
        <w:gridCol w:w="109"/>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Washington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98102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(206) 333-2001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(Former name or former address, if changed since last report)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7" w:type="dxa"/>
        <w:jc w:val="left"/>
        <w:tblInd w:w="0" w:type="dxa"/>
        <w:tblLayout w:type="fixed"/>
        <w:tblCellMar>
          <w:top w:w="28" w:type="dxa"/>
          <w:left w:w="28" w:type="dxa"/>
          <w:bottom w:w="28" w:type="dxa"/>
          <w:right w:w="28" w:type="dxa"/>
        </w:tblCellMar>
      </w:tblPr>
      <w:tblGrid>
        <w:gridCol w:w="1401"/>
        <w:gridCol w:w="1227"/>
        <w:gridCol w:w="1241"/>
        <w:gridCol w:w="109"/>
        <w:gridCol w:w="109"/>
        <w:gridCol w:w="109"/>
        <w:gridCol w:w="539"/>
        <w:gridCol w:w="539"/>
        <w:gridCol w:w="541"/>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both"/>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28, 2026, Nautilus Biotechnology, Inc. (the “Company”) issued a press release reporting its financial results for the quarter ended June 30, 2026. A copy of the press release is furnished herewith as Exhibit 99.1 to this Current Report on Form 8-K.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46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79"/>
        <w:gridCol w:w="1879"/>
        <w:gridCol w:w="267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68xkearning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68xkearnings.htm">
              <w:r>
                <w:rPr>
                  <w:rStyle w:val="InternetLink"/>
                  <w:rFonts w:ascii="Times New Roman;serif" w:hAnsi="Times New Roman;serif"/>
                  <w:b w:val="false"/>
                  <w:color w:val="000080"/>
                  <w:sz w:val="20"/>
                  <w:u w:val="single"/>
                </w:rPr>
                <w:t xml:space="preserve">Press Release dated </w:t>
              </w:r>
            </w:hyperlink>
            <w:hyperlink w:anchor="exhibit991-q2268xkearnings.htm">
              <w:r>
                <w:rPr>
                  <w:rStyle w:val="InternetLink"/>
                  <w:rFonts w:ascii="Times New Roman;serif" w:hAnsi="Times New Roman;serif"/>
                  <w:b w:val="false"/>
                  <w:color w:val="000080"/>
                  <w:sz w:val="20"/>
                  <w:u w:val="single"/>
                </w:rPr>
                <w:t>July</w:t>
              </w:r>
            </w:hyperlink>
            <w:hyperlink w:anchor="exhibit991-q2268xkearnings.htm">
              <w:r>
                <w:rPr>
                  <w:rStyle w:val="InternetLink"/>
                  <w:rFonts w:ascii="Times New Roman;serif" w:hAnsi="Times New Roman;serif"/>
                  <w:b w:val="false"/>
                  <w:color w:val="000080"/>
                  <w:sz w:val="20"/>
                  <w:u w:val="single"/>
                </w:rPr>
                <w:t xml:space="preserve"> </w:t>
              </w:r>
            </w:hyperlink>
            <w:hyperlink w:anchor="exhibit991-q2268xkearnings.htm">
              <w:r>
                <w:rPr>
                  <w:rStyle w:val="InternetLink"/>
                  <w:rFonts w:ascii="Times New Roman;serif" w:hAnsi="Times New Roman;serif"/>
                  <w:b w:val="false"/>
                  <w:color w:val="000080"/>
                  <w:sz w:val="20"/>
                  <w:u w:val="single"/>
                </w:rPr>
                <w:t>28</w:t>
              </w:r>
            </w:hyperlink>
            <w:hyperlink w:anchor="exhibit991-q2268xkearnings.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Dated: July 28, 2026</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Nautilus Biotechnology Reports Second Quarter 2026 Financial Results</w:t>
      </w:r>
    </w:p>
    <w:p>
      <w:pPr>
        <w:pStyle w:val="TextBody"/>
        <w:bidi w:val="0"/>
        <w:spacing w:lineRule="auto" w:line="288" w:before="240" w:after="283"/>
        <w:jc w:val="both"/>
        <w:rPr/>
      </w:pPr>
      <w:r>
        <w:rPr>
          <w:rFonts w:ascii="Times New Roman;serif" w:hAnsi="Times New Roman;serif"/>
          <w:b/>
          <w:color w:val="000000"/>
          <w:sz w:val="20"/>
        </w:rPr>
        <w:t xml:space="preserve">SEATTLE, WA, </w:t>
      </w:r>
      <w:r>
        <w:rPr>
          <w:rFonts w:ascii="Times New Roman;serif" w:hAnsi="Times New Roman;serif"/>
          <w:b w:val="false"/>
          <w:color w:val="000000"/>
          <w:sz w:val="20"/>
        </w:rPr>
        <w:t>July 28, 2026 – Nautilus Biotechnology, Inc. (NASDAQ: NAUT), a company pioneering a single-molecule proteome analysis platform, today reported financial results for the second quarter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Business Highlights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Recognized first revenue in the second quarter of 2026, including grant revenue from the Michael J. Fox Foundation supporting our alpha-synuclein proteoform assay development, together with revenue from our first Iterative Mapping Early Access Program customer.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Grew our commercial organization to three team members, including our previously announced VP of Global Sales, driving engagement with prospective Iterative Mapping Early Access Program customers ahead of the Voyager™ Platform commercial launch.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selected and are advancing our first oncology proteoform, AKT1, with expected Early Access availability in late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Programs &amp; Roadmap Update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Q1, we launched our Iterative Mapping Early Access program, a services-based program designed to bring Iterative Mapping applications to customers ahead of general availability of consumable kits, with our Tau Proteoforms Assay as the first application made available. Since launch, we have seen strong and growing customer enthusiasm for the proteoform approach and the unique insight it can deliver, including numerous additional customer-requested proteoform targets, representing what we believe to be a significant commercial opportunity. Given the potential scale of this opportunity and the technical performance to date, we are significantly shifting resources across the company and putting a new roadmap in place to accelerate our proteoform applications. Our new realigned roadmap includes: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Voyager™ Platform</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Launch expected in early 2027 for pre-orders and anticipated instrument shipment beginning in mid 2027, timed with the Proteoforms Assay consumable kits listed below.</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Proteoform Portfolio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Tau Proteoforms Assay: Continued availability through the Iterative Mapping Early Access Program with general availability of consumable kits in mid 2027.</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AKT1 Proteoforms Assay: Expected to enter the Iterative Mapping Early Access Program in late 2026, with general availability of consumable kits expected in mid 2027.</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Second oncology proteoforms assay with expected general availability of consumable kits in mid 2027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Third oncology proteoforms assay and continued expansion of our proteoform pipeline with general availability of additional consumable kits in late 2027.</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plan to concurrently develop expanded proteoform portfolio capabilities, such as lower sample input, additional sample types, and increased proteoform depth.</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Broadscale Portfolio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In Q2, we completed testing and determined that our assay configuration changes do not sufficiently improve our probe candidate performance to support a 2027 general availability of a broadscale consumable kit at our target specifications.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We have identified key improvement areas and begun the necessary development work required to advance broadscale performance.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plan to report back on a commercial timeline for the Broadscale Assay at a future date.</w:t>
      </w:r>
    </w:p>
    <w:p>
      <w:pPr>
        <w:pStyle w:val="TextBody"/>
        <w:bidi w:val="0"/>
        <w:spacing w:before="0" w:after="0"/>
        <w:jc w:val="both"/>
        <w:rPr/>
      </w:pPr>
      <w:r>
        <w:rPr/>
      </w:r>
    </w:p>
    <w:p>
      <w:pPr>
        <w:pStyle w:val="TextBody"/>
        <w:bidi w:val="0"/>
        <w:spacing w:lineRule="auto" w:line="268"/>
        <w:jc w:val="both"/>
        <w:rPr>
          <w:color w:val="000000"/>
        </w:rPr>
      </w:pPr>
      <w:r>
        <w:rPr>
          <w:color w:val="000000"/>
        </w:rPr>
        <w:t>“</w:t>
      </w:r>
      <w:r>
        <w:rPr>
          <w:rFonts w:ascii="Times New Roman;serif" w:hAnsi="Times New Roman;serif"/>
          <w:b w:val="false"/>
          <w:color w:val="000000"/>
          <w:sz w:val="20"/>
        </w:rPr>
        <w:t>The second quarter reinforced our ever-increasing conviction that proteoforms deliver critical biological resolution that Nautilus is uniquely positioned to deliver,” said Sujal Patel, CEO of Nautilus Biotechnology. “Customer enthusiasm for our proteoform applications has been remarkable, and we are prioritizing this market-driven feedback in our updated roadmap. We are funding this shift through reallocation rather than incremental spend, so accelerating our proteoform development does not impact our broader financial assumptions. I believe this realignment puts Nautilus on a more direct and, ultimately, faster path to becoming a commercial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was $0.2 million for the second quarter of 2026, primarily driven by grant revenue from the commencement of the Company’s activities related to the grant awarded from The Michael J. Fox Foundation during the period, and service revenue for the first sales of services under the Iterative Mapping Early Access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$15.9 million for the second quarter of 2026, a $1.2 million or 7% decrease compared to $17.1 million for the corresponding prior year period. The decrease in operating expenses is attributable to lower salaries and related benefits, stock-based compensation expense, and facilities costs.</w:t>
      </w:r>
    </w:p>
    <w:p>
      <w:pPr>
        <w:pStyle w:val="TextBody"/>
        <w:bidi w:val="0"/>
        <w:spacing w:lineRule="auto" w:line="288" w:before="240" w:after="283"/>
        <w:jc w:val="both"/>
        <w:rPr/>
      </w:pPr>
      <w:r>
        <w:rPr>
          <w:rFonts w:ascii="Times New Roman;serif" w:hAnsi="Times New Roman;serif"/>
          <w:b w:val="false"/>
          <w:color w:val="000000"/>
          <w:sz w:val="20"/>
        </w:rPr>
        <w:t>Net loss was $14.5 million for the second quarter of</w:t>
      </w:r>
      <w:r>
        <w:rPr>
          <w:color w:val="000000"/>
        </w:rPr>
        <w:t xml:space="preserve"> </w:t>
      </w:r>
      <w:r>
        <w:rPr>
          <w:rFonts w:ascii="Times New Roman;serif" w:hAnsi="Times New Roman;serif"/>
          <w:b w:val="false"/>
          <w:color w:val="000000"/>
          <w:sz w:val="20"/>
        </w:rPr>
        <w:t>2026, as compared to the net loss of $15.0 million for the corresponding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investments were $129.2 million as of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88" w:before="240" w:after="283"/>
        <w:jc w:val="both"/>
        <w:rPr/>
      </w:pPr>
      <w:r>
        <w:rPr>
          <w:rFonts w:ascii="Times New Roman;serif" w:hAnsi="Times New Roman;serif"/>
          <w:b w:val="false"/>
          <w:color w:val="000000"/>
          <w:sz w:val="20"/>
        </w:rPr>
        <w:t xml:space="preserve">Nautilus will host a conference call to discuss the second quarter 2026 financial results, business developments and outlook before market open on Tuesday, July 28, 2026, at 5:30 AM Pacific Time / 8:30 AM Eastern Time. Live audio of the webcast will be available on the “Investors” section of the company website at: </w:t>
      </w:r>
      <w:r>
        <w:rPr>
          <w:rFonts w:ascii="Times New Roman;serif" w:hAnsi="Times New Roman;serif"/>
          <w:b w:val="false"/>
          <w:color w:val="0563C1"/>
          <w:sz w:val="20"/>
          <w:u w:val="single"/>
        </w:rPr>
        <w:t>www.nautilus.bio</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About Nautilus Biotechnology,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both"/>
        <w:rPr/>
      </w:pPr>
      <w:r>
        <w:rPr>
          <w:rFonts w:ascii="Times New Roman;serif" w:hAnsi="Times New Roman;serif"/>
          <w:b w:val="false"/>
          <w:color w:val="000000"/>
          <w:sz w:val="20"/>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including any impact thereon from our reallocation of resources; expectations with respect to any revenue timing or projections; expectations with respect to the development required for and the timing of the launch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our proteoform applications roadmap and full commercial availability of our proteoform and/or broadscale products and/or services; the functionality and performance of the Nautilus Voyager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the Nautilus Voyager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the Nautilus Voyager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June 30, 2026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Disclosure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press@nautilus.bio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investorrelations@nautilus.bio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5879" w:type="dxa"/>
        <w:jc w:val="left"/>
        <w:tblInd w:w="0" w:type="dxa"/>
        <w:tblLayout w:type="fixed"/>
        <w:tblCellMar>
          <w:top w:w="28" w:type="dxa"/>
          <w:left w:w="28" w:type="dxa"/>
          <w:bottom w:w="28" w:type="dxa"/>
          <w:right w:w="28" w:type="dxa"/>
        </w:tblCellMar>
      </w:tblPr>
      <w:tblGrid>
        <w:gridCol w:w="1881"/>
        <w:gridCol w:w="1655"/>
        <w:gridCol w:w="2343"/>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Balance Sheets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As of June 30, 2026 and December 31, 2025 (Unaudited)</w:t>
            </w:r>
          </w:p>
        </w:tc>
      </w:tr>
    </w:tbl>
    <w:p>
      <w:pPr>
        <w:pStyle w:val="TextBody"/>
        <w:bidi w:val="0"/>
        <w:spacing w:before="0" w:after="0"/>
        <w:jc w:val="center"/>
        <w:rPr/>
      </w:pPr>
      <w:r>
        <w:rPr/>
      </w:r>
    </w:p>
    <w:tbl>
      <w:tblPr>
        <w:tblW w:w="7082" w:type="dxa"/>
        <w:jc w:val="center"/>
        <w:tblInd w:w="0" w:type="dxa"/>
        <w:tblLayout w:type="fixed"/>
        <w:tblCellMar>
          <w:top w:w="28" w:type="dxa"/>
          <w:left w:w="28" w:type="dxa"/>
          <w:bottom w:w="28" w:type="dxa"/>
          <w:right w:w="28" w:type="dxa"/>
        </w:tblCellMar>
      </w:tblPr>
      <w:tblGrid>
        <w:gridCol w:w="1472"/>
        <w:gridCol w:w="1293"/>
        <w:gridCol w:w="1300"/>
        <w:gridCol w:w="211"/>
        <w:gridCol w:w="826"/>
        <w:gridCol w:w="109"/>
        <w:gridCol w:w="109"/>
        <w:gridCol w:w="109"/>
        <w:gridCol w:w="109"/>
        <w:gridCol w:w="273"/>
        <w:gridCol w:w="1072"/>
        <w:gridCol w:w="199"/>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2"/>
        <w:gridCol w:w="1946"/>
        <w:gridCol w:w="2756"/>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Statements of Operations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Three and Six Months Ended June 30, 2026 and 2025 (Unaudited)</w:t>
            </w:r>
          </w:p>
        </w:tc>
      </w:tr>
    </w:tbl>
    <w:tbl>
      <w:tblPr>
        <w:tblW w:w="10205" w:type="dxa"/>
        <w:jc w:val="center"/>
        <w:tblInd w:w="0" w:type="dxa"/>
        <w:tblLayout w:type="fixed"/>
        <w:tblCellMar>
          <w:top w:w="28" w:type="dxa"/>
          <w:left w:w="28" w:type="dxa"/>
          <w:bottom w:w="28" w:type="dxa"/>
          <w:right w:w="28" w:type="dxa"/>
        </w:tblCellMar>
      </w:tblPr>
      <w:tblGrid>
        <w:gridCol w:w="1775"/>
        <w:gridCol w:w="1107"/>
        <w:gridCol w:w="1115"/>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revenue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127,135,738 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126,204,632 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126,886,646 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126,174,603 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790" w:type="dxa"/>
        <w:jc w:val="left"/>
        <w:tblInd w:w="0" w:type="dxa"/>
        <w:tblLayout w:type="fixed"/>
        <w:tblCellMar>
          <w:top w:w="28" w:type="dxa"/>
          <w:left w:w="28" w:type="dxa"/>
          <w:bottom w:w="28" w:type="dxa"/>
          <w:right w:w="28" w:type="dxa"/>
        </w:tblCellMar>
      </w:tblPr>
      <w:tblGrid>
        <w:gridCol w:w="1852"/>
        <w:gridCol w:w="1630"/>
        <w:gridCol w:w="2308"/>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Statements of Cash Flows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Six Months Ended June 30, 2026 and 2025 (Unaudited)</w:t>
            </w:r>
          </w:p>
        </w:tc>
      </w:tr>
    </w:tbl>
    <w:p>
      <w:pPr>
        <w:pStyle w:val="TextBody"/>
        <w:bidi w:val="0"/>
        <w:spacing w:before="0" w:after="0"/>
        <w:jc w:val="left"/>
        <w:rPr/>
      </w:pPr>
      <w:r>
        <w:rPr/>
      </w:r>
    </w:p>
    <w:tbl>
      <w:tblPr>
        <w:tblW w:w="9038" w:type="dxa"/>
        <w:jc w:val="center"/>
        <w:tblInd w:w="0" w:type="dxa"/>
        <w:tblLayout w:type="fixed"/>
        <w:tblCellMar>
          <w:top w:w="28" w:type="dxa"/>
          <w:left w:w="28" w:type="dxa"/>
          <w:bottom w:w="28" w:type="dxa"/>
          <w:right w:w="28" w:type="dxa"/>
        </w:tblCellMar>
      </w:tblPr>
      <w:tblGrid>
        <w:gridCol w:w="2330"/>
        <w:gridCol w:w="2049"/>
        <w:gridCol w:w="2055"/>
        <w:gridCol w:w="211"/>
        <w:gridCol w:w="796"/>
        <w:gridCol w:w="109"/>
        <w:gridCol w:w="109"/>
        <w:gridCol w:w="109"/>
        <w:gridCol w:w="109"/>
        <w:gridCol w:w="211"/>
        <w:gridCol w:w="79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premiums (discounts) on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2438</Words>
  <Characters>14389</Characters>
  <CharactersWithSpaces>16604</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