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ARYA Sciences Acquisition Corp III</w:t>
      </w:r>
    </w:p>
    <w:p>
      <w:pPr>
        <w:jc w:val="center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51 Astor Place, 10</w:t>
      </w: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New York, New York 10003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August 4, 2020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u w:val="single" w:color="auto"/>
          <w:color w:val="auto"/>
        </w:rPr>
        <w:t>VIA EDGAR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Division of Corporation Finance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Office of Real Estate &amp; Construction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100 F Street, N.E.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Washington, D.C. 20549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Attention: Michael Killoy</w:t>
      </w:r>
    </w:p>
    <w:p>
      <w:pPr>
        <w:sectPr>
          <w:pgSz w:w="11900" w:h="16838" w:orient="portrait"/>
          <w:cols w:equalWidth="0" w:num="1">
            <w:col w:w="11240"/>
          </w:cols>
          <w:pgMar w:left="320" w:top="378" w:right="339" w:bottom="1440" w:gutter="0" w:footer="0" w:header="0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ARYA Sciences Acquisition Corp III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333-239986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" w:space="340"/>
            <w:col w:w="10020"/>
          </w:cols>
          <w:pgMar w:left="320" w:top="378" w:right="33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Ladies and Gentlemen: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Rule 461 under the Securities Act of 1933, as amended, ARYA Sciences Acquisition Corp III (the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“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”) hereby requests acceleration of the effective date of the above referenced Registration Statement to 4:00 p.m.,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Eastern Time, on August 6, 2020, or as soon thereafter as practicable, or at such other time as the Company or its outside counsel,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Kirkland &amp; Ellis LLP, request by telephone that such Registration Statement be declared effective.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16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Please contact Christian O. Nagler, of Kirkland &amp; Ellis LLP, special counsel to the Company, at (212) 446-4660, as soon as the Registration Statement has been declared effective, or if you have any other questions or concerns regarding this matter.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Adam Stone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17145</wp:posOffset>
            </wp:positionV>
            <wp:extent cx="356616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Adam Stone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74295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7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2020-09-03T23:06:45Z</dcterms:created>
  <dcterms:modified xsi:type="dcterms:W3CDTF">2020-09-03T23:06:45Z</dcterms:modified>
</cp:coreProperties>
</file>