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1140" w:hanging="461"/>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1140" w:hanging="460"/>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001-39434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NAUTILUS BIOTECHNOLOGY, INC.</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63" w:lineRule="exact"/>
        <w:rPr>
          <w:sz w:val="24"/>
          <w:szCs w:val="24"/>
          <w:color w:val="auto"/>
        </w:rPr>
      </w:pPr>
    </w:p>
    <w:tbl>
      <w:tblPr>
        <w:tblLayout w:type="fixed"/>
        <w:tblInd w:w="720" w:type="dxa"/>
        <w:tblCellMar>
          <w:top w:w="0" w:type="dxa"/>
          <w:left w:w="0" w:type="dxa"/>
          <w:bottom w:w="0" w:type="dxa"/>
          <w:right w:w="0" w:type="dxa"/>
        </w:tblCellMar>
      </w:tblPr>
      <w:tr>
        <w:trPr>
          <w:trHeight w:val="186"/>
        </w:trPr>
        <w:tc>
          <w:tcPr>
            <w:tcW w:w="3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Delaware</w:t>
            </w:r>
          </w:p>
        </w:tc>
        <w:tc>
          <w:tcPr>
            <w:tcW w:w="5760" w:type="dxa"/>
            <w:vAlign w:val="bottom"/>
          </w:tcPr>
          <w:p>
            <w:pPr>
              <w:jc w:val="right"/>
              <w:ind w:right="128"/>
              <w:spacing w:after="0"/>
              <w:rPr>
                <w:sz w:val="20"/>
                <w:szCs w:val="20"/>
                <w:color w:val="auto"/>
              </w:rPr>
            </w:pPr>
            <w:r>
              <w:rPr>
                <w:rFonts w:ascii="Arial" w:cs="Arial" w:eastAsia="Arial" w:hAnsi="Arial"/>
                <w:sz w:val="14"/>
                <w:szCs w:val="14"/>
                <w:b w:val="1"/>
                <w:bCs w:val="1"/>
                <w:color w:val="auto"/>
              </w:rPr>
              <w:t>98-1541723</w:t>
            </w:r>
          </w:p>
        </w:tc>
      </w:tr>
      <w:tr>
        <w:trPr>
          <w:trHeight w:val="147"/>
        </w:trPr>
        <w:tc>
          <w:tcPr>
            <w:tcW w:w="3140" w:type="dxa"/>
            <w:vAlign w:val="bottom"/>
          </w:tcPr>
          <w:p>
            <w:pPr>
              <w:jc w:val="center"/>
              <w:ind w:right="188"/>
              <w:spacing w:after="0" w:line="147" w:lineRule="exact"/>
              <w:rPr>
                <w:sz w:val="20"/>
                <w:szCs w:val="20"/>
                <w:color w:val="auto"/>
              </w:rPr>
            </w:pPr>
            <w:r>
              <w:rPr>
                <w:rFonts w:ascii="Arial" w:cs="Arial" w:eastAsia="Arial" w:hAnsi="Arial"/>
                <w:sz w:val="14"/>
                <w:szCs w:val="14"/>
                <w:color w:val="auto"/>
                <w:w w:val="95"/>
              </w:rPr>
              <w:t>(State or other jurisdiction of</w:t>
            </w:r>
          </w:p>
        </w:tc>
        <w:tc>
          <w:tcPr>
            <w:tcW w:w="5760" w:type="dxa"/>
            <w:vAlign w:val="bottom"/>
          </w:tcPr>
          <w:p>
            <w:pPr>
              <w:jc w:val="center"/>
              <w:ind w:left="4608"/>
              <w:spacing w:after="0" w:line="147" w:lineRule="exact"/>
              <w:rPr>
                <w:sz w:val="20"/>
                <w:szCs w:val="20"/>
                <w:color w:val="auto"/>
              </w:rPr>
            </w:pPr>
            <w:r>
              <w:rPr>
                <w:rFonts w:ascii="Arial" w:cs="Arial" w:eastAsia="Arial" w:hAnsi="Arial"/>
                <w:sz w:val="14"/>
                <w:szCs w:val="14"/>
                <w:color w:val="auto"/>
                <w:w w:val="97"/>
              </w:rPr>
              <w:t>(I.R.S. Employer</w:t>
            </w:r>
          </w:p>
        </w:tc>
      </w:tr>
      <w:tr>
        <w:trPr>
          <w:trHeight w:val="182"/>
        </w:trPr>
        <w:tc>
          <w:tcPr>
            <w:tcW w:w="3140" w:type="dxa"/>
            <w:vAlign w:val="bottom"/>
          </w:tcPr>
          <w:p>
            <w:pPr>
              <w:jc w:val="center"/>
              <w:ind w:right="188"/>
              <w:spacing w:after="0"/>
              <w:rPr>
                <w:sz w:val="20"/>
                <w:szCs w:val="20"/>
                <w:color w:val="auto"/>
              </w:rPr>
            </w:pPr>
            <w:r>
              <w:rPr>
                <w:rFonts w:ascii="Arial" w:cs="Arial" w:eastAsia="Arial" w:hAnsi="Arial"/>
                <w:sz w:val="14"/>
                <w:szCs w:val="14"/>
                <w:color w:val="auto"/>
                <w:w w:val="94"/>
              </w:rPr>
              <w:t>incorporation or organization)</w:t>
            </w:r>
          </w:p>
        </w:tc>
        <w:tc>
          <w:tcPr>
            <w:tcW w:w="5760" w:type="dxa"/>
            <w:vAlign w:val="bottom"/>
          </w:tcPr>
          <w:p>
            <w:pPr>
              <w:jc w:val="center"/>
              <w:ind w:left="4608"/>
              <w:spacing w:after="0"/>
              <w:rPr>
                <w:sz w:val="20"/>
                <w:szCs w:val="20"/>
                <w:color w:val="auto"/>
              </w:rPr>
            </w:pPr>
            <w:r>
              <w:rPr>
                <w:rFonts w:ascii="Arial" w:cs="Arial" w:eastAsia="Arial" w:hAnsi="Arial"/>
                <w:sz w:val="14"/>
                <w:szCs w:val="14"/>
                <w:color w:val="auto"/>
                <w:w w:val="99"/>
              </w:rPr>
              <w:t>Identification No.)</w:t>
            </w:r>
          </w:p>
        </w:tc>
      </w:tr>
      <w:tr>
        <w:trPr>
          <w:trHeight w:val="764"/>
        </w:trPr>
        <w:tc>
          <w:tcPr>
            <w:tcW w:w="3140" w:type="dxa"/>
            <w:vAlign w:val="bottom"/>
          </w:tcPr>
          <w:p>
            <w:pPr>
              <w:jc w:val="center"/>
              <w:ind w:right="188"/>
              <w:spacing w:after="0"/>
              <w:rPr>
                <w:sz w:val="20"/>
                <w:szCs w:val="20"/>
                <w:color w:val="auto"/>
              </w:rPr>
            </w:pPr>
            <w:r>
              <w:rPr>
                <w:rFonts w:ascii="Arial" w:cs="Arial" w:eastAsia="Arial" w:hAnsi="Arial"/>
                <w:sz w:val="14"/>
                <w:szCs w:val="14"/>
                <w:b w:val="1"/>
                <w:bCs w:val="1"/>
                <w:color w:val="auto"/>
                <w:w w:val="90"/>
              </w:rPr>
              <w:t>425 Pontius Ave N, Ste 202 Seattle, Washington</w:t>
            </w:r>
          </w:p>
        </w:tc>
        <w:tc>
          <w:tcPr>
            <w:tcW w:w="5760" w:type="dxa"/>
            <w:vAlign w:val="bottom"/>
          </w:tcPr>
          <w:p>
            <w:pPr>
              <w:jc w:val="right"/>
              <w:ind w:right="288"/>
              <w:spacing w:after="0"/>
              <w:rPr>
                <w:sz w:val="20"/>
                <w:szCs w:val="20"/>
                <w:color w:val="auto"/>
              </w:rPr>
            </w:pPr>
            <w:r>
              <w:rPr>
                <w:rFonts w:ascii="Arial" w:cs="Arial" w:eastAsia="Arial" w:hAnsi="Arial"/>
                <w:sz w:val="14"/>
                <w:szCs w:val="14"/>
                <w:b w:val="1"/>
                <w:bCs w:val="1"/>
                <w:color w:val="auto"/>
              </w:rPr>
              <w:t>98109</w:t>
            </w:r>
          </w:p>
        </w:tc>
      </w:tr>
      <w:tr>
        <w:trPr>
          <w:trHeight w:val="364"/>
        </w:trPr>
        <w:tc>
          <w:tcPr>
            <w:tcW w:w="3140" w:type="dxa"/>
            <w:vAlign w:val="bottom"/>
          </w:tcPr>
          <w:p>
            <w:pPr>
              <w:jc w:val="center"/>
              <w:ind w:right="188"/>
              <w:spacing w:after="0"/>
              <w:rPr>
                <w:sz w:val="20"/>
                <w:szCs w:val="20"/>
                <w:color w:val="auto"/>
              </w:rPr>
            </w:pPr>
            <w:r>
              <w:rPr>
                <w:rFonts w:ascii="Arial" w:cs="Arial" w:eastAsia="Arial" w:hAnsi="Arial"/>
                <w:sz w:val="14"/>
                <w:szCs w:val="14"/>
                <w:color w:val="auto"/>
                <w:w w:val="95"/>
              </w:rPr>
              <w:t>(Address of principal executive offices)</w:t>
            </w:r>
          </w:p>
        </w:tc>
        <w:tc>
          <w:tcPr>
            <w:tcW w:w="5760" w:type="dxa"/>
            <w:vAlign w:val="bottom"/>
          </w:tcPr>
          <w:p>
            <w:pPr>
              <w:jc w:val="center"/>
              <w:ind w:left="4608"/>
              <w:spacing w:after="0"/>
              <w:rPr>
                <w:sz w:val="20"/>
                <w:szCs w:val="20"/>
                <w:color w:val="auto"/>
              </w:rPr>
            </w:pPr>
            <w:r>
              <w:rPr>
                <w:rFonts w:ascii="Arial" w:cs="Arial" w:eastAsia="Arial" w:hAnsi="Arial"/>
                <w:sz w:val="14"/>
                <w:szCs w:val="14"/>
                <w:color w:val="auto"/>
                <w:w w:val="96"/>
              </w:rPr>
              <w:t>(Zip Code)</w:t>
            </w:r>
          </w:p>
        </w:tc>
      </w:tr>
      <w:tr>
        <w:trPr>
          <w:trHeight w:val="203"/>
        </w:trPr>
        <w:tc>
          <w:tcPr>
            <w:tcW w:w="3140" w:type="dxa"/>
            <w:vAlign w:val="bottom"/>
          </w:tcPr>
          <w:p>
            <w:pPr>
              <w:spacing w:after="0"/>
              <w:rPr>
                <w:sz w:val="17"/>
                <w:szCs w:val="17"/>
                <w:color w:val="auto"/>
              </w:rPr>
            </w:pPr>
          </w:p>
        </w:tc>
        <w:tc>
          <w:tcPr>
            <w:tcW w:w="5760" w:type="dxa"/>
            <w:vAlign w:val="bottom"/>
          </w:tcPr>
          <w:p>
            <w:pPr>
              <w:jc w:val="right"/>
              <w:ind w:right="3488"/>
              <w:spacing w:after="0"/>
              <w:rPr>
                <w:sz w:val="20"/>
                <w:szCs w:val="20"/>
                <w:color w:val="auto"/>
              </w:rPr>
            </w:pPr>
            <w:r>
              <w:rPr>
                <w:rFonts w:ascii="Arial" w:cs="Arial" w:eastAsia="Arial" w:hAnsi="Arial"/>
                <w:sz w:val="14"/>
                <w:szCs w:val="14"/>
                <w:b w:val="1"/>
                <w:bCs w:val="1"/>
                <w:color w:val="auto"/>
              </w:rPr>
              <w:t>(206) 333-2001</w:t>
            </w:r>
          </w:p>
        </w:tc>
      </w:tr>
      <w:tr>
        <w:trPr>
          <w:trHeight w:val="365"/>
        </w:trPr>
        <w:tc>
          <w:tcPr>
            <w:tcW w:w="3140" w:type="dxa"/>
            <w:vAlign w:val="bottom"/>
          </w:tcPr>
          <w:p>
            <w:pPr>
              <w:spacing w:after="0"/>
              <w:rPr>
                <w:sz w:val="24"/>
                <w:szCs w:val="24"/>
                <w:color w:val="auto"/>
              </w:rPr>
            </w:pPr>
          </w:p>
        </w:tc>
        <w:tc>
          <w:tcPr>
            <w:tcW w:w="5760" w:type="dxa"/>
            <w:vAlign w:val="bottom"/>
          </w:tcPr>
          <w:p>
            <w:pPr>
              <w:jc w:val="center"/>
              <w:ind w:right="2168"/>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6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3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00" w:type="dxa"/>
            <w:vAlign w:val="bottom"/>
          </w:tcPr>
          <w:p>
            <w:pPr>
              <w:jc w:val="center"/>
              <w:ind w:right="50"/>
              <w:spacing w:after="0"/>
              <w:rPr>
                <w:sz w:val="20"/>
                <w:szCs w:val="20"/>
                <w:color w:val="auto"/>
              </w:rPr>
            </w:pPr>
            <w:r>
              <w:rPr>
                <w:rFonts w:ascii="Arial" w:cs="Arial" w:eastAsia="Arial" w:hAnsi="Arial"/>
                <w:sz w:val="18"/>
                <w:szCs w:val="18"/>
                <w:color w:val="auto"/>
                <w:w w:val="89"/>
              </w:rPr>
              <w:t>Common Stock, par value $0.0001 per share</w:t>
            </w:r>
          </w:p>
        </w:tc>
        <w:tc>
          <w:tcPr>
            <w:tcW w:w="2100" w:type="dxa"/>
            <w:vAlign w:val="bottom"/>
          </w:tcPr>
          <w:p>
            <w:pPr>
              <w:ind w:left="88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39"/>
              <w:spacing w:after="0"/>
              <w:rPr>
                <w:sz w:val="20"/>
                <w:szCs w:val="20"/>
                <w:color w:val="auto"/>
              </w:rPr>
            </w:pPr>
            <w:r>
              <w:rPr>
                <w:rFonts w:ascii="Arial" w:cs="Arial" w:eastAsia="Arial" w:hAnsi="Arial"/>
                <w:sz w:val="14"/>
                <w:szCs w:val="14"/>
                <w:color w:val="auto"/>
                <w:w w:val="94"/>
              </w:rPr>
              <w:t>The Nasdaq Stock Market LLC</w:t>
            </w:r>
          </w:p>
        </w:tc>
      </w:tr>
    </w:tbl>
    <w:p>
      <w:pPr>
        <w:spacing w:after="0" w:line="309"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10" w:lineRule="exact"/>
        <w:rPr>
          <w:sz w:val="24"/>
          <w:szCs w:val="24"/>
          <w:color w:val="auto"/>
        </w:rPr>
      </w:pPr>
    </w:p>
    <w:p>
      <w:pPr>
        <w:ind w:right="20"/>
        <w:spacing w:after="0" w:line="212"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2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5"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left="340" w:right="1360"/>
        <w:spacing w:after="0" w:line="49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July 31, 2021, the registrant had 124,094,390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30" w:right="379" w:bottom="959"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2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2"/>
          </w:tcPr>
          <w:p>
            <w:pPr>
              <w:spacing w:after="0"/>
              <w:rPr>
                <w:rFonts w:ascii="Arial" w:cs="Arial" w:eastAsia="Arial" w:hAnsi="Arial"/>
                <w:sz w:val="18"/>
                <w:szCs w:val="18"/>
                <w:color w:val="0000FF"/>
              </w:rPr>
            </w:pPr>
            <w:r>
              <w:rPr>
                <w:rFonts w:ascii="Arial" w:cs="Arial" w:eastAsia="Arial" w:hAnsi="Arial"/>
                <w:sz w:val="18"/>
                <w:szCs w:val="18"/>
                <w:color w:val="0000FF"/>
              </w:rPr>
              <w:t xml:space="preserve">PART </w:t>
            </w:r>
            <w:hyperlink w:anchor="page4">
              <w:r>
                <w:rPr>
                  <w:rFonts w:ascii="Arial" w:cs="Arial" w:eastAsia="Arial" w:hAnsi="Arial"/>
                  <w:sz w:val="18"/>
                  <w:szCs w:val="18"/>
                  <w:color w:val="0000FF"/>
                </w:rPr>
                <w:t>I. FINANCIAL INFORMATION</w:t>
              </w:r>
            </w:hyperlink>
          </w:p>
        </w:tc>
        <w:tc>
          <w:tcPr>
            <w:tcW w:w="320" w:type="dxa"/>
            <w:vAlign w:val="bottom"/>
          </w:tcPr>
          <w:p>
            <w:pPr>
              <w:spacing w:after="0"/>
              <w:rPr>
                <w:sz w:val="24"/>
                <w:szCs w:val="24"/>
                <w:color w:val="auto"/>
              </w:rPr>
            </w:pPr>
          </w:p>
        </w:tc>
        <w:tc>
          <w:tcPr>
            <w:tcW w:w="4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80" w:type="dxa"/>
            <w:vAlign w:val="bottom"/>
            <w:tcBorders>
              <w:top w:val="single" w:sz="8" w:color="0000FF"/>
            </w:tcBorders>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746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Financial Statements (Unaudited)</w:t>
              </w:r>
            </w:hyperlink>
          </w:p>
        </w:tc>
        <w:tc>
          <w:tcPr>
            <w:tcW w:w="5080" w:type="dxa"/>
            <w:vAlign w:val="bottom"/>
            <w:gridSpan w:val="10"/>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rFonts w:ascii="Arial" w:cs="Arial" w:eastAsia="Arial" w:hAnsi="Arial"/>
                <w:sz w:val="18"/>
                <w:szCs w:val="18"/>
                <w:color w:val="0000FF"/>
                <w:w w:val="82"/>
              </w:rPr>
            </w:pPr>
            <w:hyperlink w:anchor="page4">
              <w:r>
                <w:rPr>
                  <w:rFonts w:ascii="Arial" w:cs="Arial" w:eastAsia="Arial" w:hAnsi="Arial"/>
                  <w:sz w:val="18"/>
                  <w:szCs w:val="18"/>
                  <w:color w:val="0000FF"/>
                  <w:w w:val="82"/>
                </w:rPr>
                <w:t>iii</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June 30, 2021 and December 31, 2020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Operations for the Three and Six Months Ended June 30, 2021 and 2020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2</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960" w:type="dxa"/>
            <w:vAlign w:val="bottom"/>
            <w:gridSpan w:val="20"/>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Comprehensive Loss for the Three and Six Months Ended June 30, 2021 and 2020</w:t>
              </w:r>
            </w:hyperlink>
          </w:p>
        </w:tc>
        <w:tc>
          <w:tcPr>
            <w:tcW w:w="380" w:type="dxa"/>
            <w:vAlign w:val="bottom"/>
          </w:tcPr>
          <w:p>
            <w:pPr>
              <w:spacing w:after="0"/>
              <w:rPr>
                <w:sz w:val="22"/>
                <w:szCs w:val="22"/>
                <w:color w:val="auto"/>
              </w:rPr>
            </w:pPr>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8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(unaudited)</w:t>
              </w:r>
            </w:hyperlink>
          </w:p>
        </w:tc>
        <w:tc>
          <w:tcPr>
            <w:tcW w:w="6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Redeemable Convertible Preferred Stock and Stockholders’ Equity (Deficit) for the</w:t>
              </w:r>
            </w:hyperlink>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4</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8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Three and Six Months Ended June 30, 2021 and 2020 (unaudited)</w:t>
              </w:r>
            </w:hyperlink>
          </w:p>
        </w:tc>
        <w:tc>
          <w:tcPr>
            <w:tcW w:w="46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Six Months Ended June 30, 2021 and 2020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240" w:type="dxa"/>
            <w:vAlign w:val="bottom"/>
            <w:gridSpan w:val="1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1100" w:type="dxa"/>
            <w:vAlign w:val="bottom"/>
            <w:gridSpan w:val="4"/>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5"/>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2"/>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00" w:type="dxa"/>
            <w:vAlign w:val="bottom"/>
            <w:gridSpan w:val="3"/>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tcBorders>
              <w:left w:val="single" w:sz="8" w:color="0000FF"/>
            </w:tcBorders>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000" w:type="dxa"/>
            <w:vAlign w:val="bottom"/>
            <w:gridSpan w:val="9"/>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60" w:type="dxa"/>
            <w:vAlign w:val="bottom"/>
            <w:tcBorders>
              <w:bottom w:val="single" w:sz="8" w:color="0000FF"/>
            </w:tcBorders>
            <w:gridSpan w:val="8"/>
          </w:tcPr>
          <w:p>
            <w:pPr>
              <w:spacing w:after="0"/>
              <w:rPr>
                <w:rFonts w:ascii="Arial" w:cs="Arial" w:eastAsia="Arial" w:hAnsi="Arial"/>
                <w:sz w:val="18"/>
                <w:szCs w:val="18"/>
                <w:color w:val="0000FF"/>
                <w:w w:val="96"/>
              </w:rPr>
            </w:pPr>
            <w:r>
              <w:rPr>
                <w:rFonts w:ascii="Arial" w:cs="Arial" w:eastAsia="Arial" w:hAnsi="Arial"/>
                <w:sz w:val="18"/>
                <w:szCs w:val="18"/>
                <w:color w:val="0000FF"/>
                <w:w w:val="96"/>
              </w:rPr>
              <w:t xml:space="preserve">PART </w:t>
            </w:r>
            <w:hyperlink w:anchor="page37">
              <w:r>
                <w:rPr>
                  <w:rFonts w:ascii="Arial" w:cs="Arial" w:eastAsia="Arial" w:hAnsi="Arial"/>
                  <w:sz w:val="18"/>
                  <w:szCs w:val="18"/>
                  <w:color w:val="0000FF"/>
                  <w:w w:val="96"/>
                </w:rPr>
                <w:t xml:space="preserve">II - </w:t>
              </w:r>
            </w:hyperlink>
            <w:r>
              <w:rPr>
                <w:rFonts w:ascii="Arial" w:cs="Arial" w:eastAsia="Arial" w:hAnsi="Arial"/>
                <w:sz w:val="18"/>
                <w:szCs w:val="18"/>
                <w:color w:val="0000FF"/>
                <w:w w:val="96"/>
              </w:rPr>
              <w:t xml:space="preserve">OTHER </w:t>
            </w:r>
            <w:hyperlink w:anchor="page37">
              <w:r>
                <w:rPr>
                  <w:rFonts w:ascii="Arial" w:cs="Arial" w:eastAsia="Arial" w:hAnsi="Arial"/>
                  <w:sz w:val="18"/>
                  <w:szCs w:val="18"/>
                  <w:color w:val="0000FF"/>
                  <w:w w:val="96"/>
                </w:rPr>
                <w:t>INFORMATION</w:t>
              </w:r>
            </w:hyperlink>
          </w:p>
        </w:tc>
        <w:tc>
          <w:tcPr>
            <w:tcW w:w="770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8020" w:type="dxa"/>
            <w:vAlign w:val="bottom"/>
            <w:gridSpan w:val="16"/>
          </w:tcPr>
          <w:p>
            <w:pPr>
              <w:spacing w:after="0"/>
              <w:rPr>
                <w:sz w:val="24"/>
                <w:szCs w:val="24"/>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Unregistered Sales of Equity Securities and Use of Proceeds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Defaults Upon Senior Securities</w:t>
              </w:r>
            </w:hyperlink>
          </w:p>
        </w:tc>
        <w:tc>
          <w:tcPr>
            <w:tcW w:w="5000" w:type="dxa"/>
            <w:vAlign w:val="bottom"/>
            <w:gridSpan w:val="9"/>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0"/>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Mine Safety Disclosures</w:t>
              </w:r>
            </w:hyperlink>
          </w:p>
        </w:tc>
        <w:tc>
          <w:tcPr>
            <w:tcW w:w="7020" w:type="dxa"/>
            <w:vAlign w:val="bottom"/>
            <w:gridSpan w:val="11"/>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Other Information</w:t>
              </w:r>
            </w:hyperlink>
          </w:p>
        </w:tc>
        <w:tc>
          <w:tcPr>
            <w:tcW w:w="440" w:type="dxa"/>
            <w:vAlign w:val="bottom"/>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Exhibits</w:t>
              </w:r>
            </w:hyperlink>
          </w:p>
        </w:tc>
        <w:tc>
          <w:tcPr>
            <w:tcW w:w="720" w:type="dxa"/>
            <w:vAlign w:val="bottom"/>
            <w:gridSpan w:val="3"/>
          </w:tcPr>
          <w:p>
            <w:pPr>
              <w:spacing w:after="0"/>
              <w:rPr>
                <w:sz w:val="18"/>
                <w:szCs w:val="18"/>
                <w:color w:val="auto"/>
              </w:rPr>
            </w:pPr>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SIGNATURES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4" w:lineRule="exact"/>
        <w:rPr>
          <w:sz w:val="20"/>
          <w:szCs w:val="20"/>
          <w:color w:val="auto"/>
        </w:rPr>
      </w:pPr>
    </w:p>
    <w:p>
      <w:pPr>
        <w:ind w:right="48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Business Combination, as defined in Part I, Item 1, Note 3, “Reverse Recapitalization,” in our notes to condensed consolidated financial statements in this Quarterly Report on Form 10-Q;</w:t>
      </w:r>
    </w:p>
    <w:p>
      <w:pPr>
        <w:spacing w:after="0" w:line="116" w:lineRule="exact"/>
        <w:rPr>
          <w:rFonts w:ascii="Arial" w:cs="Arial" w:eastAsia="Arial" w:hAnsi="Arial"/>
          <w:sz w:val="18"/>
          <w:szCs w:val="18"/>
          <w:color w:val="auto"/>
        </w:rPr>
      </w:pPr>
    </w:p>
    <w:p>
      <w:pPr>
        <w:ind w:right="36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June 30,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288,387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1"/>
              </w:rPr>
              <w:t>issued and outstanding as of June 30, 2021 and December 31, 2020, respectively (liquidation preference of</w:t>
            </w:r>
          </w:p>
        </w:tc>
        <w:tc>
          <w:tcPr>
            <w:tcW w:w="32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$0 and $7,263 as of June 30, 2021 and December 31, 2020, respectively)</w:t>
            </w:r>
          </w:p>
        </w:tc>
        <w:tc>
          <w:tcPr>
            <w:tcW w:w="3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Series A redeemable convertible preferred stock - par value $0.0001, 0 and 16,836,436 shares authorized,</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as of June 30, 2021 and December 31, 2020, respectively (liquidation preference of</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and $27,200 as of June 30, 2021 and December 31, 2020, respectively)</w:t>
            </w: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June 30, 2021 and December 31, 2020, respectively; 0 and 22,164,724 shares issued and outstanding as of</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June 30, 2021 and December 31, 2020, respectively (liquidation preference of $0 and $76,060 as of June 30,</w:t>
            </w:r>
          </w:p>
        </w:tc>
        <w:tc>
          <w:tcPr>
            <w:tcW w:w="32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3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Preferred stock, $0.0001 par value, 200,000,000 and 0 shares authorized, issued and outstanding as of June</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30, 2021 and December 31, 2020, respectively</w:t>
            </w: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00"/>
              <w:spacing w:after="0" w:line="176" w:lineRule="exact"/>
              <w:rPr>
                <w:sz w:val="20"/>
                <w:szCs w:val="20"/>
                <w:color w:val="auto"/>
              </w:rPr>
            </w:pPr>
            <w:r>
              <w:rPr>
                <w:rFonts w:ascii="Arial" w:cs="Arial" w:eastAsia="Arial" w:hAnsi="Arial"/>
                <w:sz w:val="18"/>
                <w:szCs w:val="18"/>
                <w:color w:val="auto"/>
                <w:w w:val="90"/>
              </w:rPr>
              <w:t>Common stock, $0.0001 par value, 1,000,000,000 and 98,672,620 shares authorized as of June 30, 2021 and</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2"/>
              </w:rPr>
              <w:t>December 31, 2020, respectively; 124,094,390 and 33,069,513 shares issued and outstanding as of June</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rPr>
              <w:t>30, 2021 and December 31, 2020, respectively</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Weighted-average shares used in computing 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55,070,480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28,184,532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44,096,149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27,321,614</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80" w:right="55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Condensed Consolidated Statements of Redeemable Convertible Preferred Stock and Stockholders’ Equity (Deficit)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i w:val="1"/>
                <w:iCs w:val="1"/>
                <w:color w:val="auto"/>
                <w:w w:val="87"/>
              </w:rPr>
              <w:t>Three Months Ended June 30,</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16"/>
            <w:vMerge w:val="restart"/>
          </w:tcPr>
          <w:p>
            <w:pPr>
              <w:ind w:left="120"/>
              <w:spacing w:after="0"/>
              <w:rPr>
                <w:sz w:val="20"/>
                <w:szCs w:val="20"/>
                <w:color w:val="auto"/>
              </w:rPr>
            </w:pPr>
            <w:r>
              <w:rPr>
                <w:rFonts w:ascii="Arial" w:cs="Arial" w:eastAsia="Arial" w:hAnsi="Arial"/>
                <w:sz w:val="13"/>
                <w:szCs w:val="13"/>
                <w:b w:val="1"/>
                <w:bCs w:val="1"/>
                <w:color w:val="auto"/>
              </w:rPr>
              <w:t>Redeemable Convertible Preferred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i w:val="1"/>
                <w:iCs w:val="1"/>
                <w:color w:val="auto"/>
              </w:rPr>
              <w:t>2021</w:t>
            </w:r>
          </w:p>
        </w:tc>
        <w:tc>
          <w:tcPr>
            <w:tcW w:w="13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gridSpan w:val="16"/>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center"/>
              <w:ind w:right="71"/>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Seed</w:t>
            </w: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A</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8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9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4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6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 w:type="dxa"/>
            <w:vAlign w:val="bottom"/>
          </w:tcPr>
          <w:p>
            <w:pPr>
              <w:spacing w:after="0"/>
              <w:rPr>
                <w:sz w:val="8"/>
                <w:szCs w:val="8"/>
                <w:color w:val="auto"/>
              </w:rPr>
            </w:pPr>
          </w:p>
        </w:tc>
        <w:tc>
          <w:tcPr>
            <w:tcW w:w="7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6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640" w:type="dxa"/>
            <w:vAlign w:val="bottom"/>
            <w:gridSpan w:val="4"/>
          </w:tcPr>
          <w:p>
            <w:pPr>
              <w:jc w:val="center"/>
              <w:ind w:right="18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i w:val="1"/>
                <w:iCs w:val="1"/>
                <w:color w:val="auto"/>
              </w:rPr>
              <w:t>amounts)</w:t>
            </w: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680" w:type="dxa"/>
            <w:vAlign w:val="bottom"/>
          </w:tcPr>
          <w:p>
            <w:pPr>
              <w:jc w:val="center"/>
              <w:ind w:right="7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15"/>
        </w:trPr>
        <w:tc>
          <w:tcPr>
            <w:tcW w:w="2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 March 31,</w:t>
            </w: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85"/>
              </w:rPr>
              <w:t>5,494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3"/>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1"/>
              </w:rPr>
              <w:t>$ 27,067</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1"/>
              </w:rPr>
              <w:t>$ 75,857</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(38,734)</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(36,795)</w:t>
            </w: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w w:val="98"/>
              </w:rPr>
              <w:t>upon exercise of vested</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65,003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w w:val="97"/>
              </w:rPr>
              <w:t>Issuance of common stock</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upon exercise of</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warrants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8"/>
              </w:rPr>
              <w:t>Conversion of redeemable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w w:val="95"/>
              </w:rPr>
              <w:t>stock into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in connection with the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color w:val="auto"/>
              </w:rPr>
              <w:t>reverse recapitalization</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(13,174,805)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ind w:left="100"/>
              <w:spacing w:after="0"/>
              <w:rPr>
                <w:sz w:val="20"/>
                <w:szCs w:val="20"/>
                <w:color w:val="auto"/>
              </w:rPr>
            </w:pPr>
            <w:r>
              <w:rPr>
                <w:rFonts w:ascii="Arial" w:cs="Arial" w:eastAsia="Arial" w:hAnsi="Arial"/>
                <w:sz w:val="14"/>
                <w:szCs w:val="14"/>
                <w:color w:val="auto"/>
                <w:w w:val="99"/>
              </w:rPr>
              <w:t>(5,494)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(16,836,436)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(27,067)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(22,164,724)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w w:val="95"/>
              </w:rPr>
              <w:t>(75,857)</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9"/>
              </w:rPr>
              <w:t>52,175,965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108,411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upon the reverse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recapitalization, net of</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issuance costs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5"/>
              </w:rPr>
              <w:t>Stock-based compensation</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9"/>
              </w:rPr>
              <w:t>Other comprehensive loss</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(10,713)</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3"/>
              </w:rPr>
              <w:t>Balances at June 30, 2021</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89"/>
              </w:rPr>
              <w:t>124,094,390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$ 439,489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390,044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i w:val="1"/>
                <w:iCs w:val="1"/>
                <w:color w:val="auto"/>
                <w:w w:val="87"/>
              </w:rPr>
              <w:t>Three Months Ended June 30,</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gridSpan w:val="16"/>
            <w:vMerge w:val="restart"/>
          </w:tcPr>
          <w:p>
            <w:pPr>
              <w:jc w:val="center"/>
              <w:ind w:right="360"/>
              <w:spacing w:after="0"/>
              <w:rPr>
                <w:sz w:val="20"/>
                <w:szCs w:val="20"/>
                <w:color w:val="auto"/>
              </w:rPr>
            </w:pPr>
            <w:r>
              <w:rPr>
                <w:rFonts w:ascii="Arial" w:cs="Arial" w:eastAsia="Arial" w:hAnsi="Arial"/>
                <w:sz w:val="13"/>
                <w:szCs w:val="13"/>
                <w:b w:val="1"/>
                <w:bCs w:val="1"/>
                <w:color w:val="auto"/>
                <w:w w:val="87"/>
              </w:rPr>
              <w:t>Redeemable Convertible Preferred 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gridSpan w:val="16"/>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0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2020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gridSpan w:val="16"/>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8"/>
            <w:vMerge w:val="restart"/>
          </w:tcPr>
          <w:p>
            <w:pPr>
              <w:ind w:left="420"/>
              <w:spacing w:after="0" w:line="138" w:lineRule="exact"/>
              <w:rPr>
                <w:sz w:val="20"/>
                <w:szCs w:val="20"/>
                <w:color w:val="auto"/>
              </w:rPr>
            </w:pPr>
            <w:r>
              <w:rPr>
                <w:rFonts w:ascii="Arial" w:cs="Arial" w:eastAsia="Arial" w:hAnsi="Arial"/>
                <w:sz w:val="13"/>
                <w:szCs w:val="13"/>
                <w:b w:val="1"/>
                <w:bCs w:val="1"/>
                <w:color w:val="auto"/>
              </w:rPr>
              <w:t>Series Seed</w:t>
            </w:r>
          </w:p>
        </w:tc>
        <w:tc>
          <w:tcPr>
            <w:tcW w:w="40" w:type="dxa"/>
            <w:vAlign w:val="bottom"/>
          </w:tcPr>
          <w:p>
            <w:pPr>
              <w:spacing w:after="0"/>
              <w:rPr>
                <w:sz w:val="5"/>
                <w:szCs w:val="5"/>
                <w:color w:val="auto"/>
              </w:rPr>
            </w:pPr>
          </w:p>
        </w:tc>
        <w:tc>
          <w:tcPr>
            <w:tcW w:w="1500" w:type="dxa"/>
            <w:vAlign w:val="bottom"/>
            <w:gridSpan w:val="8"/>
            <w:vMerge w:val="restart"/>
          </w:tcPr>
          <w:p>
            <w:pPr>
              <w:jc w:val="center"/>
              <w:ind w:right="40"/>
              <w:spacing w:after="0" w:line="138" w:lineRule="exact"/>
              <w:rPr>
                <w:sz w:val="20"/>
                <w:szCs w:val="20"/>
                <w:color w:val="auto"/>
              </w:rPr>
            </w:pPr>
            <w:r>
              <w:rPr>
                <w:rFonts w:ascii="Arial" w:cs="Arial" w:eastAsia="Arial" w:hAnsi="Arial"/>
                <w:sz w:val="13"/>
                <w:szCs w:val="13"/>
                <w:b w:val="1"/>
                <w:bCs w:val="1"/>
                <w:color w:val="auto"/>
                <w:w w:val="88"/>
              </w:rPr>
              <w:t>Series A</w:t>
            </w:r>
          </w:p>
        </w:tc>
        <w:tc>
          <w:tcPr>
            <w:tcW w:w="40" w:type="dxa"/>
            <w:vAlign w:val="bottom"/>
          </w:tcPr>
          <w:p>
            <w:pPr>
              <w:spacing w:after="0"/>
              <w:rPr>
                <w:sz w:val="5"/>
                <w:szCs w:val="5"/>
                <w:color w:val="auto"/>
              </w:rPr>
            </w:pPr>
          </w:p>
        </w:tc>
        <w:tc>
          <w:tcPr>
            <w:tcW w:w="96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6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2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20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00" w:type="dxa"/>
            <w:vAlign w:val="bottom"/>
            <w:tcBorders>
              <w:bottom w:val="single" w:sz="8" w:color="auto"/>
              <w:right w:val="single" w:sz="8" w:color="auto"/>
            </w:tcBorders>
            <w:gridSpan w:val="3"/>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 March 31,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$ 27,067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32,932,218</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(17,640)</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(17,390)</w:t>
            </w: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w w:val="98"/>
              </w:rPr>
              <w:t>upon exercise of vested</w:t>
            </w:r>
          </w:p>
        </w:tc>
        <w:tc>
          <w:tcPr>
            <w:tcW w:w="4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27,323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Issuance of redeemable</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stock, net of issuance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costs of $0.2 million</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75,857</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5"/>
              </w:rPr>
              <w:t>Stock-based compensation</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9"/>
              </w:rPr>
              <w:t>Other comprehensive loss</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3"/>
              </w:rPr>
              <w:t>Balances at June 30, 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$ 27,067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$ 75,857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32,959,541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(20,995)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Condensed Consolidated Statements of Redeemable Convertible Preferred Stock and Stockholders’ Equity (Deficit)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i w:val="1"/>
                <w:iCs w:val="1"/>
                <w:color w:val="auto"/>
                <w:w w:val="96"/>
              </w:rPr>
              <w:t>Six Months Ended June 30,</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16"/>
            <w:vMerge w:val="restart"/>
          </w:tcPr>
          <w:p>
            <w:pPr>
              <w:ind w:left="120"/>
              <w:spacing w:after="0"/>
              <w:rPr>
                <w:sz w:val="20"/>
                <w:szCs w:val="20"/>
                <w:color w:val="auto"/>
              </w:rPr>
            </w:pPr>
            <w:r>
              <w:rPr>
                <w:rFonts w:ascii="Arial" w:cs="Arial" w:eastAsia="Arial" w:hAnsi="Arial"/>
                <w:sz w:val="13"/>
                <w:szCs w:val="13"/>
                <w:b w:val="1"/>
                <w:bCs w:val="1"/>
                <w:color w:val="auto"/>
              </w:rPr>
              <w:t>Redeemable Convertible Preferred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i w:val="1"/>
                <w:iCs w:val="1"/>
                <w:color w:val="auto"/>
              </w:rPr>
              <w:t>2021</w:t>
            </w:r>
          </w:p>
        </w:tc>
        <w:tc>
          <w:tcPr>
            <w:tcW w:w="12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gridSpan w:val="16"/>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center"/>
              <w:ind w:right="71"/>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Seed</w:t>
            </w: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A</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8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9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6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 w:type="dxa"/>
            <w:vAlign w:val="bottom"/>
          </w:tcPr>
          <w:p>
            <w:pPr>
              <w:spacing w:after="0"/>
              <w:rPr>
                <w:sz w:val="8"/>
                <w:szCs w:val="8"/>
                <w:color w:val="auto"/>
              </w:rPr>
            </w:pPr>
          </w:p>
        </w:tc>
        <w:tc>
          <w:tcPr>
            <w:tcW w:w="7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6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640" w:type="dxa"/>
            <w:vAlign w:val="bottom"/>
            <w:gridSpan w:val="4"/>
          </w:tcPr>
          <w:p>
            <w:pPr>
              <w:jc w:val="center"/>
              <w:ind w:right="18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3"/>
                <w:szCs w:val="13"/>
                <w:i w:val="1"/>
                <w:iCs w:val="1"/>
                <w:color w:val="auto"/>
              </w:rPr>
              <w:t>amounts)</w:t>
            </w: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680" w:type="dxa"/>
            <w:vAlign w:val="bottom"/>
          </w:tcPr>
          <w:p>
            <w:pPr>
              <w:jc w:val="center"/>
              <w:ind w:right="7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15"/>
        </w:trPr>
        <w:tc>
          <w:tcPr>
            <w:tcW w:w="2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85"/>
              </w:rPr>
              <w:t>5,494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3"/>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1"/>
              </w:rPr>
              <w:t>$ 27,067</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1"/>
              </w:rPr>
              <w:t>$ 75,857</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9"/>
        </w:trPr>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w w:val="98"/>
              </w:rPr>
              <w:t>upon exercise of vested</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65,003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w w:val="97"/>
              </w:rPr>
              <w:t>Issuance of common stock</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upon exercise of</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warrants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8"/>
              </w:rPr>
              <w:t>Conversion of redeemable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w w:val="95"/>
              </w:rPr>
              <w:t>stock into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in connection with the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color w:val="auto"/>
              </w:rPr>
              <w:t>reverse recapitalization</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(13,174,805)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ind w:left="100"/>
              <w:spacing w:after="0"/>
              <w:rPr>
                <w:sz w:val="20"/>
                <w:szCs w:val="20"/>
                <w:color w:val="auto"/>
              </w:rPr>
            </w:pPr>
            <w:r>
              <w:rPr>
                <w:rFonts w:ascii="Arial" w:cs="Arial" w:eastAsia="Arial" w:hAnsi="Arial"/>
                <w:sz w:val="14"/>
                <w:szCs w:val="14"/>
                <w:color w:val="auto"/>
                <w:w w:val="99"/>
              </w:rPr>
              <w:t>(5,494)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(16,836,436)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(27,067)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(22,164,724)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w w:val="95"/>
              </w:rPr>
              <w:t>(75,857)</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9"/>
              </w:rPr>
              <w:t>52,175,965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108,411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upon the reverse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recapitalization, net of</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issuance costs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5"/>
              </w:rPr>
              <w:t>Stock-based compensation</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3,156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9"/>
              </w:rPr>
              <w:t>Other comprehensive loss</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3"/>
              </w:rPr>
              <w:t>Balances at June 30, 2021</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89"/>
              </w:rPr>
              <w:t>124,094,390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$ 439,489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390,044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i w:val="1"/>
                <w:iCs w:val="1"/>
                <w:color w:val="auto"/>
                <w:w w:val="96"/>
              </w:rPr>
              <w:t>Six Months Ended June 30,</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gridSpan w:val="16"/>
            <w:vMerge w:val="restart"/>
          </w:tcPr>
          <w:p>
            <w:pPr>
              <w:jc w:val="center"/>
              <w:ind w:right="360"/>
              <w:spacing w:after="0"/>
              <w:rPr>
                <w:sz w:val="20"/>
                <w:szCs w:val="20"/>
                <w:color w:val="auto"/>
              </w:rPr>
            </w:pPr>
            <w:r>
              <w:rPr>
                <w:rFonts w:ascii="Arial" w:cs="Arial" w:eastAsia="Arial" w:hAnsi="Arial"/>
                <w:sz w:val="13"/>
                <w:szCs w:val="13"/>
                <w:b w:val="1"/>
                <w:bCs w:val="1"/>
                <w:color w:val="auto"/>
                <w:w w:val="87"/>
              </w:rPr>
              <w:t>Redeemable Convertible Preferred 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gridSpan w:val="16"/>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2020</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gridSpan w:val="16"/>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8"/>
            <w:vMerge w:val="restart"/>
          </w:tcPr>
          <w:p>
            <w:pPr>
              <w:ind w:left="420"/>
              <w:spacing w:after="0" w:line="138" w:lineRule="exact"/>
              <w:rPr>
                <w:sz w:val="20"/>
                <w:szCs w:val="20"/>
                <w:color w:val="auto"/>
              </w:rPr>
            </w:pPr>
            <w:r>
              <w:rPr>
                <w:rFonts w:ascii="Arial" w:cs="Arial" w:eastAsia="Arial" w:hAnsi="Arial"/>
                <w:sz w:val="13"/>
                <w:szCs w:val="13"/>
                <w:b w:val="1"/>
                <w:bCs w:val="1"/>
                <w:color w:val="auto"/>
              </w:rPr>
              <w:t>Series Seed</w:t>
            </w:r>
          </w:p>
        </w:tc>
        <w:tc>
          <w:tcPr>
            <w:tcW w:w="40" w:type="dxa"/>
            <w:vAlign w:val="bottom"/>
          </w:tcPr>
          <w:p>
            <w:pPr>
              <w:spacing w:after="0"/>
              <w:rPr>
                <w:sz w:val="5"/>
                <w:szCs w:val="5"/>
                <w:color w:val="auto"/>
              </w:rPr>
            </w:pPr>
          </w:p>
        </w:tc>
        <w:tc>
          <w:tcPr>
            <w:tcW w:w="1500" w:type="dxa"/>
            <w:vAlign w:val="bottom"/>
            <w:gridSpan w:val="8"/>
            <w:vMerge w:val="restart"/>
          </w:tcPr>
          <w:p>
            <w:pPr>
              <w:jc w:val="center"/>
              <w:ind w:right="40"/>
              <w:spacing w:after="0" w:line="138" w:lineRule="exact"/>
              <w:rPr>
                <w:sz w:val="20"/>
                <w:szCs w:val="20"/>
                <w:color w:val="auto"/>
              </w:rPr>
            </w:pPr>
            <w:r>
              <w:rPr>
                <w:rFonts w:ascii="Arial" w:cs="Arial" w:eastAsia="Arial" w:hAnsi="Arial"/>
                <w:sz w:val="13"/>
                <w:szCs w:val="13"/>
                <w:b w:val="1"/>
                <w:bCs w:val="1"/>
                <w:color w:val="auto"/>
                <w:w w:val="88"/>
              </w:rPr>
              <w:t>Series A</w:t>
            </w:r>
          </w:p>
        </w:tc>
        <w:tc>
          <w:tcPr>
            <w:tcW w:w="40" w:type="dxa"/>
            <w:vAlign w:val="bottom"/>
          </w:tcPr>
          <w:p>
            <w:pPr>
              <w:spacing w:after="0"/>
              <w:rPr>
                <w:sz w:val="5"/>
                <w:szCs w:val="5"/>
                <w:color w:val="auto"/>
              </w:rPr>
            </w:pPr>
          </w:p>
        </w:tc>
        <w:tc>
          <w:tcPr>
            <w:tcW w:w="96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6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2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20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00" w:type="dxa"/>
            <w:vAlign w:val="bottom"/>
            <w:tcBorders>
              <w:bottom w:val="single" w:sz="8" w:color="auto"/>
              <w:right w:val="single" w:sz="8" w:color="auto"/>
            </w:tcBorders>
            <w:gridSpan w:val="3"/>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$ 27,067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32,932,218</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(14,706)</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9"/>
        </w:trPr>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ind w:left="160"/>
              <w:spacing w:after="0" w:line="135" w:lineRule="exact"/>
              <w:rPr>
                <w:sz w:val="20"/>
                <w:szCs w:val="20"/>
                <w:color w:val="auto"/>
              </w:rPr>
            </w:pPr>
            <w:r>
              <w:rPr>
                <w:rFonts w:ascii="Arial" w:cs="Arial" w:eastAsia="Arial" w:hAnsi="Arial"/>
                <w:sz w:val="14"/>
                <w:szCs w:val="14"/>
                <w:color w:val="auto"/>
                <w:w w:val="98"/>
              </w:rPr>
              <w:t>upon exercise of vested</w:t>
            </w:r>
          </w:p>
        </w:tc>
        <w:tc>
          <w:tcPr>
            <w:tcW w:w="4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27,323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Issuance of redeemable</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4"/>
                <w:szCs w:val="14"/>
                <w:color w:val="auto"/>
              </w:rPr>
              <w:t>stock, net of issuance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costs of $0.2 million</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75,857</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3"/>
          </w:tcPr>
          <w:p>
            <w:pPr>
              <w:spacing w:after="0" w:line="135" w:lineRule="exact"/>
              <w:rPr>
                <w:sz w:val="20"/>
                <w:szCs w:val="20"/>
                <w:color w:val="auto"/>
              </w:rPr>
            </w:pPr>
            <w:r>
              <w:rPr>
                <w:rFonts w:ascii="Arial" w:cs="Arial" w:eastAsia="Arial" w:hAnsi="Arial"/>
                <w:sz w:val="14"/>
                <w:szCs w:val="14"/>
                <w:color w:val="auto"/>
                <w:w w:val="95"/>
              </w:rPr>
              <w:t>Stock-based compensation</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Other comprehensive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3"/>
              </w:rPr>
              <w:t>Balances at June 30, 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$ 27,067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$ 75,857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32,959,541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(20,995)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220" w:hanging="332"/>
        <w:spacing w:after="0" w:line="273" w:lineRule="auto"/>
        <w:tabs>
          <w:tab w:leader="none" w:pos="32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amortization of premiums on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(37,687)</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75,861</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recapitalization</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June 9, 2021 (the “Closing Date”), Nautilus Biotechnology, Inc. a Delaware corporate (f/k/a ARYA Sciences Acquisition Corp. III, a Cayman Islands exempted company and our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New Nautilus Common Stock at a price of $10.00 per share for aggregate gross proceeds of $200.0 million (“PIPE Financing”).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for interim financial reporting. The accompanying financial statements are consolidated for the three months and six months ended June 30,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three months and six months ended June 30, 2020 include only the accounts of Legacy Nautilus. All intercompany transactions and balances have been eliminated upon consolidation. Certain information and footnote disclosures normally included in financial statements prepared in accordance with U.S. GAAP have been condensed or omitted pursuant to such rules and regulations. Accordingly, these condensed consolidated financial statements should be read in conjunction with the audited financial statements for the year ended December 31, 2020 and the related notes included in the Company’s Final Prospectus filed with the SEC on August 6, 2021 pursuant to Rule 424(b) under the Securities Act relating to the Registration Statement on Form S-1 (File No. 333-258100). The information as of December 31, 2020 included on the condensed consolidated balance sheets was derived from the Company’s audited financial statements.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June 30, 2021 and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and cash flows for the three and six months ended June 30, 2021 and 2020. The results of operations for the three and six months ended June 30, 2021 are not necessarily indicative of the results that may be expected for the year ending December 31, 2021. The Company’s reporting currency is the U.S. dollar.</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June 30, 2021, the Company had an accumulated deficit of $49.4 million.</w:t>
      </w:r>
    </w:p>
    <w:p>
      <w:pPr>
        <w:spacing w:after="0" w:line="1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$373.1 million as of June 30, 2021. In June 2021, the Company received gross proceeds of approximately $345.5 million from PIPE Investors and the Business Combination offset by approximately $18.2 million of transaction costs and underwriters’ fees relating to the closing of the Business Combination.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10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While the Company has developed and continues to develop plans to help mitigate the potential negative impact of COVID-19, these efforts may not be effective, and any protracted economic downturn will likely limit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effectiveness of its efforts. Accordingly, it is not possible for the Company to predict the duration and ultimate extent to which this will affect its business, future results of operations, and financial condition at this time.</w:t>
      </w:r>
    </w:p>
    <w:p>
      <w:pPr>
        <w:spacing w:after="0" w:line="11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classifies its investments as available for sale and reports them at fair value, with unrealized gains and losses recorded in accumulated other comprehensive income (loss). Investments sold prior to maturity, the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of investments sold is based on the specific identification method. Realized gains and losses on the sale of investments are recorded in other income (expense), net in the condensed consolidated statement of operations.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condensed consolidated balance sheets. There were no deferred offering costs capitalized as of June 30, 2021.</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Comprehensive loss consists of net loss and other gains or losses affecting stockholders’ equity (deficit) that, under U.S. GAAP are excluded from net loss. For the three and six months ended June 30, 2021 and December 31, 2020, unrealized gains and losses on debt securities were included as components of comprehensive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prospective method, which did not have a material impact on the Company’s condensed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amends existing guidance on the impairment of financial assets and adds an impairment model that is based on expected losses rather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Company’s fiscal years beginning after December 15, 2022, and interim periods within those fiscal years. Early adoption is permitted. The Company is in the process of evaluating the impact of the adoption of this ASU on its condensed consolidated financial statements and related disclosures and does not anticipate adoption to have a material impact on its condensed consolidated financial statements.</w:t>
      </w:r>
    </w:p>
    <w:p>
      <w:pPr>
        <w:spacing w:after="0" w:line="1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condensed consolidated financial statements and related disclosures and does not anticipate adoption to have a material impact on its condensed consolidated financial statements.</w:t>
      </w:r>
    </w:p>
    <w:p>
      <w:pPr>
        <w:spacing w:after="0" w:line="13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consolidated financial statements and related disclosures and does not anticipate adoption to have a material impact on its condensed consolidated financial statements.</w:t>
      </w:r>
    </w:p>
    <w:p>
      <w:pPr>
        <w:spacing w:after="0" w:line="1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9, 2021, ARYA merged with Legacy Nautilus, with Legacy Nautilus surviving as the surviving company and as a wholly-owned subsidiary of ARYA.</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2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been retrospectively adjusted using the Exchange Ratio for the equivalent number of shares outstanding immediately after the Business Combination to effect the reverse recapitalization.</w:t>
      </w:r>
    </w:p>
    <w:p>
      <w:pPr>
        <w:spacing w:after="0" w:line="116"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w:t>
      </w:r>
    </w:p>
    <w:p>
      <w:pPr>
        <w:ind w:right="240"/>
        <w:spacing w:after="0" w:line="260" w:lineRule="auto"/>
        <w:rPr>
          <w:sz w:val="20"/>
          <w:szCs w:val="20"/>
          <w:color w:val="auto"/>
        </w:rPr>
      </w:pPr>
      <w:r>
        <w:rPr>
          <w:rFonts w:ascii="Arial" w:cs="Arial" w:eastAsia="Arial" w:hAnsi="Arial"/>
          <w:sz w:val="18"/>
          <w:szCs w:val="18"/>
          <w:color w:val="auto"/>
        </w:rPr>
        <w:t>$200.0 million of cash in connection with the PIPE Financing. The Company incurred $8.1 million of transaction costs, consisting of banking, legal, and other professional fees which were recorded as a reduction to additional paid-in capital.</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7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 of Shares</w:t>
            </w:r>
          </w:p>
        </w:tc>
      </w:tr>
      <w:tr>
        <w:trPr>
          <w:trHeight w:val="22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30"/>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30"/>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June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82"/>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Reported as:</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equivalents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174,167</w:t>
            </w:r>
          </w:p>
        </w:tc>
        <w:tc>
          <w:tcPr>
            <w:tcW w:w="4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6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174,167</w:t>
            </w:r>
          </w:p>
        </w:tc>
        <w:tc>
          <w:tcPr>
            <w:tcW w:w="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174,167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189,427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189,433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174,167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192,138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192,123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114,220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Level 2</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198,993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198,977</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rPr>
              <w:t>Total Level 1 and Level</w:t>
            </w:r>
          </w:p>
        </w:tc>
        <w:tc>
          <w:tcPr>
            <w:tcW w:w="4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388,420</w:t>
            </w:r>
          </w:p>
        </w:tc>
        <w:tc>
          <w:tcPr>
            <w:tcW w:w="4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840" w:type="dxa"/>
            <w:vAlign w:val="bottom"/>
            <w:vMerge w:val="restart"/>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(16)</w:t>
            </w:r>
          </w:p>
        </w:tc>
        <w:tc>
          <w:tcPr>
            <w:tcW w:w="100" w:type="dxa"/>
            <w:vAlign w:val="bottom"/>
            <w:gridSpan w:val="2"/>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388,410</w:t>
            </w:r>
          </w:p>
        </w:tc>
        <w:tc>
          <w:tcPr>
            <w:tcW w:w="4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288,387</w:t>
            </w:r>
          </w:p>
        </w:tc>
        <w:tc>
          <w:tcPr>
            <w:tcW w:w="4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84,757</w:t>
            </w:r>
          </w:p>
        </w:tc>
        <w:tc>
          <w:tcPr>
            <w:tcW w:w="6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shd w:val="clear" w:color="auto" w:fill="CCEEFF"/>
          </w:tcPr>
          <w:p>
            <w:pPr>
              <w:ind w:left="520"/>
              <w:spacing w:after="0" w:line="202" w:lineRule="exact"/>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22"/>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Reported as: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70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ind w:left="260"/>
              <w:spacing w:after="0"/>
              <w:rPr>
                <w:sz w:val="20"/>
                <w:szCs w:val="20"/>
                <w:color w:val="auto"/>
              </w:rPr>
            </w:pPr>
            <w:r>
              <w:rPr>
                <w:rFonts w:ascii="Arial" w:cs="Arial" w:eastAsia="Arial" w:hAnsi="Arial"/>
                <w:sz w:val="18"/>
                <w:szCs w:val="18"/>
                <w:color w:val="auto"/>
              </w:rPr>
              <w:t>Total Level 1</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70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Contractual maturities of short-term investments as of June 30, 2021 and December 31, 2020 are due in one year or less. Contractual maturities of long-term investments as of June 30, 2021 are due after 1 year through 5 years.</w:t>
      </w:r>
    </w:p>
    <w:p>
      <w:pPr>
        <w:spacing w:after="0" w:line="112" w:lineRule="exact"/>
        <w:rPr>
          <w:sz w:val="20"/>
          <w:szCs w:val="20"/>
          <w:color w:val="auto"/>
        </w:rPr>
      </w:pPr>
    </w:p>
    <w:p>
      <w:pPr>
        <w:ind w:right="4360" w:firstLine="8"/>
        <w:spacing w:after="0" w:line="440"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recorded depreciation expense of $0.3 million and $0.5 million for the three and six months ended June 30, 2021, respectively, and $0.2 million and $0.3 million for the three and six months ended June 30, 2020, respectively, which was primarily allocated to research and development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0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0" w:type="dxa"/>
            <w:vAlign w:val="bottom"/>
            <w:vMerge w:val="continue"/>
          </w:tcPr>
          <w:p>
            <w:pPr>
              <w:spacing w:after="0"/>
              <w:rPr>
                <w:sz w:val="24"/>
                <w:szCs w:val="24"/>
                <w:color w:val="auto"/>
              </w:rPr>
            </w:pPr>
          </w:p>
        </w:tc>
        <w:tc>
          <w:tcPr>
            <w:tcW w:w="7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On June 9, 2021, upon the closing of the Business Combination (Note 3), all of the outstanding redeemable convertible preferred stock was converted to New Nautilus Common Stock pursuant to the Exchange Ratio effective immediately prior to the Business Combination and the remaining amount was reclassified to additional paid-in capital. As of June 30, 2021 the Company had no issued and outstanding Preferred Stock shares.</w:t>
      </w:r>
    </w:p>
    <w:p>
      <w:pPr>
        <w:spacing w:after="0" w:line="9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On June 9, 2021, the Business Combination was consummated (Note 3)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3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92"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In June 2021, pursuant to the Business Combination, the Company amended its certificate of incorporation to increase the number of authorized common stock shares to 1,000,000,000 shares. There were 124,094,390 shares issued and outstanding as of June 30, 2021.</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during the three and six months ended June 30, 2021 and 2020. During the three months ended June 30, 2021, all common stock warrants were net exercised and the Company issued 62,722 Common Stock shares to the lender.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Borders>
              <w:bottom w:val="single" w:sz="8" w:color="auto"/>
            </w:tcBorders>
          </w:tcPr>
          <w:p>
            <w:pPr>
              <w:spacing w:after="0"/>
              <w:rPr>
                <w:sz w:val="16"/>
                <w:szCs w:val="16"/>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Expiration Date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8,014,879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15,225,353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2,349,673</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24,485,132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have been retroactively restated to reflect the exchange ratio of approximately 3.6281 established in the Business Combination as described in Note 3.</w:t>
      </w:r>
    </w:p>
    <w:p>
      <w:pPr>
        <w:spacing w:after="0" w:line="12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2021 and 2020, no income tax expense or benefit was recognized, primarily due to a full valuation allowance recorded against its deferred tax asset.</w:t>
      </w:r>
    </w:p>
    <w:p>
      <w:pPr>
        <w:spacing w:after="0" w:line="13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June 8, 2021, the stockholders of the Company approved the 2021 Equity Incentive Plan (“2021 Plan”) and the 2021 Employee Stock Purchase Plan (“2021 ESPP”). As of June 30, 2021, 15,225,353 and 1,244,900 shares were available for grant under the 2021 Plan and 2021 ESPP, respectively.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3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Under the 2021 ESPP, the Company can grant stock options to employees to purchase shares of Common Stock at a purchase price which equal to 85% of the fair market value of common stock on the enrollment date or on the exercise date, whichever is lower.</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No further awards will be granted under the 2017 Equity Incentive Plan (“2017 Plan”) and 7,106,767 shares of common stock were initially reserved for outstanding awards issued under the 2017 Plan at the time of adoption of the 2021 Plan and the 2021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39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68"/>
              <w:spacing w:after="0" w:line="189"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5.6 - 6.1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right"/>
              <w:spacing w:after="0"/>
              <w:rPr>
                <w:sz w:val="20"/>
                <w:szCs w:val="20"/>
                <w:color w:val="auto"/>
              </w:rPr>
            </w:pPr>
            <w:r>
              <w:rPr>
                <w:rFonts w:ascii="Arial" w:cs="Arial" w:eastAsia="Arial" w:hAnsi="Arial"/>
                <w:sz w:val="18"/>
                <w:szCs w:val="18"/>
                <w:color w:val="auto"/>
              </w:rPr>
              <w:t>93.0% - 93.7%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92.0% - 94.2%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96.4% - 96.5%</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0.91% - 1.02%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0.53% - 1.02%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 $11.16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 $11.16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There were no awards granted during the three months ended June 30, 2020.</w:t>
      </w:r>
    </w:p>
    <w:p>
      <w:pPr>
        <w:spacing w:after="0" w:line="15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13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1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(Note 3) the fair value of the Company’s common stock is determined based on its closing market price.</w:t>
      </w:r>
    </w:p>
    <w:p>
      <w:pPr>
        <w:spacing w:after="0" w:line="12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awards granted in late January 2021 were granted at the grant date fair value on the date of the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June 30, 2021, 964,503 shares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80" w:right="41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during the six months ended June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3,063,588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(129,253)</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8,014,879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 as of June 30, 2021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8,014,879</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1,177,340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2021, there was $27.6 million of total unrecognized compensation expense expected to be recognized over a weighted average-period of 3.48 years. Aggregate intrinsic value represents the difference between the fair market value of the common stock and the exercise price of outstanding, in-the-money options.</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option award quantities and prices, prior to the Business Combination (as defined in Note 1) have been retroactively restated to reflect the exchange ratio of approximately 3.6281 established in the Business Combination as described in Note 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four years from the date of grant.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with respect to restricted stock during the six months ended June 30, 2021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w:t>
      </w:r>
    </w:p>
    <w:p>
      <w:pPr>
        <w:sectPr>
          <w:pgSz w:w="11900" w:h="16838" w:orient="portrait"/>
          <w:cols w:equalWidth="0" w:num="1">
            <w:col w:w="11240"/>
          </w:cols>
          <w:pgMar w:left="320" w:top="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liabilities on the condensed consolidated balance sheet as of June 30, 2021 as the Company had not yet received the related goods or services. As of June 30, 2021, the Company had open purchase commitments for goods and services of $1.4 million, which are expected to be received through the next 12 months.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expired in April 2021 and will continue to be renewed month to month while the Company negotiates on a new lease. The operating lease in Menlo Park, California expired in February 2020. In February 2021, the Company amended its existing facility lease contract in San Carlos, California which was executed to shorten the remaining term of the lease (expected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w:t>
      </w:r>
    </w:p>
    <w:p>
      <w:pPr>
        <w:spacing w:after="0" w:line="11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 The temporary office space lease agreement was recognized as a short-term lease due to the election of the short-term lease measurement and recognition exemption.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lease costs, which were included in operating expenses in condensed consolidated statements of operations,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8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six months ended June 30, 2021 and 2020, cash paid for amounts included in the measurement of lease liabilities included in cash flows used in operating activities was $0.8 million and $0.8 million, respectively.</w:t>
      </w:r>
    </w:p>
    <w:p>
      <w:pPr>
        <w:spacing w:after="0" w:line="11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of June 30, 2021, the weighted-average remaining lease term and weighted-average discount rate for operating leases is 0.5 years and 10.0%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ending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r>
      <w:tr>
        <w:trPr>
          <w:trHeight w:val="21"/>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Total future principal contractual obligations for operating lease commitments exceeded the undiscounted lease liability by $0.6 million as of June 30, 2021 because the lease liability in the condensed consolidated balance sheet excluded short-term lease payments.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The cash amount is recorded as restricted cash under Other long-term assets on the Company’s condensed consolidated balance sheet.</w:t>
      </w:r>
    </w:p>
    <w:p>
      <w:pPr>
        <w:spacing w:after="0" w:line="12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six months ended June 30,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55,070,480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32,948,898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44,130,773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32,940,561</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6"/>
              </w:rPr>
              <w:t xml:space="preserve">Less: </w:t>
            </w:r>
            <w:r>
              <w:rPr>
                <w:rFonts w:ascii="Arial" w:cs="Arial" w:eastAsia="Arial" w:hAnsi="Arial"/>
                <w:sz w:val="18"/>
                <w:szCs w:val="18"/>
                <w:color w:val="auto"/>
                <w:w w:val="96"/>
              </w:rPr>
              <w:t>Weighted-average unvested restricted shares and shares</w:t>
            </w: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(4,764,366)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(5,618,947)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repurchase</w:t>
            </w:r>
          </w:p>
        </w:tc>
        <w:tc>
          <w:tcPr>
            <w:tcW w:w="3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40" w:type="dxa"/>
            <w:vAlign w:val="bottom"/>
          </w:tcPr>
          <w:p>
            <w:pPr>
              <w:ind w:left="20"/>
              <w:spacing w:after="0" w:line="156" w:lineRule="exact"/>
              <w:rPr>
                <w:sz w:val="20"/>
                <w:szCs w:val="20"/>
                <w:color w:val="auto"/>
              </w:rPr>
            </w:pPr>
            <w:r>
              <w:rPr>
                <w:rFonts w:ascii="Arial" w:cs="Arial" w:eastAsia="Arial" w:hAnsi="Arial"/>
                <w:sz w:val="18"/>
                <w:szCs w:val="18"/>
                <w:color w:val="auto"/>
                <w:w w:val="97"/>
              </w:rPr>
              <w:t>Weighted average shares used in computing net loss per share</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55,070,480</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28,184,532</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44,096,149</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27,321,614</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(Note 3). The Common Stock issued as a result of the redeemable convertible preferred stock conversion on the Closing Date was included in the basic net loss per share calculation on a prospective basis.</w:t>
      </w:r>
    </w:p>
    <w:p>
      <w:pPr>
        <w:spacing w:after="0" w:line="13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Three and Six Months Ended June 30,</w:t>
            </w:r>
          </w:p>
        </w:tc>
      </w:tr>
      <w:tr>
        <w:trPr>
          <w:trHeight w:val="187"/>
        </w:trPr>
        <w:tc>
          <w:tcPr>
            <w:tcW w:w="80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52,175,965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8,014,879</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2,124,022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3,988,044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58,351,522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July 2021, the Company entered into a 7-year non-cancellable operating lease, commencing in August 2021, for an additional office space in Seattle, Washington. Total non-cancellable payments under this lease aggregate $4.5 million through June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80" w:right="43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2020 and the related notes included in the Company’s Current Report on Form 8-K filed with the SEC on June 10, 2021.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9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2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Through June 30, 2021, we had raised aggregate net proceeds of $108.4 million from these private placements and as of June 30, 2021, we had cash, cash equivalents and short-term investments of $373.1 million. Following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incurred significant losses since the commencement of our operations. Our net loss was $19.1 million during the six months ended June 30, 2021, and we expect to continue to incur significant losses for the foreseeable future as we continue our research and development activities and planned commercialization of our proteomics platform. As of June 30, 2021, we had an accumulated deficit of $49.4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1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9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 recurring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June 30, 2021 to the Three Months Ended June,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71"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23495</wp:posOffset>
            </wp:positionV>
            <wp:extent cx="2082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28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38100</wp:posOffset>
            </wp:positionV>
            <wp:extent cx="2023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8"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2"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40" w:space="720"/>
            <w:col w:w="27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r>
      <w:tr>
        <w:trPr>
          <w:trHeight w:val="223"/>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215 %</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46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r>
      <w:tr>
        <w:trPr>
          <w:trHeight w:val="20"/>
        </w:trPr>
        <w:tc>
          <w:tcPr>
            <w:tcW w:w="4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 and development expenses were $6.4 million for the three months ended June 30, 2021, compared to $2.8 million for the three months ended June 30, 2020, an increase of $3.6 million, or 132%. The increase was primarily due to a $2.0 million increase in salaries, related benefits, and stock-based compensation due to an increase in headcount to support on-going development of our products, a $0.9 million increase in laboratory supplies and equipment expense and a $0.2 million increase in facilities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General and administrative expenses were $4.3 million for the three months ended June 30, 2021, compared to $0.6 million for the three months ended June 30, 2020, an increase of $3.7 million, or 565%. The increase was primarily due to a $2.2 million increase in salaries, related benefits, and stock-based compensation, a $0.6 million increase in professional services, primarily related to audit and legal activities and a $0.2 million increase in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Other income (expense), net for the three months ended June 30, 2021 as compared to the three months ended June 30, 2020 changed primarily due to lower interest income as well as state franchise taxes incurred in the three months ended June 30,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7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23495</wp:posOffset>
            </wp:positionV>
            <wp:extent cx="20142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260"/>
        <w:spacing w:after="0"/>
        <w:tabs>
          <w:tab w:leader="none" w:pos="68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38100</wp:posOffset>
            </wp:positionV>
            <wp:extent cx="2014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5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70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2" w:lineRule="exact"/>
        <w:rPr>
          <w:sz w:val="20"/>
          <w:szCs w:val="20"/>
          <w:color w:val="auto"/>
        </w:rPr>
      </w:pPr>
    </w:p>
    <w:p>
      <w:pPr>
        <w:ind w:left="180"/>
        <w:spacing w:after="0"/>
        <w:tabs>
          <w:tab w:leader="none" w:pos="18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5,221</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4640" w:type="dxa"/>
            <w:vAlign w:val="bottom"/>
            <w:shd w:val="clear" w:color="auto" w:fill="CCEEFF"/>
          </w:tcPr>
          <w:p>
            <w:pPr>
              <w:jc w:val="right"/>
              <w:ind w:right="2410"/>
              <w:spacing w:after="0"/>
              <w:rPr>
                <w:sz w:val="20"/>
                <w:szCs w:val="20"/>
                <w:color w:val="auto"/>
              </w:rPr>
            </w:pPr>
            <w:r>
              <w:rPr>
                <w:rFonts w:ascii="Arial" w:cs="Arial" w:eastAsia="Arial" w:hAnsi="Arial"/>
                <w:sz w:val="18"/>
                <w:szCs w:val="18"/>
                <w:color w:val="auto"/>
                <w:w w:val="98"/>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572 %</w:t>
            </w:r>
          </w:p>
        </w:tc>
      </w:tr>
      <w:tr>
        <w:trPr>
          <w:trHeight w:val="223"/>
        </w:trPr>
        <w:tc>
          <w:tcPr>
            <w:tcW w:w="4640" w:type="dxa"/>
            <w:vAlign w:val="bottom"/>
            <w:tcBorders>
              <w:bottom w:val="single" w:sz="8" w:color="CCEEFF"/>
            </w:tcBorders>
          </w:tcPr>
          <w:p>
            <w:pPr>
              <w:jc w:val="right"/>
              <w:ind w:right="241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199 %</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204 %</w:t>
            </w:r>
          </w:p>
        </w:tc>
      </w:tr>
      <w:tr>
        <w:trPr>
          <w:trHeight w:val="21"/>
        </w:trPr>
        <w:tc>
          <w:tcPr>
            <w:tcW w:w="4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Research and development expenses were $11.2 million for the six months ended June 30, 2021, compared to $5.2 million for the six months ended June 30, 2020, an increase of $6.0 million, or 115%. The increase was primarily due to a $3.4 million increase in salaries, related benefits, and stock-based compensation due to an increase in headcount to support on-going development of our products, a $1.5 million increase in laboratory supplies and equipment expense and a $0.3 million increase in facilities cost.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General and administrative expenses were $7.9 million for the six months ended June 30, 2021, compared to $1.2 million for the six months ended June 30, 2020, an increase of $6.7 million, or 572%. The increase was primarily due to a $3.7 million increase in salaries, related benefits, and stock-based compensation, a $1.8 million increase in professional services, a $0.2 million increase in facilities costs and a $0.2 million increase in marketing costs.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Other income (expense), net for the six months ended June 30, 2021 as compared to the six months ended June 30, 2020 changed primarily as a result of a $0.1 million increase in amortization of discounts on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our operations. Our net loss was $19.1 million for the six months ended June 30, 2021. As of June 30, 2021, we had an accumulated deficit of $49.4 million. Prior to the Business Combination, we funded our operations primarily with proceeds from the sale of convertible preferred stock. Through June 30, 2021, we had raised net proceeds of $108.4 million from these private placements of our convertible preferred stock and had cash, cash equivalents and short-term investments of $373.1 million.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44"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1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Six Months Ended June 30, 2021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six months ended June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29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(14,545)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92"/>
              </w:rPr>
              <w:t>(61,048)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(37,687)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327,373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75,861</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8"/>
              </w:rPr>
              <w:t>251,780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June 30, 2021, net cash used in operating activities was $14.5 million, primarily resulting from our operating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$19.1 million, offset by non-cash charges aggregating $4.6 million, which primarily included $3.2 million of stock-based compensation and $0.8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operating lease right-of-use assets.</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six months ended June 30, 2020, net cash used in operating activities was $5.9 million, primarily resulting from our operating loss of $6.3 million, offset by non-cash charges aggregating $1.3 million, which primarily included $0.8 million amortization of operating lease right-of-use assets. Net cash used in operating activities was increased by net changes in assets and liabilities aggregating $0.9 million, primarily driven by $0.8 million decrease in operating lease liability.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During the six months ended June 30, 2021, net cash used in investing activities was $61.0 million, primarily resulting from $100.0 million in purchases of securities, partially offset by $40.0 million in proceeds from sale and maturities of securities.</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six months ended June 30, 2020, net cash used in investing activities was $37.7 million, primarily resulting from $48.3 million in purchases of securities, partially offset by $11.0 million in proceeds from sale and maturities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During the six months ended June 30, 2021, net cash provided by financing activities was $327.4 million, primarily resulting from $335.4 million in proceeds from the Business Combination and PIPE Financing, partially offset by $8.1 million in payments of deferred offering costs.</w:t>
      </w:r>
    </w:p>
    <w:p>
      <w:pPr>
        <w:spacing w:after="0" w:line="9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six months ended June 30, 2020, net cash provided by financing activities was $75.9 million from proceeds from issuance of convertible preferred stock, net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June 30, 2021 and the effects that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Payments Due by Period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7"/>
        </w:trPr>
        <w:tc>
          <w:tcPr>
            <w:tcW w:w="30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3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30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(1)(2)(3)</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248"/>
        </w:trPr>
        <w:tc>
          <w:tcPr>
            <w:tcW w:w="3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short-term and long-term leases in San Carlos, California.</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December 2020, we entered into a new lease in San Carlos, California for ten years commencing in September 2021 and expiring in September 2031 with total minimum lease payments of $42.1 million. This lease has not commenced as of June 30, 2021, and therefore is not included in the operating lease obligations.</w:t>
      </w:r>
    </w:p>
    <w:p>
      <w:pPr>
        <w:ind w:left="340" w:right="40" w:hanging="332"/>
        <w:spacing w:after="0" w:line="255"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July 2021, we entered into a new lease in Seattle, Washington for seven years commencing in August 2021 and expiring in June 2028 with total minimum lease payments of $4.5 million. This lease had not commenced as of June 30, 2021, and therefore is not included in the operating lease obligations.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2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2020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a result of fluctuations in interest rates. We do not hold or issue financial instruments for trading purposes.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had cash, cash equivalents, short-term and long-term investments of $388.4 million and $76.7 million as of June 30,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hypothetical 1.00% (100 basis points) relative change in interest rates would not have materially impacted the fair value of our marketable securities as of June 30, 2021 and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2021.</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as more fully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and uncertainties that make investing in our company risky include, among others:</w:t>
      </w:r>
    </w:p>
    <w:p>
      <w:pPr>
        <w:spacing w:after="0" w:line="157" w:lineRule="exact"/>
        <w:rPr>
          <w:sz w:val="20"/>
          <w:szCs w:val="20"/>
          <w:color w:val="auto"/>
        </w:rPr>
      </w:pPr>
    </w:p>
    <w:p>
      <w:pPr>
        <w:ind w:right="4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is entirely dependent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right="84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Nautilus Platform, and the loss of any of these suppliers could harm our business.</w:t>
      </w:r>
    </w:p>
    <w:p>
      <w:pPr>
        <w:spacing w:after="0" w:line="116" w:lineRule="exact"/>
        <w:rPr>
          <w:rFonts w:ascii="Arial" w:cs="Arial" w:eastAsia="Arial" w:hAnsi="Arial"/>
          <w:sz w:val="18"/>
          <w:szCs w:val="18"/>
          <w:color w:val="auto"/>
        </w:rPr>
      </w:pPr>
    </w:p>
    <w:p>
      <w:pPr>
        <w:ind w:right="480" w:firstLine="332"/>
        <w:spacing w:after="0" w:line="342" w:lineRule="auto"/>
        <w:tabs>
          <w:tab w:leader="none" w:pos="6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71" w:lineRule="exact"/>
        <w:rPr>
          <w:rFonts w:ascii="Arial" w:cs="Arial" w:eastAsia="Arial" w:hAnsi="Arial"/>
          <w:sz w:val="18"/>
          <w:szCs w:val="18"/>
          <w:color w:val="auto"/>
        </w:rPr>
      </w:pPr>
    </w:p>
    <w:p>
      <w:pPr>
        <w:ind w:right="140" w:firstLine="332"/>
        <w:spacing w:after="0" w:line="311" w:lineRule="auto"/>
        <w:tabs>
          <w:tab w:leader="none" w:pos="6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Although our products currently are not labeled or intended for any use which would subject us to regulation by the U.S. Food and Drug Administration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could take significant time and expense and could fail to result in FDA clearance or approval for the intended uses we believe are commercially attractive.</w:t>
      </w:r>
    </w:p>
    <w:p>
      <w:pPr>
        <w:spacing w:after="0" w:line="194" w:lineRule="exact"/>
        <w:rPr>
          <w:sz w:val="20"/>
          <w:szCs w:val="20"/>
          <w:color w:val="auto"/>
        </w:rPr>
      </w:pPr>
    </w:p>
    <w:p>
      <w:pPr>
        <w:ind w:right="40" w:firstLine="332"/>
        <w:spacing w:after="0" w:line="301" w:lineRule="auto"/>
        <w:tabs>
          <w:tab w:leader="none" w:pos="6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right="440" w:firstLine="332"/>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82" w:lineRule="exact"/>
        <w:rPr>
          <w:rFonts w:ascii="Arial" w:cs="Arial" w:eastAsia="Arial" w:hAnsi="Arial"/>
          <w:sz w:val="17"/>
          <w:szCs w:val="17"/>
          <w:color w:val="auto"/>
        </w:rPr>
      </w:pPr>
    </w:p>
    <w:p>
      <w:pPr>
        <w:ind w:right="340" w:firstLine="332"/>
        <w:spacing w:after="0" w:line="263"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our Common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$10.7 million and $19.1 million during the three and six months ended June 30, 2021, respectively, and net losses of $3.4 million and $6.3 million during the three and six months ended June 30, 2020, respectively. As of June 30, 2021, we had an accumulated deficit of $49.4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Nautilus Platform. While our goal is to leverage our Nautilus Platform to comprehensively measure the human proteome by the end of 2023,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Nautilus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1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0" w:name="page41"/>
    <w:bookmarkEnd w:id="40"/>
    <w:p>
      <w:pPr>
        <w:spacing w:after="0" w:line="14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23" w:lineRule="exact"/>
        <w:rPr>
          <w:rFonts w:ascii="Arial" w:cs="Arial" w:eastAsia="Arial" w:hAnsi="Arial"/>
          <w:sz w:val="18"/>
          <w:szCs w:val="18"/>
          <w:color w:val="auto"/>
        </w:rPr>
      </w:pPr>
    </w:p>
    <w:p>
      <w:pPr>
        <w:ind w:right="340"/>
        <w:spacing w:after="0" w:line="260" w:lineRule="auto"/>
        <w:rPr>
          <w:rFonts w:ascii="Arial" w:cs="Arial" w:eastAsia="Arial" w:hAnsi="Arial"/>
          <w:sz w:val="18"/>
          <w:szCs w:val="18"/>
          <w:color w:val="auto"/>
        </w:rPr>
      </w:pPr>
      <w:r>
        <w:rPr>
          <w:rFonts w:ascii="Arial" w:cs="Arial" w:eastAsia="Arial" w:hAnsi="Arial"/>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16"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ind w:right="20" w:firstLine="332"/>
        <w:spacing w:after="0" w:line="263"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right="54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right="340" w:firstLine="332"/>
        <w:spacing w:after="0" w:line="277"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44"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Proteomic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3" w:lineRule="auto"/>
        <w:tabs>
          <w:tab w:leader="none" w:pos="6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rFonts w:ascii="Arial" w:cs="Arial" w:eastAsia="Arial" w:hAnsi="Arial"/>
          <w:sz w:val="18"/>
          <w:szCs w:val="18"/>
          <w:color w:val="auto"/>
        </w:rPr>
      </w:pPr>
    </w:p>
    <w:p>
      <w:pPr>
        <w:ind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rFonts w:ascii="Arial" w:cs="Arial" w:eastAsia="Arial" w:hAnsi="Arial"/>
          <w:sz w:val="18"/>
          <w:szCs w:val="18"/>
          <w:color w:val="auto"/>
        </w:rPr>
      </w:pPr>
    </w:p>
    <w:p>
      <w:pPr>
        <w:ind w:right="12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right="36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4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1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expenditures by these customers could result in lower than expected sales of our Nautilus Platform. These reductions and delays may result from factors that are not within our control, such as:</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accurate as they could be if we had a longer operating history or a company history of successfully developing and commercializing products.</w:t>
      </w:r>
    </w:p>
    <w:p>
      <w:pPr>
        <w:spacing w:after="0" w:line="18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Based on our current plans, we believe that our available resources and existing cash and cash equivalents, including the net proceeds from the Business Combination and PIPE Financing, will be sufficient to meet our anticipated cash requirements for at least 12 months from the date of this Quarterly Report on Form 10-Q. If our available resources and existing cash and cash equivalents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us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Tax Cuts and Jobs Act of 2017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files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340" w:right="120" w:hanging="8"/>
        <w:spacing w:after="0" w:line="493" w:lineRule="auto"/>
        <w:tabs>
          <w:tab w:leader="none" w:pos="6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right="640" w:firstLine="324"/>
        <w:spacing w:after="0" w:line="342" w:lineRule="auto"/>
        <w:rPr>
          <w:sz w:val="20"/>
          <w:szCs w:val="20"/>
          <w:color w:val="auto"/>
        </w:rPr>
      </w:pPr>
      <w:r>
        <w:rPr>
          <w:rFonts w:ascii="Arial" w:cs="Arial" w:eastAsia="Arial" w:hAnsi="Arial"/>
          <w:sz w:val="16"/>
          <w:szCs w:val="16"/>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right="440" w:firstLine="332"/>
        <w:spacing w:after="0" w:line="277" w:lineRule="auto"/>
        <w:tabs>
          <w:tab w:leader="none" w:pos="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systems;</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right="20" w:firstLine="332"/>
        <w:spacing w:after="0" w:line="286" w:lineRule="auto"/>
        <w:tabs>
          <w:tab w:leader="none" w:pos="643"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4" w:lineRule="exact"/>
        <w:rPr>
          <w:sz w:val="20"/>
          <w:szCs w:val="20"/>
          <w:color w:val="auto"/>
        </w:rPr>
      </w:pPr>
    </w:p>
    <w:p>
      <w:pPr>
        <w:ind w:left="340" w:right="40"/>
        <w:spacing w:after="0" w:line="423" w:lineRule="auto"/>
        <w:rPr>
          <w:sz w:val="20"/>
          <w:szCs w:val="20"/>
          <w:color w:val="auto"/>
        </w:rPr>
      </w:pPr>
      <w:r>
        <w:rPr>
          <w:rFonts w:ascii="Arial" w:cs="Arial" w:eastAsia="Arial" w:hAnsi="Arial"/>
          <w:sz w:val="15"/>
          <w:szCs w:val="15"/>
          <w:b w:val="1"/>
          <w:bCs w:val="1"/>
          <w:i w:val="1"/>
          <w:iCs w:val="1"/>
          <w:color w:val="auto"/>
        </w:rPr>
        <w:t xml:space="preserve">We have broad discretion in the use of the net proceeds from the Business Combination and the PIPE Financing and may not use them effectively. </w:t>
      </w:r>
      <w:r>
        <w:rPr>
          <w:rFonts w:ascii="Arial" w:cs="Arial" w:eastAsia="Arial" w:hAnsi="Arial"/>
          <w:sz w:val="15"/>
          <w:szCs w:val="15"/>
          <w:color w:val="auto"/>
        </w:rPr>
        <w:t>We cannot specify with certainty the particular uses of the net proceeds we received from the Business Combination and the PIPE Financing. Our</w:t>
      </w:r>
    </w:p>
    <w:p>
      <w:pPr>
        <w:spacing w:after="0" w:line="253" w:lineRule="auto"/>
        <w:rPr>
          <w:sz w:val="20"/>
          <w:szCs w:val="20"/>
          <w:color w:val="auto"/>
        </w:rPr>
      </w:pPr>
      <w:r>
        <w:rPr>
          <w:rFonts w:ascii="Arial" w:cs="Arial" w:eastAsia="Arial" w:hAnsi="Arial"/>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financial condition, results of operations and prospects. Both the patent application process and the process of managing patent and other intellectual property disputes are generally unpredictable, time-consuming and expensive.</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2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0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Proceedings to enforce our or any future licensor’s patent rights in foreign jurisdictions could result in substantial cost and divert our efforts and attention from other aspects of our business, could put our and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2"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80" w:firstLine="324"/>
        <w:spacing w:after="0" w:line="340" w:lineRule="auto"/>
        <w:rPr>
          <w:sz w:val="20"/>
          <w:szCs w:val="20"/>
          <w:color w:val="auto"/>
        </w:rPr>
      </w:pPr>
      <w:r>
        <w:rPr>
          <w:rFonts w:ascii="Arial" w:cs="Arial" w:eastAsia="Arial" w:hAnsi="Arial"/>
          <w:sz w:val="15"/>
          <w:szCs w:val="15"/>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2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4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920" w:firstLine="324"/>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46"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1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right="200" w:firstLine="332"/>
        <w:spacing w:after="0" w:line="277" w:lineRule="auto"/>
        <w:tabs>
          <w:tab w:leader="none" w:pos="6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right="16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right="74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Regulatory and Legal Compliance Matters</w:t>
      </w:r>
    </w:p>
    <w:p>
      <w:pPr>
        <w:spacing w:after="0" w:line="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27" w:lineRule="exact"/>
        <w:rPr>
          <w:sz w:val="20"/>
          <w:szCs w:val="20"/>
          <w:color w:val="auto"/>
        </w:rPr>
      </w:pPr>
    </w:p>
    <w:p>
      <w:pPr>
        <w:ind w:right="120" w:firstLine="324"/>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16"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2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2" w:lineRule="exact"/>
        <w:rPr>
          <w:sz w:val="20"/>
          <w:szCs w:val="20"/>
          <w:color w:val="auto"/>
        </w:rPr>
      </w:pPr>
    </w:p>
    <w:p>
      <w:pPr>
        <w:ind w:right="40" w:firstLine="324"/>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1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2021, we had 89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9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0" w:lineRule="exact"/>
        <w:rPr>
          <w:sz w:val="20"/>
          <w:szCs w:val="20"/>
          <w:color w:val="auto"/>
        </w:rPr>
      </w:pPr>
    </w:p>
    <w:p>
      <w:pPr>
        <w:jc w:val="both"/>
        <w:ind w:right="120" w:firstLine="324"/>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right="100" w:firstLine="332"/>
        <w:spacing w:after="0" w:line="286" w:lineRule="auto"/>
        <w:tabs>
          <w:tab w:leader="none" w:pos="643"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right="60" w:firstLine="332"/>
        <w:spacing w:after="0" w:line="263" w:lineRule="auto"/>
        <w:tabs>
          <w:tab w:leader="none" w:pos="6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of December 31, 2020, we had U.S. federal and state net operating loss carryforwards, or NOLs, of $21.3 million, which if not utilized will expire in 2037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right="6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right="300" w:firstLine="332"/>
        <w:spacing w:after="0" w:line="277"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4" w:lineRule="exact"/>
        <w:rPr>
          <w:sz w:val="20"/>
          <w:szCs w:val="20"/>
          <w:color w:val="auto"/>
        </w:rPr>
      </w:pPr>
    </w:p>
    <w:p>
      <w:pPr>
        <w:ind w:right="40" w:firstLine="332"/>
        <w:spacing w:after="0" w:line="263" w:lineRule="auto"/>
        <w:tabs>
          <w:tab w:leader="none" w:pos="6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June 30, 2021, our directors, executive officers, holders of more than 5% of our outstanding shares of Common Stock and their respective affiliates beneficially owned, collectively, approximately 67.5%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are restricted from immediate resale in connection with the closing of the Business Combination but may be sold into the market in the near future. This could cause the market price of our Common Stock to drop significantly, even if our business is doing well.</w:t>
      </w:r>
    </w:p>
    <w:p>
      <w:pPr>
        <w:spacing w:after="0" w:line="13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3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are restricted from selling or transferring any shares of our Common Stock for a period of 180 days from the closing of the Business Combination. However, these shares of Common Stock may be sold after the expiration of the respective applicable lock-up under the Registration Rights and Lock-Up Agreement and the Bylaws, as applicable. Pursuant to the Registration Rights and Lock-Up Agreement and the Subscription Agreements, we are required to file one or more registration statements to provide for the resale of the shares issued in the PIPE Financing and the shares of our Common Stock held by the parties to the Registration Rights and Lock-Up Agreement.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“Securities Act”). In addition, unless we give an Alternative Forum Consent, the federal district courts of the United States shall be the sole and exclusive forum for resolving any action asserting a claim arising under the Securities Act.</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right="240" w:firstLine="332"/>
        <w:spacing w:after="0" w:line="308" w:lineRule="auto"/>
        <w:tabs>
          <w:tab w:leader="none" w:pos="6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92" w:lineRule="exact"/>
        <w:rPr>
          <w:rFonts w:ascii="Arial" w:cs="Arial" w:eastAsia="Arial" w:hAnsi="Arial"/>
          <w:sz w:val="17"/>
          <w:szCs w:val="17"/>
          <w:color w:val="auto"/>
        </w:rPr>
      </w:pPr>
    </w:p>
    <w:p>
      <w:pPr>
        <w:ind w:right="360" w:firstLine="332"/>
        <w:spacing w:after="0" w:line="277" w:lineRule="auto"/>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right="280" w:firstLine="332"/>
        <w:spacing w:after="0" w:line="277" w:lineRule="auto"/>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right="300" w:firstLine="332"/>
        <w:spacing w:after="0" w:line="277" w:lineRule="auto"/>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17"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information required by this Item 2 is contained in our Current Report on Form 8-K filed with the Securities and Exchange Commission on June 10,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Plan-Related Issuances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June 21, 2021, we issued (i) 26,459 shares of our common stock upon the exercise of options granted under our 2017 Equity Incentive Plan (“2017 Plan”) at an exercise price of $0.43 per share and (ii) 22,676 shares of our common stock upon the exercise of options granted under the 2017 Plan at an exercise price of $1.14 per share. On August 5, 2021, we issued 7,402 shares of our common stock upon the exercise of options granted under the 2017 Plan at an exercise price of $1.14 per share These issuances were deemed to be exempt from registration under the Securities Act pursuant to Rule 701 promulgated under Section 3(b) of the Securities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80" w:type="dxa"/>
            <w:vAlign w:val="bottom"/>
            <w:gridSpan w:val="25"/>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8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20" w:type="dxa"/>
            <w:vAlign w:val="bottom"/>
            <w:tcBorders>
              <w:top w:val="single" w:sz="8" w:color="auto"/>
            </w:tcBorders>
            <w:gridSpan w:val="37"/>
          </w:tcPr>
          <w:p>
            <w:pPr>
              <w:spacing w:after="0" w:line="184"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the SEC on February 8, 2021).</w:t>
              </w:r>
            </w:hyperlink>
          </w:p>
        </w:tc>
        <w:tc>
          <w:tcPr>
            <w:tcW w:w="77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Form 8-K filed with 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6"/>
              </w:rPr>
            </w:pPr>
            <w:hyperlink r:id="rId117">
              <w:r>
                <w:rPr>
                  <w:rFonts w:ascii="Arial" w:cs="Arial" w:eastAsia="Arial" w:hAnsi="Arial"/>
                  <w:sz w:val="18"/>
                  <w:szCs w:val="18"/>
                  <w:color w:val="0000FF"/>
                  <w:w w:val="96"/>
                </w:rPr>
                <w:t>Bylaws of Nautilus Biotechnology, Inc. (incorporated by reference to Exhibit 3.2 to the Company’s Current Report on Form 8-K filed</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with the SEC on June 10, 2021).</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SEC on February 8,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Form of Amended and Restated Registration Rights and Lock-Up Agreement (incorporated by reference to Exhibit 10.2 to the Company’s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Current Report on Form 8-K filed with the SEC on February 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Form 8-K filed with 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Report on Form 8-K filed with the SEC on June 10, 2021).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7"/>
              </w:rPr>
            </w:pPr>
            <w:hyperlink r:id="rId122">
              <w:r>
                <w:rPr>
                  <w:rFonts w:ascii="Arial" w:cs="Arial" w:eastAsia="Arial" w:hAnsi="Arial"/>
                  <w:sz w:val="18"/>
                  <w:szCs w:val="18"/>
                  <w:color w:val="0000FF"/>
                  <w:w w:val="97"/>
                </w:rPr>
                <w:t>Forms of Stock Option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Exhibit 10.7 to the Proxy Statement/Prospectus).</w:t>
              </w:r>
            </w:hyperlink>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Form of Restricted Stock Unit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to Exhibit 10.8 to the Proxy Statement/Prospectus).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Form of Restricted Stock Award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to Exhibit 10.9 to 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Nautilus Biotechnology, Inc. 2017 Equity Incentive Plan and forms of agreements thereunder (incorporated by reference to Exhibit 10.11</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to the Proxy Statement/Prospectus).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Confirmatory Employment Letter between Nautilus Biotechnology, Inc. and Sujal Patel (incorporated by reference to Exhibit 10.12 to the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Proxy Statement/Prospectus).</w:t>
              </w:r>
            </w:hyperlink>
          </w:p>
        </w:tc>
        <w:tc>
          <w:tcPr>
            <w:tcW w:w="7880" w:type="dxa"/>
            <w:vAlign w:val="bottom"/>
            <w:tcBorders>
              <w:top w:val="single" w:sz="8" w:color="0000FF"/>
            </w:tcBorders>
            <w:gridSpan w:val="30"/>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Confirmatory Employment Letter between Nautilus Biotechnology, Inc. and Anna Mowry (incorporated by reference to Exhibit 10.13 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Confirmatory Employment Letter between Nautilus Biotechnology, Inc. and Subra Sankar (incorporated by reference to Exhibit 10.15 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5"/>
              </w:rPr>
            </w:pPr>
            <w:hyperlink r:id="rId129">
              <w:r>
                <w:rPr>
                  <w:rFonts w:ascii="Arial" w:cs="Arial" w:eastAsia="Arial" w:hAnsi="Arial"/>
                  <w:sz w:val="18"/>
                  <w:szCs w:val="18"/>
                  <w:color w:val="0000FF"/>
                  <w:w w:val="95"/>
                </w:rPr>
                <w:t>Confirmatory Employment Letter between Nautilus Biotechnology, Inc. and Nick Nelson (incorporated by reference to Exhibit 10.14 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the Proxy Statement/Prospectus).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30">
              <w:r>
                <w:rPr>
                  <w:rFonts w:ascii="Arial" w:cs="Arial" w:eastAsia="Arial" w:hAnsi="Arial"/>
                  <w:sz w:val="18"/>
                  <w:szCs w:val="18"/>
                  <w:color w:val="0000FF"/>
                  <w:w w:val="94"/>
                </w:rPr>
                <w:t>Confirmatory Employment Letter between Nautilus Biotechnology, Inc. and Parag Mallick (incorporated by reference to Exhibit 10.16 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the Proxy Statement/Prospectus).</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Confirmatory Employment Letter between Nautilus Biotechnology, Inc. and Matt Murphy (incorporated by reference to Exhibit 10.17 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the Proxy Statement/Prospectus).</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10.15+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Change in Control and Severance Agreement between Nautilus Biotechnology, Inc. and Sujal Patel (incorporated by reference to Exhibit</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18</w:t>
              </w:r>
              <w:r>
                <w:rPr>
                  <w:rFonts w:ascii="Arial" w:cs="Arial" w:eastAsia="Arial" w:hAnsi="Arial"/>
                  <w:sz w:val="18"/>
                  <w:szCs w:val="18"/>
                  <w:color w:val="0000FF"/>
                  <w:w w:val="89"/>
                </w:rPr>
                <w:t xml:space="preserve"> to the Proxy Statement/Prospectus).</w:t>
              </w:r>
            </w:hyperlink>
          </w:p>
        </w:tc>
        <w:tc>
          <w:tcPr>
            <w:tcW w:w="6860" w:type="dxa"/>
            <w:vAlign w:val="bottom"/>
            <w:tcBorders>
              <w:top w:val="single" w:sz="8" w:color="0000FF"/>
            </w:tcBorders>
            <w:gridSpan w:val="19"/>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7"/>
              </w:rPr>
            </w:pPr>
            <w:hyperlink r:id="rId133">
              <w:r>
                <w:rPr>
                  <w:rFonts w:ascii="Arial" w:cs="Arial" w:eastAsia="Arial" w:hAnsi="Arial"/>
                  <w:sz w:val="18"/>
                  <w:szCs w:val="18"/>
                  <w:color w:val="0000FF"/>
                  <w:w w:val="97"/>
                </w:rPr>
                <w:t>Change in Control and Severance Agreement between Nautilus Biotechnology, Inc. and Anna Mowry (incorporated by reference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Exhibit 10.19 to the Proxy Statement/Prospectus).</w:t>
              </w:r>
            </w:hyperlink>
          </w:p>
        </w:tc>
        <w:tc>
          <w:tcPr>
            <w:tcW w:w="58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Change in Control and Severance Agreement between Nautilus Biotechnology, Inc. and Subra Sankar (incorporated by reference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Exhibit 10.21 to the Proxy Statement/Prospectus).</w:t>
              </w:r>
            </w:hyperlink>
          </w:p>
        </w:tc>
        <w:tc>
          <w:tcPr>
            <w:tcW w:w="58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Change in Control and Severance Agreement between Nautilus Biotechnology, Inc. and Nick Nelson (incorporated by reference to Exhibit</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20</w:t>
              </w:r>
              <w:r>
                <w:rPr>
                  <w:rFonts w:ascii="Arial" w:cs="Arial" w:eastAsia="Arial" w:hAnsi="Arial"/>
                  <w:sz w:val="18"/>
                  <w:szCs w:val="18"/>
                  <w:color w:val="0000FF"/>
                  <w:w w:val="89"/>
                </w:rPr>
                <w:t xml:space="preserve"> to the Proxy Statement/Prospectus).</w:t>
              </w:r>
            </w:hyperlink>
          </w:p>
        </w:tc>
        <w:tc>
          <w:tcPr>
            <w:tcW w:w="70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6"/>
              </w:rPr>
            </w:pPr>
            <w:hyperlink r:id="rId136">
              <w:r>
                <w:rPr>
                  <w:rFonts w:ascii="Arial" w:cs="Arial" w:eastAsia="Arial" w:hAnsi="Arial"/>
                  <w:sz w:val="18"/>
                  <w:szCs w:val="18"/>
                  <w:color w:val="0000FF"/>
                  <w:w w:val="96"/>
                </w:rPr>
                <w:t>Change in Control and Severance Agreement between Nautilus Biotechnology, Inc. and Parag Mallick (incorporated by reference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Exhibit 10.22 to the Proxy Statement/Prospectus).</w:t>
              </w:r>
            </w:hyperlink>
          </w:p>
        </w:tc>
        <w:tc>
          <w:tcPr>
            <w:tcW w:w="5920" w:type="dxa"/>
            <w:vAlign w:val="bottom"/>
            <w:tcBorders>
              <w:top w:val="single" w:sz="8" w:color="0000FF"/>
            </w:tcBorders>
            <w:gridSpan w:val="8"/>
          </w:tcPr>
          <w:p>
            <w:pPr>
              <w:spacing w:after="0"/>
              <w:rPr>
                <w:sz w:val="13"/>
                <w:szCs w:val="13"/>
                <w:color w:val="auto"/>
              </w:rPr>
            </w:pPr>
          </w:p>
        </w:tc>
        <w:tc>
          <w:tcPr>
            <w:tcW w:w="58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37"/>
          </w:tcPr>
          <w:p>
            <w:pPr>
              <w:spacing w:after="0"/>
              <w:rPr>
                <w:rFonts w:ascii="Arial" w:cs="Arial" w:eastAsia="Arial" w:hAnsi="Arial"/>
                <w:sz w:val="18"/>
                <w:szCs w:val="18"/>
                <w:color w:val="0000FF"/>
                <w:w w:val="97"/>
              </w:rPr>
            </w:pPr>
            <w:hyperlink r:id="rId137">
              <w:r>
                <w:rPr>
                  <w:rFonts w:ascii="Arial" w:cs="Arial" w:eastAsia="Arial" w:hAnsi="Arial"/>
                  <w:sz w:val="18"/>
                  <w:szCs w:val="18"/>
                  <w:color w:val="0000FF"/>
                  <w:w w:val="97"/>
                </w:rPr>
                <w:t>Change in Control and Severance Agreement between Nautilus Biotechnology, Inc. and Matt Murphy (incorporated by reference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Exhibit 10.23 to the Proxy Statement/Prospectus).</w:t>
              </w:r>
            </w:hyperlink>
          </w:p>
        </w:tc>
        <w:tc>
          <w:tcPr>
            <w:tcW w:w="5880" w:type="dxa"/>
            <w:vAlign w:val="bottom"/>
            <w:tcBorders>
              <w:top w:val="single" w:sz="8" w:color="0000FF"/>
            </w:tcBorders>
            <w:gridSpan w:val="6"/>
          </w:tcPr>
          <w:p>
            <w:pPr>
              <w:spacing w:after="0"/>
              <w:rPr>
                <w:sz w:val="13"/>
                <w:szCs w:val="13"/>
                <w:color w:val="auto"/>
              </w:rPr>
            </w:pPr>
          </w:p>
        </w:tc>
        <w:tc>
          <w:tcPr>
            <w:tcW w:w="62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bottom w:val="single" w:sz="8" w:color="0000FF"/>
            </w:tcBorders>
            <w:gridSpan w:val="14"/>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Form of New Nautilus Indemnification Agreement (incorporated by reference to Exhibit 10.24 to the Proxy Statement/Prospectus).</w:t>
              </w:r>
            </w:hyperlink>
          </w:p>
        </w:tc>
        <w:tc>
          <w:tcPr>
            <w:tcW w:w="66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6"/>
                <w:szCs w:val="16"/>
                <w:color w:val="auto"/>
              </w:rPr>
              <w:t>10.22+</w:t>
            </w:r>
          </w:p>
        </w:tc>
        <w:tc>
          <w:tcPr>
            <w:tcW w:w="9860" w:type="dxa"/>
            <w:vAlign w:val="bottom"/>
            <w:gridSpan w:val="9"/>
          </w:tcPr>
          <w:p>
            <w:pPr>
              <w:spacing w:after="0"/>
              <w:rPr>
                <w:rFonts w:ascii="Arial" w:cs="Arial" w:eastAsia="Arial" w:hAnsi="Arial"/>
                <w:sz w:val="18"/>
                <w:szCs w:val="18"/>
                <w:color w:val="0000FF"/>
                <w:w w:val="99"/>
              </w:rPr>
            </w:pPr>
            <w:hyperlink r:id="rId140">
              <w:r>
                <w:rPr>
                  <w:rFonts w:ascii="Arial" w:cs="Arial" w:eastAsia="Arial" w:hAnsi="Arial"/>
                  <w:sz w:val="18"/>
                  <w:szCs w:val="18"/>
                  <w:color w:val="0000FF"/>
                  <w:w w:val="99"/>
                </w:rPr>
                <w:t>Nautilus Biotechnology, Inc. Executive Incentive Compensation Plan (incorporated by reference to Exhibit 10.25 to the Proxy</w:t>
              </w:r>
            </w:hyperlink>
          </w:p>
        </w:tc>
      </w:tr>
      <w:tr>
        <w:trPr>
          <w:trHeight w:val="156"/>
        </w:trPr>
        <w:tc>
          <w:tcPr>
            <w:tcW w:w="1200" w:type="dxa"/>
            <w:vAlign w:val="bottom"/>
          </w:tcPr>
          <w:p>
            <w:pPr>
              <w:spacing w:after="0"/>
              <w:rPr>
                <w:sz w:val="13"/>
                <w:szCs w:val="13"/>
                <w:color w:val="auto"/>
              </w:rPr>
            </w:pPr>
          </w:p>
        </w:tc>
        <w:tc>
          <w:tcPr>
            <w:tcW w:w="90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Statement/Prospectus).</w:t>
              </w:r>
            </w:hyperlink>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6"/>
                <w:szCs w:val="16"/>
                <w:color w:val="auto"/>
              </w:rPr>
              <w:t>31.1*</w:t>
            </w:r>
          </w:p>
        </w:tc>
        <w:tc>
          <w:tcPr>
            <w:tcW w:w="9860" w:type="dxa"/>
            <w:vAlign w:val="bottom"/>
            <w:gridSpan w:val="9"/>
          </w:tcPr>
          <w:p>
            <w:pPr>
              <w:spacing w:after="0"/>
              <w:rPr>
                <w:rFonts w:ascii="Arial" w:cs="Arial" w:eastAsia="Arial" w:hAnsi="Arial"/>
                <w:sz w:val="18"/>
                <w:szCs w:val="18"/>
                <w:color w:val="0000FF"/>
                <w:w w:val="93"/>
              </w:rPr>
            </w:pPr>
            <w:hyperlink w:anchor="page81">
              <w:r>
                <w:rPr>
                  <w:rFonts w:ascii="Arial" w:cs="Arial" w:eastAsia="Arial" w:hAnsi="Arial"/>
                  <w:sz w:val="18"/>
                  <w:szCs w:val="18"/>
                  <w:color w:val="0000FF"/>
                  <w:w w:val="93"/>
                </w:rPr>
                <w:t>Certification of Principal Executive Officer Pursuant to Rules 13a-14(a) and 15d-14(a) under the Securities Exchange Act of 1934, as</w:t>
              </w:r>
            </w:hyperlink>
          </w:p>
        </w:tc>
      </w:tr>
      <w:tr>
        <w:trPr>
          <w:trHeight w:val="156"/>
        </w:trPr>
        <w:tc>
          <w:tcPr>
            <w:tcW w:w="1200" w:type="dxa"/>
            <w:vAlign w:val="bottom"/>
          </w:tcPr>
          <w:p>
            <w:pPr>
              <w:spacing w:after="0"/>
              <w:rPr>
                <w:sz w:val="13"/>
                <w:szCs w:val="13"/>
                <w:color w:val="auto"/>
              </w:rPr>
            </w:pPr>
          </w:p>
        </w:tc>
        <w:tc>
          <w:tcPr>
            <w:tcW w:w="96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Adopted Pursuant to Section 302 of the Sarbanes-Oxley Act of 2002.</w:t>
              </w:r>
            </w:hyperlink>
          </w:p>
        </w:tc>
        <w:tc>
          <w:tcPr>
            <w:tcW w:w="2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6"/>
                <w:szCs w:val="16"/>
                <w:color w:val="auto"/>
              </w:rPr>
              <w:t>31.2*</w:t>
            </w:r>
          </w:p>
        </w:tc>
        <w:tc>
          <w:tcPr>
            <w:tcW w:w="9860" w:type="dxa"/>
            <w:vAlign w:val="bottom"/>
            <w:gridSpan w:val="9"/>
          </w:tcPr>
          <w:p>
            <w:pPr>
              <w:spacing w:after="0"/>
              <w:rPr>
                <w:rFonts w:ascii="Arial" w:cs="Arial" w:eastAsia="Arial" w:hAnsi="Arial"/>
                <w:sz w:val="18"/>
                <w:szCs w:val="18"/>
                <w:color w:val="0000FF"/>
                <w:w w:val="93"/>
              </w:rPr>
            </w:pPr>
            <w:hyperlink w:anchor="page82">
              <w:r>
                <w:rPr>
                  <w:rFonts w:ascii="Arial" w:cs="Arial" w:eastAsia="Arial" w:hAnsi="Arial"/>
                  <w:sz w:val="18"/>
                  <w:szCs w:val="18"/>
                  <w:color w:val="0000FF"/>
                  <w:w w:val="93"/>
                </w:rPr>
                <w:t>Certification of Principal Financial Officer Pursuant to Rules 13a-14(a) and 15d-14(a) under the Securities Exchange Act of 1934, as</w:t>
              </w:r>
            </w:hyperlink>
          </w:p>
        </w:tc>
      </w:tr>
      <w:tr>
        <w:trPr>
          <w:trHeight w:val="156"/>
        </w:trPr>
        <w:tc>
          <w:tcPr>
            <w:tcW w:w="120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82">
              <w:r>
                <w:rPr>
                  <w:rFonts w:ascii="Arial" w:cs="Arial" w:eastAsia="Arial" w:hAnsi="Arial"/>
                  <w:sz w:val="18"/>
                  <w:szCs w:val="18"/>
                  <w:color w:val="0000FF"/>
                </w:rPr>
                <w:t>Adopted Pursuant to Section 302 of the Sarbanes-Oxley Act of 2002.</w:t>
              </w:r>
            </w:hyperlink>
          </w:p>
        </w:tc>
        <w:tc>
          <w:tcPr>
            <w:tcW w:w="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9860" w:type="dxa"/>
            <w:vAlign w:val="bottom"/>
            <w:gridSpan w:val="9"/>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Certification of Principal Executive Officer Pursuant to 18 U.S.C. Section 1350, as Adopted Pursuant to Section 906 of the Sarbanes-</w:t>
              </w:r>
            </w:hyperlink>
          </w:p>
        </w:tc>
      </w:tr>
      <w:tr>
        <w:trPr>
          <w:trHeight w:val="156"/>
        </w:trPr>
        <w:tc>
          <w:tcPr>
            <w:tcW w:w="120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83">
              <w:r>
                <w:rPr>
                  <w:rFonts w:ascii="Arial" w:cs="Arial" w:eastAsia="Arial" w:hAnsi="Arial"/>
                  <w:sz w:val="18"/>
                  <w:szCs w:val="18"/>
                  <w:color w:val="0000FF"/>
                  <w:w w:val="93"/>
                </w:rPr>
                <w:t>Oxley Act of 2002.</w:t>
              </w:r>
            </w:hyperlink>
          </w:p>
        </w:tc>
        <w:tc>
          <w:tcPr>
            <w:tcW w:w="8220" w:type="dxa"/>
            <w:vAlign w:val="bottom"/>
            <w:tcBorders>
              <w:top w:val="single" w:sz="8" w:color="0000FF"/>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9860" w:type="dxa"/>
            <w:vAlign w:val="bottom"/>
            <w:gridSpan w:val="9"/>
          </w:tcPr>
          <w:p>
            <w:pPr>
              <w:spacing w:after="0"/>
              <w:rPr>
                <w:rFonts w:ascii="Arial" w:cs="Arial" w:eastAsia="Arial" w:hAnsi="Arial"/>
                <w:sz w:val="18"/>
                <w:szCs w:val="18"/>
                <w:color w:val="0000FF"/>
                <w:w w:val="93"/>
              </w:rPr>
            </w:pPr>
            <w:hyperlink w:anchor="page84">
              <w:r>
                <w:rPr>
                  <w:rFonts w:ascii="Arial" w:cs="Arial" w:eastAsia="Arial" w:hAnsi="Arial"/>
                  <w:sz w:val="18"/>
                  <w:szCs w:val="18"/>
                  <w:color w:val="0000FF"/>
                  <w:w w:val="93"/>
                </w:rPr>
                <w:t>Certification of Principal Financial Officer Pursuant to 18 U.S.C. Section 1350, as Adopted Pursuant to Section 906 of the Sarbanes-</w:t>
              </w:r>
            </w:hyperlink>
          </w:p>
        </w:tc>
      </w:tr>
      <w:tr>
        <w:trPr>
          <w:trHeight w:val="156"/>
        </w:trPr>
        <w:tc>
          <w:tcPr>
            <w:tcW w:w="120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84">
              <w:r>
                <w:rPr>
                  <w:rFonts w:ascii="Arial" w:cs="Arial" w:eastAsia="Arial" w:hAnsi="Arial"/>
                  <w:sz w:val="18"/>
                  <w:szCs w:val="18"/>
                  <w:color w:val="0000FF"/>
                  <w:w w:val="93"/>
                </w:rPr>
                <w:t>Oxley Act of 2002.</w:t>
              </w:r>
            </w:hyperlink>
          </w:p>
        </w:tc>
        <w:tc>
          <w:tcPr>
            <w:tcW w:w="8160" w:type="dxa"/>
            <w:vAlign w:val="bottom"/>
            <w:tcBorders>
              <w:top w:val="single" w:sz="8" w:color="0000FF"/>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196"/>
        </w:trPr>
        <w:tc>
          <w:tcPr>
            <w:tcW w:w="1200" w:type="dxa"/>
            <w:vAlign w:val="bottom"/>
          </w:tcPr>
          <w:p>
            <w:pPr>
              <w:spacing w:after="0"/>
              <w:rPr>
                <w:sz w:val="20"/>
                <w:szCs w:val="20"/>
                <w:color w:val="auto"/>
              </w:rPr>
            </w:pPr>
            <w:r>
              <w:rPr>
                <w:rFonts w:ascii="Arial" w:cs="Arial" w:eastAsia="Arial" w:hAnsi="Arial"/>
                <w:sz w:val="16"/>
                <w:szCs w:val="16"/>
                <w:color w:val="auto"/>
              </w:rPr>
              <w:t>101.INS</w:t>
            </w:r>
          </w:p>
        </w:tc>
        <w:tc>
          <w:tcPr>
            <w:tcW w:w="9860" w:type="dxa"/>
            <w:vAlign w:val="bottom"/>
            <w:gridSpan w:val="9"/>
          </w:tcPr>
          <w:p>
            <w:pPr>
              <w:spacing w:after="0" w:line="196" w:lineRule="exact"/>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29"/>
        </w:trPr>
        <w:tc>
          <w:tcPr>
            <w:tcW w:w="1200" w:type="dxa"/>
            <w:vAlign w:val="bottom"/>
          </w:tcPr>
          <w:p>
            <w:pPr>
              <w:spacing w:after="0"/>
              <w:rPr>
                <w:sz w:val="19"/>
                <w:szCs w:val="19"/>
                <w:color w:val="auto"/>
              </w:rPr>
            </w:pPr>
          </w:p>
        </w:tc>
        <w:tc>
          <w:tcPr>
            <w:tcW w:w="98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98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200" w:type="dxa"/>
            <w:vAlign w:val="bottom"/>
          </w:tcPr>
          <w:p>
            <w:pPr>
              <w:spacing w:after="0"/>
              <w:rPr>
                <w:sz w:val="20"/>
                <w:szCs w:val="20"/>
                <w:color w:val="auto"/>
              </w:rPr>
            </w:pPr>
            <w:r>
              <w:rPr>
                <w:rFonts w:ascii="Arial" w:cs="Arial" w:eastAsia="Arial" w:hAnsi="Arial"/>
                <w:sz w:val="16"/>
                <w:szCs w:val="16"/>
                <w:color w:val="auto"/>
              </w:rPr>
              <w:t>101.CAL</w:t>
            </w:r>
          </w:p>
        </w:tc>
        <w:tc>
          <w:tcPr>
            <w:tcW w:w="98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200" w:type="dxa"/>
            <w:vAlign w:val="bottom"/>
          </w:tcPr>
          <w:p>
            <w:pPr>
              <w:spacing w:after="0"/>
              <w:rPr>
                <w:sz w:val="20"/>
                <w:szCs w:val="20"/>
                <w:color w:val="auto"/>
              </w:rPr>
            </w:pPr>
            <w:r>
              <w:rPr>
                <w:rFonts w:ascii="Arial" w:cs="Arial" w:eastAsia="Arial" w:hAnsi="Arial"/>
                <w:sz w:val="16"/>
                <w:szCs w:val="16"/>
                <w:color w:val="auto"/>
              </w:rPr>
              <w:t>101.DEF</w:t>
            </w:r>
          </w:p>
        </w:tc>
        <w:tc>
          <w:tcPr>
            <w:tcW w:w="98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101.LAB</w:t>
            </w:r>
          </w:p>
        </w:tc>
        <w:tc>
          <w:tcPr>
            <w:tcW w:w="98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101.PRE</w:t>
            </w:r>
          </w:p>
        </w:tc>
        <w:tc>
          <w:tcPr>
            <w:tcW w:w="98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220" w:hanging="1194"/>
        <w:spacing w:after="0"/>
        <w:tabs>
          <w:tab w:leader="none" w:pos="1220" w:val="left"/>
        </w:tabs>
        <w:numPr>
          <w:ilvl w:val="0"/>
          <w:numId w:val="42"/>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hanging="332"/>
        <w:spacing w:after="0" w:line="276" w:lineRule="auto"/>
        <w:tabs>
          <w:tab w:leader="none" w:pos="124"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9" w:name="page80"/>
    <w:bookmarkEnd w:id="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00" w:type="dxa"/>
            <w:vAlign w:val="bottom"/>
            <w:gridSpan w:val="2"/>
          </w:tcPr>
          <w:p>
            <w:pPr>
              <w:ind w:left="1880"/>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3520" w:type="dxa"/>
            <w:vAlign w:val="bottom"/>
          </w:tcPr>
          <w:p>
            <w:pPr>
              <w:spacing w:after="0"/>
              <w:rPr>
                <w:sz w:val="20"/>
                <w:szCs w:val="20"/>
                <w:color w:val="auto"/>
              </w:rPr>
            </w:pPr>
            <w:r>
              <w:rPr>
                <w:rFonts w:ascii="Arial" w:cs="Arial" w:eastAsia="Arial" w:hAnsi="Arial"/>
                <w:sz w:val="18"/>
                <w:szCs w:val="18"/>
                <w:color w:val="auto"/>
              </w:rPr>
              <w:t>Date: August 10, 2021</w:t>
            </w:r>
          </w:p>
        </w:tc>
        <w:tc>
          <w:tcPr>
            <w:tcW w:w="7700" w:type="dxa"/>
            <w:vAlign w:val="bottom"/>
            <w:gridSpan w:val="2"/>
          </w:tcPr>
          <w:p>
            <w:pPr>
              <w:ind w:left="1880"/>
              <w:spacing w:after="0"/>
              <w:rPr>
                <w:sz w:val="20"/>
                <w:szCs w:val="20"/>
                <w:color w:val="auto"/>
              </w:rPr>
            </w:pPr>
            <w:r>
              <w:rPr>
                <w:rFonts w:ascii="Arial" w:cs="Arial" w:eastAsia="Arial" w:hAnsi="Arial"/>
                <w:sz w:val="18"/>
                <w:szCs w:val="18"/>
                <w:color w:val="auto"/>
              </w:rPr>
              <w:t>By:  /s/ Sujal Patel</w:t>
            </w:r>
          </w:p>
        </w:tc>
      </w:tr>
      <w:tr>
        <w:trPr>
          <w:trHeight w:val="222"/>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August 10, 2021</w:t>
            </w:r>
          </w:p>
        </w:tc>
        <w:tc>
          <w:tcPr>
            <w:tcW w:w="7700" w:type="dxa"/>
            <w:vAlign w:val="bottom"/>
            <w:gridSpan w:val="2"/>
          </w:tcPr>
          <w:p>
            <w:pPr>
              <w:ind w:left="1880"/>
              <w:spacing w:after="0"/>
              <w:rPr>
                <w:sz w:val="20"/>
                <w:szCs w:val="20"/>
                <w:color w:val="auto"/>
              </w:rPr>
            </w:pPr>
            <w:r>
              <w:rPr>
                <w:rFonts w:ascii="Arial" w:cs="Arial" w:eastAsia="Arial" w:hAnsi="Arial"/>
                <w:sz w:val="18"/>
                <w:szCs w:val="18"/>
                <w:color w:val="auto"/>
              </w:rPr>
              <w:t>By:  /s/ Anna Mowry</w:t>
            </w:r>
          </w:p>
        </w:tc>
      </w:tr>
      <w:tr>
        <w:trPr>
          <w:trHeight w:val="222"/>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30"/>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90"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20" w:hanging="328"/>
        <w:spacing w:after="0" w:line="24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hanging="322"/>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90"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Date: August 10, 2021</w:t>
            </w:r>
          </w:p>
        </w:tc>
        <w:tc>
          <w:tcPr>
            <w:tcW w:w="2540" w:type="dxa"/>
            <w:vAlign w:val="bottom"/>
          </w:tcPr>
          <w:p>
            <w:pPr>
              <w:ind w:left="162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28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90"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20" w:hanging="328"/>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hanging="322"/>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90"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Date: August 10, 2021</w:t>
            </w:r>
          </w:p>
        </w:tc>
        <w:tc>
          <w:tcPr>
            <w:tcW w:w="2540" w:type="dxa"/>
            <w:vAlign w:val="bottom"/>
          </w:tcPr>
          <w:p>
            <w:pPr>
              <w:ind w:left="162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28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June 30, 2021 as filed with the Securities and Exchange Commission on the date hereof (the “Report”), I, Sujal Patel, hereby certify, pursuant to 18 U.S.C. § 1350, as adopted pursuant to § 906 of the Sarbanes-Oxley Act of 2002, that:</w:t>
      </w:r>
    </w:p>
    <w:p>
      <w:pPr>
        <w:spacing w:after="0" w:line="31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Date: August 10, 2021</w:t>
            </w:r>
          </w:p>
        </w:tc>
        <w:tc>
          <w:tcPr>
            <w:tcW w:w="2540" w:type="dxa"/>
            <w:vAlign w:val="bottom"/>
          </w:tcPr>
          <w:p>
            <w:pPr>
              <w:ind w:left="162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28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June 30, 2021 as filed with the Securities and Exchange Commission on the date hereof (the “Report”), I, Anna Mowry, hereby certify, pursuant to 18 U.S.C. § 1350, as adopted pursuant to § 906 of the Sarbanes-Oxley Act of 2002, that:</w:t>
      </w:r>
    </w:p>
    <w:p>
      <w:pPr>
        <w:spacing w:after="0" w:line="31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Date: August 10, 2021</w:t>
            </w:r>
          </w:p>
        </w:tc>
        <w:tc>
          <w:tcPr>
            <w:tcW w:w="2540" w:type="dxa"/>
            <w:vAlign w:val="bottom"/>
          </w:tcPr>
          <w:p>
            <w:pPr>
              <w:ind w:left="162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28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1."/>
      <w:numFmt w:val="decimal"/>
      <w:start w:val="7"/>
    </w:lvl>
  </w:abstractNum>
  <w:abstractNum w:abstractNumId="11">
    <w:nsid w:val="3A95F874"/>
    <w:multiLevelType w:val="hybridMultilevel"/>
    <w:lvl w:ilvl="0">
      <w:lvlJc w:val="left"/>
      <w:lvlText w:val="%1."/>
      <w:numFmt w:val="decimal"/>
      <w:start w:val="8"/>
    </w:lvl>
  </w:abstractNum>
  <w:abstractNum w:abstractNumId="12">
    <w:nsid w:val="8138641"/>
    <w:multiLevelType w:val="hybridMultilevel"/>
    <w:lvl w:ilvl="0">
      <w:lvlJc w:val="left"/>
      <w:lvlText w:val="%1."/>
      <w:numFmt w:val="decimal"/>
      <w:start w:val="9"/>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decimal"/>
      <w:start w:val="12"/>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04"/>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9" Type="http://schemas.openxmlformats.org/officeDocument/2006/relationships/image" Target="media/image108.png"/><Relationship Id="rId141" Type="http://schemas.openxmlformats.org/officeDocument/2006/relationships/image" Target="media/image109.png"/><Relationship Id="rId115" Type="http://schemas.openxmlformats.org/officeDocument/2006/relationships/hyperlink" Target="https://www.sec.gov/Archives/edgar/data/1808805/000114036121003650/brhc10019858_ex2-1.htm" TargetMode="External"/><Relationship Id="rId116" Type="http://schemas.openxmlformats.org/officeDocument/2006/relationships/hyperlink" Target="https://www.sec.gov/Archives/edgar/data/1808805/000162828021011892/exhibit31-form8xkclosing.htm" TargetMode="External"/><Relationship Id="rId117" Type="http://schemas.openxmlformats.org/officeDocument/2006/relationships/hyperlink" Target="https://www.sec.gov/Archives/edgar/data/1808805/000162828021011892/exhibit32-form8xkclosing.htm" TargetMode="External"/><Relationship Id="rId118" Type="http://schemas.openxmlformats.org/officeDocument/2006/relationships/hyperlink" Target="https://www.sec.gov/Archives/edgar/data/1808805/000114036121003650/brhc10019858_ex10-3.htm" TargetMode="External"/><Relationship Id="rId119" Type="http://schemas.openxmlformats.org/officeDocument/2006/relationships/hyperlink" Target="https://www.sec.gov/Archives/edgar/data/1808805/000114036121003650/brhc10019858_ex10-2.htm" TargetMode="External"/><Relationship Id="rId120" Type="http://schemas.openxmlformats.org/officeDocument/2006/relationships/hyperlink" Target="https://www.sec.gov/Archives/edgar/data/1808805/000162828021011892/exhibit104-form8xkclosing.htm" TargetMode="External"/><Relationship Id="rId121" Type="http://schemas.openxmlformats.org/officeDocument/2006/relationships/hyperlink" Target="https://www.sec.gov/Archives/edgar/data/1808805/000162828021011892/exhibit105-form8xkclosing.htm" TargetMode="External"/><Relationship Id="rId122" Type="http://schemas.openxmlformats.org/officeDocument/2006/relationships/hyperlink" Target="https://www.sec.gov/Archives/edgar/data/1808805/000162828021005786/exhibit107-sx4.htm" TargetMode="External"/><Relationship Id="rId123" Type="http://schemas.openxmlformats.org/officeDocument/2006/relationships/hyperlink" Target="https://www.sec.gov/Archives/edgar/data/1808805/000162828021005786/exhibit108-sx4.htm" TargetMode="External"/><Relationship Id="rId124" Type="http://schemas.openxmlformats.org/officeDocument/2006/relationships/hyperlink" Target="https://www.sec.gov/Archives/edgar/data/1808805/000162828021005786/exhibit109-sx4.htm" TargetMode="External"/><Relationship Id="rId125" Type="http://schemas.openxmlformats.org/officeDocument/2006/relationships/hyperlink" Target="https://www.sec.gov/Archives/edgar/data/1808805/000162828021005786/exhibit1011-sx4.htm" TargetMode="External"/><Relationship Id="rId126" Type="http://schemas.openxmlformats.org/officeDocument/2006/relationships/hyperlink" Target="https://www.sec.gov/Archives/edgar/data/1808805/000162828021007512/exhibit1012-sx4a2.htm" TargetMode="External"/><Relationship Id="rId127" Type="http://schemas.openxmlformats.org/officeDocument/2006/relationships/hyperlink" Target="https://www.sec.gov/Archives/edgar/data/1808805/000162828021007512/exhibit1013-sx4a2.htm" TargetMode="External"/><Relationship Id="rId128" Type="http://schemas.openxmlformats.org/officeDocument/2006/relationships/hyperlink" Target="https://www.sec.gov/Archives/edgar/data/1808805/000162828021007512/exhibit1015-sx4a2.htm" TargetMode="External"/><Relationship Id="rId129" Type="http://schemas.openxmlformats.org/officeDocument/2006/relationships/hyperlink" Target="https://www.sec.gov/Archives/edgar/data/1808805/000162828021007512/exhibit1014-sx4a2.htm" TargetMode="External"/><Relationship Id="rId130" Type="http://schemas.openxmlformats.org/officeDocument/2006/relationships/hyperlink" Target="https://www.sec.gov/Archives/edgar/data/1808805/000162828021007512/exhibit1016-sx4a2.htm" TargetMode="External"/><Relationship Id="rId131" Type="http://schemas.openxmlformats.org/officeDocument/2006/relationships/hyperlink" Target="https://www.sec.gov/Archives/edgar/data/1808805/000162828021007512/exhibit1017-sx4a2.htm" TargetMode="External"/><Relationship Id="rId132" Type="http://schemas.openxmlformats.org/officeDocument/2006/relationships/hyperlink" Target="https://www.sec.gov/Archives/edgar/data/1808805/000162828021007512/exhibit1018-sx4a2.htm" TargetMode="External"/><Relationship Id="rId133" Type="http://schemas.openxmlformats.org/officeDocument/2006/relationships/hyperlink" Target="https://www.sec.gov/Archives/edgar/data/1808805/000162828021007512/exhibit1019-sx4a2.htm" TargetMode="External"/><Relationship Id="rId134" Type="http://schemas.openxmlformats.org/officeDocument/2006/relationships/hyperlink" Target="https://www.sec.gov/Archives/edgar/data/1808805/000162828021007512/exhibit1021-sx4a2.htm" TargetMode="External"/><Relationship Id="rId135" Type="http://schemas.openxmlformats.org/officeDocument/2006/relationships/hyperlink" Target="https://www.sec.gov/Archives/edgar/data/1808805/000162828021007512/exhibit1020-sx4a2.htm" TargetMode="External"/><Relationship Id="rId136" Type="http://schemas.openxmlformats.org/officeDocument/2006/relationships/hyperlink" Target="https://www.sec.gov/Archives/edgar/data/1808805/000162828021007512/exhibit1022-sx4a2.htm" TargetMode="External"/><Relationship Id="rId137" Type="http://schemas.openxmlformats.org/officeDocument/2006/relationships/hyperlink" Target="https://www.sec.gov/Archives/edgar/data/1808805/000162828021007512/exhibit1023-sx4a2.htm" TargetMode="External"/><Relationship Id="rId138" Type="http://schemas.openxmlformats.org/officeDocument/2006/relationships/hyperlink" Target="https://www.sec.gov/Archives/edgar/data/1808805/000162828021007512/exhibit1024-sx4a2.htm" TargetMode="External"/><Relationship Id="rId140" Type="http://schemas.openxmlformats.org/officeDocument/2006/relationships/hyperlink" Target="https://www.sec.gov/Archives/edgar/data/1808805/000162828021007512/exhibit1025-sx4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2021-08-10T16:08:42Z</dcterms:created>
  <dcterms:modified xsi:type="dcterms:W3CDTF">2021-08-10T16:08:42Z</dcterms:modified>
</cp:coreProperties>
</file>