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6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00" w:hanging="24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400" w:hanging="253"/>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001-39434</w:t>
      </w:r>
    </w:p>
    <w:p>
      <w:pPr>
        <w:spacing w:after="0" w:line="16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NAUTILUS BIOTECHNOLOGY, INC.</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63" w:lineRule="exact"/>
        <w:rPr>
          <w:sz w:val="24"/>
          <w:szCs w:val="24"/>
          <w:color w:val="auto"/>
        </w:rPr>
      </w:pPr>
    </w:p>
    <w:tbl>
      <w:tblPr>
        <w:tblLayout w:type="fixed"/>
        <w:tblInd w:w="700" w:type="dxa"/>
        <w:tblCellMar>
          <w:top w:w="0" w:type="dxa"/>
          <w:left w:w="0" w:type="dxa"/>
          <w:bottom w:w="0" w:type="dxa"/>
          <w:right w:w="0" w:type="dxa"/>
        </w:tblCellMar>
      </w:tblPr>
      <w:tr>
        <w:trPr>
          <w:trHeight w:val="186"/>
        </w:trPr>
        <w:tc>
          <w:tcPr>
            <w:tcW w:w="370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Delaware</w:t>
            </w:r>
          </w:p>
        </w:tc>
        <w:tc>
          <w:tcPr>
            <w:tcW w:w="5220" w:type="dxa"/>
            <w:vAlign w:val="bottom"/>
          </w:tcPr>
          <w:p>
            <w:pPr>
              <w:jc w:val="right"/>
              <w:ind w:right="128"/>
              <w:spacing w:after="0"/>
              <w:rPr>
                <w:sz w:val="20"/>
                <w:szCs w:val="20"/>
                <w:color w:val="auto"/>
              </w:rPr>
            </w:pPr>
            <w:r>
              <w:rPr>
                <w:rFonts w:ascii="Arial" w:cs="Arial" w:eastAsia="Arial" w:hAnsi="Arial"/>
                <w:sz w:val="14"/>
                <w:szCs w:val="14"/>
                <w:b w:val="1"/>
                <w:bCs w:val="1"/>
                <w:color w:val="auto"/>
              </w:rPr>
              <w:t>98-1541723</w:t>
            </w:r>
          </w:p>
        </w:tc>
      </w:tr>
      <w:tr>
        <w:trPr>
          <w:trHeight w:val="169"/>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5"/>
              </w:rPr>
              <w:t>(State or other jurisdiction of</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7"/>
              </w:rPr>
              <w:t>(I.R.S. Employer</w:t>
            </w:r>
          </w:p>
        </w:tc>
      </w:tr>
      <w:tr>
        <w:trPr>
          <w:trHeight w:val="182"/>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4"/>
              </w:rPr>
              <w:t>incorporation or organization)</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9"/>
              </w:rPr>
              <w:t>Identification No.)</w:t>
            </w:r>
          </w:p>
        </w:tc>
      </w:tr>
      <w:tr>
        <w:trPr>
          <w:trHeight w:val="769"/>
        </w:trPr>
        <w:tc>
          <w:tcPr>
            <w:tcW w:w="3700" w:type="dxa"/>
            <w:vAlign w:val="bottom"/>
          </w:tcPr>
          <w:p>
            <w:pPr>
              <w:jc w:val="center"/>
              <w:ind w:right="708"/>
              <w:spacing w:after="0"/>
              <w:rPr>
                <w:sz w:val="20"/>
                <w:szCs w:val="20"/>
                <w:color w:val="auto"/>
              </w:rPr>
            </w:pPr>
            <w:r>
              <w:rPr>
                <w:rFonts w:ascii="Arial" w:cs="Arial" w:eastAsia="Arial" w:hAnsi="Arial"/>
                <w:sz w:val="14"/>
                <w:szCs w:val="14"/>
                <w:b w:val="1"/>
                <w:bCs w:val="1"/>
                <w:color w:val="auto"/>
                <w:w w:val="91"/>
              </w:rPr>
              <w:t>2701 Eastlake Avenue East Seattle, Washington</w:t>
            </w:r>
          </w:p>
        </w:tc>
        <w:tc>
          <w:tcPr>
            <w:tcW w:w="5220" w:type="dxa"/>
            <w:vAlign w:val="bottom"/>
          </w:tcPr>
          <w:p>
            <w:pPr>
              <w:jc w:val="right"/>
              <w:ind w:right="288"/>
              <w:spacing w:after="0"/>
              <w:rPr>
                <w:sz w:val="20"/>
                <w:szCs w:val="20"/>
                <w:color w:val="auto"/>
              </w:rPr>
            </w:pPr>
            <w:r>
              <w:rPr>
                <w:rFonts w:ascii="Arial" w:cs="Arial" w:eastAsia="Arial" w:hAnsi="Arial"/>
                <w:sz w:val="14"/>
                <w:szCs w:val="14"/>
                <w:b w:val="1"/>
                <w:bCs w:val="1"/>
                <w:color w:val="auto"/>
              </w:rPr>
              <w:t>98102</w:t>
            </w:r>
          </w:p>
        </w:tc>
      </w:tr>
      <w:tr>
        <w:trPr>
          <w:trHeight w:val="378"/>
        </w:trPr>
        <w:tc>
          <w:tcPr>
            <w:tcW w:w="3700" w:type="dxa"/>
            <w:vAlign w:val="bottom"/>
          </w:tcPr>
          <w:p>
            <w:pPr>
              <w:jc w:val="center"/>
              <w:ind w:right="708"/>
              <w:spacing w:after="0"/>
              <w:rPr>
                <w:sz w:val="20"/>
                <w:szCs w:val="20"/>
                <w:color w:val="auto"/>
              </w:rPr>
            </w:pPr>
            <w:r>
              <w:rPr>
                <w:rFonts w:ascii="Arial" w:cs="Arial" w:eastAsia="Arial" w:hAnsi="Arial"/>
                <w:sz w:val="14"/>
                <w:szCs w:val="14"/>
                <w:color w:val="auto"/>
                <w:w w:val="95"/>
              </w:rPr>
              <w:t>(Address of principal executive offices)</w:t>
            </w:r>
          </w:p>
        </w:tc>
        <w:tc>
          <w:tcPr>
            <w:tcW w:w="5220" w:type="dxa"/>
            <w:vAlign w:val="bottom"/>
          </w:tcPr>
          <w:p>
            <w:pPr>
              <w:jc w:val="center"/>
              <w:ind w:left="4068"/>
              <w:spacing w:after="0"/>
              <w:rPr>
                <w:sz w:val="20"/>
                <w:szCs w:val="20"/>
                <w:color w:val="auto"/>
              </w:rPr>
            </w:pPr>
            <w:r>
              <w:rPr>
                <w:rFonts w:ascii="Arial" w:cs="Arial" w:eastAsia="Arial" w:hAnsi="Arial"/>
                <w:sz w:val="14"/>
                <w:szCs w:val="14"/>
                <w:color w:val="auto"/>
                <w:w w:val="96"/>
              </w:rPr>
              <w:t>(Zip Code)</w:t>
            </w:r>
          </w:p>
        </w:tc>
      </w:tr>
      <w:tr>
        <w:trPr>
          <w:trHeight w:val="216"/>
        </w:trPr>
        <w:tc>
          <w:tcPr>
            <w:tcW w:w="3700" w:type="dxa"/>
            <w:vAlign w:val="bottom"/>
          </w:tcPr>
          <w:p>
            <w:pPr>
              <w:spacing w:after="0"/>
              <w:rPr>
                <w:sz w:val="18"/>
                <w:szCs w:val="18"/>
                <w:color w:val="auto"/>
              </w:rPr>
            </w:pPr>
          </w:p>
        </w:tc>
        <w:tc>
          <w:tcPr>
            <w:tcW w:w="5220" w:type="dxa"/>
            <w:vAlign w:val="bottom"/>
          </w:tcPr>
          <w:p>
            <w:pPr>
              <w:jc w:val="right"/>
              <w:ind w:right="3488"/>
              <w:spacing w:after="0"/>
              <w:rPr>
                <w:sz w:val="20"/>
                <w:szCs w:val="20"/>
                <w:color w:val="auto"/>
              </w:rPr>
            </w:pPr>
            <w:r>
              <w:rPr>
                <w:rFonts w:ascii="Arial" w:cs="Arial" w:eastAsia="Arial" w:hAnsi="Arial"/>
                <w:sz w:val="14"/>
                <w:szCs w:val="14"/>
                <w:b w:val="1"/>
                <w:bCs w:val="1"/>
                <w:color w:val="auto"/>
              </w:rPr>
              <w:t>(206) 333-2001</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4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Trading Symbol(s)</w:t>
            </w:r>
          </w:p>
        </w:tc>
        <w:tc>
          <w:tcPr>
            <w:tcW w:w="3900" w:type="dxa"/>
            <w:vAlign w:val="bottom"/>
            <w:tcBorders>
              <w:bottom w:val="single" w:sz="8" w:color="auto"/>
            </w:tcBorders>
          </w:tcPr>
          <w:p>
            <w:pPr>
              <w:jc w:val="center"/>
              <w:ind w:left="139"/>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184"/>
        </w:trPr>
        <w:tc>
          <w:tcPr>
            <w:tcW w:w="3440" w:type="dxa"/>
            <w:vAlign w:val="bottom"/>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60" w:type="dxa"/>
            <w:vAlign w:val="bottom"/>
          </w:tcPr>
          <w:p>
            <w:pPr>
              <w:ind w:left="1040"/>
              <w:spacing w:after="0"/>
              <w:rPr>
                <w:sz w:val="20"/>
                <w:szCs w:val="20"/>
                <w:color w:val="auto"/>
              </w:rPr>
            </w:pPr>
            <w:r>
              <w:rPr>
                <w:rFonts w:ascii="Arial" w:cs="Arial" w:eastAsia="Arial" w:hAnsi="Arial"/>
                <w:sz w:val="14"/>
                <w:szCs w:val="14"/>
                <w:color w:val="auto"/>
              </w:rPr>
              <w:t>NAUT</w:t>
            </w:r>
          </w:p>
        </w:tc>
        <w:tc>
          <w:tcPr>
            <w:tcW w:w="3900" w:type="dxa"/>
            <w:vAlign w:val="bottom"/>
          </w:tcPr>
          <w:p>
            <w:pPr>
              <w:jc w:val="center"/>
              <w:ind w:left="139"/>
              <w:spacing w:after="0"/>
              <w:rPr>
                <w:sz w:val="20"/>
                <w:szCs w:val="20"/>
                <w:color w:val="auto"/>
              </w:rPr>
            </w:pPr>
            <w:r>
              <w:rPr>
                <w:rFonts w:ascii="Arial" w:cs="Arial" w:eastAsia="Arial" w:hAnsi="Arial"/>
                <w:sz w:val="14"/>
                <w:szCs w:val="14"/>
                <w:color w:val="auto"/>
                <w:w w:val="94"/>
              </w:rPr>
              <w:t>The Nasdaq Stock Market LLC</w:t>
            </w:r>
          </w:p>
        </w:tc>
      </w:tr>
    </w:tbl>
    <w:p>
      <w:pPr>
        <w:spacing w:after="0" w:line="308" w:lineRule="exact"/>
        <w:rPr>
          <w:sz w:val="24"/>
          <w:szCs w:val="24"/>
          <w:color w:val="auto"/>
        </w:rPr>
      </w:pPr>
    </w:p>
    <w:p>
      <w:pPr>
        <w:ind w:right="18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4"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3"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4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5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right="1600"/>
        <w:spacing w:after="0" w:line="49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October 28, 2022, the registrant had 124,723,525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030" w:right="45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23"/>
          </w:tcPr>
          <w:p>
            <w:pPr>
              <w:spacing w:after="0"/>
              <w:rPr>
                <w:sz w:val="20"/>
                <w:szCs w:val="20"/>
                <w:color w:val="auto"/>
              </w:rPr>
            </w:pPr>
            <w:r>
              <w:rPr>
                <w:rFonts w:ascii="Arial" w:cs="Arial" w:eastAsia="Arial" w:hAnsi="Arial"/>
                <w:sz w:val="18"/>
                <w:szCs w:val="18"/>
                <w:color w:val="0000FF"/>
              </w:rPr>
              <w:t>PART I. FINANCIAL INFORMATION</w:t>
            </w:r>
          </w:p>
        </w:tc>
        <w:tc>
          <w:tcPr>
            <w:tcW w:w="32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Arial" w:cs="Arial" w:eastAsia="Arial" w:hAnsi="Arial"/>
                <w:sz w:val="18"/>
                <w:szCs w:val="18"/>
                <w:color w:val="0000FF"/>
              </w:rPr>
              <w:t>iii</w:t>
            </w: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Financial Statements</w:t>
            </w:r>
          </w:p>
        </w:tc>
        <w:tc>
          <w:tcPr>
            <w:tcW w:w="748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Financial Statements (Unaudited)</w:t>
            </w:r>
          </w:p>
        </w:tc>
        <w:tc>
          <w:tcPr>
            <w:tcW w:w="5080" w:type="dxa"/>
            <w:vAlign w:val="bottom"/>
            <w:gridSpan w:val="10"/>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2"/>
              </w:rPr>
              <w:t>iii</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as of September 30, 2022 and December 31, 2021 (unaudited)</w:t>
            </w:r>
          </w:p>
        </w:tc>
        <w:tc>
          <w:tcPr>
            <w:tcW w:w="460" w:type="dxa"/>
            <w:vAlign w:val="bottom"/>
            <w:gridSpan w:val="3"/>
          </w:tcPr>
          <w:p>
            <w:pPr>
              <w:jc w:val="center"/>
              <w:ind w:left="170"/>
              <w:spacing w:after="0"/>
              <w:rPr>
                <w:sz w:val="20"/>
                <w:szCs w:val="20"/>
                <w:color w:val="auto"/>
              </w:rPr>
            </w:pPr>
            <w:r>
              <w:rPr>
                <w:rFonts w:ascii="Arial" w:cs="Arial" w:eastAsia="Arial" w:hAnsi="Arial"/>
                <w:sz w:val="18"/>
                <w:szCs w:val="18"/>
                <w:color w:val="0000FF"/>
                <w:w w:val="79"/>
              </w:rPr>
              <w:t>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2"/>
          </w:tcPr>
          <w:p>
            <w:pPr>
              <w:spacing w:after="0"/>
              <w:rPr>
                <w:sz w:val="20"/>
                <w:szCs w:val="20"/>
                <w:color w:val="auto"/>
              </w:rPr>
            </w:pPr>
            <w:r>
              <w:rPr>
                <w:rFonts w:ascii="Arial" w:cs="Arial" w:eastAsia="Arial" w:hAnsi="Arial"/>
                <w:sz w:val="18"/>
                <w:szCs w:val="18"/>
                <w:color w:val="0000FF"/>
                <w:w w:val="96"/>
              </w:rPr>
              <w:t>Condensed Consolidated Statements of Operations for the Three and Nine Months Ended September 30, 2022 and 2021</w:t>
            </w:r>
          </w:p>
        </w:tc>
        <w:tc>
          <w:tcPr>
            <w:tcW w:w="46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0000FF"/>
                <w:w w:val="79"/>
              </w:rPr>
              <w:t>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8"/>
              </w:rPr>
              <w:t>(unaudited)</w:t>
            </w: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340" w:type="dxa"/>
            <w:vAlign w:val="bottom"/>
            <w:gridSpan w:val="22"/>
            <w:vMerge w:val="restart"/>
          </w:tcPr>
          <w:p>
            <w:pPr>
              <w:spacing w:after="0"/>
              <w:rPr>
                <w:sz w:val="20"/>
                <w:szCs w:val="20"/>
                <w:color w:val="auto"/>
              </w:rPr>
            </w:pPr>
            <w:r>
              <w:rPr>
                <w:rFonts w:ascii="Arial" w:cs="Arial" w:eastAsia="Arial" w:hAnsi="Arial"/>
                <w:sz w:val="18"/>
                <w:szCs w:val="18"/>
                <w:color w:val="0000FF"/>
                <w:w w:val="93"/>
              </w:rPr>
              <w:t>Condensed Consolidated Statements of Comprehensive Loss for the Three and Nine Months Ended September 30, 2022 and</w:t>
            </w: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340" w:type="dxa"/>
            <w:vAlign w:val="bottom"/>
            <w:gridSpan w:val="22"/>
            <w:vMerge w:val="continue"/>
          </w:tcPr>
          <w:p>
            <w:pPr>
              <w:spacing w:after="0"/>
              <w:rPr>
                <w:sz w:val="22"/>
                <w:szCs w:val="22"/>
                <w:color w:val="auto"/>
              </w:rPr>
            </w:pPr>
          </w:p>
        </w:tc>
        <w:tc>
          <w:tcPr>
            <w:tcW w:w="46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0000FF"/>
                <w:w w:val="79"/>
              </w:rPr>
              <w:t>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2021 (unaudited)</w:t>
            </w: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gridSpan w:val="3"/>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340" w:type="dxa"/>
            <w:vAlign w:val="bottom"/>
            <w:gridSpan w:val="22"/>
            <w:vMerge w:val="restart"/>
          </w:tcPr>
          <w:p>
            <w:pPr>
              <w:spacing w:after="0"/>
              <w:rPr>
                <w:sz w:val="20"/>
                <w:szCs w:val="20"/>
                <w:color w:val="auto"/>
              </w:rPr>
            </w:pPr>
            <w:r>
              <w:rPr>
                <w:rFonts w:ascii="Arial" w:cs="Arial" w:eastAsia="Arial" w:hAnsi="Arial"/>
                <w:sz w:val="18"/>
                <w:szCs w:val="18"/>
                <w:color w:val="0000FF"/>
                <w:w w:val="93"/>
              </w:rPr>
              <w:t>Condensed Consolidated Statements of Redeemable Convertible Preferred Stock and Stockholders’ Equity for the Three and</w:t>
            </w: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340" w:type="dxa"/>
            <w:vAlign w:val="bottom"/>
            <w:gridSpan w:val="22"/>
            <w:vMerge w:val="continue"/>
          </w:tcPr>
          <w:p>
            <w:pPr>
              <w:spacing w:after="0"/>
              <w:rPr>
                <w:sz w:val="22"/>
                <w:szCs w:val="22"/>
                <w:color w:val="auto"/>
              </w:rPr>
            </w:pPr>
          </w:p>
        </w:tc>
        <w:tc>
          <w:tcPr>
            <w:tcW w:w="46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0000FF"/>
                <w:w w:val="79"/>
              </w:rPr>
              <w:t>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86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Nine Months Ended September 30, 2022 and 2021 (unaudited)</w:t>
            </w:r>
          </w:p>
        </w:tc>
        <w:tc>
          <w:tcPr>
            <w:tcW w:w="4120" w:type="dxa"/>
            <w:vAlign w:val="bottom"/>
            <w:tcBorders>
              <w:top w:val="single" w:sz="8" w:color="0000FF"/>
            </w:tcBorders>
            <w:gridSpan w:val="6"/>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300" w:type="dxa"/>
            <w:vAlign w:val="bottom"/>
            <w:tcBorders>
              <w:left w:val="single" w:sz="8" w:color="0000FF"/>
            </w:tcBorders>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60" w:type="dxa"/>
            <w:vAlign w:val="bottom"/>
            <w:gridSpan w:val="2"/>
            <w:shd w:val="clear" w:color="auto" w:fill="0000FF"/>
          </w:tcPr>
          <w:p>
            <w:pPr>
              <w:spacing w:after="0"/>
              <w:rPr>
                <w:sz w:val="2"/>
                <w:szCs w:val="2"/>
                <w:color w:val="auto"/>
              </w:rPr>
            </w:pPr>
          </w:p>
        </w:tc>
        <w:tc>
          <w:tcPr>
            <w:tcW w:w="2020" w:type="dxa"/>
            <w:vAlign w:val="bottom"/>
            <w:gridSpan w:val="2"/>
            <w:shd w:val="clear" w:color="auto" w:fill="0000FF"/>
          </w:tcPr>
          <w:p>
            <w:pPr>
              <w:spacing w:after="0"/>
              <w:rPr>
                <w:sz w:val="2"/>
                <w:szCs w:val="2"/>
                <w:color w:val="auto"/>
              </w:rPr>
            </w:pPr>
          </w:p>
        </w:tc>
        <w:tc>
          <w:tcPr>
            <w:tcW w:w="520" w:type="dxa"/>
            <w:vAlign w:val="bottom"/>
            <w:tcBorders>
              <w:left w:val="single" w:sz="8" w:color="0000FF"/>
            </w:tcBorders>
            <w:gridSpan w:val="2"/>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54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8800" w:type="dxa"/>
            <w:vAlign w:val="bottom"/>
            <w:gridSpan w:val="19"/>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2022 and 2021 (unaudited)</w:t>
            </w:r>
          </w:p>
        </w:tc>
        <w:tc>
          <w:tcPr>
            <w:tcW w:w="540" w:type="dxa"/>
            <w:vAlign w:val="bottom"/>
            <w:gridSpan w:val="3"/>
          </w:tcPr>
          <w:p>
            <w:pPr>
              <w:spacing w:after="0"/>
              <w:rPr>
                <w:sz w:val="23"/>
                <w:szCs w:val="23"/>
                <w:color w:val="auto"/>
              </w:rPr>
            </w:pPr>
          </w:p>
        </w:tc>
        <w:tc>
          <w:tcPr>
            <w:tcW w:w="460" w:type="dxa"/>
            <w:vAlign w:val="bottom"/>
            <w:gridSpan w:val="3"/>
          </w:tcPr>
          <w:p>
            <w:pPr>
              <w:jc w:val="center"/>
              <w:ind w:left="170"/>
              <w:spacing w:after="0"/>
              <w:rPr>
                <w:sz w:val="20"/>
                <w:szCs w:val="20"/>
                <w:color w:val="auto"/>
              </w:rPr>
            </w:pPr>
            <w:r>
              <w:rPr>
                <w:rFonts w:ascii="Arial" w:cs="Arial" w:eastAsia="Arial" w:hAnsi="Arial"/>
                <w:sz w:val="18"/>
                <w:szCs w:val="18"/>
                <w:color w:val="0000FF"/>
                <w:w w:val="79"/>
              </w:rPr>
              <w:t>6</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80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540" w:type="dxa"/>
            <w:vAlign w:val="bottom"/>
            <w:gridSpan w:val="3"/>
          </w:tcPr>
          <w:p>
            <w:pPr>
              <w:spacing w:after="0"/>
              <w:rPr>
                <w:sz w:val="22"/>
                <w:szCs w:val="22"/>
                <w:color w:val="auto"/>
              </w:rPr>
            </w:pPr>
          </w:p>
        </w:tc>
        <w:tc>
          <w:tcPr>
            <w:tcW w:w="460" w:type="dxa"/>
            <w:vAlign w:val="bottom"/>
            <w:gridSpan w:val="3"/>
          </w:tcPr>
          <w:p>
            <w:pPr>
              <w:jc w:val="center"/>
              <w:ind w:left="170"/>
              <w:spacing w:after="0"/>
              <w:rPr>
                <w:sz w:val="20"/>
                <w:szCs w:val="20"/>
                <w:color w:val="auto"/>
              </w:rPr>
            </w:pPr>
            <w:r>
              <w:rPr>
                <w:rFonts w:ascii="Arial" w:cs="Arial" w:eastAsia="Arial" w:hAnsi="Arial"/>
                <w:sz w:val="18"/>
                <w:szCs w:val="18"/>
                <w:color w:val="0000FF"/>
                <w:w w:val="79"/>
              </w:rPr>
              <w:t>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00" w:type="dxa"/>
            <w:vAlign w:val="bottom"/>
            <w:gridSpan w:val="6"/>
          </w:tcPr>
          <w:p>
            <w:pPr>
              <w:spacing w:after="0"/>
              <w:rPr>
                <w:sz w:val="22"/>
                <w:szCs w:val="22"/>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3"/>
          </w:tcPr>
          <w:p>
            <w:pPr>
              <w:spacing w:after="0"/>
              <w:rPr>
                <w:sz w:val="18"/>
                <w:szCs w:val="18"/>
                <w:color w:val="auto"/>
              </w:rPr>
            </w:pPr>
          </w:p>
        </w:tc>
        <w:tc>
          <w:tcPr>
            <w:tcW w:w="2900" w:type="dxa"/>
            <w:vAlign w:val="bottom"/>
            <w:gridSpan w:val="6"/>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5000" w:type="dxa"/>
            <w:vAlign w:val="bottom"/>
            <w:gridSpan w:val="9"/>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PART II - OTHER INFORMATION</w:t>
            </w:r>
          </w:p>
        </w:tc>
        <w:tc>
          <w:tcPr>
            <w:tcW w:w="772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6"/>
          </w:tcPr>
          <w:p>
            <w:pPr>
              <w:spacing w:after="0"/>
              <w:rPr>
                <w:sz w:val="20"/>
                <w:szCs w:val="20"/>
                <w:color w:val="auto"/>
              </w:rPr>
            </w:pPr>
            <w:r>
              <w:rPr>
                <w:rFonts w:ascii="Arial" w:cs="Arial" w:eastAsia="Arial" w:hAnsi="Arial"/>
                <w:sz w:val="18"/>
                <w:szCs w:val="18"/>
                <w:color w:val="0000FF"/>
                <w:w w:val="85"/>
              </w:rPr>
              <w:t>Legal Proceedings</w:t>
            </w:r>
          </w:p>
        </w:tc>
        <w:tc>
          <w:tcPr>
            <w:tcW w:w="8020" w:type="dxa"/>
            <w:vAlign w:val="bottom"/>
            <w:gridSpan w:val="16"/>
          </w:tcPr>
          <w:p>
            <w:pPr>
              <w:spacing w:after="0"/>
              <w:rPr>
                <w:sz w:val="24"/>
                <w:szCs w:val="24"/>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8020" w:type="dxa"/>
            <w:vAlign w:val="bottom"/>
            <w:gridSpan w:val="16"/>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sz w:val="20"/>
                <w:szCs w:val="20"/>
                <w:color w:val="auto"/>
              </w:rPr>
            </w:pPr>
            <w:r>
              <w:rPr>
                <w:rFonts w:ascii="Arial" w:cs="Arial" w:eastAsia="Arial" w:hAnsi="Arial"/>
                <w:sz w:val="18"/>
                <w:szCs w:val="18"/>
                <w:color w:val="0000FF"/>
              </w:rPr>
              <w:t>Defaults Upon Senior Securities</w:t>
            </w:r>
          </w:p>
        </w:tc>
        <w:tc>
          <w:tcPr>
            <w:tcW w:w="5000" w:type="dxa"/>
            <w:vAlign w:val="bottom"/>
            <w:gridSpan w:val="9"/>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020" w:type="dxa"/>
            <w:vAlign w:val="bottom"/>
            <w:gridSpan w:val="11"/>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1"/>
          </w:tcPr>
          <w:p>
            <w:pPr>
              <w:spacing w:after="0"/>
              <w:rPr>
                <w:sz w:val="20"/>
                <w:szCs w:val="20"/>
                <w:color w:val="auto"/>
              </w:rPr>
            </w:pPr>
            <w:r>
              <w:rPr>
                <w:rFonts w:ascii="Arial" w:cs="Arial" w:eastAsia="Arial" w:hAnsi="Arial"/>
                <w:sz w:val="18"/>
                <w:szCs w:val="18"/>
                <w:color w:val="0000FF"/>
              </w:rPr>
              <w:t>Mine Safety Disclosures</w:t>
            </w:r>
          </w:p>
        </w:tc>
        <w:tc>
          <w:tcPr>
            <w:tcW w:w="7020" w:type="dxa"/>
            <w:vAlign w:val="bottom"/>
            <w:gridSpan w:val="11"/>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6"/>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gridSpan w:val="3"/>
          </w:tcPr>
          <w:p>
            <w:pPr>
              <w:spacing w:after="0"/>
              <w:rPr>
                <w:sz w:val="18"/>
                <w:szCs w:val="18"/>
                <w:color w:val="auto"/>
              </w:rPr>
            </w:pPr>
          </w:p>
        </w:tc>
        <w:tc>
          <w:tcPr>
            <w:tcW w:w="7580" w:type="dxa"/>
            <w:vAlign w:val="bottom"/>
            <w:gridSpan w:val="13"/>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gridSpan w:val="4"/>
          </w:tcPr>
          <w:p>
            <w:pPr>
              <w:spacing w:after="0"/>
              <w:rPr>
                <w:sz w:val="18"/>
                <w:szCs w:val="18"/>
                <w:color w:val="auto"/>
              </w:rPr>
            </w:pPr>
          </w:p>
        </w:tc>
        <w:tc>
          <w:tcPr>
            <w:tcW w:w="8020" w:type="dxa"/>
            <w:vAlign w:val="bottom"/>
            <w:gridSpan w:val="16"/>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2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720" w:type="dxa"/>
            <w:vAlign w:val="bottom"/>
            <w:gridSpan w:val="4"/>
          </w:tcPr>
          <w:p>
            <w:pPr>
              <w:jc w:val="center"/>
              <w:spacing w:after="0"/>
              <w:rPr>
                <w:sz w:val="20"/>
                <w:szCs w:val="20"/>
                <w:color w:val="auto"/>
              </w:rPr>
            </w:pPr>
            <w:r>
              <w:rPr>
                <w:rFonts w:ascii="Arial" w:cs="Arial" w:eastAsia="Arial" w:hAnsi="Arial"/>
                <w:sz w:val="18"/>
                <w:szCs w:val="18"/>
                <w:color w:val="0000FF"/>
                <w:w w:val="89"/>
              </w:rPr>
              <w:t>76</w:t>
            </w: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ectPr>
          <w:pgSz w:w="11900" w:h="16838" w:orient="portrait"/>
          <w:cols w:equalWidth="0" w:num="1">
            <w:col w:w="11240"/>
          </w:cols>
          <w:pgMar w:left="320" w:top="1440" w:right="339" w:bottom="1440" w:gutter="0" w:footer="0" w:header="0"/>
        </w:sectPr>
      </w:pP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our dependence on the success of our proteomics platform (the “Nautilus platform”), which remains in the scientific and technical validation;</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development stage and subject to</w:t>
      </w:r>
    </w:p>
    <w:p>
      <w:pPr>
        <w:spacing w:after="0" w:line="409" w:lineRule="exact"/>
        <w:rPr>
          <w:sz w:val="20"/>
          <w:szCs w:val="20"/>
          <w:color w:val="auto"/>
        </w:rPr>
      </w:pPr>
    </w:p>
    <w:p>
      <w:pPr>
        <w:sectPr>
          <w:pgSz w:w="11900" w:h="16838" w:orient="portrait"/>
          <w:cols w:equalWidth="0" w:num="2">
            <w:col w:w="7980" w:space="580"/>
            <w:col w:w="2680"/>
          </w:cols>
          <w:pgMar w:left="320" w:top="1440" w:right="339" w:bottom="1440" w:gutter="0" w:footer="0" w:header="0"/>
          <w:type w:val="continuous"/>
        </w:sect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71" w:lineRule="exact"/>
        <w:rPr>
          <w:rFonts w:ascii="Arial" w:cs="Arial" w:eastAsia="Arial" w:hAnsi="Arial"/>
          <w:sz w:val="18"/>
          <w:szCs w:val="18"/>
          <w:color w:val="auto"/>
        </w:rPr>
      </w:pPr>
    </w:p>
    <w:p>
      <w:pPr>
        <w:ind w:right="400" w:firstLine="8"/>
        <w:spacing w:after="0" w:line="277" w:lineRule="auto"/>
        <w:tabs>
          <w:tab w:leader="none" w:pos="31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firstLine="8"/>
        <w:spacing w:after="0" w:line="286" w:lineRule="auto"/>
        <w:tabs>
          <w:tab w:leader="none" w:pos="319"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spacing w:after="0" w:line="11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14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September 30, 2022 and December 31,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188,932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Preferred stock, $0.0001 par value, 200,000,000 authorized as of September 30, 2022 and December 31,</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2021; 0 shares issued and outstanding as of September 30, 2022 and December 31, 2021</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100"/>
              <w:spacing w:after="0" w:line="176" w:lineRule="exact"/>
              <w:rPr>
                <w:sz w:val="20"/>
                <w:szCs w:val="20"/>
                <w:color w:val="auto"/>
              </w:rPr>
            </w:pPr>
            <w:r>
              <w:rPr>
                <w:rFonts w:ascii="Arial" w:cs="Arial" w:eastAsia="Arial" w:hAnsi="Arial"/>
                <w:sz w:val="18"/>
                <w:szCs w:val="18"/>
                <w:color w:val="auto"/>
                <w:w w:val="95"/>
              </w:rPr>
              <w:t>Common stock, $0.0001 par value, 1,000,000,000 shares authorized as of September 30, 2022 and</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w w:val="90"/>
              </w:rPr>
              <w:t>December 31, 2021; 124,723,525 and 124,303,083 shares issued and outstanding as of September 30,</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2022 and December 31, 2021,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80" w:right="61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8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9,571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0" w:type="dxa"/>
            <w:vAlign w:val="bottom"/>
          </w:tcPr>
          <w:p>
            <w:pPr>
              <w:spacing w:after="0"/>
              <w:rPr>
                <w:sz w:val="1"/>
                <w:szCs w:val="1"/>
                <w:color w:val="auto"/>
              </w:rPr>
            </w:pPr>
          </w:p>
        </w:tc>
      </w:tr>
      <w:tr>
        <w:trPr>
          <w:trHeight w:val="223"/>
        </w:trPr>
        <w:tc>
          <w:tcPr>
            <w:tcW w:w="46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33,682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Weighted-average shares used in computing 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124,651,318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124,114,893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124,522,164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71,062,172</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 available-for-sale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80" w:right="51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right="1360"/>
        <w:spacing w:after="0" w:line="246" w:lineRule="auto"/>
        <w:rPr>
          <w:sz w:val="20"/>
          <w:szCs w:val="20"/>
          <w:color w:val="auto"/>
        </w:rPr>
      </w:pPr>
      <w:r>
        <w:rPr>
          <w:rFonts w:ascii="Arial" w:cs="Arial" w:eastAsia="Arial" w:hAnsi="Arial"/>
          <w:sz w:val="22"/>
          <w:szCs w:val="22"/>
          <w:b w:val="1"/>
          <w:bCs w:val="1"/>
          <w:color w:val="auto"/>
        </w:rPr>
        <w:t>Condensed Consolidated Statements of Redeemable Convertible Preferred Stock and Stockholders’ Equity Three and Nine Months Ended 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gridSpan w:val="6"/>
          </w:tcPr>
          <w:p>
            <w:pPr>
              <w:spacing w:after="0"/>
              <w:rPr>
                <w:sz w:val="20"/>
                <w:szCs w:val="20"/>
                <w:color w:val="auto"/>
              </w:rPr>
            </w:pPr>
            <w:r>
              <w:rPr>
                <w:rFonts w:ascii="Arial" w:cs="Arial" w:eastAsia="Arial" w:hAnsi="Arial"/>
                <w:sz w:val="13"/>
                <w:szCs w:val="13"/>
                <w:b w:val="1"/>
                <w:bCs w:val="1"/>
                <w:i w:val="1"/>
                <w:iCs w:val="1"/>
                <w:color w:val="auto"/>
              </w:rPr>
              <w:t>Three Months Ended</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15"/>
            <w:vMerge w:val="restart"/>
          </w:tcPr>
          <w:p>
            <w:pPr>
              <w:ind w:left="60"/>
              <w:spacing w:after="0"/>
              <w:rPr>
                <w:sz w:val="20"/>
                <w:szCs w:val="20"/>
                <w:color w:val="auto"/>
              </w:rPr>
            </w:pPr>
            <w:r>
              <w:rPr>
                <w:rFonts w:ascii="Arial" w:cs="Arial" w:eastAsia="Arial" w:hAnsi="Arial"/>
                <w:sz w:val="13"/>
                <w:szCs w:val="13"/>
                <w:b w:val="1"/>
                <w:bCs w:val="1"/>
                <w:color w:val="auto"/>
                <w:w w:val="99"/>
              </w:rPr>
              <w:t>Redeemable Convertible Preferred 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i w:val="1"/>
                <w:iCs w:val="1"/>
                <w:color w:val="auto"/>
              </w:rPr>
              <w:t>September 30, 2022</w:t>
            </w:r>
          </w:p>
        </w:tc>
        <w:tc>
          <w:tcPr>
            <w:tcW w:w="5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4160" w:type="dxa"/>
            <w:vAlign w:val="bottom"/>
            <w:tcBorders>
              <w:bottom w:val="single" w:sz="8" w:color="auto"/>
            </w:tcBorders>
            <w:gridSpan w:val="26"/>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280" w:type="dxa"/>
            <w:vAlign w:val="bottom"/>
            <w:gridSpan w:val="18"/>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2100" w:type="dxa"/>
            <w:vAlign w:val="bottom"/>
            <w:gridSpan w:val="12"/>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gridSpan w:val="6"/>
            <w:vMerge w:val="restart"/>
          </w:tcPr>
          <w:p>
            <w:pPr>
              <w:ind w:left="240"/>
              <w:spacing w:after="0"/>
              <w:rPr>
                <w:sz w:val="20"/>
                <w:szCs w:val="20"/>
                <w:color w:val="auto"/>
              </w:rPr>
            </w:pPr>
            <w:r>
              <w:rPr>
                <w:rFonts w:ascii="Arial" w:cs="Arial" w:eastAsia="Arial" w:hAnsi="Arial"/>
                <w:sz w:val="13"/>
                <w:szCs w:val="13"/>
                <w:b w:val="1"/>
                <w:bCs w:val="1"/>
                <w:color w:val="auto"/>
              </w:rPr>
              <w:t>Series Seed</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w w:val="96"/>
              </w:rPr>
              <w:t>Series A</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Series B</w:t>
            </w: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85"/>
              </w:rPr>
              <w:t>Common Stock</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6"/>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5"/>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5"/>
          </w:tcPr>
          <w:p>
            <w:pPr>
              <w:jc w:val="center"/>
              <w:spacing w:after="0" w:line="102"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259"/>
              <w:spacing w:after="0" w:line="102"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20" w:type="dxa"/>
            <w:vAlign w:val="bottom"/>
            <w:gridSpan w:val="4"/>
          </w:tcPr>
          <w:p>
            <w:pPr>
              <w:spacing w:after="0" w:line="115" w:lineRule="exact"/>
              <w:rPr>
                <w:sz w:val="20"/>
                <w:szCs w:val="20"/>
                <w:color w:val="auto"/>
              </w:rPr>
            </w:pPr>
            <w:r>
              <w:rPr>
                <w:rFonts w:ascii="Arial" w:cs="Arial" w:eastAsia="Arial" w:hAnsi="Arial"/>
                <w:sz w:val="13"/>
                <w:szCs w:val="13"/>
                <w:i w:val="1"/>
                <w:iCs w:val="1"/>
                <w:color w:val="auto"/>
              </w:rPr>
              <w:t>(in thousands, except share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0"/>
                <w:szCs w:val="10"/>
                <w:color w:val="auto"/>
              </w:rPr>
            </w:pPr>
          </w:p>
        </w:tc>
        <w:tc>
          <w:tcPr>
            <w:tcW w:w="5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vMerge w:val="restart"/>
          </w:tcPr>
          <w:p>
            <w:pPr>
              <w:jc w:val="right"/>
              <w:ind w:right="137"/>
              <w:spacing w:after="0"/>
              <w:rPr>
                <w:sz w:val="20"/>
                <w:szCs w:val="20"/>
                <w:color w:val="auto"/>
              </w:rPr>
            </w:pPr>
            <w:r>
              <w:rPr>
                <w:rFonts w:ascii="Arial" w:cs="Arial" w:eastAsia="Arial" w:hAnsi="Arial"/>
                <w:sz w:val="13"/>
                <w:szCs w:val="13"/>
                <w:b w:val="1"/>
                <w:bCs w:val="1"/>
                <w:color w:val="auto"/>
                <w:w w:val="73"/>
              </w:rPr>
              <w:t>Shares</w:t>
            </w:r>
          </w:p>
        </w:tc>
        <w:tc>
          <w:tcPr>
            <w:tcW w:w="80" w:type="dxa"/>
            <w:vAlign w:val="bottom"/>
            <w:vMerge w:val="restart"/>
          </w:tcPr>
          <w:p>
            <w:pPr>
              <w:spacing w:after="0"/>
              <w:rPr>
                <w:sz w:val="10"/>
                <w:szCs w:val="10"/>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0"/>
                <w:szCs w:val="10"/>
                <w:color w:val="auto"/>
              </w:rPr>
            </w:pPr>
          </w:p>
        </w:tc>
        <w:tc>
          <w:tcPr>
            <w:tcW w:w="620" w:type="dxa"/>
            <w:vAlign w:val="bottom"/>
            <w:gridSpan w:val="5"/>
          </w:tcPr>
          <w:p>
            <w:pPr>
              <w:jc w:val="center"/>
              <w:spacing w:after="0" w:line="115" w:lineRule="exact"/>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spacing w:after="0" w:line="11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0"/>
                <w:szCs w:val="10"/>
                <w:color w:val="auto"/>
              </w:rPr>
            </w:pPr>
          </w:p>
        </w:tc>
        <w:tc>
          <w:tcPr>
            <w:tcW w:w="900" w:type="dxa"/>
            <w:vAlign w:val="bottom"/>
            <w:gridSpan w:val="7"/>
          </w:tcPr>
          <w:p>
            <w:pPr>
              <w:ind w:left="40"/>
              <w:spacing w:after="0" w:line="11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i w:val="1"/>
                <w:iCs w:val="1"/>
                <w:color w:val="auto"/>
              </w:rPr>
              <w:t>amounts)</w:t>
            </w:r>
          </w:p>
        </w:tc>
        <w:tc>
          <w:tcPr>
            <w:tcW w:w="120" w:type="dxa"/>
            <w:vAlign w:val="bottom"/>
            <w:tcBorders>
              <w:bottom w:val="single" w:sz="8" w:color="auto"/>
            </w:tcBorders>
            <w:gridSpan w:val="2"/>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9"/>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3"/>
                <w:szCs w:val="13"/>
                <w:b w:val="1"/>
                <w:bCs w:val="1"/>
                <w:color w:val="auto"/>
                <w:w w:val="85"/>
              </w:rPr>
              <w:t>Deficit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87"/>
              </w:rPr>
              <w:t>Stockholders’Equity</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74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Balances at June 30, 2022</w:t>
            </w:r>
          </w:p>
        </w:tc>
        <w:tc>
          <w:tcPr>
            <w:tcW w:w="50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center"/>
              <w:ind w:right="15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1"/>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85"/>
              </w:rPr>
              <w:t>124,562,745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89"/>
              </w:rPr>
              <w:t>449,406</w:t>
            </w:r>
          </w:p>
        </w:tc>
        <w:tc>
          <w:tcPr>
            <w:tcW w:w="340" w:type="dxa"/>
            <w:vAlign w:val="bottom"/>
            <w:gridSpan w:val="3"/>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96"/>
              </w:rPr>
              <w:t>(111,092)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337,558</w:t>
            </w:r>
          </w:p>
        </w:tc>
        <w:tc>
          <w:tcPr>
            <w:tcW w:w="0" w:type="dxa"/>
            <w:vAlign w:val="bottom"/>
          </w:tcPr>
          <w:p>
            <w:pPr>
              <w:spacing w:after="0"/>
              <w:rPr>
                <w:sz w:val="1"/>
                <w:szCs w:val="1"/>
                <w:color w:val="auto"/>
              </w:rPr>
            </w:pPr>
          </w:p>
        </w:tc>
      </w:tr>
      <w:tr>
        <w:trPr>
          <w:trHeight w:val="121"/>
        </w:trPr>
        <w:tc>
          <w:tcPr>
            <w:tcW w:w="5900" w:type="dxa"/>
            <w:vAlign w:val="bottom"/>
            <w:tcBorders>
              <w:right w:val="single" w:sz="8" w:color="auto"/>
            </w:tcBorders>
            <w:gridSpan w:val="32"/>
          </w:tcPr>
          <w:p>
            <w:pPr>
              <w:spacing w:after="0"/>
              <w:rPr>
                <w:sz w:val="20"/>
                <w:szCs w:val="20"/>
                <w:color w:val="auto"/>
              </w:rPr>
            </w:pPr>
            <w:r>
              <w:rPr>
                <w:rFonts w:ascii="Arial" w:cs="Arial" w:eastAsia="Arial" w:hAnsi="Arial"/>
                <w:sz w:val="13"/>
                <w:szCs w:val="13"/>
                <w:color w:val="auto"/>
              </w:rPr>
              <w:t>Issuance of common stock</w:t>
            </w:r>
          </w:p>
        </w:tc>
        <w:tc>
          <w:tcPr>
            <w:tcW w:w="5320" w:type="dxa"/>
            <w:vAlign w:val="bottom"/>
            <w:gridSpan w:val="33"/>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900" w:type="dxa"/>
            <w:vAlign w:val="bottom"/>
            <w:tcBorders>
              <w:right w:val="single" w:sz="8" w:color="auto"/>
            </w:tcBorders>
            <w:gridSpan w:val="32"/>
          </w:tcPr>
          <w:p>
            <w:pPr>
              <w:spacing w:after="0"/>
              <w:rPr>
                <w:sz w:val="20"/>
                <w:szCs w:val="20"/>
                <w:color w:val="auto"/>
              </w:rPr>
            </w:pPr>
            <w:r>
              <w:rPr>
                <w:rFonts w:ascii="Arial" w:cs="Arial" w:eastAsia="Arial" w:hAnsi="Arial"/>
                <w:sz w:val="13"/>
                <w:szCs w:val="13"/>
                <w:color w:val="auto"/>
              </w:rPr>
              <w:t>upon exercise of vested</w:t>
            </w:r>
          </w:p>
        </w:tc>
        <w:tc>
          <w:tcPr>
            <w:tcW w:w="4600" w:type="dxa"/>
            <w:vAlign w:val="bottom"/>
            <w:gridSpan w:val="32"/>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40" w:type="dxa"/>
            <w:vAlign w:val="bottom"/>
            <w:gridSpan w:val="6"/>
          </w:tcPr>
          <w:p>
            <w:pPr>
              <w:ind w:left="160"/>
              <w:spacing w:after="0"/>
              <w:rPr>
                <w:sz w:val="20"/>
                <w:szCs w:val="20"/>
                <w:color w:val="auto"/>
              </w:rPr>
            </w:pPr>
            <w:r>
              <w:rPr>
                <w:rFonts w:ascii="Arial" w:cs="Arial" w:eastAsia="Arial" w:hAnsi="Arial"/>
                <w:sz w:val="13"/>
                <w:szCs w:val="13"/>
                <w:color w:val="auto"/>
              </w:rPr>
              <w:t>stock options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tcPr>
          <w:p>
            <w:pPr>
              <w:jc w:val="center"/>
              <w:ind w:right="15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3"/>
                <w:szCs w:val="13"/>
                <w:color w:val="auto"/>
              </w:rPr>
              <w:t>160,780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900" w:type="dxa"/>
            <w:vAlign w:val="bottom"/>
            <w:tcBorders>
              <w:right w:val="single" w:sz="8" w:color="auto"/>
            </w:tcBorders>
            <w:gridSpan w:val="32"/>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280" w:type="dxa"/>
            <w:vAlign w:val="bottom"/>
            <w:tcBorders>
              <w:right w:val="single" w:sz="8" w:color="CCEEFF"/>
            </w:tcBorders>
            <w:gridSpan w:val="4"/>
            <w:shd w:val="clear" w:color="auto" w:fill="CCEEFF"/>
          </w:tcPr>
          <w:p>
            <w:pPr>
              <w:spacing w:after="0"/>
              <w:rPr>
                <w:sz w:val="11"/>
                <w:szCs w:val="11"/>
                <w:color w:val="auto"/>
              </w:rPr>
            </w:pPr>
          </w:p>
        </w:tc>
        <w:tc>
          <w:tcPr>
            <w:tcW w:w="5040" w:type="dxa"/>
            <w:vAlign w:val="bottom"/>
            <w:gridSpan w:val="29"/>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50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center"/>
              <w:ind w:right="15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2,870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40" w:type="dxa"/>
            <w:vAlign w:val="bottom"/>
            <w:gridSpan w:val="6"/>
          </w:tcPr>
          <w:p>
            <w:pPr>
              <w:spacing w:after="0"/>
              <w:rPr>
                <w:sz w:val="20"/>
                <w:szCs w:val="20"/>
                <w:color w:val="auto"/>
              </w:rPr>
            </w:pPr>
            <w:r>
              <w:rPr>
                <w:rFonts w:ascii="Arial" w:cs="Arial" w:eastAsia="Arial" w:hAnsi="Arial"/>
                <w:sz w:val="13"/>
                <w:szCs w:val="13"/>
                <w:color w:val="auto"/>
              </w:rPr>
              <w:t>Other comprehensive loss</w:t>
            </w:r>
          </w:p>
        </w:tc>
        <w:tc>
          <w:tcPr>
            <w:tcW w:w="50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center"/>
              <w:ind w:right="15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460" w:type="dxa"/>
            <w:vAlign w:val="bottom"/>
          </w:tcPr>
          <w:p>
            <w:pPr>
              <w:ind w:left="3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3"/>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(1,113)</w:t>
            </w:r>
          </w:p>
        </w:tc>
        <w:tc>
          <w:tcPr>
            <w:tcW w:w="0" w:type="dxa"/>
            <w:vAlign w:val="bottom"/>
          </w:tcPr>
          <w:p>
            <w:pPr>
              <w:spacing w:after="0"/>
              <w:rPr>
                <w:sz w:val="1"/>
                <w:szCs w:val="1"/>
                <w:color w:val="auto"/>
              </w:rPr>
            </w:pPr>
          </w:p>
        </w:tc>
      </w:tr>
      <w:tr>
        <w:trPr>
          <w:trHeight w:val="211"/>
        </w:trPr>
        <w:tc>
          <w:tcPr>
            <w:tcW w:w="164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right w:val="single" w:sz="8" w:color="CCEEFF"/>
            </w:tcBorders>
            <w:gridSpan w:val="3"/>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5"/>
            <w:shd w:val="clear" w:color="auto" w:fill="CCEEFF"/>
          </w:tcPr>
          <w:p>
            <w:pPr>
              <w:jc w:val="right"/>
              <w:ind w:right="737"/>
              <w:spacing w:after="0"/>
              <w:rPr>
                <w:sz w:val="20"/>
                <w:szCs w:val="20"/>
                <w:color w:val="auto"/>
              </w:rPr>
            </w:pPr>
            <w:r>
              <w:rPr>
                <w:rFonts w:ascii="Arial" w:cs="Arial" w:eastAsia="Arial" w:hAnsi="Arial"/>
                <w:sz w:val="13"/>
                <w:szCs w:val="13"/>
                <w:color w:val="auto"/>
              </w:rPr>
              <w:t>(14,063)</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gridSpan w:val="5"/>
            <w:shd w:val="clear" w:color="auto" w:fill="CCEEFF"/>
          </w:tcPr>
          <w:p>
            <w:pPr>
              <w:jc w:val="right"/>
              <w:ind w:right="1077"/>
              <w:spacing w:after="0"/>
              <w:rPr>
                <w:sz w:val="20"/>
                <w:szCs w:val="20"/>
                <w:color w:val="auto"/>
              </w:rPr>
            </w:pPr>
            <w:r>
              <w:rPr>
                <w:rFonts w:ascii="Arial" w:cs="Arial" w:eastAsia="Arial" w:hAnsi="Arial"/>
                <w:sz w:val="13"/>
                <w:szCs w:val="13"/>
                <w:color w:val="auto"/>
              </w:rPr>
              <w:t>(14,063)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20" w:type="dxa"/>
            <w:vAlign w:val="bottom"/>
            <w:gridSpan w:val="4"/>
          </w:tcPr>
          <w:p>
            <w:pPr>
              <w:spacing w:after="0" w:line="102" w:lineRule="exact"/>
              <w:rPr>
                <w:sz w:val="20"/>
                <w:szCs w:val="20"/>
                <w:color w:val="auto"/>
              </w:rPr>
            </w:pPr>
            <w:r>
              <w:rPr>
                <w:rFonts w:ascii="Arial" w:cs="Arial" w:eastAsia="Arial" w:hAnsi="Arial"/>
                <w:sz w:val="10"/>
                <w:szCs w:val="10"/>
                <w:b w:val="1"/>
                <w:bCs w:val="1"/>
                <w:color w:val="auto"/>
              </w:rPr>
              <w:t>Balances at September 30,</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restart"/>
          </w:tcPr>
          <w:p>
            <w:pPr>
              <w:ind w:left="360"/>
              <w:spacing w:after="0"/>
              <w:rPr>
                <w:sz w:val="20"/>
                <w:szCs w:val="20"/>
                <w:color w:val="auto"/>
              </w:rPr>
            </w:pPr>
            <w:r>
              <w:rPr>
                <w:rFonts w:ascii="Arial" w:cs="Arial" w:eastAsia="Arial" w:hAnsi="Arial"/>
                <w:sz w:val="13"/>
                <w:szCs w:val="13"/>
                <w:color w:val="auto"/>
                <w:w w:val="91"/>
              </w:rPr>
              <w:t>—</w:t>
            </w:r>
          </w:p>
        </w:tc>
        <w:tc>
          <w:tcPr>
            <w:tcW w:w="220" w:type="dxa"/>
            <w:vAlign w:val="bottom"/>
            <w:gridSpan w:val="3"/>
            <w:vMerge w:val="restart"/>
          </w:tcPr>
          <w:p>
            <w:pPr>
              <w:ind w:left="14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3"/>
            <w:vMerge w:val="restart"/>
          </w:tcPr>
          <w:p>
            <w:pPr>
              <w:jc w:val="center"/>
              <w:ind w:right="15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8"/>
                <w:szCs w:val="8"/>
                <w:color w:val="auto"/>
              </w:rPr>
            </w:pPr>
          </w:p>
        </w:tc>
        <w:tc>
          <w:tcPr>
            <w:tcW w:w="460" w:type="dxa"/>
            <w:vAlign w:val="bottom"/>
            <w:vMerge w:val="restart"/>
          </w:tcPr>
          <w:p>
            <w:pPr>
              <w:ind w:left="320"/>
              <w:spacing w:after="0"/>
              <w:rPr>
                <w:sz w:val="20"/>
                <w:szCs w:val="20"/>
                <w:color w:val="auto"/>
              </w:rPr>
            </w:pPr>
            <w:r>
              <w:rPr>
                <w:rFonts w:ascii="Arial" w:cs="Arial" w:eastAsia="Arial" w:hAnsi="Arial"/>
                <w:sz w:val="13"/>
                <w:szCs w:val="13"/>
                <w:color w:val="auto"/>
                <w:w w:val="91"/>
              </w:rPr>
              <w:t>—</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32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3"/>
                <w:szCs w:val="13"/>
                <w:color w:val="auto"/>
                <w:w w:val="85"/>
              </w:rPr>
              <w:t>124,723,525</w:t>
            </w:r>
          </w:p>
        </w:tc>
        <w:tc>
          <w:tcPr>
            <w:tcW w:w="80" w:type="dxa"/>
            <w:vAlign w:val="bottom"/>
          </w:tcPr>
          <w:p>
            <w:pPr>
              <w:spacing w:after="0"/>
              <w:rPr>
                <w:sz w:val="8"/>
                <w:szCs w:val="8"/>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8"/>
                <w:szCs w:val="8"/>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4"/>
            <w:vMerge w:val="restart"/>
          </w:tcPr>
          <w:p>
            <w:pPr>
              <w:jc w:val="right"/>
              <w:spacing w:after="0"/>
              <w:rPr>
                <w:sz w:val="20"/>
                <w:szCs w:val="20"/>
                <w:color w:val="auto"/>
              </w:rPr>
            </w:pPr>
            <w:r>
              <w:rPr>
                <w:rFonts w:ascii="Arial" w:cs="Arial" w:eastAsia="Arial" w:hAnsi="Arial"/>
                <w:sz w:val="13"/>
                <w:szCs w:val="13"/>
                <w:color w:val="auto"/>
                <w:w w:val="89"/>
              </w:rPr>
              <w:t>452,362</w:t>
            </w:r>
          </w:p>
        </w:tc>
        <w:tc>
          <w:tcPr>
            <w:tcW w:w="340" w:type="dxa"/>
            <w:vAlign w:val="bottom"/>
            <w:gridSpan w:val="3"/>
            <w:vMerge w:val="restart"/>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(1,881)</w:t>
            </w:r>
          </w:p>
        </w:tc>
        <w:tc>
          <w:tcPr>
            <w:tcW w:w="3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580" w:type="dxa"/>
            <w:vAlign w:val="bottom"/>
            <w:gridSpan w:val="4"/>
            <w:vMerge w:val="restart"/>
          </w:tcPr>
          <w:p>
            <w:pPr>
              <w:jc w:val="right"/>
              <w:spacing w:after="0"/>
              <w:rPr>
                <w:sz w:val="20"/>
                <w:szCs w:val="20"/>
                <w:color w:val="auto"/>
              </w:rPr>
            </w:pPr>
            <w:r>
              <w:rPr>
                <w:rFonts w:ascii="Arial" w:cs="Arial" w:eastAsia="Arial" w:hAnsi="Arial"/>
                <w:sz w:val="13"/>
                <w:szCs w:val="13"/>
                <w:color w:val="auto"/>
                <w:w w:val="96"/>
              </w:rPr>
              <w:t>(125,155)</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325,338</w:t>
            </w:r>
          </w:p>
        </w:tc>
        <w:tc>
          <w:tcPr>
            <w:tcW w:w="0" w:type="dxa"/>
            <w:vAlign w:val="bottom"/>
          </w:tcPr>
          <w:p>
            <w:pPr>
              <w:spacing w:after="0"/>
              <w:rPr>
                <w:sz w:val="1"/>
                <w:szCs w:val="1"/>
                <w:color w:val="auto"/>
              </w:rPr>
            </w:pPr>
          </w:p>
        </w:tc>
      </w:tr>
      <w:tr>
        <w:trPr>
          <w:trHeight w:val="9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60" w:type="dxa"/>
            <w:vAlign w:val="bottom"/>
            <w:gridSpan w:val="4"/>
            <w:vMerge w:val="continue"/>
          </w:tcPr>
          <w:p>
            <w:pPr>
              <w:spacing w:after="0"/>
              <w:rPr>
                <w:sz w:val="8"/>
                <w:szCs w:val="8"/>
                <w:color w:val="auto"/>
              </w:rPr>
            </w:pPr>
          </w:p>
        </w:tc>
        <w:tc>
          <w:tcPr>
            <w:tcW w:w="3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5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60" w:type="dxa"/>
            <w:vAlign w:val="bottom"/>
            <w:gridSpan w:val="2"/>
            <w:vMerge w:val="continue"/>
          </w:tcPr>
          <w:p>
            <w:pPr>
              <w:spacing w:after="0"/>
              <w:rPr>
                <w:sz w:val="9"/>
                <w:szCs w:val="9"/>
                <w:color w:val="auto"/>
              </w:rPr>
            </w:pPr>
          </w:p>
        </w:tc>
        <w:tc>
          <w:tcPr>
            <w:tcW w:w="1180" w:type="dxa"/>
            <w:vAlign w:val="bottom"/>
            <w:gridSpan w:val="3"/>
          </w:tcPr>
          <w:p>
            <w:pPr>
              <w:spacing w:after="0"/>
              <w:rPr>
                <w:sz w:val="9"/>
                <w:szCs w:val="9"/>
                <w:color w:val="auto"/>
              </w:rPr>
            </w:pPr>
          </w:p>
        </w:tc>
        <w:tc>
          <w:tcPr>
            <w:tcW w:w="66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auto"/>
            </w:tcBorders>
            <w:gridSpan w:val="5"/>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bottom w:val="single" w:sz="8" w:color="auto"/>
            </w:tcBorders>
            <w:gridSpan w:val="6"/>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bottom w:val="single" w:sz="8" w:color="auto"/>
            </w:tcBorders>
            <w:gridSpan w:val="5"/>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bottom w:val="single" w:sz="8" w:color="auto"/>
            </w:tcBorders>
            <w:gridSpan w:val="5"/>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740" w:type="dxa"/>
            <w:vAlign w:val="bottom"/>
            <w:gridSpan w:val="6"/>
            <w:vMerge w:val="restart"/>
          </w:tcPr>
          <w:p>
            <w:pPr>
              <w:spacing w:after="0"/>
              <w:rPr>
                <w:sz w:val="20"/>
                <w:szCs w:val="20"/>
                <w:color w:val="auto"/>
              </w:rPr>
            </w:pPr>
            <w:r>
              <w:rPr>
                <w:rFonts w:ascii="Arial" w:cs="Arial" w:eastAsia="Arial" w:hAnsi="Arial"/>
                <w:sz w:val="13"/>
                <w:szCs w:val="13"/>
                <w:b w:val="1"/>
                <w:bCs w:val="1"/>
                <w:i w:val="1"/>
                <w:iCs w:val="1"/>
                <w:color w:val="auto"/>
                <w:w w:val="86"/>
              </w:rPr>
              <w:t>Three Months Ended September</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14"/>
            <w:vMerge w:val="restart"/>
          </w:tcPr>
          <w:p>
            <w:pPr>
              <w:jc w:val="center"/>
              <w:spacing w:after="0"/>
              <w:rPr>
                <w:sz w:val="20"/>
                <w:szCs w:val="20"/>
                <w:color w:val="auto"/>
              </w:rPr>
            </w:pPr>
            <w:r>
              <w:rPr>
                <w:rFonts w:ascii="Arial" w:cs="Arial" w:eastAsia="Arial" w:hAnsi="Arial"/>
                <w:sz w:val="13"/>
                <w:szCs w:val="13"/>
                <w:b w:val="1"/>
                <w:bCs w:val="1"/>
                <w:color w:val="auto"/>
                <w:w w:val="87"/>
              </w:rPr>
              <w:t>Redeemable Convertible Preferred Stock</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gridSpan w:val="6"/>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80" w:type="dxa"/>
            <w:vAlign w:val="bottom"/>
            <w:gridSpan w:val="14"/>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i w:val="1"/>
                <w:iCs w:val="1"/>
                <w:color w:val="auto"/>
              </w:rPr>
              <w:t>30, 2021</w:t>
            </w:r>
          </w:p>
        </w:tc>
        <w:tc>
          <w:tcPr>
            <w:tcW w:w="580" w:type="dxa"/>
            <w:vAlign w:val="bottom"/>
            <w:tcBorders>
              <w:top w:val="single" w:sz="8" w:color="auto"/>
              <w:bottom w:val="single" w:sz="8" w:color="auto"/>
            </w:tcBorders>
            <w:vMerge w:val="restart"/>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80" w:type="dxa"/>
            <w:vAlign w:val="bottom"/>
            <w:gridSpan w:val="14"/>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14"/>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gridSpan w:val="6"/>
            <w:vMerge w:val="restart"/>
          </w:tcPr>
          <w:p>
            <w:pPr>
              <w:ind w:left="380"/>
              <w:spacing w:after="0" w:line="138" w:lineRule="exact"/>
              <w:rPr>
                <w:sz w:val="20"/>
                <w:szCs w:val="20"/>
                <w:color w:val="auto"/>
              </w:rPr>
            </w:pPr>
            <w:r>
              <w:rPr>
                <w:rFonts w:ascii="Arial" w:cs="Arial" w:eastAsia="Arial" w:hAnsi="Arial"/>
                <w:sz w:val="13"/>
                <w:szCs w:val="13"/>
                <w:b w:val="1"/>
                <w:bCs w:val="1"/>
                <w:color w:val="auto"/>
                <w:w w:val="81"/>
              </w:rPr>
              <w:t>Series Seed</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gridSpan w:val="5"/>
            <w:vMerge w:val="restart"/>
          </w:tcPr>
          <w:p>
            <w:pPr>
              <w:jc w:val="center"/>
              <w:ind w:right="177"/>
              <w:spacing w:after="0" w:line="138" w:lineRule="exact"/>
              <w:rPr>
                <w:sz w:val="20"/>
                <w:szCs w:val="20"/>
                <w:color w:val="auto"/>
              </w:rPr>
            </w:pPr>
            <w:r>
              <w:rPr>
                <w:rFonts w:ascii="Arial" w:cs="Arial" w:eastAsia="Arial" w:hAnsi="Arial"/>
                <w:sz w:val="13"/>
                <w:szCs w:val="13"/>
                <w:b w:val="1"/>
                <w:bCs w:val="1"/>
                <w:color w:val="auto"/>
                <w:w w:val="88"/>
              </w:rPr>
              <w:t>Series A</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gridSpan w:val="4"/>
            <w:vMerge w:val="restart"/>
          </w:tcPr>
          <w:p>
            <w:pPr>
              <w:ind w:left="20"/>
              <w:spacing w:after="0" w:line="138" w:lineRule="exact"/>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6"/>
            <w:vMerge w:val="restart"/>
          </w:tcPr>
          <w:p>
            <w:pPr>
              <w:ind w:left="280"/>
              <w:spacing w:after="0" w:line="138" w:lineRule="exact"/>
              <w:rPr>
                <w:sz w:val="20"/>
                <w:szCs w:val="20"/>
                <w:color w:val="auto"/>
              </w:rPr>
            </w:pPr>
            <w:r>
              <w:rPr>
                <w:rFonts w:ascii="Arial" w:cs="Arial" w:eastAsia="Arial" w:hAnsi="Arial"/>
                <w:sz w:val="13"/>
                <w:szCs w:val="13"/>
                <w:b w:val="1"/>
                <w:bCs w:val="1"/>
                <w:color w:val="auto"/>
                <w:w w:val="94"/>
              </w:rPr>
              <w:t>Common Stock</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6"/>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6"/>
            <w:vMerge w:val="restart"/>
          </w:tcPr>
          <w:p>
            <w:pPr>
              <w:ind w:left="60"/>
              <w:spacing w:after="0" w:line="102" w:lineRule="exact"/>
              <w:rPr>
                <w:sz w:val="20"/>
                <w:szCs w:val="20"/>
                <w:color w:val="auto"/>
              </w:rPr>
            </w:pPr>
            <w:r>
              <w:rPr>
                <w:rFonts w:ascii="Arial" w:cs="Arial" w:eastAsia="Arial" w:hAnsi="Arial"/>
                <w:sz w:val="10"/>
                <w:szCs w:val="10"/>
                <w:b w:val="1"/>
                <w:bCs w:val="1"/>
                <w:color w:val="auto"/>
              </w:rPr>
              <w:t>Additional</w:t>
            </w:r>
          </w:p>
        </w:tc>
        <w:tc>
          <w:tcPr>
            <w:tcW w:w="640" w:type="dxa"/>
            <w:vAlign w:val="bottom"/>
            <w:vMerge w:val="restart"/>
          </w:tcPr>
          <w:p>
            <w:pPr>
              <w:jc w:val="center"/>
              <w:ind w:left="259"/>
              <w:spacing w:after="0" w:line="102"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760" w:type="dxa"/>
            <w:vAlign w:val="bottom"/>
            <w:gridSpan w:val="7"/>
          </w:tcPr>
          <w:p>
            <w:pPr>
              <w:spacing w:after="0"/>
              <w:rPr>
                <w:sz w:val="3"/>
                <w:szCs w:val="3"/>
                <w:color w:val="auto"/>
              </w:rPr>
            </w:pPr>
          </w:p>
        </w:tc>
        <w:tc>
          <w:tcPr>
            <w:tcW w:w="138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Borders>
              <w:bottom w:val="single" w:sz="8" w:color="auto"/>
            </w:tcBorders>
            <w:gridSpan w:val="8"/>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Borders>
              <w:bottom w:val="single" w:sz="8" w:color="auto"/>
            </w:tcBorders>
            <w:gridSpan w:val="9"/>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0" w:type="dxa"/>
            <w:vAlign w:val="bottom"/>
            <w:tcBorders>
              <w:bottom w:val="single" w:sz="8" w:color="auto"/>
            </w:tcBorders>
            <w:gridSpan w:val="8"/>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6"/>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380" w:type="dxa"/>
            <w:vAlign w:val="bottom"/>
            <w:gridSpan w:val="11"/>
          </w:tcPr>
          <w:p>
            <w:pPr>
              <w:spacing w:after="0"/>
              <w:rPr>
                <w:sz w:val="3"/>
                <w:szCs w:val="3"/>
                <w:color w:val="auto"/>
              </w:rPr>
            </w:pPr>
          </w:p>
        </w:tc>
        <w:tc>
          <w:tcPr>
            <w:tcW w:w="72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gridSpan w:val="6"/>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72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w w:val="96"/>
              </w:rPr>
              <w:t xml:space="preserve">Shares </w:t>
            </w:r>
            <w:r>
              <w:rPr>
                <w:rFonts w:ascii="Arial" w:cs="Arial" w:eastAsia="Arial" w:hAnsi="Arial"/>
                <w:sz w:val="16"/>
                <w:szCs w:val="16"/>
                <w:b w:val="1"/>
                <w:bCs w:val="1"/>
                <w:color w:val="auto"/>
                <w:w w:val="96"/>
                <w:vertAlign w:val="superscript"/>
              </w:rPr>
              <w:t>(1)</w:t>
            </w:r>
          </w:p>
        </w:tc>
        <w:tc>
          <w:tcPr>
            <w:tcW w:w="8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4"/>
            <w:vMerge w:val="restart"/>
          </w:tcPr>
          <w:p>
            <w:pPr>
              <w:jc w:val="right"/>
              <w:ind w:right="57"/>
              <w:spacing w:after="0"/>
              <w:rPr>
                <w:sz w:val="20"/>
                <w:szCs w:val="20"/>
                <w:color w:val="auto"/>
              </w:rPr>
            </w:pPr>
            <w:r>
              <w:rPr>
                <w:rFonts w:ascii="Arial" w:cs="Arial" w:eastAsia="Arial" w:hAnsi="Arial"/>
                <w:sz w:val="13"/>
                <w:szCs w:val="13"/>
                <w:b w:val="1"/>
                <w:bCs w:val="1"/>
                <w:color w:val="auto"/>
                <w:w w:val="96"/>
              </w:rPr>
              <w:t xml:space="preserve">Shares </w:t>
            </w:r>
            <w:r>
              <w:rPr>
                <w:rFonts w:ascii="Arial" w:cs="Arial" w:eastAsia="Arial" w:hAnsi="Arial"/>
                <w:sz w:val="16"/>
                <w:szCs w:val="16"/>
                <w:b w:val="1"/>
                <w:bCs w:val="1"/>
                <w:color w:val="auto"/>
                <w:w w:val="96"/>
                <w:vertAlign w:val="superscript"/>
              </w:rPr>
              <w:t>(1)</w:t>
            </w:r>
          </w:p>
        </w:tc>
        <w:tc>
          <w:tcPr>
            <w:tcW w:w="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w w:val="96"/>
              </w:rPr>
              <w:t xml:space="preserve">Shares </w:t>
            </w:r>
            <w:r>
              <w:rPr>
                <w:rFonts w:ascii="Arial" w:cs="Arial" w:eastAsia="Arial" w:hAnsi="Arial"/>
                <w:sz w:val="16"/>
                <w:szCs w:val="16"/>
                <w:b w:val="1"/>
                <w:bCs w:val="1"/>
                <w:color w:val="auto"/>
                <w:w w:val="96"/>
                <w:vertAlign w:val="superscript"/>
              </w:rPr>
              <w:t>(1)</w:t>
            </w:r>
          </w:p>
        </w:tc>
        <w:tc>
          <w:tcPr>
            <w:tcW w:w="8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5"/>
          </w:tcPr>
          <w:p>
            <w:pPr>
              <w:jc w:val="right"/>
              <w:ind w:right="220"/>
              <w:spacing w:after="0" w:line="102" w:lineRule="exact"/>
              <w:rPr>
                <w:sz w:val="20"/>
                <w:szCs w:val="20"/>
                <w:color w:val="auto"/>
              </w:rPr>
            </w:pPr>
            <w:r>
              <w:rPr>
                <w:rFonts w:ascii="Arial" w:cs="Arial" w:eastAsia="Arial" w:hAnsi="Arial"/>
                <w:sz w:val="10"/>
                <w:szCs w:val="10"/>
                <w:b w:val="1"/>
                <w:bCs w:val="1"/>
                <w:color w:val="auto"/>
              </w:rPr>
              <w:t>Paid-in</w:t>
            </w:r>
          </w:p>
        </w:tc>
        <w:tc>
          <w:tcPr>
            <w:tcW w:w="940" w:type="dxa"/>
            <w:vAlign w:val="bottom"/>
            <w:gridSpan w:val="3"/>
          </w:tcPr>
          <w:p>
            <w:pPr>
              <w:jc w:val="center"/>
              <w:spacing w:after="0" w:line="102" w:lineRule="exact"/>
              <w:rPr>
                <w:sz w:val="20"/>
                <w:szCs w:val="20"/>
                <w:color w:val="auto"/>
              </w:rPr>
            </w:pPr>
            <w:r>
              <w:rPr>
                <w:rFonts w:ascii="Arial" w:cs="Arial" w:eastAsia="Arial" w:hAnsi="Arial"/>
                <w:sz w:val="10"/>
                <w:szCs w:val="10"/>
                <w:b w:val="1"/>
                <w:bCs w:val="1"/>
                <w:color w:val="auto"/>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6"/>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gridSpan w:val="6"/>
          </w:tcPr>
          <w:p>
            <w:pPr>
              <w:spacing w:after="0"/>
              <w:rPr>
                <w:sz w:val="20"/>
                <w:szCs w:val="20"/>
                <w:color w:val="auto"/>
              </w:rPr>
            </w:pPr>
            <w:r>
              <w:rPr>
                <w:rFonts w:ascii="Arial" w:cs="Arial" w:eastAsia="Arial" w:hAnsi="Arial"/>
                <w:sz w:val="13"/>
                <w:szCs w:val="13"/>
                <w:i w:val="1"/>
                <w:iCs w:val="1"/>
                <w:color w:val="auto"/>
              </w:rPr>
              <w:t>amounts)</w:t>
            </w:r>
          </w:p>
        </w:tc>
        <w:tc>
          <w:tcPr>
            <w:tcW w:w="7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Deficit</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74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Balances at June 30, 2021</w:t>
            </w:r>
          </w:p>
        </w:tc>
        <w:tc>
          <w:tcPr>
            <w:tcW w:w="500" w:type="dxa"/>
            <w:vAlign w:val="bottom"/>
            <w:shd w:val="clear" w:color="auto" w:fill="CCEEFF"/>
          </w:tcPr>
          <w:p>
            <w:pPr>
              <w:spacing w:after="0"/>
              <w:rPr>
                <w:sz w:val="17"/>
                <w:szCs w:val="17"/>
                <w:color w:val="auto"/>
              </w:rPr>
            </w:pPr>
          </w:p>
        </w:tc>
        <w:tc>
          <w:tcPr>
            <w:tcW w:w="3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76"/>
              </w:rPr>
              <w:t>—</w:t>
            </w:r>
          </w:p>
        </w:tc>
        <w:tc>
          <w:tcPr>
            <w:tcW w:w="160" w:type="dxa"/>
            <w:vAlign w:val="bottom"/>
            <w:tcBorders>
              <w:right w:val="single" w:sz="8" w:color="auto"/>
            </w:tcBorders>
            <w:gridSpan w:val="2"/>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124,094,390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12</w:t>
            </w:r>
          </w:p>
        </w:tc>
        <w:tc>
          <w:tcPr>
            <w:tcW w:w="240" w:type="dxa"/>
            <w:vAlign w:val="bottom"/>
            <w:gridSpan w:val="3"/>
            <w:shd w:val="clear" w:color="auto" w:fill="CCEEFF"/>
          </w:tcPr>
          <w:p>
            <w:pPr>
              <w:jc w:val="center"/>
              <w:ind w:left="57"/>
              <w:spacing w:after="0"/>
              <w:rPr>
                <w:sz w:val="20"/>
                <w:szCs w:val="20"/>
                <w:color w:val="auto"/>
              </w:rPr>
            </w:pPr>
            <w:r>
              <w:rPr>
                <w:rFonts w:ascii="Arial" w:cs="Arial" w:eastAsia="Arial" w:hAnsi="Arial"/>
                <w:sz w:val="13"/>
                <w:szCs w:val="13"/>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439,489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40" w:type="dxa"/>
            <w:vAlign w:val="bottom"/>
            <w:gridSpan w:val="3"/>
            <w:shd w:val="clear" w:color="auto" w:fill="CCEEFF"/>
          </w:tcPr>
          <w:p>
            <w:pPr>
              <w:jc w:val="right"/>
              <w:ind w:right="2"/>
              <w:spacing w:after="0"/>
              <w:rPr>
                <w:sz w:val="20"/>
                <w:szCs w:val="20"/>
                <w:color w:val="auto"/>
              </w:rPr>
            </w:pPr>
            <w:r>
              <w:rPr>
                <w:rFonts w:ascii="Arial" w:cs="Arial" w:eastAsia="Arial" w:hAnsi="Arial"/>
                <w:sz w:val="13"/>
                <w:szCs w:val="13"/>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(49,447)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390,044</w:t>
            </w:r>
          </w:p>
        </w:tc>
        <w:tc>
          <w:tcPr>
            <w:tcW w:w="0" w:type="dxa"/>
            <w:vAlign w:val="bottom"/>
          </w:tcPr>
          <w:p>
            <w:pPr>
              <w:spacing w:after="0"/>
              <w:rPr>
                <w:sz w:val="1"/>
                <w:szCs w:val="1"/>
                <w:color w:val="auto"/>
              </w:rPr>
            </w:pPr>
          </w:p>
        </w:tc>
      </w:tr>
      <w:tr>
        <w:trPr>
          <w:trHeight w:val="122"/>
        </w:trPr>
        <w:tc>
          <w:tcPr>
            <w:tcW w:w="6180" w:type="dxa"/>
            <w:vAlign w:val="bottom"/>
            <w:tcBorders>
              <w:right w:val="single" w:sz="8" w:color="auto"/>
            </w:tcBorders>
            <w:gridSpan w:val="36"/>
          </w:tcPr>
          <w:p>
            <w:pPr>
              <w:spacing w:after="0"/>
              <w:rPr>
                <w:sz w:val="20"/>
                <w:szCs w:val="20"/>
                <w:color w:val="auto"/>
              </w:rPr>
            </w:pPr>
            <w:r>
              <w:rPr>
                <w:rFonts w:ascii="Arial" w:cs="Arial" w:eastAsia="Arial" w:hAnsi="Arial"/>
                <w:sz w:val="13"/>
                <w:szCs w:val="13"/>
                <w:color w:val="auto"/>
              </w:rPr>
              <w:t>Issuance of common stock upon</w:t>
            </w:r>
          </w:p>
        </w:tc>
        <w:tc>
          <w:tcPr>
            <w:tcW w:w="5040" w:type="dxa"/>
            <w:vAlign w:val="bottom"/>
            <w:gridSpan w:val="2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180" w:type="dxa"/>
            <w:vAlign w:val="bottom"/>
            <w:tcBorders>
              <w:right w:val="single" w:sz="8" w:color="auto"/>
            </w:tcBorders>
            <w:gridSpan w:val="36"/>
          </w:tcPr>
          <w:p>
            <w:pPr>
              <w:spacing w:after="0"/>
              <w:rPr>
                <w:sz w:val="20"/>
                <w:szCs w:val="20"/>
                <w:color w:val="auto"/>
              </w:rPr>
            </w:pPr>
            <w:r>
              <w:rPr>
                <w:rFonts w:ascii="Arial" w:cs="Arial" w:eastAsia="Arial" w:hAnsi="Arial"/>
                <w:sz w:val="13"/>
                <w:szCs w:val="13"/>
                <w:color w:val="auto"/>
              </w:rPr>
              <w:t>exercise of vested stock</w:t>
            </w:r>
          </w:p>
        </w:tc>
        <w:tc>
          <w:tcPr>
            <w:tcW w:w="5040" w:type="dxa"/>
            <w:vAlign w:val="bottom"/>
            <w:gridSpan w:val="29"/>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gridSpan w:val="6"/>
          </w:tcPr>
          <w:p>
            <w:pPr>
              <w:ind w:left="160"/>
              <w:spacing w:after="0"/>
              <w:rPr>
                <w:sz w:val="20"/>
                <w:szCs w:val="20"/>
                <w:color w:val="auto"/>
              </w:rPr>
            </w:pPr>
            <w:r>
              <w:rPr>
                <w:rFonts w:ascii="Arial" w:cs="Arial" w:eastAsia="Arial" w:hAnsi="Arial"/>
                <w:sz w:val="13"/>
                <w:szCs w:val="13"/>
                <w:color w:val="auto"/>
              </w:rPr>
              <w:t>options</w:t>
            </w:r>
          </w:p>
        </w:tc>
        <w:tc>
          <w:tcPr>
            <w:tcW w:w="500" w:type="dxa"/>
            <w:vAlign w:val="bottom"/>
          </w:tcPr>
          <w:p>
            <w:pPr>
              <w:spacing w:after="0"/>
              <w:rPr>
                <w:sz w:val="15"/>
                <w:szCs w:val="15"/>
                <w:color w:val="auto"/>
              </w:rPr>
            </w:pPr>
          </w:p>
        </w:tc>
        <w:tc>
          <w:tcPr>
            <w:tcW w:w="300" w:type="dxa"/>
            <w:vAlign w:val="bottom"/>
            <w:gridSpan w:val="4"/>
          </w:tcPr>
          <w:p>
            <w:pPr>
              <w:ind w:lef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38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2"/>
          </w:tcPr>
          <w:p>
            <w:pPr>
              <w:spacing w:after="0"/>
              <w:rPr>
                <w:sz w:val="20"/>
                <w:szCs w:val="20"/>
                <w:color w:val="auto"/>
              </w:rPr>
            </w:pPr>
            <w:r>
              <w:rPr>
                <w:rFonts w:ascii="Arial" w:cs="Arial" w:eastAsia="Arial" w:hAnsi="Arial"/>
                <w:sz w:val="13"/>
                <w:szCs w:val="13"/>
                <w:color w:val="auto"/>
                <w:w w:val="76"/>
              </w:rPr>
              <w:t>—</w:t>
            </w:r>
          </w:p>
        </w:tc>
        <w:tc>
          <w:tcPr>
            <w:tcW w:w="160" w:type="dxa"/>
            <w:vAlign w:val="bottom"/>
            <w:tcBorders>
              <w:right w:val="single" w:sz="8" w:color="auto"/>
            </w:tcBorders>
            <w:gridSpan w:val="2"/>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72,386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29"/>
        </w:trPr>
        <w:tc>
          <w:tcPr>
            <w:tcW w:w="5900" w:type="dxa"/>
            <w:vAlign w:val="bottom"/>
            <w:tcBorders>
              <w:right w:val="single" w:sz="8" w:color="CCEEFF"/>
            </w:tcBorders>
            <w:gridSpan w:val="32"/>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280" w:type="dxa"/>
            <w:vAlign w:val="bottom"/>
            <w:tcBorders>
              <w:right w:val="single" w:sz="8" w:color="auto"/>
            </w:tcBorders>
            <w:gridSpan w:val="4"/>
            <w:shd w:val="clear" w:color="auto" w:fill="CCEEFF"/>
          </w:tcPr>
          <w:p>
            <w:pPr>
              <w:spacing w:after="0"/>
              <w:rPr>
                <w:sz w:val="11"/>
                <w:szCs w:val="11"/>
                <w:color w:val="auto"/>
              </w:rPr>
            </w:pPr>
          </w:p>
        </w:tc>
        <w:tc>
          <w:tcPr>
            <w:tcW w:w="5040" w:type="dxa"/>
            <w:vAlign w:val="bottom"/>
            <w:gridSpan w:val="29"/>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500" w:type="dxa"/>
            <w:vAlign w:val="bottom"/>
            <w:shd w:val="clear" w:color="auto" w:fill="CCEEFF"/>
          </w:tcPr>
          <w:p>
            <w:pPr>
              <w:spacing w:after="0"/>
              <w:rPr>
                <w:sz w:val="16"/>
                <w:szCs w:val="16"/>
                <w:color w:val="auto"/>
              </w:rPr>
            </w:pPr>
          </w:p>
        </w:tc>
        <w:tc>
          <w:tcPr>
            <w:tcW w:w="3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38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76"/>
              </w:rPr>
              <w:t>—</w:t>
            </w:r>
          </w:p>
        </w:tc>
        <w:tc>
          <w:tcPr>
            <w:tcW w:w="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79"/>
              </w:rPr>
              <w:t>2,248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40" w:type="dxa"/>
            <w:vAlign w:val="bottom"/>
            <w:gridSpan w:val="6"/>
          </w:tcPr>
          <w:p>
            <w:pPr>
              <w:spacing w:after="0"/>
              <w:rPr>
                <w:sz w:val="20"/>
                <w:szCs w:val="20"/>
                <w:color w:val="auto"/>
              </w:rPr>
            </w:pPr>
            <w:r>
              <w:rPr>
                <w:rFonts w:ascii="Arial" w:cs="Arial" w:eastAsia="Arial" w:hAnsi="Arial"/>
                <w:sz w:val="13"/>
                <w:szCs w:val="13"/>
                <w:color w:val="auto"/>
              </w:rPr>
              <w:t>Other comprehensive loss</w:t>
            </w:r>
          </w:p>
        </w:tc>
        <w:tc>
          <w:tcPr>
            <w:tcW w:w="500" w:type="dxa"/>
            <w:vAlign w:val="bottom"/>
          </w:tcPr>
          <w:p>
            <w:pPr>
              <w:spacing w:after="0"/>
              <w:rPr>
                <w:sz w:val="16"/>
                <w:szCs w:val="16"/>
                <w:color w:val="auto"/>
              </w:rPr>
            </w:pPr>
          </w:p>
        </w:tc>
        <w:tc>
          <w:tcPr>
            <w:tcW w:w="300" w:type="dxa"/>
            <w:vAlign w:val="bottom"/>
            <w:gridSpan w:val="4"/>
          </w:tcPr>
          <w:p>
            <w:pPr>
              <w:ind w:lef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38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spacing w:after="0"/>
              <w:rPr>
                <w:sz w:val="20"/>
                <w:szCs w:val="20"/>
                <w:color w:val="auto"/>
              </w:rPr>
            </w:pPr>
            <w:r>
              <w:rPr>
                <w:rFonts w:ascii="Arial" w:cs="Arial" w:eastAsia="Arial" w:hAnsi="Arial"/>
                <w:sz w:val="13"/>
                <w:szCs w:val="13"/>
                <w:color w:val="auto"/>
                <w:w w:val="76"/>
              </w:rPr>
              <w:t>—</w:t>
            </w: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6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74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Net loss</w:t>
            </w:r>
          </w:p>
        </w:tc>
        <w:tc>
          <w:tcPr>
            <w:tcW w:w="5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w w:val="76"/>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color w:val="auto"/>
              </w:rPr>
              <w:t>(14,504)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gridSpan w:val="6"/>
          </w:tcPr>
          <w:p>
            <w:pPr>
              <w:spacing w:after="0"/>
              <w:rPr>
                <w:sz w:val="20"/>
                <w:szCs w:val="20"/>
                <w:color w:val="auto"/>
              </w:rPr>
            </w:pPr>
            <w:r>
              <w:rPr>
                <w:rFonts w:ascii="Arial" w:cs="Arial" w:eastAsia="Arial" w:hAnsi="Arial"/>
                <w:sz w:val="13"/>
                <w:szCs w:val="13"/>
                <w:b w:val="1"/>
                <w:bCs w:val="1"/>
                <w:color w:val="auto"/>
                <w:w w:val="87"/>
              </w:rPr>
              <w:t>Balances at September 30, 2021</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76"/>
              </w:rPr>
              <w:t>—</w:t>
            </w:r>
          </w:p>
        </w:tc>
        <w:tc>
          <w:tcPr>
            <w:tcW w:w="4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4"/>
              </w:rPr>
              <w:t>124,166,776</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12</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441,795</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(63,951)</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right="1380"/>
        <w:spacing w:after="0" w:line="246" w:lineRule="auto"/>
        <w:rPr>
          <w:sz w:val="20"/>
          <w:szCs w:val="20"/>
          <w:color w:val="auto"/>
        </w:rPr>
      </w:pPr>
      <w:r>
        <w:rPr>
          <w:rFonts w:ascii="Arial" w:cs="Arial" w:eastAsia="Arial" w:hAnsi="Arial"/>
          <w:sz w:val="22"/>
          <w:szCs w:val="22"/>
          <w:b w:val="1"/>
          <w:bCs w:val="1"/>
          <w:color w:val="auto"/>
        </w:rPr>
        <w:t>Condensed Consolidated Statements of Redeemable Convertible Preferred Stock and Stockholders’ Equity Three and Nine Months Ended 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3"/>
                <w:szCs w:val="13"/>
                <w:b w:val="1"/>
                <w:bCs w:val="1"/>
                <w:i w:val="1"/>
                <w:iCs w:val="1"/>
                <w:color w:val="auto"/>
                <w:w w:val="89"/>
              </w:rPr>
              <w:t>Nine Months Ended September</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16"/>
            <w:vMerge w:val="restart"/>
          </w:tcPr>
          <w:p>
            <w:pPr>
              <w:ind w:left="80"/>
              <w:spacing w:after="0"/>
              <w:rPr>
                <w:sz w:val="20"/>
                <w:szCs w:val="20"/>
                <w:color w:val="auto"/>
              </w:rPr>
            </w:pPr>
            <w:r>
              <w:rPr>
                <w:rFonts w:ascii="Arial" w:cs="Arial" w:eastAsia="Arial" w:hAnsi="Arial"/>
                <w:sz w:val="13"/>
                <w:szCs w:val="13"/>
                <w:b w:val="1"/>
                <w:bCs w:val="1"/>
                <w:color w:val="auto"/>
                <w:w w:val="99"/>
              </w:rPr>
              <w:t>Redeemable Convertible Preferred Stock</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64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i w:val="1"/>
                <w:iCs w:val="1"/>
                <w:color w:val="auto"/>
              </w:rPr>
              <w:t>30, 2022</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0" w:type="dxa"/>
            <w:vAlign w:val="bottom"/>
            <w:gridSpan w:val="16"/>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40" w:type="dxa"/>
            <w:vAlign w:val="bottom"/>
            <w:gridSpan w:val="2"/>
          </w:tcPr>
          <w:p>
            <w:pPr>
              <w:spacing w:after="0"/>
              <w:rPr>
                <w:sz w:val="2"/>
                <w:szCs w:val="2"/>
                <w:color w:val="auto"/>
              </w:rPr>
            </w:pPr>
          </w:p>
        </w:tc>
        <w:tc>
          <w:tcPr>
            <w:tcW w:w="4160" w:type="dxa"/>
            <w:vAlign w:val="bottom"/>
            <w:tcBorders>
              <w:bottom w:val="single" w:sz="8" w:color="auto"/>
            </w:tcBorders>
            <w:gridSpan w:val="26"/>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240" w:type="dxa"/>
            <w:vAlign w:val="bottom"/>
            <w:gridSpan w:val="18"/>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2020" w:type="dxa"/>
            <w:vAlign w:val="bottom"/>
            <w:gridSpan w:val="10"/>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6"/>
            <w:vMerge w:val="restart"/>
          </w:tcPr>
          <w:p>
            <w:pPr>
              <w:ind w:left="300"/>
              <w:spacing w:after="0"/>
              <w:rPr>
                <w:sz w:val="20"/>
                <w:szCs w:val="20"/>
                <w:color w:val="auto"/>
              </w:rPr>
            </w:pPr>
            <w:r>
              <w:rPr>
                <w:rFonts w:ascii="Arial" w:cs="Arial" w:eastAsia="Arial" w:hAnsi="Arial"/>
                <w:sz w:val="13"/>
                <w:szCs w:val="13"/>
                <w:b w:val="1"/>
                <w:bCs w:val="1"/>
                <w:color w:val="auto"/>
                <w:w w:val="94"/>
              </w:rPr>
              <w:t>Series Seed</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5"/>
            <w:vMerge w:val="restart"/>
          </w:tcPr>
          <w:p>
            <w:pPr>
              <w:jc w:val="right"/>
              <w:ind w:right="120"/>
              <w:spacing w:after="0"/>
              <w:rPr>
                <w:sz w:val="20"/>
                <w:szCs w:val="20"/>
                <w:color w:val="auto"/>
              </w:rPr>
            </w:pPr>
            <w:r>
              <w:rPr>
                <w:rFonts w:ascii="Arial" w:cs="Arial" w:eastAsia="Arial" w:hAnsi="Arial"/>
                <w:sz w:val="13"/>
                <w:szCs w:val="13"/>
                <w:b w:val="1"/>
                <w:bCs w:val="1"/>
                <w:color w:val="auto"/>
              </w:rPr>
              <w:t>Series A</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Series B</w:t>
            </w: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2"/>
              </w:rPr>
              <w:t>Common Stock</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6"/>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5"/>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5"/>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5"/>
          </w:tcPr>
          <w:p>
            <w:pPr>
              <w:jc w:val="right"/>
              <w:spacing w:after="0" w:line="102" w:lineRule="exact"/>
              <w:rPr>
                <w:sz w:val="20"/>
                <w:szCs w:val="20"/>
                <w:color w:val="auto"/>
              </w:rPr>
            </w:pPr>
            <w:r>
              <w:rPr>
                <w:rFonts w:ascii="Arial" w:cs="Arial" w:eastAsia="Arial" w:hAnsi="Arial"/>
                <w:sz w:val="10"/>
                <w:szCs w:val="10"/>
                <w:b w:val="1"/>
                <w:bCs w:val="1"/>
                <w:color w:val="auto"/>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3"/>
          </w:tcPr>
          <w:p>
            <w:pPr>
              <w:jc w:val="center"/>
              <w:ind w:right="340"/>
              <w:spacing w:after="0" w:line="102"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80" w:type="dxa"/>
            <w:vAlign w:val="bottom"/>
            <w:gridSpan w:val="3"/>
          </w:tcPr>
          <w:p>
            <w:pPr>
              <w:spacing w:after="0" w:line="115" w:lineRule="exact"/>
              <w:rPr>
                <w:sz w:val="20"/>
                <w:szCs w:val="20"/>
                <w:color w:val="auto"/>
              </w:rPr>
            </w:pPr>
            <w:r>
              <w:rPr>
                <w:rFonts w:ascii="Arial" w:cs="Arial" w:eastAsia="Arial" w:hAnsi="Arial"/>
                <w:sz w:val="13"/>
                <w:szCs w:val="13"/>
                <w:i w:val="1"/>
                <w:iCs w:val="1"/>
                <w:color w:val="auto"/>
              </w:rPr>
              <w:t>(in thousands, except share</w:t>
            </w:r>
          </w:p>
        </w:tc>
        <w:tc>
          <w:tcPr>
            <w:tcW w:w="6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6"/>
              </w:rPr>
              <w:t xml:space="preserve">Shares </w:t>
            </w:r>
            <w:r>
              <w:rPr>
                <w:rFonts w:ascii="Arial" w:cs="Arial" w:eastAsia="Arial" w:hAnsi="Arial"/>
                <w:sz w:val="16"/>
                <w:szCs w:val="16"/>
                <w:b w:val="1"/>
                <w:bCs w:val="1"/>
                <w:color w:val="auto"/>
                <w:w w:val="86"/>
                <w:vertAlign w:val="superscript"/>
              </w:rPr>
              <w:t>(1)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6"/>
            <w:vMerge w:val="restart"/>
          </w:tcPr>
          <w:p>
            <w:pPr>
              <w:jc w:val="right"/>
              <w:ind w:right="177"/>
              <w:spacing w:after="0"/>
              <w:rPr>
                <w:sz w:val="20"/>
                <w:szCs w:val="20"/>
                <w:color w:val="auto"/>
              </w:rPr>
            </w:pPr>
            <w:r>
              <w:rPr>
                <w:rFonts w:ascii="Arial" w:cs="Arial" w:eastAsia="Arial" w:hAnsi="Arial"/>
                <w:sz w:val="13"/>
                <w:szCs w:val="13"/>
                <w:b w:val="1"/>
                <w:bCs w:val="1"/>
                <w:color w:val="auto"/>
                <w:w w:val="97"/>
              </w:rPr>
              <w:t>Amount</w:t>
            </w: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6"/>
              </w:rPr>
              <w:t xml:space="preserve">Shares </w:t>
            </w:r>
            <w:r>
              <w:rPr>
                <w:rFonts w:ascii="Arial" w:cs="Arial" w:eastAsia="Arial" w:hAnsi="Arial"/>
                <w:sz w:val="16"/>
                <w:szCs w:val="16"/>
                <w:b w:val="1"/>
                <w:bCs w:val="1"/>
                <w:color w:val="auto"/>
                <w:w w:val="86"/>
                <w:vertAlign w:val="superscript"/>
              </w:rPr>
              <w:t>(1)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0"/>
                <w:szCs w:val="10"/>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3"/>
              </w:rPr>
              <w:t xml:space="preserve">Shares </w:t>
            </w:r>
            <w:r>
              <w:rPr>
                <w:rFonts w:ascii="Arial" w:cs="Arial" w:eastAsia="Arial" w:hAnsi="Arial"/>
                <w:sz w:val="16"/>
                <w:szCs w:val="16"/>
                <w:b w:val="1"/>
                <w:bCs w:val="1"/>
                <w:color w:val="auto"/>
                <w:w w:val="93"/>
                <w:vertAlign w:val="superscript"/>
              </w:rPr>
              <w:t>(1)</w:t>
            </w:r>
          </w:p>
        </w:tc>
        <w:tc>
          <w:tcPr>
            <w:tcW w:w="80" w:type="dxa"/>
            <w:vAlign w:val="bottom"/>
          </w:tcPr>
          <w:p>
            <w:pPr>
              <w:spacing w:after="0"/>
              <w:rPr>
                <w:sz w:val="10"/>
                <w:szCs w:val="10"/>
                <w:color w:val="auto"/>
              </w:rPr>
            </w:pPr>
          </w:p>
        </w:tc>
        <w:tc>
          <w:tcPr>
            <w:tcW w:w="5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60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640" w:type="dxa"/>
            <w:vAlign w:val="bottom"/>
            <w:gridSpan w:val="5"/>
          </w:tcPr>
          <w:p>
            <w:pPr>
              <w:jc w:val="right"/>
              <w:ind w:right="58"/>
              <w:spacing w:after="0" w:line="115"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jc w:val="center"/>
              <w:ind w:right="100"/>
              <w:spacing w:after="0" w:line="115" w:lineRule="exact"/>
              <w:rPr>
                <w:sz w:val="20"/>
                <w:szCs w:val="20"/>
                <w:color w:val="auto"/>
              </w:rPr>
            </w:pPr>
            <w:r>
              <w:rPr>
                <w:rFonts w:ascii="Arial" w:cs="Arial" w:eastAsia="Arial" w:hAnsi="Arial"/>
                <w:sz w:val="13"/>
                <w:szCs w:val="13"/>
                <w:b w:val="1"/>
                <w:bCs w:val="1"/>
                <w:color w:val="auto"/>
                <w:w w:val="86"/>
              </w:rPr>
              <w:t>Comprehensive</w:t>
            </w:r>
          </w:p>
        </w:tc>
        <w:tc>
          <w:tcPr>
            <w:tcW w:w="800" w:type="dxa"/>
            <w:vAlign w:val="bottom"/>
            <w:gridSpan w:val="5"/>
          </w:tcPr>
          <w:p>
            <w:pPr>
              <w:jc w:val="center"/>
              <w:spacing w:after="0" w:line="11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gridSpan w:val="4"/>
          </w:tcPr>
          <w:p>
            <w:pPr>
              <w:spacing w:after="0"/>
              <w:rPr>
                <w:sz w:val="20"/>
                <w:szCs w:val="20"/>
                <w:color w:val="auto"/>
              </w:rPr>
            </w:pPr>
            <w:r>
              <w:rPr>
                <w:rFonts w:ascii="Arial" w:cs="Arial" w:eastAsia="Arial" w:hAnsi="Arial"/>
                <w:sz w:val="13"/>
                <w:szCs w:val="13"/>
                <w:i w:val="1"/>
                <w:iCs w:val="1"/>
                <w:color w:val="auto"/>
              </w:rPr>
              <w:t>amounts)</w:t>
            </w: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6"/>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640" w:type="dxa"/>
            <w:vAlign w:val="bottom"/>
            <w:gridSpan w:val="5"/>
          </w:tcPr>
          <w:p>
            <w:pPr>
              <w:jc w:val="right"/>
              <w:ind w:right="38"/>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Loss</w:t>
            </w:r>
          </w:p>
        </w:tc>
        <w:tc>
          <w:tcPr>
            <w:tcW w:w="220" w:type="dxa"/>
            <w:vAlign w:val="bottom"/>
          </w:tcPr>
          <w:p>
            <w:pPr>
              <w:spacing w:after="0"/>
              <w:rPr>
                <w:sz w:val="15"/>
                <w:szCs w:val="15"/>
                <w:color w:val="auto"/>
              </w:rPr>
            </w:pPr>
          </w:p>
        </w:tc>
        <w:tc>
          <w:tcPr>
            <w:tcW w:w="580" w:type="dxa"/>
            <w:vAlign w:val="bottom"/>
            <w:gridSpan w:val="4"/>
          </w:tcPr>
          <w:p>
            <w:pPr>
              <w:jc w:val="center"/>
              <w:ind w:right="157"/>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3"/>
                <w:szCs w:val="13"/>
                <w:b w:val="1"/>
                <w:bCs w:val="1"/>
                <w:color w:val="auto"/>
                <w:w w:val="87"/>
              </w:rPr>
              <w:t>Stockholders’Equity</w:t>
            </w:r>
          </w:p>
        </w:tc>
        <w:tc>
          <w:tcPr>
            <w:tcW w:w="0" w:type="dxa"/>
            <w:vAlign w:val="bottom"/>
          </w:tcPr>
          <w:p>
            <w:pPr>
              <w:spacing w:after="0"/>
              <w:rPr>
                <w:sz w:val="1"/>
                <w:szCs w:val="1"/>
                <w:color w:val="auto"/>
              </w:rPr>
            </w:pPr>
          </w:p>
        </w:tc>
      </w:tr>
      <w:tr>
        <w:trPr>
          <w:trHeight w:val="102"/>
        </w:trPr>
        <w:tc>
          <w:tcPr>
            <w:tcW w:w="17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0"/>
                <w:szCs w:val="10"/>
                <w:b w:val="1"/>
                <w:bCs w:val="1"/>
                <w:color w:val="auto"/>
              </w:rPr>
              <w:t>Balances at December 31,</w:t>
            </w:r>
          </w:p>
        </w:tc>
        <w:tc>
          <w:tcPr>
            <w:tcW w:w="660" w:type="dxa"/>
            <w:vAlign w:val="bottom"/>
            <w:tcBorders>
              <w:top w:val="single" w:sz="8" w:color="auto"/>
            </w:tcBorders>
            <w:gridSpan w:val="3"/>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gridSpan w:val="3"/>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gridSpan w:val="3"/>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right w:val="single" w:sz="8" w:color="CCEEFF"/>
            </w:tcBorders>
            <w:gridSpan w:val="3"/>
            <w:shd w:val="clear" w:color="auto" w:fill="CCEEFF"/>
          </w:tcPr>
          <w:p>
            <w:pPr>
              <w:spacing w:after="0"/>
              <w:rPr>
                <w:sz w:val="8"/>
                <w:szCs w:val="8"/>
                <w:color w:val="auto"/>
              </w:rPr>
            </w:pPr>
          </w:p>
        </w:tc>
        <w:tc>
          <w:tcPr>
            <w:tcW w:w="500" w:type="dxa"/>
            <w:vAlign w:val="bottom"/>
            <w:tcBorders>
              <w:top w:val="single" w:sz="8" w:color="auto"/>
            </w:tcBorders>
            <w:gridSpan w:val="2"/>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gridSpan w:val="3"/>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gridSpan w:val="6"/>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gridSpan w:val="3"/>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gridSpan w:val="5"/>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gridSpan w:val="4"/>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2021</w:t>
            </w: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3"/>
                <w:szCs w:val="13"/>
                <w:color w:val="auto"/>
                <w:w w:val="91"/>
              </w:rPr>
              <w:t>—</w:t>
            </w:r>
          </w:p>
        </w:tc>
        <w:tc>
          <w:tcPr>
            <w:tcW w:w="2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28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3"/>
                <w:szCs w:val="13"/>
                <w:color w:val="auto"/>
              </w:rPr>
              <w:t>124,303,083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85"/>
              </w:rPr>
              <w:t>444,388</w:t>
            </w:r>
          </w:p>
        </w:tc>
        <w:tc>
          <w:tcPr>
            <w:tcW w:w="340" w:type="dxa"/>
            <w:vAlign w:val="bottom"/>
            <w:gridSpan w:val="3"/>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w w:val="90"/>
              </w:rPr>
              <w:t>(80,640)</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363,576</w:t>
            </w:r>
          </w:p>
        </w:tc>
        <w:tc>
          <w:tcPr>
            <w:tcW w:w="0" w:type="dxa"/>
            <w:vAlign w:val="bottom"/>
          </w:tcPr>
          <w:p>
            <w:pPr>
              <w:spacing w:after="0"/>
              <w:rPr>
                <w:sz w:val="1"/>
                <w:szCs w:val="1"/>
                <w:color w:val="auto"/>
              </w:rPr>
            </w:pPr>
          </w:p>
        </w:tc>
      </w:tr>
      <w:tr>
        <w:trPr>
          <w:trHeight w:val="122"/>
        </w:trPr>
        <w:tc>
          <w:tcPr>
            <w:tcW w:w="5960" w:type="dxa"/>
            <w:vAlign w:val="bottom"/>
            <w:tcBorders>
              <w:right w:val="single" w:sz="8" w:color="auto"/>
            </w:tcBorders>
            <w:gridSpan w:val="31"/>
          </w:tcPr>
          <w:p>
            <w:pPr>
              <w:spacing w:after="0"/>
              <w:rPr>
                <w:sz w:val="20"/>
                <w:szCs w:val="20"/>
                <w:color w:val="auto"/>
              </w:rPr>
            </w:pPr>
            <w:r>
              <w:rPr>
                <w:rFonts w:ascii="Arial" w:cs="Arial" w:eastAsia="Arial" w:hAnsi="Arial"/>
                <w:sz w:val="13"/>
                <w:szCs w:val="13"/>
                <w:color w:val="auto"/>
              </w:rPr>
              <w:t>Issuance of common stock upon</w:t>
            </w:r>
          </w:p>
        </w:tc>
        <w:tc>
          <w:tcPr>
            <w:tcW w:w="5280" w:type="dxa"/>
            <w:vAlign w:val="bottom"/>
            <w:gridSpan w:val="32"/>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960" w:type="dxa"/>
            <w:vAlign w:val="bottom"/>
            <w:tcBorders>
              <w:right w:val="single" w:sz="8" w:color="auto"/>
            </w:tcBorders>
            <w:gridSpan w:val="31"/>
          </w:tcPr>
          <w:p>
            <w:pPr>
              <w:spacing w:after="0"/>
              <w:rPr>
                <w:sz w:val="20"/>
                <w:szCs w:val="20"/>
                <w:color w:val="auto"/>
              </w:rPr>
            </w:pPr>
            <w:r>
              <w:rPr>
                <w:rFonts w:ascii="Arial" w:cs="Arial" w:eastAsia="Arial" w:hAnsi="Arial"/>
                <w:sz w:val="13"/>
                <w:szCs w:val="13"/>
                <w:color w:val="auto"/>
              </w:rPr>
              <w:t>exercise of vested stock</w:t>
            </w:r>
          </w:p>
        </w:tc>
        <w:tc>
          <w:tcPr>
            <w:tcW w:w="4560" w:type="dxa"/>
            <w:vAlign w:val="bottom"/>
            <w:gridSpan w:val="31"/>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40" w:type="dxa"/>
            <w:vAlign w:val="bottom"/>
            <w:gridSpan w:val="4"/>
          </w:tcPr>
          <w:p>
            <w:pPr>
              <w:ind w:left="160"/>
              <w:spacing w:after="0"/>
              <w:rPr>
                <w:sz w:val="20"/>
                <w:szCs w:val="20"/>
                <w:color w:val="auto"/>
              </w:rPr>
            </w:pPr>
            <w:r>
              <w:rPr>
                <w:rFonts w:ascii="Arial" w:cs="Arial" w:eastAsia="Arial" w:hAnsi="Arial"/>
                <w:sz w:val="13"/>
                <w:szCs w:val="13"/>
                <w:color w:val="auto"/>
              </w:rPr>
              <w:t>options</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80" w:type="dxa"/>
            <w:vAlign w:val="bottom"/>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372,089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2"/>
              </w:rPr>
              <w:t>274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tcBorders>
              <w:right w:val="single" w:sz="8" w:color="auto"/>
            </w:tcBorders>
            <w:gridSpan w:val="31"/>
            <w:shd w:val="clear" w:color="auto" w:fill="CCEEFF"/>
          </w:tcPr>
          <w:p>
            <w:pPr>
              <w:spacing w:after="0"/>
              <w:rPr>
                <w:sz w:val="20"/>
                <w:szCs w:val="20"/>
                <w:color w:val="auto"/>
              </w:rPr>
            </w:pPr>
            <w:r>
              <w:rPr>
                <w:rFonts w:ascii="Arial" w:cs="Arial" w:eastAsia="Arial" w:hAnsi="Arial"/>
                <w:sz w:val="13"/>
                <w:szCs w:val="13"/>
                <w:color w:val="auto"/>
              </w:rPr>
              <w:t>Issuance of common stock</w:t>
            </w:r>
          </w:p>
        </w:tc>
        <w:tc>
          <w:tcPr>
            <w:tcW w:w="320" w:type="dxa"/>
            <w:vAlign w:val="bottom"/>
            <w:tcBorders>
              <w:right w:val="single" w:sz="8" w:color="CCEEFF"/>
            </w:tcBorders>
            <w:gridSpan w:val="4"/>
            <w:shd w:val="clear" w:color="auto" w:fill="CCEEFF"/>
          </w:tcPr>
          <w:p>
            <w:pPr>
              <w:spacing w:after="0"/>
              <w:rPr>
                <w:sz w:val="11"/>
                <w:szCs w:val="11"/>
                <w:color w:val="auto"/>
              </w:rPr>
            </w:pPr>
          </w:p>
        </w:tc>
        <w:tc>
          <w:tcPr>
            <w:tcW w:w="4960" w:type="dxa"/>
            <w:vAlign w:val="bottom"/>
            <w:gridSpan w:val="2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960" w:type="dxa"/>
            <w:vAlign w:val="bottom"/>
            <w:tcBorders>
              <w:right w:val="single" w:sz="8" w:color="auto"/>
            </w:tcBorders>
            <w:gridSpan w:val="31"/>
            <w:shd w:val="clear" w:color="auto" w:fill="CCEEFF"/>
          </w:tcPr>
          <w:p>
            <w:pPr>
              <w:spacing w:after="0"/>
              <w:rPr>
                <w:sz w:val="20"/>
                <w:szCs w:val="20"/>
                <w:color w:val="auto"/>
              </w:rPr>
            </w:pPr>
            <w:r>
              <w:rPr>
                <w:rFonts w:ascii="Arial" w:cs="Arial" w:eastAsia="Arial" w:hAnsi="Arial"/>
                <w:sz w:val="13"/>
                <w:szCs w:val="13"/>
                <w:color w:val="auto"/>
              </w:rPr>
              <w:t>under employee stock</w:t>
            </w:r>
          </w:p>
        </w:tc>
        <w:tc>
          <w:tcPr>
            <w:tcW w:w="320" w:type="dxa"/>
            <w:vAlign w:val="bottom"/>
            <w:tcBorders>
              <w:right w:val="single" w:sz="8" w:color="CCEEFF"/>
            </w:tcBorders>
            <w:gridSpan w:val="4"/>
            <w:shd w:val="clear" w:color="auto" w:fill="CCEEFF"/>
          </w:tcPr>
          <w:p>
            <w:pPr>
              <w:spacing w:after="0"/>
              <w:rPr>
                <w:sz w:val="11"/>
                <w:szCs w:val="11"/>
                <w:color w:val="auto"/>
              </w:rPr>
            </w:pPr>
          </w:p>
        </w:tc>
        <w:tc>
          <w:tcPr>
            <w:tcW w:w="4240" w:type="dxa"/>
            <w:vAlign w:val="bottom"/>
            <w:gridSpan w:val="27"/>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74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purchase plan</w:t>
            </w:r>
          </w:p>
        </w:tc>
        <w:tc>
          <w:tcPr>
            <w:tcW w:w="5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center"/>
              <w:ind w:left="2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48,353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960" w:type="dxa"/>
            <w:vAlign w:val="bottom"/>
            <w:tcBorders>
              <w:right w:val="single" w:sz="8" w:color="auto"/>
            </w:tcBorders>
            <w:gridSpan w:val="31"/>
          </w:tcPr>
          <w:p>
            <w:pPr>
              <w:spacing w:after="0"/>
              <w:rPr>
                <w:sz w:val="20"/>
                <w:szCs w:val="20"/>
                <w:color w:val="auto"/>
              </w:rPr>
            </w:pPr>
            <w:r>
              <w:rPr>
                <w:rFonts w:ascii="Arial" w:cs="Arial" w:eastAsia="Arial" w:hAnsi="Arial"/>
                <w:sz w:val="13"/>
                <w:szCs w:val="13"/>
                <w:color w:val="auto"/>
              </w:rPr>
              <w:t>Stock-based compensation</w:t>
            </w:r>
          </w:p>
        </w:tc>
        <w:tc>
          <w:tcPr>
            <w:tcW w:w="5280" w:type="dxa"/>
            <w:vAlign w:val="bottom"/>
            <w:gridSpan w:val="32"/>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gridSpan w:val="4"/>
          </w:tcPr>
          <w:p>
            <w:pPr>
              <w:ind w:left="160"/>
              <w:spacing w:after="0"/>
              <w:rPr>
                <w:sz w:val="20"/>
                <w:szCs w:val="20"/>
                <w:color w:val="auto"/>
              </w:rPr>
            </w:pPr>
            <w:r>
              <w:rPr>
                <w:rFonts w:ascii="Arial" w:cs="Arial" w:eastAsia="Arial" w:hAnsi="Arial"/>
                <w:sz w:val="13"/>
                <w:szCs w:val="13"/>
                <w:color w:val="auto"/>
              </w:rPr>
              <w:t>expense</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60" w:type="dxa"/>
            <w:vAlign w:val="bottom"/>
            <w:gridSpan w:val="4"/>
          </w:tcPr>
          <w:p>
            <w:pPr>
              <w:jc w:val="right"/>
              <w:spacing w:after="0"/>
              <w:rPr>
                <w:sz w:val="20"/>
                <w:szCs w:val="20"/>
                <w:color w:val="auto"/>
              </w:rPr>
            </w:pPr>
            <w:r>
              <w:rPr>
                <w:rFonts w:ascii="Arial" w:cs="Arial" w:eastAsia="Arial" w:hAnsi="Arial"/>
                <w:sz w:val="13"/>
                <w:szCs w:val="13"/>
                <w:color w:val="auto"/>
              </w:rPr>
              <w:t>7,547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7,547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560" w:type="dxa"/>
            <w:vAlign w:val="bottom"/>
            <w:shd w:val="clear" w:color="auto" w:fill="CCEEFF"/>
          </w:tcPr>
          <w:p>
            <w:pPr>
              <w:ind w:left="4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5"/>
          </w:tcPr>
          <w:p>
            <w:pPr>
              <w:jc w:val="right"/>
              <w:ind w:right="737"/>
              <w:spacing w:after="0"/>
              <w:rPr>
                <w:sz w:val="20"/>
                <w:szCs w:val="20"/>
                <w:color w:val="auto"/>
              </w:rPr>
            </w:pPr>
            <w:r>
              <w:rPr>
                <w:rFonts w:ascii="Arial" w:cs="Arial" w:eastAsia="Arial" w:hAnsi="Arial"/>
                <w:sz w:val="13"/>
                <w:szCs w:val="13"/>
                <w:color w:val="auto"/>
              </w:rPr>
              <w:t>(44,515)</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4"/>
          </w:tcPr>
          <w:p>
            <w:pPr>
              <w:jc w:val="right"/>
              <w:ind w:right="1077"/>
              <w:spacing w:after="0"/>
              <w:rPr>
                <w:sz w:val="20"/>
                <w:szCs w:val="20"/>
                <w:color w:val="auto"/>
              </w:rPr>
            </w:pPr>
            <w:r>
              <w:rPr>
                <w:rFonts w:ascii="Arial" w:cs="Arial" w:eastAsia="Arial" w:hAnsi="Arial"/>
                <w:sz w:val="13"/>
                <w:szCs w:val="13"/>
                <w:color w:val="auto"/>
              </w:rPr>
              <w:t>(44,515)</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680" w:type="dxa"/>
            <w:vAlign w:val="bottom"/>
            <w:gridSpan w:val="3"/>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Balances at September 30,</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ind w:left="420"/>
              <w:spacing w:after="0"/>
              <w:rPr>
                <w:sz w:val="20"/>
                <w:szCs w:val="20"/>
                <w:color w:val="auto"/>
              </w:rPr>
            </w:pPr>
            <w:r>
              <w:rPr>
                <w:rFonts w:ascii="Arial" w:cs="Arial" w:eastAsia="Arial" w:hAnsi="Arial"/>
                <w:sz w:val="13"/>
                <w:szCs w:val="13"/>
                <w:color w:val="auto"/>
                <w:w w:val="91"/>
              </w:rPr>
              <w:t>—</w:t>
            </w:r>
          </w:p>
        </w:tc>
        <w:tc>
          <w:tcPr>
            <w:tcW w:w="2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9"/>
                <w:szCs w:val="9"/>
                <w:color w:val="auto"/>
              </w:rPr>
            </w:pPr>
          </w:p>
        </w:tc>
        <w:tc>
          <w:tcPr>
            <w:tcW w:w="400" w:type="dxa"/>
            <w:vAlign w:val="bottom"/>
            <w:gridSpan w:val="3"/>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center"/>
              <w:ind w:left="257"/>
              <w:spacing w:after="0"/>
              <w:rPr>
                <w:sz w:val="20"/>
                <w:szCs w:val="20"/>
                <w:color w:val="auto"/>
              </w:rPr>
            </w:pPr>
            <w:r>
              <w:rPr>
                <w:rFonts w:ascii="Arial" w:cs="Arial" w:eastAsia="Arial" w:hAnsi="Arial"/>
                <w:sz w:val="13"/>
                <w:szCs w:val="13"/>
                <w:color w:val="auto"/>
                <w:w w:val="91"/>
              </w:rPr>
              <w:t>—</w:t>
            </w:r>
          </w:p>
        </w:tc>
        <w:tc>
          <w:tcPr>
            <w:tcW w:w="280" w:type="dxa"/>
            <w:vAlign w:val="bottom"/>
            <w:gridSpan w:val="3"/>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9"/>
                <w:szCs w:val="9"/>
                <w:color w:val="auto"/>
              </w:rPr>
            </w:pPr>
          </w:p>
        </w:tc>
        <w:tc>
          <w:tcPr>
            <w:tcW w:w="820" w:type="dxa"/>
            <w:vAlign w:val="bottom"/>
            <w:gridSpan w:val="6"/>
            <w:vMerge w:val="restart"/>
            <w:shd w:val="clear" w:color="auto" w:fill="CCEEFF"/>
          </w:tcPr>
          <w:p>
            <w:pPr>
              <w:jc w:val="right"/>
              <w:spacing w:after="0"/>
              <w:rPr>
                <w:sz w:val="20"/>
                <w:szCs w:val="20"/>
                <w:color w:val="auto"/>
              </w:rPr>
            </w:pPr>
            <w:r>
              <w:rPr>
                <w:rFonts w:ascii="Arial" w:cs="Arial" w:eastAsia="Arial" w:hAnsi="Arial"/>
                <w:sz w:val="13"/>
                <w:szCs w:val="13"/>
                <w:color w:val="auto"/>
              </w:rPr>
              <w:t>124,723,525</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46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452,362</w:t>
            </w:r>
          </w:p>
        </w:tc>
        <w:tc>
          <w:tcPr>
            <w:tcW w:w="340" w:type="dxa"/>
            <w:vAlign w:val="bottom"/>
            <w:gridSpan w:val="3"/>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(1,881)</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8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(125,155)</w:t>
            </w:r>
          </w:p>
        </w:tc>
        <w:tc>
          <w:tcPr>
            <w:tcW w:w="32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325,338</w:t>
            </w:r>
          </w:p>
        </w:tc>
        <w:tc>
          <w:tcPr>
            <w:tcW w:w="0" w:type="dxa"/>
            <w:vAlign w:val="bottom"/>
          </w:tcPr>
          <w:p>
            <w:pPr>
              <w:spacing w:after="0"/>
              <w:rPr>
                <w:sz w:val="1"/>
                <w:szCs w:val="1"/>
                <w:color w:val="auto"/>
              </w:rPr>
            </w:pPr>
          </w:p>
        </w:tc>
      </w:tr>
      <w:tr>
        <w:trPr>
          <w:trHeight w:val="92"/>
        </w:trPr>
        <w:tc>
          <w:tcPr>
            <w:tcW w:w="4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2022</w:t>
            </w:r>
          </w:p>
        </w:tc>
        <w:tc>
          <w:tcPr>
            <w:tcW w:w="1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280" w:type="dxa"/>
            <w:vAlign w:val="bottom"/>
            <w:gridSpan w:val="4"/>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820" w:type="dxa"/>
            <w:vAlign w:val="bottom"/>
            <w:gridSpan w:val="6"/>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460" w:type="dxa"/>
            <w:vAlign w:val="bottom"/>
            <w:gridSpan w:val="4"/>
            <w:vMerge w:val="continue"/>
            <w:shd w:val="clear" w:color="auto" w:fill="CCEEFF"/>
          </w:tcPr>
          <w:p>
            <w:pPr>
              <w:spacing w:after="0"/>
              <w:rPr>
                <w:sz w:val="8"/>
                <w:szCs w:val="8"/>
                <w:color w:val="auto"/>
              </w:rPr>
            </w:pPr>
          </w:p>
        </w:tc>
        <w:tc>
          <w:tcPr>
            <w:tcW w:w="340" w:type="dxa"/>
            <w:vAlign w:val="bottom"/>
            <w:gridSpan w:val="3"/>
            <w:vMerge w:val="continue"/>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580" w:type="dxa"/>
            <w:vAlign w:val="bottom"/>
            <w:gridSpan w:val="4"/>
            <w:vMerge w:val="continue"/>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60" w:type="dxa"/>
            <w:vAlign w:val="bottom"/>
            <w:tcBorders>
              <w:bottom w:val="single" w:sz="8" w:color="CCEEFF"/>
            </w:tcBorders>
            <w:gridSpan w:val="2"/>
            <w:vMerge w:val="continue"/>
            <w:shd w:val="clear" w:color="auto" w:fill="CCEEFF"/>
          </w:tcPr>
          <w:p>
            <w:pPr>
              <w:spacing w:after="0"/>
              <w:rPr>
                <w:sz w:val="7"/>
                <w:szCs w:val="7"/>
                <w:color w:val="auto"/>
              </w:rPr>
            </w:pPr>
          </w:p>
        </w:tc>
        <w:tc>
          <w:tcPr>
            <w:tcW w:w="1240" w:type="dxa"/>
            <w:vAlign w:val="bottom"/>
            <w:tcBorders>
              <w:bottom w:val="single" w:sz="8" w:color="CCEEFF"/>
            </w:tcBorders>
            <w:gridSpan w:val="2"/>
            <w:shd w:val="clear" w:color="auto" w:fill="CCEEFF"/>
          </w:tcPr>
          <w:p>
            <w:pPr>
              <w:spacing w:after="0"/>
              <w:rPr>
                <w:sz w:val="7"/>
                <w:szCs w:val="7"/>
                <w:color w:val="auto"/>
              </w:rPr>
            </w:pPr>
          </w:p>
        </w:tc>
        <w:tc>
          <w:tcPr>
            <w:tcW w:w="66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auto"/>
            </w:tcBorders>
            <w:gridSpan w:val="4"/>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auto"/>
            </w:tcBorders>
            <w:gridSpan w:val="4"/>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auto"/>
            </w:tcBorders>
            <w:gridSpan w:val="4"/>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auto"/>
            </w:tcBorders>
            <w:gridSpan w:val="3"/>
            <w:shd w:val="clear" w:color="auto" w:fill="CCEEFF"/>
          </w:tcPr>
          <w:p>
            <w:pPr>
              <w:spacing w:after="0"/>
              <w:rPr>
                <w:sz w:val="7"/>
                <w:szCs w:val="7"/>
                <w:color w:val="auto"/>
              </w:rPr>
            </w:pPr>
          </w:p>
        </w:tc>
        <w:tc>
          <w:tcPr>
            <w:tcW w:w="100" w:type="dxa"/>
            <w:vAlign w:val="bottom"/>
            <w:tcBorders>
              <w:bottom w:val="single" w:sz="8" w:color="CCEEFF"/>
              <w:right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auto"/>
              <w:right w:val="single" w:sz="8" w:color="CCEEFF"/>
            </w:tcBorders>
            <w:gridSpan w:val="3"/>
            <w:shd w:val="clear" w:color="auto" w:fill="CCEEFF"/>
          </w:tcPr>
          <w:p>
            <w:pPr>
              <w:spacing w:after="0"/>
              <w:rPr>
                <w:sz w:val="7"/>
                <w:szCs w:val="7"/>
                <w:color w:val="auto"/>
              </w:rPr>
            </w:pPr>
          </w:p>
        </w:tc>
        <w:tc>
          <w:tcPr>
            <w:tcW w:w="500" w:type="dxa"/>
            <w:vAlign w:val="bottom"/>
            <w:tcBorders>
              <w:bottom w:val="single" w:sz="8" w:color="auto"/>
            </w:tcBorders>
            <w:gridSpan w:val="2"/>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auto"/>
            </w:tcBorders>
            <w:gridSpan w:val="6"/>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auto"/>
            </w:tcBorders>
            <w:gridSpan w:val="3"/>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auto"/>
            </w:tcBorders>
            <w:gridSpan w:val="5"/>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auto"/>
            </w:tcBorders>
            <w:gridSpan w:val="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gridSpan w:val="4"/>
          </w:tcPr>
          <w:p>
            <w:pPr>
              <w:spacing w:after="0" w:line="20" w:lineRule="exact"/>
              <w:rPr>
                <w:sz w:val="1"/>
                <w:szCs w:val="1"/>
                <w:color w:val="auto"/>
              </w:rPr>
            </w:pPr>
          </w:p>
        </w:tc>
        <w:tc>
          <w:tcPr>
            <w:tcW w:w="6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740" w:type="dxa"/>
            <w:vAlign w:val="bottom"/>
            <w:gridSpan w:val="4"/>
            <w:vMerge w:val="restart"/>
          </w:tcPr>
          <w:p>
            <w:pPr>
              <w:spacing w:after="0"/>
              <w:rPr>
                <w:sz w:val="20"/>
                <w:szCs w:val="20"/>
                <w:color w:val="auto"/>
              </w:rPr>
            </w:pPr>
            <w:r>
              <w:rPr>
                <w:rFonts w:ascii="Arial" w:cs="Arial" w:eastAsia="Arial" w:hAnsi="Arial"/>
                <w:sz w:val="13"/>
                <w:szCs w:val="13"/>
                <w:b w:val="1"/>
                <w:bCs w:val="1"/>
                <w:i w:val="1"/>
                <w:iCs w:val="1"/>
                <w:color w:val="auto"/>
                <w:w w:val="89"/>
              </w:rPr>
              <w:t>Nine Months Ended September</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20" w:type="dxa"/>
            <w:vAlign w:val="bottom"/>
            <w:gridSpan w:val="15"/>
            <w:vMerge w:val="restart"/>
          </w:tcPr>
          <w:p>
            <w:pPr>
              <w:jc w:val="center"/>
              <w:spacing w:after="0"/>
              <w:rPr>
                <w:sz w:val="20"/>
                <w:szCs w:val="20"/>
                <w:color w:val="auto"/>
              </w:rPr>
            </w:pPr>
            <w:r>
              <w:rPr>
                <w:rFonts w:ascii="Arial" w:cs="Arial" w:eastAsia="Arial" w:hAnsi="Arial"/>
                <w:sz w:val="13"/>
                <w:szCs w:val="13"/>
                <w:b w:val="1"/>
                <w:bCs w:val="1"/>
                <w:color w:val="auto"/>
                <w:w w:val="88"/>
              </w:rPr>
              <w:t>Redeemable Convertible Preferred Stock</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15"/>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10"/>
                <w:szCs w:val="10"/>
                <w:b w:val="1"/>
                <w:bCs w:val="1"/>
                <w:i w:val="1"/>
                <w:iCs w:val="1"/>
                <w:color w:val="auto"/>
              </w:rPr>
              <w:t>30, 2021</w:t>
            </w:r>
          </w:p>
        </w:tc>
        <w:tc>
          <w:tcPr>
            <w:tcW w:w="1200" w:type="dxa"/>
            <w:vAlign w:val="bottom"/>
            <w:tcBorders>
              <w:top w:val="single" w:sz="8" w:color="auto"/>
              <w:bottom w:val="single" w:sz="8" w:color="auto"/>
            </w:tcBorders>
            <w:vMerge w:val="restart"/>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2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15"/>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6"/>
            <w:vMerge w:val="restart"/>
          </w:tcPr>
          <w:p>
            <w:pPr>
              <w:ind w:left="400"/>
              <w:spacing w:after="0" w:line="138" w:lineRule="exact"/>
              <w:rPr>
                <w:sz w:val="20"/>
                <w:szCs w:val="20"/>
                <w:color w:val="auto"/>
              </w:rPr>
            </w:pPr>
            <w:r>
              <w:rPr>
                <w:rFonts w:ascii="Arial" w:cs="Arial" w:eastAsia="Arial" w:hAnsi="Arial"/>
                <w:sz w:val="13"/>
                <w:szCs w:val="13"/>
                <w:b w:val="1"/>
                <w:bCs w:val="1"/>
                <w:color w:val="auto"/>
                <w:w w:val="81"/>
              </w:rPr>
              <w:t>Series Seed</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gridSpan w:val="5"/>
            <w:vMerge w:val="restart"/>
          </w:tcPr>
          <w:p>
            <w:pPr>
              <w:jc w:val="center"/>
              <w:spacing w:after="0" w:line="138" w:lineRule="exact"/>
              <w:rPr>
                <w:sz w:val="20"/>
                <w:szCs w:val="20"/>
                <w:color w:val="auto"/>
              </w:rPr>
            </w:pPr>
            <w:r>
              <w:rPr>
                <w:rFonts w:ascii="Arial" w:cs="Arial" w:eastAsia="Arial" w:hAnsi="Arial"/>
                <w:sz w:val="13"/>
                <w:szCs w:val="13"/>
                <w:b w:val="1"/>
                <w:bCs w:val="1"/>
                <w:color w:val="auto"/>
                <w:w w:val="88"/>
              </w:rPr>
              <w:t>Series A</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gridSpan w:val="4"/>
            <w:vMerge w:val="restart"/>
          </w:tcPr>
          <w:p>
            <w:pPr>
              <w:ind w:left="60"/>
              <w:spacing w:after="0" w:line="138" w:lineRule="exact"/>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6"/>
            <w:vMerge w:val="restart"/>
          </w:tcPr>
          <w:p>
            <w:pPr>
              <w:ind w:left="260"/>
              <w:spacing w:after="0" w:line="138" w:lineRule="exact"/>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gridSpan w:val="6"/>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5"/>
            <w:vMerge w:val="restart"/>
          </w:tcPr>
          <w:p>
            <w:pPr>
              <w:jc w:val="right"/>
              <w:spacing w:after="0" w:line="102"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6"/>
                <w:szCs w:val="6"/>
                <w:color w:val="auto"/>
              </w:rPr>
            </w:pPr>
          </w:p>
        </w:tc>
        <w:tc>
          <w:tcPr>
            <w:tcW w:w="700" w:type="dxa"/>
            <w:vAlign w:val="bottom"/>
            <w:gridSpan w:val="2"/>
            <w:vMerge w:val="restart"/>
          </w:tcPr>
          <w:p>
            <w:pPr>
              <w:jc w:val="center"/>
              <w:ind w:left="200"/>
              <w:spacing w:after="0" w:line="102"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760" w:type="dxa"/>
            <w:vAlign w:val="bottom"/>
            <w:gridSpan w:val="5"/>
          </w:tcPr>
          <w:p>
            <w:pPr>
              <w:spacing w:after="0"/>
              <w:rPr>
                <w:sz w:val="3"/>
                <w:szCs w:val="3"/>
                <w:color w:val="auto"/>
              </w:rPr>
            </w:pPr>
          </w:p>
        </w:tc>
        <w:tc>
          <w:tcPr>
            <w:tcW w:w="142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bottom w:val="single" w:sz="8" w:color="auto"/>
            </w:tcBorders>
            <w:gridSpan w:val="9"/>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360" w:type="dxa"/>
            <w:vAlign w:val="bottom"/>
            <w:tcBorders>
              <w:bottom w:val="single" w:sz="8" w:color="auto"/>
            </w:tcBorders>
            <w:gridSpan w:val="8"/>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300" w:type="dxa"/>
            <w:vAlign w:val="bottom"/>
            <w:gridSpan w:val="9"/>
          </w:tcPr>
          <w:p>
            <w:pPr>
              <w:spacing w:after="0"/>
              <w:rPr>
                <w:sz w:val="3"/>
                <w:szCs w:val="3"/>
                <w:color w:val="auto"/>
              </w:rPr>
            </w:pPr>
          </w:p>
        </w:tc>
        <w:tc>
          <w:tcPr>
            <w:tcW w:w="72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gridSpan w:val="4"/>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76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79"/>
              </w:rPr>
              <w:t xml:space="preserve">Shares </w:t>
            </w:r>
            <w:r>
              <w:rPr>
                <w:rFonts w:ascii="Arial" w:cs="Arial" w:eastAsia="Arial" w:hAnsi="Arial"/>
                <w:sz w:val="16"/>
                <w:szCs w:val="16"/>
                <w:b w:val="1"/>
                <w:bCs w:val="1"/>
                <w:color w:val="auto"/>
                <w:w w:val="79"/>
                <w:vertAlign w:val="superscript"/>
              </w:rPr>
              <w:t>(1)</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right"/>
              <w:ind w:right="77"/>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4"/>
          </w:tcPr>
          <w:p>
            <w:pPr>
              <w:jc w:val="right"/>
              <w:ind w:right="57"/>
              <w:spacing w:after="0" w:line="102"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920" w:type="dxa"/>
            <w:vAlign w:val="bottom"/>
            <w:gridSpan w:val="3"/>
          </w:tcPr>
          <w:p>
            <w:pPr>
              <w:jc w:val="center"/>
              <w:spacing w:after="0" w:line="102" w:lineRule="exact"/>
              <w:rPr>
                <w:sz w:val="20"/>
                <w:szCs w:val="20"/>
                <w:color w:val="auto"/>
              </w:rPr>
            </w:pPr>
            <w:r>
              <w:rPr>
                <w:rFonts w:ascii="Arial" w:cs="Arial" w:eastAsia="Arial" w:hAnsi="Arial"/>
                <w:sz w:val="10"/>
                <w:szCs w:val="10"/>
                <w:b w:val="1"/>
                <w:bCs w:val="1"/>
                <w:color w:val="auto"/>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5"/>
          </w:tcPr>
          <w:p>
            <w:pPr>
              <w:ind w:left="40"/>
              <w:spacing w:after="0" w:line="102"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i w:val="1"/>
                <w:iCs w:val="1"/>
                <w:color w:val="auto"/>
              </w:rPr>
              <w:t>amounts)</w:t>
            </w:r>
          </w:p>
        </w:tc>
        <w:tc>
          <w:tcPr>
            <w:tcW w:w="76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w w:val="89"/>
              </w:rPr>
              <w:t>Balances at December 31, 2020</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13,174,805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8"/>
              </w:rPr>
              <w:t>5,494</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16,836,436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27,067</w:t>
            </w: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22,164,724</w:t>
            </w:r>
          </w:p>
        </w:tc>
        <w:tc>
          <w:tcPr>
            <w:tcW w:w="8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92"/>
              </w:rPr>
              <w:t>$  75,857</w:t>
            </w:r>
          </w:p>
        </w:tc>
        <w:tc>
          <w:tcPr>
            <w:tcW w:w="120" w:type="dxa"/>
            <w:vAlign w:val="bottom"/>
            <w:tcBorders>
              <w:right w:val="single" w:sz="8" w:color="auto"/>
            </w:tcBorders>
            <w:gridSpan w:val="2"/>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33,069,513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(30,325)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(29,721)</w:t>
            </w:r>
          </w:p>
        </w:tc>
        <w:tc>
          <w:tcPr>
            <w:tcW w:w="0" w:type="dxa"/>
            <w:vAlign w:val="bottom"/>
          </w:tcPr>
          <w:p>
            <w:pPr>
              <w:spacing w:after="0"/>
              <w:rPr>
                <w:sz w:val="1"/>
                <w:szCs w:val="1"/>
                <w:color w:val="auto"/>
              </w:rPr>
            </w:pPr>
          </w:p>
        </w:tc>
      </w:tr>
      <w:tr>
        <w:trPr>
          <w:trHeight w:val="122"/>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Issuance of common stock upon</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exercise of vested stock</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gridSpan w:val="4"/>
          </w:tcPr>
          <w:p>
            <w:pPr>
              <w:ind w:left="160"/>
              <w:spacing w:after="0"/>
              <w:rPr>
                <w:sz w:val="20"/>
                <w:szCs w:val="20"/>
                <w:color w:val="auto"/>
              </w:rPr>
            </w:pPr>
            <w:r>
              <w:rPr>
                <w:rFonts w:ascii="Arial" w:cs="Arial" w:eastAsia="Arial" w:hAnsi="Arial"/>
                <w:sz w:val="13"/>
                <w:szCs w:val="13"/>
                <w:color w:val="auto"/>
              </w:rPr>
              <w:t>options</w:t>
            </w:r>
          </w:p>
        </w:tc>
        <w:tc>
          <w:tcPr>
            <w:tcW w:w="560" w:type="dxa"/>
            <w:vAlign w:val="bottom"/>
          </w:tcPr>
          <w:p>
            <w:pPr>
              <w:spacing w:after="0"/>
              <w:rPr>
                <w:sz w:val="15"/>
                <w:szCs w:val="15"/>
                <w:color w:val="auto"/>
              </w:rPr>
            </w:pPr>
          </w:p>
        </w:tc>
        <w:tc>
          <w:tcPr>
            <w:tcW w:w="280" w:type="dxa"/>
            <w:vAlign w:val="bottom"/>
            <w:gridSpan w:val="4"/>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gridSpan w:val="2"/>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137,389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29"/>
        </w:trPr>
        <w:tc>
          <w:tcPr>
            <w:tcW w:w="5960" w:type="dxa"/>
            <w:vAlign w:val="bottom"/>
            <w:tcBorders>
              <w:right w:val="single" w:sz="8" w:color="CCEEFF"/>
            </w:tcBorders>
            <w:gridSpan w:val="31"/>
            <w:shd w:val="clear" w:color="auto" w:fill="CCEEFF"/>
          </w:tcPr>
          <w:p>
            <w:pPr>
              <w:spacing w:after="0"/>
              <w:rPr>
                <w:sz w:val="20"/>
                <w:szCs w:val="20"/>
                <w:color w:val="auto"/>
              </w:rPr>
            </w:pPr>
            <w:r>
              <w:rPr>
                <w:rFonts w:ascii="Arial" w:cs="Arial" w:eastAsia="Arial" w:hAnsi="Arial"/>
                <w:sz w:val="13"/>
                <w:szCs w:val="13"/>
                <w:color w:val="auto"/>
              </w:rPr>
              <w:t>Issuance of common stock upon</w:t>
            </w:r>
          </w:p>
        </w:tc>
        <w:tc>
          <w:tcPr>
            <w:tcW w:w="320" w:type="dxa"/>
            <w:vAlign w:val="bottom"/>
            <w:tcBorders>
              <w:right w:val="single" w:sz="8" w:color="auto"/>
            </w:tcBorders>
            <w:gridSpan w:val="4"/>
            <w:shd w:val="clear" w:color="auto" w:fill="CCEEFF"/>
          </w:tcPr>
          <w:p>
            <w:pPr>
              <w:spacing w:after="0"/>
              <w:rPr>
                <w:sz w:val="11"/>
                <w:szCs w:val="11"/>
                <w:color w:val="auto"/>
              </w:rPr>
            </w:pPr>
          </w:p>
        </w:tc>
        <w:tc>
          <w:tcPr>
            <w:tcW w:w="4960" w:type="dxa"/>
            <w:vAlign w:val="bottom"/>
            <w:gridSpan w:val="2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exercise of warrants</w:t>
            </w: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gridSpan w:val="2"/>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62,772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Conversion of redeemable</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convertible preferred stock</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into common stock in</w:t>
            </w:r>
          </w:p>
        </w:tc>
        <w:tc>
          <w:tcPr>
            <w:tcW w:w="4960" w:type="dxa"/>
            <w:vAlign w:val="bottom"/>
            <w:gridSpan w:val="28"/>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connection with the reverse</w:t>
            </w:r>
          </w:p>
        </w:tc>
        <w:tc>
          <w:tcPr>
            <w:tcW w:w="3740" w:type="dxa"/>
            <w:vAlign w:val="bottom"/>
            <w:gridSpan w:val="23"/>
          </w:tcPr>
          <w:p>
            <w:pPr>
              <w:spacing w:after="0"/>
              <w:rPr>
                <w:sz w:val="10"/>
                <w:szCs w:val="10"/>
                <w:color w:val="auto"/>
              </w:rPr>
            </w:pPr>
          </w:p>
        </w:tc>
        <w:tc>
          <w:tcPr>
            <w:tcW w:w="4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gridSpan w:val="4"/>
          </w:tcPr>
          <w:p>
            <w:pPr>
              <w:ind w:left="160"/>
              <w:spacing w:after="0"/>
              <w:rPr>
                <w:sz w:val="20"/>
                <w:szCs w:val="20"/>
                <w:color w:val="auto"/>
              </w:rPr>
            </w:pPr>
            <w:r>
              <w:rPr>
                <w:rFonts w:ascii="Arial" w:cs="Arial" w:eastAsia="Arial" w:hAnsi="Arial"/>
                <w:sz w:val="13"/>
                <w:szCs w:val="13"/>
                <w:color w:val="auto"/>
              </w:rPr>
              <w:t>recapitalization</w:t>
            </w:r>
          </w:p>
        </w:tc>
        <w:tc>
          <w:tcPr>
            <w:tcW w:w="760" w:type="dxa"/>
            <w:vAlign w:val="bottom"/>
            <w:gridSpan w:val="4"/>
          </w:tcPr>
          <w:p>
            <w:pPr>
              <w:jc w:val="right"/>
              <w:spacing w:after="0"/>
              <w:rPr>
                <w:sz w:val="20"/>
                <w:szCs w:val="20"/>
                <w:color w:val="auto"/>
              </w:rPr>
            </w:pPr>
            <w:r>
              <w:rPr>
                <w:rFonts w:ascii="Arial" w:cs="Arial" w:eastAsia="Arial" w:hAnsi="Arial"/>
                <w:sz w:val="13"/>
                <w:szCs w:val="13"/>
                <w:color w:val="auto"/>
                <w:w w:val="97"/>
              </w:rPr>
              <w:t>(13,174,805)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w w:val="87"/>
              </w:rPr>
              <w:t>(5,494)</w:t>
            </w:r>
          </w:p>
        </w:tc>
        <w:tc>
          <w:tcPr>
            <w:tcW w:w="840" w:type="dxa"/>
            <w:vAlign w:val="bottom"/>
            <w:gridSpan w:val="5"/>
          </w:tcPr>
          <w:p>
            <w:pPr>
              <w:jc w:val="right"/>
              <w:spacing w:after="0"/>
              <w:rPr>
                <w:sz w:val="20"/>
                <w:szCs w:val="20"/>
                <w:color w:val="auto"/>
              </w:rPr>
            </w:pPr>
            <w:r>
              <w:rPr>
                <w:rFonts w:ascii="Arial" w:cs="Arial" w:eastAsia="Arial" w:hAnsi="Arial"/>
                <w:sz w:val="13"/>
                <w:szCs w:val="13"/>
                <w:color w:val="auto"/>
              </w:rPr>
              <w:t>(16,836,436)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w w:val="90"/>
              </w:rPr>
              <w:t>(27,067)</w:t>
            </w: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color w:val="auto"/>
                <w:w w:val="94"/>
              </w:rPr>
              <w:t>(22,164,724)</w:t>
            </w:r>
          </w:p>
        </w:tc>
        <w:tc>
          <w:tcPr>
            <w:tcW w:w="80" w:type="dxa"/>
            <w:vAlign w:val="bottom"/>
          </w:tcPr>
          <w:p>
            <w:pPr>
              <w:spacing w:after="0"/>
              <w:rPr>
                <w:sz w:val="16"/>
                <w:szCs w:val="16"/>
                <w:color w:val="auto"/>
              </w:rPr>
            </w:pP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(75,857)</w:t>
            </w:r>
          </w:p>
        </w:tc>
        <w:tc>
          <w:tcPr>
            <w:tcW w:w="120" w:type="dxa"/>
            <w:vAlign w:val="bottom"/>
            <w:tcBorders>
              <w:right w:val="single" w:sz="8" w:color="auto"/>
            </w:tcBorders>
            <w:gridSpan w:val="2"/>
          </w:tcPr>
          <w:p>
            <w:pPr>
              <w:spacing w:after="0"/>
              <w:rPr>
                <w:sz w:val="16"/>
                <w:szCs w:val="16"/>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52,175,965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4"/>
          </w:tcPr>
          <w:p>
            <w:pPr>
              <w:jc w:val="right"/>
              <w:spacing w:after="0"/>
              <w:rPr>
                <w:sz w:val="20"/>
                <w:szCs w:val="20"/>
                <w:color w:val="auto"/>
              </w:rPr>
            </w:pPr>
            <w:r>
              <w:rPr>
                <w:rFonts w:ascii="Arial" w:cs="Arial" w:eastAsia="Arial" w:hAnsi="Arial"/>
                <w:sz w:val="13"/>
                <w:szCs w:val="13"/>
                <w:color w:val="auto"/>
              </w:rPr>
              <w:t>108,411</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108,418</w:t>
            </w:r>
          </w:p>
        </w:tc>
        <w:tc>
          <w:tcPr>
            <w:tcW w:w="0" w:type="dxa"/>
            <w:vAlign w:val="bottom"/>
          </w:tcPr>
          <w:p>
            <w:pPr>
              <w:spacing w:after="0"/>
              <w:rPr>
                <w:sz w:val="1"/>
                <w:szCs w:val="1"/>
                <w:color w:val="auto"/>
              </w:rPr>
            </w:pPr>
          </w:p>
        </w:tc>
      </w:tr>
      <w:tr>
        <w:trPr>
          <w:trHeight w:val="122"/>
        </w:trPr>
        <w:tc>
          <w:tcPr>
            <w:tcW w:w="5960" w:type="dxa"/>
            <w:vAlign w:val="bottom"/>
            <w:tcBorders>
              <w:right w:val="single" w:sz="8" w:color="CCEEFF"/>
            </w:tcBorders>
            <w:gridSpan w:val="31"/>
            <w:shd w:val="clear" w:color="auto" w:fill="CCEEFF"/>
          </w:tcPr>
          <w:p>
            <w:pPr>
              <w:spacing w:after="0"/>
              <w:rPr>
                <w:sz w:val="20"/>
                <w:szCs w:val="20"/>
                <w:color w:val="auto"/>
              </w:rPr>
            </w:pPr>
            <w:r>
              <w:rPr>
                <w:rFonts w:ascii="Arial" w:cs="Arial" w:eastAsia="Arial" w:hAnsi="Arial"/>
                <w:sz w:val="13"/>
                <w:szCs w:val="13"/>
                <w:color w:val="auto"/>
              </w:rPr>
              <w:t>Issuance of common stock upon</w:t>
            </w:r>
          </w:p>
        </w:tc>
        <w:tc>
          <w:tcPr>
            <w:tcW w:w="320" w:type="dxa"/>
            <w:vAlign w:val="bottom"/>
            <w:tcBorders>
              <w:right w:val="single" w:sz="8" w:color="auto"/>
            </w:tcBorders>
            <w:gridSpan w:val="4"/>
            <w:shd w:val="clear" w:color="auto" w:fill="CCEEFF"/>
          </w:tcPr>
          <w:p>
            <w:pPr>
              <w:spacing w:after="0"/>
              <w:rPr>
                <w:sz w:val="10"/>
                <w:szCs w:val="10"/>
                <w:color w:val="auto"/>
              </w:rPr>
            </w:pPr>
          </w:p>
        </w:tc>
        <w:tc>
          <w:tcPr>
            <w:tcW w:w="4960" w:type="dxa"/>
            <w:vAlign w:val="bottom"/>
            <w:gridSpan w:val="2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60" w:type="dxa"/>
            <w:vAlign w:val="bottom"/>
            <w:tcBorders>
              <w:right w:val="single" w:sz="8" w:color="CCEEFF"/>
            </w:tcBorders>
            <w:gridSpan w:val="31"/>
            <w:shd w:val="clear" w:color="auto" w:fill="CCEEFF"/>
          </w:tcPr>
          <w:p>
            <w:pPr>
              <w:spacing w:after="0"/>
              <w:rPr>
                <w:sz w:val="20"/>
                <w:szCs w:val="20"/>
                <w:color w:val="auto"/>
              </w:rPr>
            </w:pPr>
            <w:r>
              <w:rPr>
                <w:rFonts w:ascii="Arial" w:cs="Arial" w:eastAsia="Arial" w:hAnsi="Arial"/>
                <w:sz w:val="13"/>
                <w:szCs w:val="13"/>
                <w:color w:val="auto"/>
              </w:rPr>
              <w:t>the reverse recapitalization,</w:t>
            </w:r>
          </w:p>
        </w:tc>
        <w:tc>
          <w:tcPr>
            <w:tcW w:w="320" w:type="dxa"/>
            <w:vAlign w:val="bottom"/>
            <w:tcBorders>
              <w:right w:val="single" w:sz="8" w:color="auto"/>
            </w:tcBorders>
            <w:gridSpan w:val="4"/>
            <w:shd w:val="clear" w:color="auto" w:fill="CCEEFF"/>
          </w:tcPr>
          <w:p>
            <w:pPr>
              <w:spacing w:after="0"/>
              <w:rPr>
                <w:sz w:val="10"/>
                <w:szCs w:val="10"/>
                <w:color w:val="auto"/>
              </w:rPr>
            </w:pPr>
          </w:p>
        </w:tc>
        <w:tc>
          <w:tcPr>
            <w:tcW w:w="4960" w:type="dxa"/>
            <w:vAlign w:val="bottom"/>
            <w:gridSpan w:val="2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74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net of issuance costs</w:t>
            </w:r>
          </w:p>
        </w:tc>
        <w:tc>
          <w:tcPr>
            <w:tcW w:w="5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gridSpan w:val="2"/>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38,721,137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327,276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327,280</w:t>
            </w:r>
          </w:p>
        </w:tc>
        <w:tc>
          <w:tcPr>
            <w:tcW w:w="0" w:type="dxa"/>
            <w:vAlign w:val="bottom"/>
          </w:tcPr>
          <w:p>
            <w:pPr>
              <w:spacing w:after="0"/>
              <w:rPr>
                <w:sz w:val="1"/>
                <w:szCs w:val="1"/>
                <w:color w:val="auto"/>
              </w:rPr>
            </w:pPr>
          </w:p>
        </w:tc>
      </w:tr>
      <w:tr>
        <w:trPr>
          <w:trHeight w:val="121"/>
        </w:trPr>
        <w:tc>
          <w:tcPr>
            <w:tcW w:w="6280" w:type="dxa"/>
            <w:vAlign w:val="bottom"/>
            <w:tcBorders>
              <w:right w:val="single" w:sz="8" w:color="auto"/>
            </w:tcBorders>
            <w:gridSpan w:val="35"/>
          </w:tcPr>
          <w:p>
            <w:pPr>
              <w:spacing w:after="0"/>
              <w:rPr>
                <w:sz w:val="20"/>
                <w:szCs w:val="20"/>
                <w:color w:val="auto"/>
              </w:rPr>
            </w:pPr>
            <w:r>
              <w:rPr>
                <w:rFonts w:ascii="Arial" w:cs="Arial" w:eastAsia="Arial" w:hAnsi="Arial"/>
                <w:sz w:val="13"/>
                <w:szCs w:val="13"/>
                <w:color w:val="auto"/>
              </w:rPr>
              <w:t>Stock-based compensation</w:t>
            </w:r>
          </w:p>
        </w:tc>
        <w:tc>
          <w:tcPr>
            <w:tcW w:w="4960" w:type="dxa"/>
            <w:vAlign w:val="bottom"/>
            <w:gridSpan w:val="28"/>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gridSpan w:val="4"/>
          </w:tcPr>
          <w:p>
            <w:pPr>
              <w:spacing w:after="0"/>
              <w:rPr>
                <w:sz w:val="20"/>
                <w:szCs w:val="20"/>
                <w:color w:val="auto"/>
              </w:rPr>
            </w:pPr>
            <w:r>
              <w:rPr>
                <w:rFonts w:ascii="Arial" w:cs="Arial" w:eastAsia="Arial" w:hAnsi="Arial"/>
                <w:sz w:val="13"/>
                <w:szCs w:val="13"/>
                <w:color w:val="auto"/>
              </w:rPr>
              <w:t>expense</w:t>
            </w:r>
          </w:p>
        </w:tc>
        <w:tc>
          <w:tcPr>
            <w:tcW w:w="560" w:type="dxa"/>
            <w:vAlign w:val="bottom"/>
          </w:tcPr>
          <w:p>
            <w:pPr>
              <w:spacing w:after="0"/>
              <w:rPr>
                <w:sz w:val="15"/>
                <w:szCs w:val="15"/>
                <w:color w:val="auto"/>
              </w:rPr>
            </w:pPr>
          </w:p>
        </w:tc>
        <w:tc>
          <w:tcPr>
            <w:tcW w:w="280" w:type="dxa"/>
            <w:vAlign w:val="bottom"/>
            <w:gridSpan w:val="4"/>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w w:val="79"/>
              </w:rPr>
              <w:t>5,404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5,404</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56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Net loss</w:t>
            </w: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(33,626)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(33,626)</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b w:val="1"/>
                <w:bCs w:val="1"/>
                <w:color w:val="auto"/>
                <w:w w:val="87"/>
              </w:rPr>
              <w:t>Balances at September 30, 2021</w:t>
            </w:r>
          </w:p>
        </w:tc>
        <w:tc>
          <w:tcPr>
            <w:tcW w:w="5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right w:val="single" w:sz="8" w:color="auto"/>
            </w:tcBorders>
            <w:gridSpan w:val="2"/>
            <w:shd w:val="clear" w:color="auto" w:fill="CCEEFF"/>
          </w:tcPr>
          <w:p>
            <w:pPr>
              <w:spacing w:after="0"/>
              <w:rPr>
                <w:sz w:val="19"/>
                <w:szCs w:val="19"/>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124,166,776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441,795</w:t>
            </w:r>
          </w:p>
        </w:tc>
        <w:tc>
          <w:tcPr>
            <w:tcW w:w="7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(63,951)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377,847</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gridSpan w:val="5"/>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right="220" w:hanging="332"/>
        <w:spacing w:after="0" w:line="293" w:lineRule="auto"/>
        <w:tabs>
          <w:tab w:leader="none" w:pos="32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Nine Months Ended 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(accretion) of premium (discount) on securities,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(28,722)</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(145,028)</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327,384</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153,634</w:t>
            </w: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recapitalization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9, 2021 (the “Closing Date”),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1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September 30, 2022, the results of its operations for the three and nine months ended September 30, 2022 and 2021 and its cash flows for the nine months ended September 30, 2022 and 2021. The results of operations for the three and nine months ended September 30, 2022 are not necessarily indicative of the results that may be expected for the year ending December 31, 2022. These financial statements and accompanying notes should be read in conjunction with the consolidated financial statements and notes thereto in the Company’s Annual Report on Form 10-K for the fiscal year ended December 31, 2021 on file with the SEC. The Company’s reporting currency is the U.S. dollar.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incurred net operating losses and negative cash flows from operations in every year since inception and expects this to continue for the foreseeable future. As of September 30, 2022, the Company had an accumulated deficit of $125.2 million.</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$258.0 million as of September 30, 2022.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10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highly-liquid investments with an original maturity of three months or less as of the date of acquisition to be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Comprehensive loss consists of net loss and other gains or losses affecting stockholders’ equity that, under U.S. GAAP are excluded from net loss. For the three and nine months ended September 30, 2022 and 2021, net unrealized losses on marketable debt securities were included as a component of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adopted this guidance effective January 1, 2022 using the prospective method, which did not have a material impact on the Company’s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adoption of this ASU on its condensed consolidated financial statements and related disclosures. The Company does not anticipate adoption to have a material impact on its condensed consolidated financial statements.</w:t>
      </w:r>
    </w:p>
    <w:p>
      <w:pPr>
        <w:spacing w:after="0" w:line="11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Business Combination, Legacy Nautilus equity holders received an aggregate number of shares of New Nautilus Common Stock equal to</w:t>
      </w:r>
    </w:p>
    <w:p>
      <w:pPr>
        <w:spacing w:after="0" w:line="46" w:lineRule="exact"/>
        <w:rPr>
          <w:sz w:val="20"/>
          <w:szCs w:val="20"/>
          <w:color w:val="auto"/>
        </w:rPr>
      </w:pPr>
    </w:p>
    <w:p>
      <w:pPr>
        <w:ind w:right="20" w:firstLine="8"/>
        <w:spacing w:after="0" w:line="285"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60" w:type="dxa"/>
            <w:vAlign w:val="bottom"/>
          </w:tcPr>
          <w:p>
            <w:pPr>
              <w:spacing w:after="0"/>
              <w:rPr>
                <w:sz w:val="16"/>
                <w:szCs w:val="16"/>
                <w:color w:val="auto"/>
              </w:rPr>
            </w:pPr>
          </w:p>
        </w:tc>
        <w:tc>
          <w:tcPr>
            <w:tcW w:w="1800" w:type="dxa"/>
            <w:vAlign w:val="bottom"/>
          </w:tcPr>
          <w:p>
            <w:pPr>
              <w:jc w:val="right"/>
              <w:ind w:right="252"/>
              <w:spacing w:after="0"/>
              <w:rPr>
                <w:sz w:val="20"/>
                <w:szCs w:val="20"/>
                <w:color w:val="auto"/>
              </w:rPr>
            </w:pPr>
            <w:r>
              <w:rPr>
                <w:rFonts w:ascii="Arial" w:cs="Arial" w:eastAsia="Arial" w:hAnsi="Arial"/>
                <w:sz w:val="14"/>
                <w:szCs w:val="14"/>
                <w:b w:val="1"/>
                <w:bCs w:val="1"/>
                <w:color w:val="auto"/>
              </w:rPr>
              <w:t>Number of Shares</w:t>
            </w:r>
          </w:p>
        </w:tc>
      </w:tr>
      <w:tr>
        <w:trPr>
          <w:trHeight w:val="26"/>
        </w:trPr>
        <w:tc>
          <w:tcPr>
            <w:tcW w:w="87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ARYA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ARYA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issued in PIPE Financing</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 and PIPE Financing shares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Legacy Nautilus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September 30, 2022 and December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6"/>
          </w:tcPr>
          <w:p>
            <w:pPr>
              <w:ind w:left="26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Reported as: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Cash and cash</w:t>
            </w:r>
          </w:p>
        </w:tc>
        <w:tc>
          <w:tcPr>
            <w:tcW w:w="160" w:type="dxa"/>
            <w:vAlign w:val="bottom"/>
          </w:tcPr>
          <w:p>
            <w:pPr>
              <w:spacing w:after="0"/>
              <w:rPr>
                <w:sz w:val="11"/>
                <w:szCs w:val="11"/>
                <w:color w:val="auto"/>
              </w:rPr>
            </w:pPr>
          </w:p>
        </w:tc>
        <w:tc>
          <w:tcPr>
            <w:tcW w:w="116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96"/>
        </w:trPr>
        <w:tc>
          <w:tcPr>
            <w:tcW w:w="2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60" w:type="dxa"/>
            <w:vAlign w:val="bottom"/>
          </w:tcPr>
          <w:p>
            <w:pPr>
              <w:spacing w:after="0"/>
              <w:rPr>
                <w:sz w:val="17"/>
                <w:szCs w:val="17"/>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43,561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42,810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31,974</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231,384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188,082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281,966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280,836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188,082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60"/>
              <w:spacing w:after="0"/>
              <w:rPr>
                <w:sz w:val="20"/>
                <w:szCs w:val="20"/>
                <w:color w:val="auto"/>
              </w:rPr>
            </w:pPr>
            <w:r>
              <w:rPr>
                <w:rFonts w:ascii="Arial" w:cs="Arial" w:eastAsia="Arial" w:hAnsi="Arial"/>
                <w:sz w:val="18"/>
                <w:szCs w:val="18"/>
                <w:color w:val="auto"/>
              </w:rPr>
              <w:t>Total Level 1 and Level 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325,527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2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6"/>
          </w:tcPr>
          <w:p>
            <w:pPr>
              <w:ind w:left="26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Reported as: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Cash and cash</w:t>
            </w:r>
          </w:p>
        </w:tc>
        <w:tc>
          <w:tcPr>
            <w:tcW w:w="160" w:type="dxa"/>
            <w:vAlign w:val="bottom"/>
          </w:tcPr>
          <w:p>
            <w:pPr>
              <w:spacing w:after="0"/>
              <w:rPr>
                <w:sz w:val="11"/>
                <w:szCs w:val="11"/>
                <w:color w:val="auto"/>
              </w:rPr>
            </w:pPr>
          </w:p>
        </w:tc>
        <w:tc>
          <w:tcPr>
            <w:tcW w:w="116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equivalents</w:t>
            </w:r>
          </w:p>
        </w:tc>
        <w:tc>
          <w:tcPr>
            <w:tcW w:w="160" w:type="dxa"/>
            <w:vAlign w:val="bottom"/>
          </w:tcPr>
          <w:p>
            <w:pPr>
              <w:spacing w:after="0"/>
              <w:rPr>
                <w:sz w:val="17"/>
                <w:szCs w:val="17"/>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301,818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60"/>
              <w:spacing w:after="0"/>
              <w:rPr>
                <w:sz w:val="20"/>
                <w:szCs w:val="20"/>
                <w:color w:val="auto"/>
              </w:rPr>
            </w:pPr>
            <w:r>
              <w:rPr>
                <w:rFonts w:ascii="Arial" w:cs="Arial" w:eastAsia="Arial" w:hAnsi="Arial"/>
                <w:sz w:val="18"/>
                <w:szCs w:val="18"/>
                <w:color w:val="auto"/>
              </w:rPr>
              <w:t>Total Level 1 and Level 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362,284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185,619</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Contractual maturities of short-term investments as of September 30, 2022 and December 31, 2021 are due in one year or less. Contractual maturities of long-term investments as of September 30, 2022 and December 31, 2021 are due after 1 year through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unrealized losses and fair values of available-for-sale securities that have been in an unrealized loss position for a period of less than and greater than 12 months as of September 30, 2022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Securities in Unrealized Loss Position</w:t>
            </w:r>
          </w:p>
        </w:tc>
        <w:tc>
          <w:tcPr>
            <w:tcW w:w="140" w:type="dxa"/>
            <w:vAlign w:val="bottom"/>
          </w:tcPr>
          <w:p>
            <w:pPr>
              <w:spacing w:after="0"/>
              <w:rPr>
                <w:sz w:val="14"/>
                <w:szCs w:val="14"/>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Securities in Unrealized Loss Position</w:t>
            </w:r>
          </w:p>
        </w:tc>
        <w:tc>
          <w:tcPr>
            <w:tcW w:w="160" w:type="dxa"/>
            <w:vAlign w:val="bottom"/>
          </w:tcPr>
          <w:p>
            <w:pPr>
              <w:spacing w:after="0"/>
              <w:rPr>
                <w:sz w:val="14"/>
                <w:szCs w:val="14"/>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0"/>
              </w:rPr>
              <w:t>Less than 12 months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Greater than 12 months</w:t>
            </w: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13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4"/>
        </w:trPr>
        <w:tc>
          <w:tcPr>
            <w:tcW w:w="33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September 30, 2022</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Market Value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Market Value</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3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7"/>
                <w:szCs w:val="17"/>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41,960</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231,118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231,118</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bonds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42,525</w:t>
            </w:r>
          </w:p>
        </w:tc>
        <w:tc>
          <w:tcPr>
            <w:tcW w:w="0" w:type="dxa"/>
            <w:vAlign w:val="bottom"/>
          </w:tcPr>
          <w:p>
            <w:pPr>
              <w:spacing w:after="0"/>
              <w:rPr>
                <w:sz w:val="1"/>
                <w:szCs w:val="1"/>
                <w:color w:val="auto"/>
              </w:rPr>
            </w:pPr>
          </w:p>
        </w:tc>
      </w:tr>
      <w:tr>
        <w:trPr>
          <w:trHeight w:val="223"/>
        </w:trPr>
        <w:tc>
          <w:tcPr>
            <w:tcW w:w="334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306,780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322,796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continuous unrealized loss positions in excess of twelve months as of December 31, 2021.</w:t>
      </w:r>
    </w:p>
    <w:p>
      <w:pPr>
        <w:spacing w:after="0" w:line="167" w:lineRule="exact"/>
        <w:rPr>
          <w:sz w:val="20"/>
          <w:szCs w:val="20"/>
          <w:color w:val="auto"/>
        </w:rPr>
      </w:pPr>
    </w:p>
    <w:p>
      <w:pPr>
        <w:ind w:right="4360" w:firstLine="8"/>
        <w:spacing w:after="0" w:line="440" w:lineRule="auto"/>
        <w:tabs>
          <w:tab w:leader="none" w:pos="64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recorded depreciation expense of $0.3 million and $0.9 million for the three and nine months ended September 30, 2022 and $0.3 million and $0.8 million for the three and nine months ended September 30, 2021, respectively, which was primarily allocated to research and development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Deposits</w:t>
            </w:r>
          </w:p>
        </w:tc>
        <w:tc>
          <w:tcPr>
            <w:tcW w:w="1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Accrued research and development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Accrued facilities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640" w:type="dxa"/>
            <w:vAlign w:val="bottom"/>
          </w:tcPr>
          <w:p>
            <w:pPr>
              <w:ind w:left="240"/>
              <w:spacing w:after="0"/>
              <w:rPr>
                <w:sz w:val="20"/>
                <w:szCs w:val="20"/>
                <w:color w:val="auto"/>
              </w:rPr>
            </w:pPr>
            <w:r>
              <w:rPr>
                <w:rFonts w:ascii="Arial" w:cs="Arial" w:eastAsia="Arial" w:hAnsi="Arial"/>
                <w:sz w:val="18"/>
                <w:szCs w:val="18"/>
                <w:color w:val="auto"/>
                <w:w w:val="94"/>
              </w:rPr>
              <w:t>Total</w:t>
            </w: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9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80" w:type="dxa"/>
            <w:vAlign w:val="bottom"/>
            <w:gridSpan w:val="3"/>
          </w:tcPr>
          <w:p>
            <w:pPr>
              <w:spacing w:after="0"/>
              <w:rPr>
                <w:sz w:val="20"/>
                <w:szCs w:val="20"/>
                <w:color w:val="auto"/>
              </w:rPr>
            </w:pPr>
            <w:r>
              <w:rPr>
                <w:rFonts w:ascii="Arial" w:cs="Arial" w:eastAsia="Arial" w:hAnsi="Arial"/>
                <w:sz w:val="18"/>
                <w:szCs w:val="18"/>
                <w:color w:val="auto"/>
                <w:w w:val="93"/>
              </w:rPr>
              <w:t>Cash, cash equivalents and restricted cash consisted of the following:</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gridSpan w:val="2"/>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8"/>
        </w:trPr>
        <w:tc>
          <w:tcPr>
            <w:tcW w:w="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Total</w:t>
            </w:r>
          </w:p>
        </w:tc>
        <w:tc>
          <w:tcPr>
            <w:tcW w:w="4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9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00" w:type="dxa"/>
            <w:vAlign w:val="bottom"/>
            <w:gridSpan w:val="2"/>
          </w:tcPr>
          <w:p>
            <w:pPr>
              <w:spacing w:after="0"/>
              <w:rPr>
                <w:sz w:val="20"/>
                <w:szCs w:val="20"/>
                <w:color w:val="auto"/>
              </w:rPr>
            </w:pPr>
            <w:r>
              <w:rPr>
                <w:rFonts w:ascii="Arial" w:cs="Arial" w:eastAsia="Arial" w:hAnsi="Arial"/>
                <w:sz w:val="18"/>
                <w:szCs w:val="18"/>
                <w:color w:val="auto"/>
              </w:rPr>
              <w:t>Other income (expense), net consisted of the following:</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6"/>
          </w:tcPr>
          <w:p>
            <w:pPr>
              <w:jc w:val="right"/>
              <w:ind w:right="39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(131)</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8"/>
        </w:trPr>
        <w:tc>
          <w:tcPr>
            <w:tcW w:w="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Total</w:t>
            </w:r>
          </w:p>
        </w:tc>
        <w:tc>
          <w:tcPr>
            <w:tcW w:w="4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Redeemable Convertible Preferred Stock</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40" w:type="dxa"/>
            <w:vAlign w:val="bottom"/>
            <w:vMerge w:val="continue"/>
          </w:tcPr>
          <w:p>
            <w:pPr>
              <w:spacing w:after="0"/>
              <w:rPr>
                <w:sz w:val="24"/>
                <w:szCs w:val="24"/>
                <w:color w:val="auto"/>
              </w:rPr>
            </w:pPr>
          </w:p>
        </w:tc>
        <w:tc>
          <w:tcPr>
            <w:tcW w:w="4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September 30, 2022 the Company had no issued and outstanding Preferred Stock shares.</w:t>
      </w:r>
    </w:p>
    <w:p>
      <w:pPr>
        <w:spacing w:after="0" w:line="1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1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June 2021, pursuant to the Business Combination, the Company amended its certificate of incorporation to increase the number of authorized common stock shares to 1,000,000,000 shares. There were 124,723,525 shares issued and outstanding as of September 30, 2022.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Stock options issued and outstanding</w:t>
            </w:r>
          </w:p>
        </w:tc>
        <w:tc>
          <w:tcPr>
            <w:tcW w:w="5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11,515,123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w w:val="90"/>
              </w:rPr>
              <w:t>Shares available for grant under 2021</w:t>
            </w:r>
          </w:p>
        </w:tc>
        <w:tc>
          <w:tcPr>
            <w:tcW w:w="52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17,359,481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14,481,463</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Shares available for grant under 2021</w:t>
            </w: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2,439,577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1,244,900</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31,314,181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24,276,439</w:t>
            </w:r>
          </w:p>
        </w:tc>
      </w:tr>
      <w:tr>
        <w:trPr>
          <w:trHeight w:val="21"/>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nine months ended September 30, 2022 and 2021, no income tax expense or benefit was recognized, primarily due to a full valuation allowance recorded against its deferred tax assets.</w:t>
      </w:r>
    </w:p>
    <w:p>
      <w:pPr>
        <w:spacing w:after="0" w:line="13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and Stock-based Compensation</w:t>
      </w:r>
    </w:p>
    <w:p>
      <w:pPr>
        <w:spacing w:after="0" w:line="175"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On June 8, 2021, the stockholders of the Company approved the 2021 Equity Incentive Plan (“2021 Plan”) and the 2021 Employee Stock Purchase Plan (“2021 ESPP”). As of September 30, 2022, 17,359,481 and 2,439,577 shares were available for grant under the 2021 Plan and 2021 ESPP,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Under the 2021 ESPP, the Company can grant stock options to employees to purchase shares of Common Stock at a purchase price which is equal to 85% of the fair market value of common stock on the enrollment date or on the exercise date, whichever is lower.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2022, the number of shares available under the ESPP increased by 1,243,030 shares pursuant to this feature.</w:t>
      </w:r>
    </w:p>
    <w:p>
      <w:pPr>
        <w:spacing w:after="0" w:line="13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first offering period was from October 1, 2021 through June 1, 2022. For subsequent offering periods, the Company will be offering a six month purchase period. As of September 30, 2022, 48,353 shares of common stock were purchased under the 2021 ESPP.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2022, the number of shares available under the 2021 Plan increased by 6,215,154 shares pursuant to this feature.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4120" w:type="dxa"/>
            <w:vAlign w:val="bottom"/>
            <w:gridSpan w:val="4"/>
          </w:tcPr>
          <w:p>
            <w:pPr>
              <w:ind w:left="900"/>
              <w:spacing w:after="0"/>
              <w:rPr>
                <w:sz w:val="20"/>
                <w:szCs w:val="20"/>
                <w:color w:val="auto"/>
              </w:rPr>
            </w:pPr>
            <w:r>
              <w:rPr>
                <w:rFonts w:ascii="Arial" w:cs="Arial" w:eastAsia="Arial" w:hAnsi="Arial"/>
                <w:sz w:val="14"/>
                <w:szCs w:val="14"/>
                <w:b w:val="1"/>
                <w:bCs w:val="1"/>
                <w:color w:val="auto"/>
              </w:rPr>
              <w:t>Three Months Ended September 30,</w:t>
            </w:r>
          </w:p>
        </w:tc>
        <w:tc>
          <w:tcPr>
            <w:tcW w:w="4040" w:type="dxa"/>
            <w:vAlign w:val="bottom"/>
            <w:gridSpan w:val="3"/>
          </w:tcPr>
          <w:p>
            <w:pPr>
              <w:jc w:val="right"/>
              <w:ind w:right="85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28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9"/>
        </w:trPr>
        <w:tc>
          <w:tcPr>
            <w:tcW w:w="28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2021</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5.3 - 6.1</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jc w:val="right"/>
              <w:spacing w:after="0"/>
              <w:rPr>
                <w:sz w:val="20"/>
                <w:szCs w:val="20"/>
                <w:color w:val="auto"/>
              </w:rPr>
            </w:pPr>
            <w:r>
              <w:rPr>
                <w:rFonts w:ascii="Arial" w:cs="Arial" w:eastAsia="Arial" w:hAnsi="Arial"/>
                <w:sz w:val="18"/>
                <w:szCs w:val="18"/>
                <w:color w:val="auto"/>
              </w:rPr>
              <w:t>109.3% - 110.2%</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91.6% - 92.7%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105.2% - 110.2%</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91.6% - 94.2%</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60" w:type="dxa"/>
            <w:vAlign w:val="bottom"/>
          </w:tcPr>
          <w:p>
            <w:pPr>
              <w:jc w:val="right"/>
              <w:spacing w:after="0"/>
              <w:rPr>
                <w:sz w:val="20"/>
                <w:szCs w:val="20"/>
                <w:color w:val="auto"/>
              </w:rPr>
            </w:pPr>
            <w:r>
              <w:rPr>
                <w:rFonts w:ascii="Arial" w:cs="Arial" w:eastAsia="Arial" w:hAnsi="Arial"/>
                <w:sz w:val="18"/>
                <w:szCs w:val="18"/>
                <w:color w:val="auto"/>
              </w:rPr>
              <w:t>2.81% - 3.69%</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0.91% - 0.96%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1.73% - 3.69%</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0.53% - 1.02%</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 $2.86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$7.11 - $9.21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 $4.72</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$7.11 - $11.16</w:t>
            </w:r>
          </w:p>
        </w:tc>
      </w:tr>
    </w:tbl>
    <w:p>
      <w:pPr>
        <w:spacing w:after="0" w:line="2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Expected volatility: Historically, the Company has been a private company and lacked company</w:t>
      </w:r>
      <w:r>
        <w:rPr>
          <w:rFonts w:ascii="MS PGothic" w:cs="MS PGothic" w:eastAsia="MS PGothic" w:hAnsi="MS PGothic"/>
          <w:sz w:val="17"/>
          <w:szCs w:val="17"/>
          <w:color w:val="auto"/>
        </w:rPr>
        <w:t>‑</w:t>
      </w:r>
      <w:r>
        <w:rPr>
          <w:rFonts w:ascii="Arial" w:cs="Arial" w:eastAsia="Arial" w:hAnsi="Arial"/>
          <w:sz w:val="17"/>
          <w:szCs w:val="17"/>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Expected dividend yield: The expected dividend rate is zero as the Company has no history or expectation of declaring dividends on its common stock.</w:t>
      </w:r>
    </w:p>
    <w:p>
      <w:pPr>
        <w:spacing w:after="0" w:line="1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Fair value of common stock: Prior to the Business Combination,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w:t>
      </w:r>
    </w:p>
    <w:p>
      <w:pPr>
        <w:spacing w:after="0" w:line="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the Company’s common stock is determined based on its closing market price.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awards granted in late January 2021 had an exercise price equal to the grant date fair value of the Company’s common stock. The Company’s board of directors made a determination of the fair market value of the Company’s common stock which contemplated the implied equity value of the Company per the Business Combination Agreement that was executed on February 7,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award activity during the nine months ended September 30,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4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8,550,076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4,448,363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(1,111,227)</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11,515,123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w w:val="92"/>
              </w:rPr>
              <w:t>Options vested and expected to vest as of September 30, 2022</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11,515,123</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September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3,650,243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September 30, 2022, there was $27.9 million of total unrecognized compensation expense expected to be recognized over a weighted average-period of 2.7 years. Aggregate intrinsic value represents the difference between the fair market value of the common stock and the exercise price of outstanding, in-the-money options.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the total stock-based compensation expense included in the Company’s condensed consolidated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84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September 30, 2022 as the Company had not yet received the related goods or services. As of September 30, 2022, the Company had open purchase commitments for goods and services of $1.7 million, which are expected to be received through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is obligated under certain non-cancellable operating leases for office space and laboratory space. This space includes operating leases in Seattle, Washington, and San Carlos, California.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Leases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In September 2021, the Company further amended the facility lease contract in San Carlos, California to shorten the remaining term of the lease to expire in October 2021 and was also accounted for as a modification.</w:t>
      </w:r>
    </w:p>
    <w:p>
      <w:pPr>
        <w:spacing w:after="0" w:line="13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December 2020, the Company also entered into a temporary office space lease agreement in San Carlos, California which commenced in February 2021 and expired in October 2021 with total minimum lease payments of $1.2 million. The temporary office space lease agreement was recognized as a short-term lease due to the election of the short-term lease measurement and recognition exemption.</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2021, the Company entered into another lease in San Carlos, California for nine years expected to commence in December 2022 and expiring in October 2031. The Company can terminate this lease after five years from commencement date without bearing any significant termination penalties and therefore the Company concluded that the lease term is five years with total minimum lease payments of $7.2 million. The Company may borrow funds from the landlord of up to $2.0 million with an interest rate of 7% to finance its tenant improvements. No amounts have been borrowed as of September 30, 2022.</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costs, which were included in operating expenses in condensed consolidated statements of operations,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nine months ended September 30, 2022 and 2021, cash paid for amounts included in the measurement of operating lease liabilities included in cash flows used in operating activities was $2.8 million and $1.2 million, respectively.</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2022, the weighted-average remaining lease term and weighted-average discount rate for operating leases is 8.7 years and 8.9%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Lease Obligations</w:t>
            </w:r>
          </w:p>
        </w:tc>
      </w:tr>
      <w:tr>
        <w:trPr>
          <w:trHeight w:val="26"/>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ending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amended the existing cash-collateralized letter of credit and increased the amount to $0.8 million. The cash amount is recorded as restricted cash under Other long-term assets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and nine months ended September 30,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(44,515)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(33,626)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124,651,318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124,114,893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124,522,164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71,085,128</w:t>
            </w: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w w:val="96"/>
              </w:rPr>
              <w:t xml:space="preserve">Less: </w:t>
            </w:r>
            <w:r>
              <w:rPr>
                <w:rFonts w:ascii="Arial" w:cs="Arial" w:eastAsia="Arial" w:hAnsi="Arial"/>
                <w:sz w:val="18"/>
                <w:szCs w:val="18"/>
                <w:color w:val="auto"/>
                <w:w w:val="96"/>
              </w:rPr>
              <w:t>Weighted-average unvested restricted shares and shares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repurchase</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0" w:type="dxa"/>
            <w:vAlign w:val="bottom"/>
          </w:tcPr>
          <w:p>
            <w:pPr>
              <w:spacing w:after="0"/>
              <w:rPr>
                <w:sz w:val="1"/>
                <w:szCs w:val="1"/>
                <w:color w:val="auto"/>
              </w:rPr>
            </w:pPr>
          </w:p>
        </w:tc>
      </w:tr>
      <w:tr>
        <w:trPr>
          <w:trHeight w:val="155"/>
        </w:trPr>
        <w:tc>
          <w:tcPr>
            <w:tcW w:w="4900" w:type="dxa"/>
            <w:vAlign w:val="bottom"/>
          </w:tcPr>
          <w:p>
            <w:pPr>
              <w:ind w:left="20"/>
              <w:spacing w:after="0" w:line="156" w:lineRule="exact"/>
              <w:rPr>
                <w:sz w:val="20"/>
                <w:szCs w:val="20"/>
                <w:color w:val="auto"/>
              </w:rPr>
            </w:pPr>
            <w:r>
              <w:rPr>
                <w:rFonts w:ascii="Arial" w:cs="Arial" w:eastAsia="Arial" w:hAnsi="Arial"/>
                <w:sz w:val="18"/>
                <w:szCs w:val="18"/>
                <w:color w:val="auto"/>
                <w:w w:val="96"/>
              </w:rPr>
              <w:t>Weighted average shares used in computing net loss per share</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124,651,318</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124,114,893</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124,522,164</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71,062,172</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8"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and Nine Months Ended</w:t>
      </w:r>
    </w:p>
    <w:p>
      <w:pPr>
        <w:spacing w:after="0" w:line="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11,515,123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8,316,886</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54,733</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11,569,856</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8,316,886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2021 and the related notes included in the Company’s Annual Report on Form 10-K filed with the SEC on February 24, 2022.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11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0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September 30, 2022, we had cash, cash equivalents and short-term investments of $258.0 million. Based on this, we believe that our existing cash, cash equivalents, and short-term investments will enable us to fund our planned operating expenses and capital expenditures through at least the next 12 months.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incurred significant losses since the commencement of our operations. Our net loss was $44.5 million during the nine months ended September 30, 2022, and we expect to continue to incur significant losses for the foreseeable future as we continue our research and development activities and planned commercialization of our proteomics platform. As of September 30, 2022, we had an accumulated deficit of $125.2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71"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global COVID-19 pandemic continues to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continue to employ hygiene protocols; controls for social distancing; enhanced cleaning, disinfecting, decontamination, and ventilation protocols; health policies; and usage of personal protective equipment, in all cases where appropriate. While we have largely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1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4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employee travel, with masking and vaccination requirements in our offices, and with our employees working remotely fully or intermittently as able from March 2020 until August 2022.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13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commercial activities supporting the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(including accretion and amortization of discounts and premiums on marketable debt securities), gains and losses on foreign currency transactions, and other miscellaneous nonrecurring expenses such as gains or loss on disposal of property and equipment.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to the Three Months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57"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32385</wp:posOffset>
            </wp:positionV>
            <wp:extent cx="20142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46990</wp:posOffset>
            </wp:positionV>
            <wp:extent cx="1954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8"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15" w:lineRule="exact"/>
        <w:rPr>
          <w:sz w:val="20"/>
          <w:szCs w:val="20"/>
          <w:color w:val="auto"/>
        </w:rPr>
      </w:pPr>
    </w:p>
    <w:p>
      <w:pPr>
        <w:ind w:left="140"/>
        <w:spacing w:after="0"/>
        <w:tabs>
          <w:tab w:leader="none" w:pos="17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1,327</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2645 %</w:t>
            </w:r>
          </w:p>
        </w:tc>
      </w:tr>
      <w:tr>
        <w:trPr>
          <w:trHeight w:val="223"/>
        </w:trPr>
        <w:tc>
          <w:tcPr>
            <w:tcW w:w="4740" w:type="dxa"/>
            <w:vAlign w:val="bottom"/>
          </w:tcPr>
          <w:p>
            <w:pPr>
              <w:ind w:left="68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Research and development expenses were $9.6 million for the three months ended September 30, 2022, compared to $8.2 million for the three months ended September 30, 2021, an increase of $1.3 million, or 16%. The increase was primarily due to a $1.3 million increase in salaries, related benefits, and stock-based compensation, a $0.5 million increase in facilities costs, and a $0.3 million increase in costs for development services. These increases were partially offset by a $0.6 million reduction in laboratory supplies and equipment expense, and a $0.2 million reduction in professional services and consulting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were $6.2 million for the three months ended September 30, 2022, compared to $6.3 million for the three months ended September 30, 2021, a decrease of $0.1 million, or (1)%. The decrease was primarily due to a $0.6 million decrease in professional services and consulting, and a $0.4 million decrease in insurance costs. These decreases were partially offset by a $0.8 million increase in salaries, related benefits, and stock-based compensation, and a $0.2 million increase in facilities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income (expense), net for the three months ended September 30, 2022 as compared to the three months ended September 30, 2021 changed primarily due to higher interest income from marketable debt securities driven by higher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to the Nine Months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57"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32385</wp:posOffset>
            </wp:positionV>
            <wp:extent cx="1954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440"/>
        <w:spacing w:after="0"/>
        <w:tabs>
          <w:tab w:leader="none" w:pos="700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39370</wp:posOffset>
            </wp:positionV>
            <wp:extent cx="19545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7"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4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15"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80" w:space="720"/>
            <w:col w:w="27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19,459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8,626</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4840" w:type="dxa"/>
            <w:vAlign w:val="bottom"/>
            <w:shd w:val="clear" w:color="auto" w:fill="CCEEFF"/>
          </w:tcPr>
          <w:p>
            <w:pPr>
              <w:jc w:val="right"/>
              <w:ind w:right="2610"/>
              <w:spacing w:after="0"/>
              <w:rPr>
                <w:sz w:val="20"/>
                <w:szCs w:val="20"/>
                <w:color w:val="auto"/>
              </w:rPr>
            </w:pPr>
            <w:r>
              <w:rPr>
                <w:rFonts w:ascii="Arial" w:cs="Arial" w:eastAsia="Arial" w:hAnsi="Arial"/>
                <w:sz w:val="18"/>
                <w:szCs w:val="18"/>
                <w:color w:val="auto"/>
                <w:w w:val="98"/>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4840" w:type="dxa"/>
            <w:vAlign w:val="bottom"/>
            <w:tcBorders>
              <w:bottom w:val="single" w:sz="8" w:color="CCEEFF"/>
            </w:tcBorders>
          </w:tcPr>
          <w:p>
            <w:pPr>
              <w:jc w:val="right"/>
              <w:ind w:right="261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13,632</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4898 %</w:t>
            </w: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(10,889)</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4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Research and development expenses were $28.1 million for the nine months ended September 30, 2022, compared to $19.5 million for the nine months ended September 30, 2021, an increase of $8.6 million, or 44%. The increase was primarily due to a $5.2 million increase in salaries, related benefits, and stock-based compensation, a $2.0 million increase in costs for development services, and a $1.7 million increase in facilities costs. These increases were partially offset by a $0.4 million decrease in professional services and consulting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General and administrative expenses were $19.2 million for the nine months ended September 30, 2022, compared to $14.2 million for the nine months ended September 30, 2021, an increase of $5.0 million, or 35%. The increase was primarily due to a $3.2 million increase in salaries, related benefits, and stock-based compensation, a $0.9 million increase in insurance costs, and a $0.8 million increase in facilities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income (expense), net for the nine months ended September 30, 2022 as compared to the nine months ended September 30, 2021 changed primarily due to higher interest income from marketable debt securities driven by higher interest rates.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 was $44.5 million for the nine months ended September 30, 2022. As of September 30, 2022, we had an accumulated deficit of $125.2 million.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September 30, 2022, we had cash, cash equivalents and short-term investments of $258.0 million.</w:t>
      </w:r>
    </w:p>
    <w:p>
      <w:pPr>
        <w:spacing w:after="0" w:line="122"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9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12"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Our failure to raise additional capital, if needed, would have a negative impact on our financial condition and our ability to execute our business plan.</w:t>
      </w:r>
    </w:p>
    <w:p>
      <w:pPr>
        <w:spacing w:after="0" w:line="1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expected future capital requirements depend on many factors including expansion of our product portfolio and the timing and extent of spending on sales and marketing and the development of our technology. If we raise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 2022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194"/>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(145,028)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327,384</w:t>
            </w: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153,634</w:t>
            </w:r>
          </w:p>
        </w:tc>
      </w:tr>
      <w:tr>
        <w:trPr>
          <w:trHeight w:val="21"/>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During the nine months ended September 30, 2022, net cash used in operating activities was $35.4 million, primarily resulting from our net loss of $44.5 million and decrease in net changes in assets and liabilities aggregating $0.6 million. The decrease in net changes in assets and liabilities was primarily driven by a $0.9 million decrease in accounts payable, and a $0.9 million decrease in lease liabilities. These decreases were partially offset by a</w:t>
      </w:r>
    </w:p>
    <w:p>
      <w:pPr>
        <w:spacing w:after="0" w:line="2"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$0.9 million increase in accrued liabilities, and a $0.2 million decrease in prepaid expenses and other assets. Net cash used in operating activities was partially offset by non-cash charges aggregating $9.7 million, which primarily included $7.5 million of stock-based compensation and $1.6 million amortization of operating lease right-of-use assets.</w:t>
      </w:r>
    </w:p>
    <w:p>
      <w:pPr>
        <w:spacing w:after="0" w:line="13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nine months ended September 30, 2021, net cash used in operating activities was $28.7 million, primarily resulting from our net loss of $33.6 million, offset by non-cash charges aggregating $7.6 million, which primarily included $5.4 million of stock-based compensation and $1.2 million amortization of operating lease right-of-use assets. Net cash used in operating activities was increased by net changes in assets and liabilities aggregating $2.7 million, primarily driven by a $3.9 million increase in prepaid expenses and other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nine months ended September 30, 2022, net cash provided by investing activities was $38.3 million, primarily resulting from $142.1 million in proceeds from maturities of securities, partially offset by $101.7 million in purchases of securities and $2.1 million in purchases of property and equipment.</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nine months ended September 30, 2021, net cash used in investing activities was $145.0 million, primarily resulting from $183.7 million in purchases of securities, partially offset by $40.0 million in proceeds from maturities of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nine months ended September 30, 2022, net cash provided by financing activities was $0.4 million of proceeds from exercise of stock options and issuance of common stock under the employee stock purchase plan.</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nine months ended September 30, 2021, net cash provided by financing activities was $327.4 million primarily resulting from $335.4 million in proceeds from the Business Combination and PIPE Financing, partially offset by $8.1 million in payments of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a discussion of our contractual obligations and commitments, refer to Part I, Item 1, Note 10, “Commitments and Contingencies,” in our notes to condensed consolidated financial statements in this Quarterly Report on Form 10-Q.</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right="4060"/>
        <w:spacing w:after="0" w:line="440" w:lineRule="auto"/>
        <w:rPr>
          <w:sz w:val="20"/>
          <w:szCs w:val="20"/>
          <w:color w:val="auto"/>
        </w:rPr>
      </w:pPr>
      <w:r>
        <w:rPr>
          <w:rFonts w:ascii="Arial" w:cs="Arial" w:eastAsia="Arial" w:hAnsi="Arial"/>
          <w:sz w:val="18"/>
          <w:szCs w:val="18"/>
          <w:b w:val="1"/>
          <w:bCs w:val="1"/>
          <w:color w:val="auto"/>
        </w:rPr>
        <w:t>ITEM 3. QUANTITATIVE AND QUALITATIVE DISCLOSURES ABOUT MARKET RISK Qualitative and Quantitative Disclosures About Market Risk</w:t>
      </w:r>
    </w:p>
    <w:p>
      <w:pPr>
        <w:spacing w:after="0" w:line="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market risk exposure is primarily a result of fluctuations in interest rates and inflation. We do not hold or issue financial instruments for trading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had cash, cash equivalents, short-term and long-term investments of $323.6 million as of September 30, 2022.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September 30, 2022, the effect of a hypothetical 1.00% (100 basis point) change in interest rates would have changed the fair value of our marketable debt securities by $1.4 million. Such change would only be realized if we sold the marketable debt securities prior to maturity.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September 30,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2022 that has materially affected, or is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6" w:name="page37"/>
    <w:bookmarkEnd w:id="36"/>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280" w:firstLine="8"/>
        <w:spacing w:after="0" w:line="277"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6" w:lineRule="exact"/>
        <w:rPr>
          <w:rFonts w:ascii="Arial" w:cs="Arial" w:eastAsia="Arial" w:hAnsi="Arial"/>
          <w:sz w:val="18"/>
          <w:szCs w:val="18"/>
          <w:color w:val="auto"/>
        </w:rPr>
      </w:pPr>
    </w:p>
    <w:p>
      <w:pPr>
        <w:ind w:firstLine="8"/>
        <w:spacing w:after="0" w:line="308" w:lineRule="auto"/>
        <w:tabs>
          <w:tab w:leader="none" w:pos="319"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92"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171" w:lineRule="exact"/>
        <w:rPr>
          <w:rFonts w:ascii="Arial" w:cs="Arial" w:eastAsia="Arial" w:hAnsi="Arial"/>
          <w:sz w:val="18"/>
          <w:szCs w:val="18"/>
          <w:color w:val="auto"/>
        </w:rPr>
      </w:pPr>
    </w:p>
    <w:p>
      <w:pPr>
        <w:ind w:firstLine="8"/>
        <w:spacing w:after="0" w:line="277"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6" w:lineRule="exact"/>
        <w:rPr>
          <w:rFonts w:ascii="Arial" w:cs="Arial" w:eastAsia="Arial" w:hAnsi="Arial"/>
          <w:sz w:val="18"/>
          <w:szCs w:val="18"/>
          <w:color w:val="auto"/>
        </w:rPr>
      </w:pPr>
    </w:p>
    <w:p>
      <w:pPr>
        <w:ind w:right="1100" w:firstLine="8"/>
        <w:spacing w:after="0" w:line="277"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6" w:lineRule="exact"/>
        <w:rPr>
          <w:rFonts w:ascii="Arial" w:cs="Arial" w:eastAsia="Arial" w:hAnsi="Arial"/>
          <w:sz w:val="18"/>
          <w:szCs w:val="18"/>
          <w:color w:val="auto"/>
        </w:rPr>
      </w:pPr>
    </w:p>
    <w:p>
      <w:pPr>
        <w:ind w:right="520" w:firstLine="8"/>
        <w:spacing w:after="0" w:line="277"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20" w:firstLine="8"/>
        <w:spacing w:after="0" w:line="308" w:lineRule="auto"/>
        <w:tabs>
          <w:tab w:leader="none" w:pos="319"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7" w:name="page38"/>
    <w:bookmarkEnd w:id="37"/>
    <w:p>
      <w:pPr>
        <w:spacing w:after="0" w:line="144"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w:t>
      </w:r>
    </w:p>
    <w:p>
      <w:pPr>
        <w:spacing w:after="0" w:line="175" w:lineRule="exact"/>
        <w:rPr>
          <w:sz w:val="20"/>
          <w:szCs w:val="20"/>
          <w:color w:val="auto"/>
        </w:rPr>
      </w:pPr>
    </w:p>
    <w:p>
      <w:pPr>
        <w:ind w:right="380" w:firstLine="8"/>
        <w:spacing w:after="0" w:line="277" w:lineRule="auto"/>
        <w:tabs>
          <w:tab w:leader="none" w:pos="3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71" w:lineRule="exact"/>
        <w:rPr>
          <w:rFonts w:ascii="Arial" w:cs="Arial" w:eastAsia="Arial" w:hAnsi="Arial"/>
          <w:sz w:val="18"/>
          <w:szCs w:val="18"/>
          <w:color w:val="auto"/>
        </w:rPr>
      </w:pPr>
    </w:p>
    <w:p>
      <w:pPr>
        <w:ind w:right="340" w:firstLine="8"/>
        <w:spacing w:after="0" w:line="277"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16" w:lineRule="exact"/>
        <w:rPr>
          <w:rFonts w:ascii="Arial" w:cs="Arial" w:eastAsia="Arial" w:hAnsi="Arial"/>
          <w:sz w:val="18"/>
          <w:szCs w:val="18"/>
          <w:color w:val="auto"/>
        </w:rPr>
      </w:pPr>
    </w:p>
    <w:p>
      <w:pPr>
        <w:ind w:firstLine="8"/>
        <w:spacing w:after="0" w:line="277"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16" w:lineRule="exact"/>
        <w:rPr>
          <w:rFonts w:ascii="Arial" w:cs="Arial" w:eastAsia="Arial" w:hAnsi="Arial"/>
          <w:sz w:val="18"/>
          <w:szCs w:val="18"/>
          <w:color w:val="auto"/>
        </w:rPr>
      </w:pPr>
    </w:p>
    <w:p>
      <w:pPr>
        <w:ind w:right="580" w:firstLine="8"/>
        <w:spacing w:after="0" w:line="277"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16" w:lineRule="exact"/>
        <w:rPr>
          <w:rFonts w:ascii="Arial" w:cs="Arial" w:eastAsia="Arial" w:hAnsi="Arial"/>
          <w:sz w:val="18"/>
          <w:szCs w:val="18"/>
          <w:color w:val="auto"/>
        </w:rPr>
      </w:pPr>
    </w:p>
    <w:p>
      <w:pPr>
        <w:ind w:right="420" w:firstLine="8"/>
        <w:spacing w:after="0" w:line="277"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71" w:lineRule="exact"/>
        <w:rPr>
          <w:rFonts w:ascii="Arial" w:cs="Arial" w:eastAsia="Arial" w:hAnsi="Arial"/>
          <w:sz w:val="18"/>
          <w:szCs w:val="18"/>
          <w:color w:val="auto"/>
        </w:rPr>
      </w:pPr>
    </w:p>
    <w:p>
      <w:pPr>
        <w:ind w:right="180" w:firstLine="8"/>
        <w:spacing w:after="0" w:line="277" w:lineRule="auto"/>
        <w:tabs>
          <w:tab w:leader="none" w:pos="3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16" w:lineRule="exact"/>
        <w:rPr>
          <w:rFonts w:ascii="Arial" w:cs="Arial" w:eastAsia="Arial" w:hAnsi="Arial"/>
          <w:sz w:val="18"/>
          <w:szCs w:val="18"/>
          <w:color w:val="auto"/>
        </w:rPr>
      </w:pPr>
    </w:p>
    <w:p>
      <w:pPr>
        <w:ind w:right="140" w:firstLine="8"/>
        <w:spacing w:after="0" w:line="277" w:lineRule="auto"/>
        <w:tabs>
          <w:tab w:leader="none" w:pos="3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global and national events, such as the COVID-19 pandemic, conflicts in Eastern Europe, and general economic downturns.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380" w:firstLine="8"/>
        <w:spacing w:after="0" w:line="277"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incur significant increased costs and management resources as a result of operating as a public company.</w:t>
      </w:r>
    </w:p>
    <w:p>
      <w:pPr>
        <w:spacing w:after="0" w:line="171" w:lineRule="exact"/>
        <w:rPr>
          <w:rFonts w:ascii="Arial" w:cs="Arial" w:eastAsia="Arial" w:hAnsi="Arial"/>
          <w:sz w:val="18"/>
          <w:szCs w:val="18"/>
          <w:color w:val="auto"/>
        </w:rPr>
      </w:pPr>
    </w:p>
    <w:p>
      <w:pPr>
        <w:ind w:right="360" w:firstLine="8"/>
        <w:spacing w:after="0" w:line="277"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16" w:lineRule="exact"/>
        <w:rPr>
          <w:rFonts w:ascii="Arial" w:cs="Arial" w:eastAsia="Arial" w:hAnsi="Arial"/>
          <w:sz w:val="18"/>
          <w:szCs w:val="18"/>
          <w:color w:val="auto"/>
        </w:rPr>
      </w:pPr>
    </w:p>
    <w:p>
      <w:pPr>
        <w:ind w:right="500" w:firstLine="8"/>
        <w:spacing w:after="0" w:line="277"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$14.1 million and $44.5 million during the three and nine months ended September 30, 2022, respectively, and net losses of $14.5 and $33.6 million during the three and nine months ended September 30, 2021, respectively. As of September 30, 2022, we had an accumulated deficit of $125.2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may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9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and are seeking to enter into collaborations with a small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1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firstLine="8"/>
        <w:spacing w:after="0" w:line="263"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100" w:firstLine="8"/>
        <w:spacing w:after="0" w:line="277"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16" w:lineRule="exact"/>
        <w:rPr>
          <w:rFonts w:ascii="Arial" w:cs="Arial" w:eastAsia="Arial" w:hAnsi="Arial"/>
          <w:sz w:val="18"/>
          <w:szCs w:val="18"/>
          <w:color w:val="auto"/>
        </w:rPr>
      </w:pPr>
    </w:p>
    <w:p>
      <w:pPr>
        <w:ind w:right="140" w:firstLine="8"/>
        <w:spacing w:after="0" w:line="277"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right="120" w:firstLine="8"/>
        <w:spacing w:after="0" w:line="277"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6" w:lineRule="exact"/>
        <w:rPr>
          <w:rFonts w:ascii="Arial" w:cs="Arial" w:eastAsia="Arial" w:hAnsi="Arial"/>
          <w:sz w:val="18"/>
          <w:szCs w:val="18"/>
          <w:color w:val="auto"/>
        </w:rPr>
      </w:pPr>
    </w:p>
    <w:p>
      <w:pPr>
        <w:ind w:right="60" w:firstLine="8"/>
        <w:spacing w:after="0" w:line="277"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rFonts w:ascii="Arial" w:cs="Arial" w:eastAsia="Arial" w:hAnsi="Arial"/>
          <w:sz w:val="18"/>
          <w:szCs w:val="18"/>
          <w:color w:val="auto"/>
        </w:rPr>
      </w:pPr>
    </w:p>
    <w:p>
      <w:pPr>
        <w:jc w:val="both"/>
        <w:ind w:right="120" w:firstLine="8"/>
        <w:spacing w:after="0" w:line="263"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color w:val="auto"/>
        </w:rPr>
      </w:pPr>
    </w:p>
    <w:p>
      <w:pPr>
        <w:ind w:firstLine="8"/>
        <w:spacing w:after="0" w:line="277"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right="420" w:firstLine="8"/>
        <w:spacing w:after="0" w:line="277"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6" w:lineRule="exact"/>
        <w:rPr>
          <w:rFonts w:ascii="Arial" w:cs="Arial" w:eastAsia="Arial" w:hAnsi="Arial"/>
          <w:sz w:val="18"/>
          <w:szCs w:val="18"/>
          <w:color w:val="auto"/>
        </w:rPr>
      </w:pPr>
    </w:p>
    <w:p>
      <w:pPr>
        <w:ind w:right="660" w:firstLine="8"/>
        <w:spacing w:after="0" w:line="277"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are able to complete development of our Nautilus platform, we may not achieve or maintain significant commercial market acceptance.</w:t>
      </w:r>
    </w:p>
    <w:p>
      <w:pPr>
        <w:spacing w:after="0" w:line="19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71" w:lineRule="exact"/>
        <w:rPr>
          <w:rFonts w:ascii="Arial" w:cs="Arial" w:eastAsia="Arial" w:hAnsi="Arial"/>
          <w:sz w:val="18"/>
          <w:szCs w:val="18"/>
          <w:color w:val="auto"/>
        </w:rPr>
      </w:pPr>
    </w:p>
    <w:p>
      <w:pPr>
        <w:ind w:right="540" w:firstLine="8"/>
        <w:spacing w:after="0" w:line="277" w:lineRule="auto"/>
        <w:tabs>
          <w:tab w:leader="none" w:pos="3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right="60" w:firstLine="8"/>
        <w:spacing w:after="0" w:line="277" w:lineRule="auto"/>
        <w:tabs>
          <w:tab w:leader="none" w:pos="3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71" w:lineRule="exact"/>
        <w:rPr>
          <w:rFonts w:ascii="Arial" w:cs="Arial" w:eastAsia="Arial" w:hAnsi="Arial"/>
          <w:sz w:val="18"/>
          <w:szCs w:val="18"/>
          <w:color w:val="auto"/>
        </w:rPr>
      </w:pPr>
    </w:p>
    <w:p>
      <w:pPr>
        <w:ind w:firstLine="8"/>
        <w:spacing w:after="0" w:line="277" w:lineRule="auto"/>
        <w:tabs>
          <w:tab w:leader="none" w:pos="3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71" w:lineRule="exact"/>
        <w:rPr>
          <w:sz w:val="20"/>
          <w:szCs w:val="20"/>
          <w:color w:val="auto"/>
        </w:rPr>
      </w:pPr>
    </w:p>
    <w:p>
      <w:pPr>
        <w:ind w:right="40" w:firstLine="8"/>
        <w:spacing w:after="0" w:line="263" w:lineRule="auto"/>
        <w:tabs>
          <w:tab w:leader="none" w:pos="3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Danaher; Luminex; Olink Proteomics; Quanterix; SomaLogic; Quantum-Si; and Thermo Fisher Scientific. We also compete with a number of emerging companies that are developing proteomic products and solutions.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1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5" w:name="page46"/>
    <w:bookmarkEnd w:id="45"/>
    <w:p>
      <w:pPr>
        <w:spacing w:after="0" w:line="14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2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14"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0"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and commercialization activities relating to our Nautilus platform;</w:t>
      </w:r>
    </w:p>
    <w:p>
      <w:pPr>
        <w:spacing w:after="0" w:line="182" w:lineRule="exact"/>
        <w:rPr>
          <w:rFonts w:ascii="Arial" w:cs="Arial" w:eastAsia="Arial" w:hAnsi="Arial"/>
          <w:sz w:val="17"/>
          <w:szCs w:val="17"/>
          <w:color w:val="auto"/>
        </w:rPr>
      </w:pPr>
    </w:p>
    <w:p>
      <w:pPr>
        <w:ind w:left="320" w:hanging="312"/>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82" w:lineRule="exact"/>
        <w:rPr>
          <w:rFonts w:ascii="Arial" w:cs="Arial" w:eastAsia="Arial" w:hAnsi="Arial"/>
          <w:sz w:val="17"/>
          <w:szCs w:val="17"/>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6" w:lineRule="exact"/>
        <w:rPr>
          <w:sz w:val="20"/>
          <w:szCs w:val="20"/>
          <w:color w:val="auto"/>
        </w:rPr>
      </w:pPr>
    </w:p>
    <w:p>
      <w:pPr>
        <w:ind w:right="320" w:firstLine="8"/>
        <w:spacing w:after="0" w:line="277" w:lineRule="auto"/>
        <w:tabs>
          <w:tab w:leader="none" w:pos="3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71" w:lineRule="exact"/>
        <w:rPr>
          <w:rFonts w:ascii="Arial" w:cs="Arial" w:eastAsia="Arial" w:hAnsi="Arial"/>
          <w:sz w:val="18"/>
          <w:szCs w:val="18"/>
          <w:color w:val="auto"/>
        </w:rPr>
      </w:pPr>
    </w:p>
    <w:p>
      <w:pPr>
        <w:ind w:right="680" w:firstLine="8"/>
        <w:spacing w:after="0" w:line="277" w:lineRule="auto"/>
        <w:tabs>
          <w:tab w:leader="none" w:pos="3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right="520" w:firstLine="8"/>
        <w:spacing w:after="0" w:line="277" w:lineRule="auto"/>
        <w:tabs>
          <w:tab w:leader="none" w:pos="3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right="560" w:firstLine="8"/>
        <w:spacing w:after="0" w:line="342" w:lineRule="auto"/>
        <w:tabs>
          <w:tab w:leader="none" w:pos="3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impact of the COVID-19 pandemic, the conflicts in Eastern Europe, and other national and global events on the economy, investment in life sciences and research industries, our business operations, and resources and operations of our customers, suppliers, and distributors; and</w:t>
      </w:r>
    </w:p>
    <w:p>
      <w:pPr>
        <w:spacing w:after="0" w:line="69" w:lineRule="exact"/>
        <w:rPr>
          <w:rFonts w:ascii="Arial" w:cs="Arial" w:eastAsia="Arial" w:hAnsi="Arial"/>
          <w:sz w:val="16"/>
          <w:szCs w:val="16"/>
          <w:color w:val="auto"/>
        </w:rPr>
      </w:pPr>
    </w:p>
    <w:p>
      <w:pPr>
        <w:ind w:right="720" w:firstLine="8"/>
        <w:spacing w:after="0" w:line="277" w:lineRule="auto"/>
        <w:tabs>
          <w:tab w:leader="none" w:pos="3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1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0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16"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increasing our sales and marketing and other commercialization efforts to drive market adoption of our Nautilus platform, once commercialized;</w:t>
      </w:r>
    </w:p>
    <w:p>
      <w:pPr>
        <w:spacing w:after="0" w:line="182" w:lineRule="exact"/>
        <w:rPr>
          <w:rFonts w:ascii="Arial" w:cs="Arial" w:eastAsia="Arial" w:hAnsi="Arial"/>
          <w:sz w:val="17"/>
          <w:szCs w:val="17"/>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3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2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1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1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owned and any future licensed patents and patent applications may be subject to validity, enforceability and priority disputes. The issuance of a patent is not conclusive as to its inventorship, scope, validity or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1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w:t>
      </w:r>
    </w:p>
    <w:p>
      <w:pPr>
        <w:spacing w:after="0" w:line="286" w:lineRule="auto"/>
        <w:rPr>
          <w:sz w:val="20"/>
          <w:szCs w:val="20"/>
          <w:color w:val="auto"/>
        </w:rPr>
      </w:pPr>
      <w:r>
        <w:rPr>
          <w:rFonts w:ascii="Arial" w:cs="Arial" w:eastAsia="Arial" w:hAnsi="Arial"/>
          <w:sz w:val="16"/>
          <w:szCs w:val="16"/>
          <w:color w:val="auto"/>
        </w:rPr>
        <w:t>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9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4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abide by the terms of the license or fails to prevent infringement by third parties, or if the licensed intellectual property rights are found to be invalid or unenforceable.</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right="220" w:firstLine="8"/>
        <w:spacing w:after="0" w:line="277" w:lineRule="auto"/>
        <w:tabs>
          <w:tab w:leader="none" w:pos="3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6" w:lineRule="exact"/>
        <w:rPr>
          <w:rFonts w:ascii="Arial" w:cs="Arial" w:eastAsia="Arial" w:hAnsi="Arial"/>
          <w:sz w:val="18"/>
          <w:szCs w:val="18"/>
          <w:color w:val="auto"/>
        </w:rPr>
      </w:pPr>
    </w:p>
    <w:p>
      <w:pPr>
        <w:ind w:right="240" w:firstLine="8"/>
        <w:spacing w:after="0" w:line="277" w:lineRule="auto"/>
        <w:tabs>
          <w:tab w:leader="none" w:pos="3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right="420" w:firstLine="8"/>
        <w:spacing w:after="0" w:line="277" w:lineRule="auto"/>
        <w:tabs>
          <w:tab w:leader="none" w:pos="3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71" w:lineRule="exact"/>
        <w:rPr>
          <w:rFonts w:ascii="Arial" w:cs="Arial" w:eastAsia="Arial" w:hAnsi="Arial"/>
          <w:sz w:val="18"/>
          <w:szCs w:val="18"/>
          <w:color w:val="auto"/>
        </w:rPr>
      </w:pPr>
    </w:p>
    <w:p>
      <w:pPr>
        <w:ind w:right="500" w:firstLine="8"/>
        <w:spacing w:after="0" w:line="277" w:lineRule="auto"/>
        <w:tabs>
          <w:tab w:leader="none" w:pos="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right="220" w:firstLine="8"/>
        <w:spacing w:after="0" w:line="277" w:lineRule="auto"/>
        <w:tabs>
          <w:tab w:leader="none" w:pos="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right="1040"/>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Litigation</w:t>
      </w:r>
    </w:p>
    <w:p>
      <w:pPr>
        <w:spacing w:after="0" w:line="1"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0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manufacturing our Nautilus platform, we depend upon third parties for the supply of various components. Many of these components require a significant degree of technical expertise to produce. If our suppliers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produce components to specification, or if the suppliers, or we, use defective materials or workmanship in the manufacturing process, the reliability and performance of our products will be compromised.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right="420" w:firstLine="8"/>
        <w:spacing w:after="0" w:line="493" w:lineRule="auto"/>
        <w:tabs>
          <w:tab w:leader="none" w:pos="319"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4"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More recently, Congress passed the FDA user fee reauthorization legislation without the substantive FDA policy riders, including the VALID Act, but Congress may revisit the policy riders and enact other FDA programmatic reforms in the future.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2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3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70"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right="100" w:firstLine="8"/>
        <w:spacing w:after="0" w:line="277" w:lineRule="auto"/>
        <w:tabs>
          <w:tab w:leader="none" w:pos="3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right="360" w:firstLine="8"/>
        <w:spacing w:after="0" w:line="277" w:lineRule="auto"/>
        <w:tabs>
          <w:tab w:leader="none" w:pos="3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jc w:val="both"/>
        <w:ind w:right="60" w:firstLine="8"/>
        <w:spacing w:after="0" w:line="286" w:lineRule="auto"/>
        <w:tabs>
          <w:tab w:leader="none" w:pos="3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1" w:lineRule="exact"/>
        <w:rPr>
          <w:sz w:val="20"/>
          <w:szCs w:val="20"/>
          <w:color w:val="auto"/>
        </w:rPr>
      </w:pPr>
    </w:p>
    <w:p>
      <w:pPr>
        <w:jc w:val="both"/>
        <w:ind w:right="360"/>
        <w:spacing w:after="0" w:line="34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7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UK Anti-Bribery Act or other similar laws, we may be subject to significant civil and criminal penalties which could have a material adverse effect on our financial condition and results of operations.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2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Demand for our technology could be reduced by legal, social and ethical concerns surrounding the use of genetic information and biological materials.</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September 30, 2022, we had 127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This competition has become exacerbated by the increase in employee resignations in 2021 reported by employers nationwide and continued high rates of employee turnover continuing into 2022.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2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While we have largely resumed normal operations, any resurgence or worsening of the COVID-19 pandemic may cause us to reinstitute certain measures to protect employee safety which may further disrupt or delay our ability to conduct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3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8"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71" w:lineRule="exact"/>
        <w:rPr>
          <w:rFonts w:ascii="Arial" w:cs="Arial" w:eastAsia="Arial" w:hAnsi="Arial"/>
          <w:sz w:val="18"/>
          <w:szCs w:val="18"/>
          <w:color w:val="auto"/>
        </w:rPr>
      </w:pPr>
    </w:p>
    <w:p>
      <w:pPr>
        <w:ind w:right="40" w:firstLine="8"/>
        <w:spacing w:after="0" w:line="286" w:lineRule="auto"/>
        <w:tabs>
          <w:tab w:leader="none" w:pos="3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firstLine="8"/>
        <w:spacing w:after="0" w:line="263" w:lineRule="auto"/>
        <w:tabs>
          <w:tab w:leader="none" w:pos="3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the emergence or further spread of additional variants, and the risk of waning immunity among persons already vaccinated among others. While we do not yet know the full extent of potential impacts on our business, any of these occurrences could significantly harm our business, results of operations and financial condition.</w:t>
      </w:r>
    </w:p>
    <w:p>
      <w:pPr>
        <w:spacing w:after="0" w:line="110"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multiple global events, including the COVID-19 pandemic, the conflict in Eastern Europe, increasing interest rates and general economic downturns, could adversely affect our ability to raise capital and our business, results of operations and financial condition.</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While the potential economic impact brought by multiple adverse global circumstances, such as the COVID-19 pandemic, conflicts in Eastern Europe, increasing interest rates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r>
        <w:rPr>
          <w:rFonts w:ascii="Arial" w:cs="Arial" w:eastAsia="Arial" w:hAnsi="Arial"/>
          <w:sz w:val="18"/>
          <w:szCs w:val="18"/>
          <w:b w:val="1"/>
          <w:bCs w:val="1"/>
          <w:color w:val="auto"/>
        </w:rPr>
        <w:t>.</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be subject to supply chain interruptions. Current or future supply chain interruptions that could be exacerbated by global political tensions, such as the situation in Ukraine, could negatively impact our ability to further develop our products or to manufacture and deliver our products or services, which could negatively impact our timelines and business results. For example, as discussed in the risk factor above entitled “</w:t>
      </w:r>
      <w:r>
        <w:rPr>
          <w:rFonts w:ascii="Arial" w:cs="Arial" w:eastAsia="Arial" w:hAnsi="Arial"/>
          <w:sz w:val="17"/>
          <w:szCs w:val="17"/>
          <w:i w:val="1"/>
          <w:iCs w:val="1"/>
          <w:color w:val="auto"/>
        </w:rPr>
        <w:t>The COVID-19 pandemic and</w:t>
      </w:r>
      <w:r>
        <w:rPr>
          <w:rFonts w:ascii="Arial" w:cs="Arial" w:eastAsia="Arial" w:hAnsi="Arial"/>
          <w:sz w:val="17"/>
          <w:szCs w:val="17"/>
          <w:color w:val="auto"/>
        </w:rPr>
        <w:t xml:space="preserve"> </w:t>
      </w:r>
      <w:r>
        <w:rPr>
          <w:rFonts w:ascii="Arial" w:cs="Arial" w:eastAsia="Arial" w:hAnsi="Arial"/>
          <w:sz w:val="17"/>
          <w:szCs w:val="17"/>
          <w:i w:val="1"/>
          <w:iCs w:val="1"/>
          <w:color w:val="auto"/>
        </w:rPr>
        <w:t>efforts to reduce its spread have adversely impacted and are expected to continue to materially and adversely impact, our business and operations</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similar delays could impact us if they recur or are exacerbated due to the situation in Ukraine.</w:t>
      </w:r>
    </w:p>
    <w:p>
      <w:pPr>
        <w:spacing w:after="0" w:line="12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1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4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71" w:lineRule="exact"/>
        <w:rPr>
          <w:sz w:val="20"/>
          <w:szCs w:val="20"/>
          <w:color w:val="auto"/>
        </w:rPr>
      </w:pPr>
    </w:p>
    <w:p>
      <w:pPr>
        <w:ind w:right="360" w:firstLine="8"/>
        <w:spacing w:after="0" w:line="277" w:lineRule="auto"/>
        <w:tabs>
          <w:tab w:leader="none" w:pos="3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right="100" w:firstLine="8"/>
        <w:spacing w:after="0" w:line="277" w:lineRule="auto"/>
        <w:tabs>
          <w:tab w:leader="none" w:pos="3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volatility and variations in market conditions in the life sciences technology sector generally, or the proteomics or genomics sectors specifically;</w:t>
      </w:r>
    </w:p>
    <w:p>
      <w:pPr>
        <w:spacing w:after="0" w:line="182" w:lineRule="exact"/>
        <w:rPr>
          <w:rFonts w:ascii="Arial" w:cs="Arial" w:eastAsia="Arial" w:hAnsi="Arial"/>
          <w:sz w:val="17"/>
          <w:szCs w:val="17"/>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4" w:lineRule="exact"/>
        <w:rPr>
          <w:sz w:val="20"/>
          <w:szCs w:val="20"/>
          <w:color w:val="auto"/>
        </w:rPr>
      </w:pPr>
    </w:p>
    <w:p>
      <w:pPr>
        <w:ind w:right="40" w:firstLine="8"/>
        <w:spacing w:after="0" w:line="263" w:lineRule="auto"/>
        <w:tabs>
          <w:tab w:leader="none" w:pos="3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6"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right="140" w:firstLine="8"/>
        <w:spacing w:after="0" w:line="277" w:lineRule="auto"/>
        <w:tabs>
          <w:tab w:leader="none" w:pos="31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2022, our directors, executive officers, holders of more than 5% of our outstanding shares of Common Stock and their respective affiliates beneficially owned, collectively, approximately 68.5%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1" w:lineRule="exact"/>
        <w:rPr>
          <w:sz w:val="20"/>
          <w:szCs w:val="20"/>
          <w:color w:val="auto"/>
        </w:rPr>
      </w:pPr>
    </w:p>
    <w:p>
      <w:pPr>
        <w:ind w:firstLine="8"/>
        <w:spacing w:after="0" w:line="290" w:lineRule="auto"/>
        <w:tabs>
          <w:tab w:leader="none" w:pos="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person or entity purchasing or otherwise acquiring or holding or owning (or continuing to hold or own) any interest in any of our securities shall be deemed to have notice of and consented to the foregoing bylaw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4" w:lineRule="exact"/>
        <w:rPr>
          <w:sz w:val="20"/>
          <w:szCs w:val="20"/>
          <w:color w:val="auto"/>
        </w:rPr>
      </w:pPr>
    </w:p>
    <w:p>
      <w:pPr>
        <w:ind w:right="120" w:firstLine="8"/>
        <w:spacing w:after="0" w:line="308" w:lineRule="auto"/>
        <w:tabs>
          <w:tab w:leader="none" w:pos="3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92" w:lineRule="exact"/>
        <w:rPr>
          <w:rFonts w:ascii="Arial" w:cs="Arial" w:eastAsia="Arial" w:hAnsi="Arial"/>
          <w:sz w:val="17"/>
          <w:szCs w:val="17"/>
          <w:color w:val="auto"/>
        </w:rPr>
      </w:pPr>
    </w:p>
    <w:p>
      <w:pPr>
        <w:ind w:right="700" w:firstLine="8"/>
        <w:spacing w:after="0" w:line="277" w:lineRule="auto"/>
        <w:tabs>
          <w:tab w:leader="none" w:pos="3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right="140" w:firstLine="8"/>
        <w:spacing w:after="0" w:line="277" w:lineRule="auto"/>
        <w:tabs>
          <w:tab w:leader="none" w:pos="3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82" w:lineRule="exact"/>
        <w:rPr>
          <w:rFonts w:ascii="Arial" w:cs="Arial" w:eastAsia="Arial" w:hAnsi="Arial"/>
          <w:sz w:val="17"/>
          <w:szCs w:val="17"/>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71" w:lineRule="exact"/>
        <w:rPr>
          <w:rFonts w:ascii="Arial" w:cs="Arial" w:eastAsia="Arial" w:hAnsi="Arial"/>
          <w:sz w:val="18"/>
          <w:szCs w:val="18"/>
          <w:color w:val="auto"/>
        </w:rPr>
      </w:pPr>
    </w:p>
    <w:p>
      <w:pPr>
        <w:ind w:right="100" w:firstLine="8"/>
        <w:spacing w:after="0" w:line="277" w:lineRule="auto"/>
        <w:tabs>
          <w:tab w:leader="none" w:pos="3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right="120" w:firstLine="8"/>
        <w:spacing w:after="0" w:line="277" w:lineRule="auto"/>
        <w:tabs>
          <w:tab w:leader="none" w:pos="3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right="460" w:firstLine="8"/>
        <w:spacing w:after="0" w:line="277" w:lineRule="auto"/>
        <w:tabs>
          <w:tab w:leader="none" w:pos="3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circumstances, could limit the opportunity for our stockholders to receive a premium for their shares of our capital stock.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0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the Business Combination and the PIPE Financing and may not use them effectively.</w:t>
      </w:r>
    </w:p>
    <w:p>
      <w:pPr>
        <w:spacing w:after="0" w:line="1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of December 31, 2021, we had U.S. federal and state net operating loss carryforwards, or NOLs, of $0.5 million for federal and $9.1 million for state, which if not utilized will expire in 2037. Federal net operating loss carryforwards of $31.6 million that arose after the 2017 tax year will carryforward indefinitely.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An independent assessment of the effectiveness of our internal controls could detect problems that our management’s assessment might not identify.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1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1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disclosed under Item 5.03 of our Current Report on Form 8-K filed with the SEC on November 1, 2022, on October 27, 2022, our board of directors, upon recommendation of the nominating and governance committee, amended and restated our amended and restated bylaws, effective immediately. The bylaws were amended and restated, among other things, to:</w:t>
      </w:r>
    </w:p>
    <w:p>
      <w:pPr>
        <w:spacing w:after="0" w:line="130" w:lineRule="exact"/>
        <w:rPr>
          <w:sz w:val="20"/>
          <w:szCs w:val="20"/>
          <w:color w:val="auto"/>
        </w:rPr>
      </w:pPr>
    </w:p>
    <w:p>
      <w:pPr>
        <w:ind w:right="140" w:firstLine="8"/>
        <w:spacing w:after="0" w:line="259" w:lineRule="auto"/>
        <w:tabs>
          <w:tab w:leader="none" w:pos="3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revise the procedures and requirements for the nomination of directors and the submission of proposals by stockholders for consideration at meetings of stockholders, including, among other items, by adding a requirement that a stockholder seeking to nominate director(s) at a meeting deliver to the Company reasonable evidence that it has complied with the requirements of Rule 14a-19 of the Exchange Act no later than five business days before the meeting;</w:t>
      </w:r>
    </w:p>
    <w:p>
      <w:pPr>
        <w:spacing w:after="0" w:line="132" w:lineRule="exact"/>
        <w:rPr>
          <w:rFonts w:ascii="Arial" w:cs="Arial" w:eastAsia="Arial" w:hAnsi="Arial"/>
          <w:sz w:val="18"/>
          <w:szCs w:val="18"/>
          <w:color w:val="auto"/>
        </w:rPr>
      </w:pPr>
    </w:p>
    <w:p>
      <w:pPr>
        <w:ind w:firstLine="8"/>
        <w:spacing w:after="0" w:line="277" w:lineRule="auto"/>
        <w:tabs>
          <w:tab w:leader="none" w:pos="3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revise certain additional procedures related to stockholder meetings to conform to the provisions of the Delaware General Corporation Law, as recently amended (the “DGCL”);</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remove provisions regarding the lock-up of certain shares, as such lock-up period has expired;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update various provisions regarding directors, board committees and officers;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clarify the forum selection provision with respect to claims under the Securities Act; and</w:t>
      </w:r>
    </w:p>
    <w:p>
      <w:pPr>
        <w:spacing w:after="0" w:line="171" w:lineRule="exact"/>
        <w:rPr>
          <w:rFonts w:ascii="Arial" w:cs="Arial" w:eastAsia="Arial" w:hAnsi="Arial"/>
          <w:sz w:val="18"/>
          <w:szCs w:val="18"/>
          <w:color w:val="auto"/>
        </w:rPr>
      </w:pPr>
    </w:p>
    <w:p>
      <w:pPr>
        <w:ind w:right="600" w:firstLine="8"/>
        <w:spacing w:after="0" w:line="277" w:lineRule="auto"/>
        <w:tabs>
          <w:tab w:leader="none" w:pos="3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various updates throughout to conform to current Delaware law (including the recent amendments to the DGCL) and to make ministerial changes, clarifications, and other conforming revisions.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Amended and Restated Bylaws, a copy of which is being filed herewith as Exhibit 3.1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20" w:type="dxa"/>
            <w:vAlign w:val="bottom"/>
            <w:gridSpan w:val="11"/>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02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20" w:type="dxa"/>
            <w:vAlign w:val="bottom"/>
            <w:tcBorders>
              <w:top w:val="single" w:sz="8" w:color="auto"/>
            </w:tcBorders>
            <w:gridSpan w:val="13"/>
          </w:tcPr>
          <w:p>
            <w:pPr>
              <w:spacing w:after="0" w:line="189"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Amended and Restated Bylaws of Nautilus Biotechnology, Inc. (incorporated by reference to Exhibit 3.1 to the Company’s Current Report</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on Form 8-K filed with the SEC on November 1,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3"/>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Offer Letter between Nautilus Biotechnology, Inc. and Mary Godwin dated July 26, 2022 (incorporated by reference to Exhibit 10.1 to the</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Company’s Quarterly Report on Form 10-Q filed with the SEC on August 2, 2022)</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3"/>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Change in Control and Severance Agreement between Nautilus Biotechnology, Inc. and Mary Godwin dated June 27, 2022 (incorporated</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by reference to Exhibit 10.2 to the Company’s Quarterly Report on Form 10-Q filed with the SEC on August 2, 2022)</w:t>
              </w:r>
            </w:hyperlink>
          </w:p>
        </w:tc>
        <w:tc>
          <w:tcPr>
            <w:tcW w:w="1380" w:type="dxa"/>
            <w:vAlign w:val="bottom"/>
            <w:tcBorders>
              <w:top w:val="single" w:sz="8" w:color="0000FF"/>
            </w:tcBorders>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0000FF"/>
                <w:w w:val="94"/>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3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40" w:type="dxa"/>
            <w:vAlign w:val="bottom"/>
          </w:tcPr>
          <w:p>
            <w:pPr>
              <w:spacing w:after="0"/>
              <w:rPr>
                <w:sz w:val="13"/>
                <w:szCs w:val="13"/>
                <w:color w:val="auto"/>
              </w:rPr>
            </w:pPr>
          </w:p>
        </w:tc>
        <w:tc>
          <w:tcPr>
            <w:tcW w:w="4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0000FF"/>
                <w:w w:val="94"/>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4"/>
              </w:rPr>
              <w:t>Oxley Act of 2002</w:t>
            </w:r>
          </w:p>
        </w:tc>
        <w:tc>
          <w:tcPr>
            <w:tcW w:w="8260" w:type="dxa"/>
            <w:vAlign w:val="bottom"/>
            <w:tcBorders>
              <w:top w:val="single" w:sz="8" w:color="0000FF"/>
            </w:tcBorders>
            <w:gridSpan w:val="7"/>
          </w:tcPr>
          <w:p>
            <w:pPr>
              <w:spacing w:after="0"/>
              <w:rPr>
                <w:sz w:val="13"/>
                <w:szCs w:val="13"/>
                <w:color w:val="auto"/>
              </w:rPr>
            </w:pPr>
          </w:p>
        </w:tc>
        <w:tc>
          <w:tcPr>
            <w:tcW w:w="4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0000FF"/>
                <w:w w:val="95"/>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4"/>
              </w:rPr>
              <w:t>Oxley Act of 2002</w:t>
            </w:r>
          </w:p>
        </w:tc>
        <w:tc>
          <w:tcPr>
            <w:tcW w:w="8200" w:type="dxa"/>
            <w:vAlign w:val="bottom"/>
            <w:tcBorders>
              <w:top w:val="single" w:sz="8" w:color="0000FF"/>
            </w:tcBorders>
            <w:gridSpan w:val="5"/>
          </w:tcPr>
          <w:p>
            <w:pPr>
              <w:spacing w:after="0"/>
              <w:rPr>
                <w:sz w:val="13"/>
                <w:szCs w:val="13"/>
                <w:color w:val="auto"/>
              </w:rPr>
            </w:pPr>
          </w:p>
        </w:tc>
        <w:tc>
          <w:tcPr>
            <w:tcW w:w="4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8"/>
                <w:szCs w:val="18"/>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1"/>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0"/>
                <w:szCs w:val="20"/>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0"/>
                <w:szCs w:val="20"/>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20" w:hanging="1194"/>
        <w:spacing w:after="0"/>
        <w:tabs>
          <w:tab w:leader="none" w:pos="12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5" w:lineRule="exact"/>
        <w:rPr>
          <w:sz w:val="20"/>
          <w:szCs w:val="20"/>
          <w:color w:val="auto"/>
        </w:rPr>
      </w:pPr>
    </w:p>
    <w:p>
      <w:pPr>
        <w:ind w:left="340" w:right="100" w:hanging="332"/>
        <w:spacing w:after="0" w:line="302" w:lineRule="auto"/>
        <w:tabs>
          <w:tab w:leader="none" w:pos="12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20" w:type="dxa"/>
            <w:vAlign w:val="bottom"/>
            <w:gridSpan w:val="2"/>
          </w:tcPr>
          <w:p>
            <w:pPr>
              <w:ind w:left="1800"/>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3600" w:type="dxa"/>
            <w:vAlign w:val="bottom"/>
          </w:tcPr>
          <w:p>
            <w:pPr>
              <w:spacing w:after="0"/>
              <w:rPr>
                <w:sz w:val="20"/>
                <w:szCs w:val="20"/>
                <w:color w:val="auto"/>
              </w:rPr>
            </w:pPr>
            <w:r>
              <w:rPr>
                <w:rFonts w:ascii="Arial" w:cs="Arial" w:eastAsia="Arial" w:hAnsi="Arial"/>
                <w:sz w:val="18"/>
                <w:szCs w:val="18"/>
                <w:color w:val="auto"/>
              </w:rPr>
              <w:t>Date: November 1, 2022</w:t>
            </w:r>
          </w:p>
        </w:tc>
        <w:tc>
          <w:tcPr>
            <w:tcW w:w="7620" w:type="dxa"/>
            <w:vAlign w:val="bottom"/>
            <w:gridSpan w:val="2"/>
          </w:tcPr>
          <w:p>
            <w:pPr>
              <w:ind w:left="1800"/>
              <w:spacing w:after="0"/>
              <w:rPr>
                <w:sz w:val="20"/>
                <w:szCs w:val="20"/>
                <w:color w:val="auto"/>
              </w:rPr>
            </w:pPr>
            <w:r>
              <w:rPr>
                <w:rFonts w:ascii="Arial" w:cs="Arial" w:eastAsia="Arial" w:hAnsi="Arial"/>
                <w:sz w:val="18"/>
                <w:szCs w:val="18"/>
                <w:color w:val="auto"/>
              </w:rPr>
              <w:t>By:  /s/ Sujal Patel</w:t>
            </w:r>
          </w:p>
        </w:tc>
      </w:tr>
      <w:tr>
        <w:trPr>
          <w:trHeight w:val="222"/>
        </w:trPr>
        <w:tc>
          <w:tcPr>
            <w:tcW w:w="3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November 1, 2022</w:t>
            </w:r>
          </w:p>
        </w:tc>
        <w:tc>
          <w:tcPr>
            <w:tcW w:w="7620" w:type="dxa"/>
            <w:vAlign w:val="bottom"/>
            <w:gridSpan w:val="2"/>
          </w:tcPr>
          <w:p>
            <w:pPr>
              <w:ind w:left="1800"/>
              <w:spacing w:after="0"/>
              <w:rPr>
                <w:sz w:val="20"/>
                <w:szCs w:val="20"/>
                <w:color w:val="auto"/>
              </w:rPr>
            </w:pPr>
            <w:r>
              <w:rPr>
                <w:rFonts w:ascii="Arial" w:cs="Arial" w:eastAsia="Arial" w:hAnsi="Arial"/>
                <w:sz w:val="18"/>
                <w:szCs w:val="18"/>
                <w:color w:val="auto"/>
              </w:rPr>
              <w:t>By:  /s/ Anna Mowry</w:t>
            </w:r>
          </w:p>
        </w:tc>
      </w:tr>
      <w:tr>
        <w:trPr>
          <w:trHeight w:val="222"/>
        </w:trPr>
        <w:tc>
          <w:tcPr>
            <w:tcW w:w="3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30"/>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103" w:lineRule="exact"/>
        <w:rPr>
          <w:rFonts w:ascii="Arial" w:cs="Arial" w:eastAsia="Arial" w:hAnsi="Arial"/>
          <w:sz w:val="18"/>
          <w:szCs w:val="18"/>
          <w:color w:val="auto"/>
        </w:rPr>
      </w:pPr>
    </w:p>
    <w:p>
      <w:pPr>
        <w:jc w:val="both"/>
        <w:ind w:left="660" w:right="12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60" w:right="120" w:hanging="328"/>
        <w:spacing w:after="0" w:line="23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200" w:hanging="322"/>
        <w:spacing w:after="0"/>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1140" w:right="620" w:hanging="322"/>
        <w:spacing w:after="0" w:line="307" w:lineRule="auto"/>
        <w:tabs>
          <w:tab w:leader="none" w:pos="113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1, 2022</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103" w:lineRule="exact"/>
        <w:rPr>
          <w:rFonts w:ascii="Arial" w:cs="Arial" w:eastAsia="Arial" w:hAnsi="Arial"/>
          <w:sz w:val="18"/>
          <w:szCs w:val="18"/>
          <w:color w:val="auto"/>
        </w:rPr>
      </w:pPr>
    </w:p>
    <w:p>
      <w:pPr>
        <w:jc w:val="both"/>
        <w:ind w:left="660" w:right="12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60" w:right="120" w:hanging="328"/>
        <w:spacing w:after="0" w:line="23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200" w:hanging="322"/>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1140" w:right="620" w:hanging="322"/>
        <w:spacing w:after="0" w:line="307" w:lineRule="auto"/>
        <w:tabs>
          <w:tab w:leader="none" w:pos="113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1, 2022</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September 30, 2022 as filed with the Securities and Exchange Commission on the date hereof (the “Report”), I, Sujal Patel, hereby certify, pursuant to 18 U.S.C. § 1350, as adopted pursuant to § 906 of the Sarbanes-Oxley Act of 2002, that:</w:t>
      </w:r>
    </w:p>
    <w:p>
      <w:pPr>
        <w:spacing w:after="0" w:line="32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1, 2022</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September 30, 2022 as filed with the Securities and Exchange Commission on the date hereof (the “Report”), I, Anna Mowry, hereby certify, pursuant to 18 U.S.C. § 1350, as adopted pursuant to § 906 of the Sarbanes-Oxley Act of 2002, that:</w:t>
      </w:r>
    </w:p>
    <w:p>
      <w:pPr>
        <w:spacing w:after="0" w:line="32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1, 2022</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decimal"/>
      <w:start w:val="3"/>
    </w:lvl>
  </w:abstractNum>
  <w:abstractNum w:abstractNumId="7">
    <w:nsid w:val="737B8DDC"/>
    <w:multiLevelType w:val="hybridMultilevel"/>
    <w:lvl w:ilvl="0">
      <w:lvlJc w:val="left"/>
      <w:lvlText w:val="(%1)"/>
      <w:numFmt w:val="lowerRoman"/>
      <w:start w:val="1"/>
    </w:lvl>
  </w:abstractNum>
  <w:abstractNum w:abstractNumId="8">
    <w:nsid w:val="6CEAF087"/>
    <w:multiLevelType w:val="hybridMultilevel"/>
    <w:lvl w:ilvl="0">
      <w:lvlJc w:val="left"/>
      <w:lvlText w:val="%1."/>
      <w:numFmt w:val="decimal"/>
      <w:start w:val="4"/>
    </w:lvl>
  </w:abstractNum>
  <w:abstractNum w:abstractNumId="9">
    <w:nsid w:val="22221A70"/>
    <w:multiLevelType w:val="hybridMultilevel"/>
    <w:lvl w:ilvl="0">
      <w:lvlJc w:val="left"/>
      <w:lvlText w:val="%1."/>
      <w:numFmt w:val="decimal"/>
      <w:start w:val="5"/>
    </w:lvl>
  </w:abstractNum>
  <w:abstractNum w:abstractNumId="10">
    <w:nsid w:val="4516DDE9"/>
    <w:multiLevelType w:val="hybridMultilevel"/>
    <w:lvl w:ilvl="0">
      <w:lvlJc w:val="left"/>
      <w:lvlText w:val="%1."/>
      <w:numFmt w:val="decimal"/>
      <w:start w:val="7"/>
    </w:lvl>
  </w:abstractNum>
  <w:abstractNum w:abstractNumId="11">
    <w:nsid w:val="3006C83E"/>
    <w:multiLevelType w:val="hybridMultilevel"/>
    <w:lvl w:ilvl="0">
      <w:lvlJc w:val="left"/>
      <w:lvlText w:val="%1."/>
      <w:numFmt w:val="decimal"/>
      <w:start w:val="8"/>
    </w:lvl>
  </w:abstractNum>
  <w:abstractNum w:abstractNumId="12">
    <w:nsid w:val="614FD4A1"/>
    <w:multiLevelType w:val="hybridMultilevel"/>
    <w:lvl w:ilvl="0">
      <w:lvlJc w:val="left"/>
      <w:lvlText w:val="%1."/>
      <w:numFmt w:val="decimal"/>
      <w:start w:val="9"/>
    </w:lvl>
  </w:abstractNum>
  <w:abstractNum w:abstractNumId="13">
    <w:nsid w:val="419AC241"/>
    <w:multiLevelType w:val="hybridMultilevel"/>
    <w:lvl w:ilvl="0">
      <w:lvlJc w:val="left"/>
      <w:lvlText w:val="%1)"/>
      <w:numFmt w:val="decimal"/>
      <w:start w:val="3"/>
    </w:lvl>
  </w:abstractNum>
  <w:abstractNum w:abstractNumId="14">
    <w:nsid w:val="5577F8E1"/>
    <w:multiLevelType w:val="hybridMultilevel"/>
    <w:lvl w:ilvl="0">
      <w:lvlJc w:val="left"/>
      <w:lvlText w:val="%1."/>
      <w:numFmt w:val="decimal"/>
      <w:start w:val="10"/>
    </w:lvl>
  </w:abstractNum>
  <w:abstractNum w:abstractNumId="15">
    <w:nsid w:val="440BADFC"/>
    <w:multiLevelType w:val="hybridMultilevel"/>
    <w:lvl w:ilvl="0">
      <w:lvlJc w:val="left"/>
      <w:lvlText w:val="%1."/>
      <w:numFmt w:val="decimal"/>
      <w:start w:val="1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lowerRoman"/>
      <w:start w:val="3"/>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04"/>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9" Type="http://schemas.openxmlformats.org/officeDocument/2006/relationships/image" Target="media/image109.png"/><Relationship Id="rId116" Type="http://schemas.openxmlformats.org/officeDocument/2006/relationships/hyperlink" Target="https://www.sec.gov/Archives/edgar/data/1808805/000180880522000107/exhibit31-nautilusbiotechn.htm" TargetMode="External"/><Relationship Id="rId117" Type="http://schemas.openxmlformats.org/officeDocument/2006/relationships/hyperlink" Target="https://www.sec.gov/Archives/edgar/data/1808805/000180880522000081/exhibit101-offerletter_god.htm" TargetMode="External"/><Relationship Id="rId118" Type="http://schemas.openxmlformats.org/officeDocument/2006/relationships/hyperlink" Target="https://www.sec.gov/Archives/edgar/data/1808805/000180880522000081/exhibit102-changeincontr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2022-11-01T15:30:35Z</dcterms:created>
  <dcterms:modified xsi:type="dcterms:W3CDTF">2022-11-01T15:30:35Z</dcterms:modified>
</cp:coreProperties>
</file>