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8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Nautilus Biotechnology,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63909J108</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Matthew S. McIlwain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 Madrona Venture Group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999 Third Avenue, Suite 3400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Seattle, Washington 98104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(206) 674-3000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9,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80"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subject of this Schedule 13D, and is filing this statement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8"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63909J108</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McIlwain, Matthew S.</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PF, OO</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2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6"/>
              </w:rPr>
              <w:t>United States</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347,366 (1)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6,020,770 (1)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347,366 (1)</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7"/>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6,020,770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7"/>
              </w:rPr>
              <w:t>6,368,136 (1)</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2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3"/>
              </w:rPr>
              <w:t>5.13 % (1)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300" w:hanging="424"/>
        <w:spacing w:after="0" w:line="31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Calculations of the percentage of the shares of Common Stock beneficially owned assumes 124,094,390 shares of Common Stock outstanding, based on information included in the Issuer’s Quarterly Report on Form 10-Q filed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August 10, 2021. The percentage would be the same if based on the Issuer’s Current Report on Form 8-K filed with the SEC on June 10, 2021.</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class of equity security to which this statement on Schedule 13D relates is the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Nautilus Biotechnology,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formerly known as ARYA Sciences Acquisition Corp III, a Cayman Islands exempted company (“</w:t>
      </w:r>
      <w:r>
        <w:rPr>
          <w:rFonts w:ascii="Arial" w:cs="Arial" w:eastAsia="Arial" w:hAnsi="Arial"/>
          <w:sz w:val="16"/>
          <w:szCs w:val="16"/>
          <w:u w:val="single" w:color="auto"/>
          <w:color w:val="auto"/>
        </w:rPr>
        <w:t>ARYA</w:t>
      </w:r>
      <w:r>
        <w:rPr>
          <w:rFonts w:ascii="Arial" w:cs="Arial" w:eastAsia="Arial" w:hAnsi="Arial"/>
          <w:sz w:val="16"/>
          <w:szCs w:val="16"/>
          <w:color w:val="auto"/>
        </w:rPr>
        <w:t>”). The address of the principal executive offices of the Issuer is 425 Pontius Avenue North, Suite 202, Seattle, Washington 98109. Information given in response to each item shall be deemed incorporated by reference in all other items, as applicable.</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35"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being filed by Matthew S. McIlwain, an individual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address of the Reporting Person is 999 Third Avenue, Suite 3400, Seattle, Washington 98104.</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to act as managing director of Madrona VI General Partner, LLC, the sole general partner of Madrona Investment Partners VI, L.P. which is the sole general partner of Madrona Venture Fund VI, LP and Madrona Venture Fund VI-A, LP.</w:t>
      </w:r>
    </w:p>
    <w:p>
      <w:pPr>
        <w:spacing w:after="0" w:line="89"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five years prior to the date hereof, Reporting Person has not been convicted in any criminal proceeding (excluding traffic violations or similar misdemeanors).</w:t>
      </w:r>
    </w:p>
    <w:p>
      <w:pPr>
        <w:spacing w:after="0" w:line="75" w:lineRule="exact"/>
        <w:rPr>
          <w:rFonts w:ascii="Arial" w:cs="Arial" w:eastAsia="Arial" w:hAnsi="Arial"/>
          <w:sz w:val="18"/>
          <w:szCs w:val="18"/>
          <w:color w:val="auto"/>
        </w:rPr>
      </w:pPr>
    </w:p>
    <w:p>
      <w:pPr>
        <w:ind w:left="1420" w:right="40" w:hanging="439"/>
        <w:spacing w:after="0" w:line="259"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activity subject to, federal or state securities laws or finding any violations with respect to such laws.</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 United States citizen.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9,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pursuant to that certain Business Combination Agreement, dated as of February 7, 2021 (the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 Agreement</w:t>
      </w:r>
      <w:r>
        <w:rPr>
          <w:rFonts w:ascii="Arial" w:cs="Arial" w:eastAsia="Arial" w:hAnsi="Arial"/>
          <w:sz w:val="17"/>
          <w:szCs w:val="17"/>
          <w:color w:val="auto"/>
        </w:rPr>
        <w:t>”), by and among the Issuer, Mako Merger Sub, Inc. (“</w:t>
      </w:r>
      <w:r>
        <w:rPr>
          <w:rFonts w:ascii="Arial" w:cs="Arial" w:eastAsia="Arial" w:hAnsi="Arial"/>
          <w:sz w:val="17"/>
          <w:szCs w:val="17"/>
          <w:u w:val="single" w:color="auto"/>
          <w:color w:val="auto"/>
        </w:rPr>
        <w:t>Merger Sub</w:t>
      </w:r>
      <w:r>
        <w:rPr>
          <w:rFonts w:ascii="Arial" w:cs="Arial" w:eastAsia="Arial" w:hAnsi="Arial"/>
          <w:sz w:val="17"/>
          <w:szCs w:val="17"/>
          <w:color w:val="auto"/>
        </w:rPr>
        <w:t>”) and Nautilus Subsidiary, Inc. (f/k/a Nautilus Biotechnology, Inc.) (“</w:t>
      </w:r>
      <w:r>
        <w:rPr>
          <w:rFonts w:ascii="Arial" w:cs="Arial" w:eastAsia="Arial" w:hAnsi="Arial"/>
          <w:sz w:val="17"/>
          <w:szCs w:val="17"/>
          <w:u w:val="single" w:color="auto"/>
          <w:color w:val="auto"/>
        </w:rPr>
        <w:t>Legacy Nautilus</w:t>
      </w:r>
      <w:r>
        <w:rPr>
          <w:rFonts w:ascii="Arial" w:cs="Arial" w:eastAsia="Arial" w:hAnsi="Arial"/>
          <w:sz w:val="17"/>
          <w:szCs w:val="17"/>
          <w:color w:val="auto"/>
        </w:rPr>
        <w:t>”), Merger Sub merged with and into Legacy Nautilus with Legacy Nautilus surviving as a wholly owned subsidiary of the Issuer (the “</w:t>
      </w:r>
      <w:r>
        <w:rPr>
          <w:rFonts w:ascii="Arial" w:cs="Arial" w:eastAsia="Arial" w:hAnsi="Arial"/>
          <w:sz w:val="17"/>
          <w:szCs w:val="17"/>
          <w:u w:val="single" w:color="auto"/>
          <w:color w:val="auto"/>
        </w:rPr>
        <w:t>Merger</w:t>
      </w:r>
      <w:r>
        <w:rPr>
          <w:rFonts w:ascii="Arial" w:cs="Arial" w:eastAsia="Arial" w:hAnsi="Arial"/>
          <w:sz w:val="17"/>
          <w:szCs w:val="17"/>
          <w:color w:val="auto"/>
        </w:rPr>
        <w:t>”). Upon consummation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issued and outstanding share of preferred stock of Legacy Nautilus that was convertible into a share of common stock of Legacy Nautilus was canceled and converted into the right to receive the number of shares of the Issuer’s Common Stock equal to the product (rounded down to the nearest whole number) of the number of such shares held immediately prior to the Effective Time multiplied by 3.62807118207724 (the “</w:t>
      </w:r>
      <w:r>
        <w:rPr>
          <w:rFonts w:ascii="Arial" w:cs="Arial" w:eastAsia="Arial" w:hAnsi="Arial"/>
          <w:sz w:val="17"/>
          <w:szCs w:val="17"/>
          <w:u w:val="single" w:color="auto"/>
          <w:color w:val="auto"/>
        </w:rPr>
        <w:t>Exchange Ratio</w:t>
      </w:r>
      <w:r>
        <w:rPr>
          <w:rFonts w:ascii="Arial" w:cs="Arial" w:eastAsia="Arial" w:hAnsi="Arial"/>
          <w:sz w:val="17"/>
          <w:szCs w:val="17"/>
          <w:color w:val="auto"/>
        </w:rPr>
        <w:t>”). As of the Effective Time, the Reporting Person’s holdings of shares of Legacy Nautilus stock converted into an aggregate of 5,033,930 shares of Common Stock.</w:t>
      </w:r>
    </w:p>
    <w:p>
      <w:pPr>
        <w:spacing w:after="0" w:line="17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the Merger and concurrently with the execution of the Business Combination Agreement, ARYA entered into subscription agreements with certain investors pursuant to which ARYA issues shares of Common Stock at a price of $10.00 per share (the “</w:t>
      </w:r>
      <w:r>
        <w:rPr>
          <w:rFonts w:ascii="Arial" w:cs="Arial" w:eastAsia="Arial" w:hAnsi="Arial"/>
          <w:sz w:val="16"/>
          <w:szCs w:val="16"/>
          <w:u w:val="single" w:color="auto"/>
          <w:color w:val="auto"/>
        </w:rPr>
        <w:t>PIPE Financing</w:t>
      </w:r>
      <w:r>
        <w:rPr>
          <w:rFonts w:ascii="Arial" w:cs="Arial" w:eastAsia="Arial" w:hAnsi="Arial"/>
          <w:sz w:val="16"/>
          <w:szCs w:val="16"/>
          <w:color w:val="auto"/>
        </w:rPr>
        <w:t>”). On the Closing Date, the Reporting Person acquired an aggregate of 1,258,945 shares of Common Stock pursuant to the PIPE Financing.</w:t>
      </w:r>
    </w:p>
    <w:p>
      <w:pPr>
        <w:spacing w:after="0" w:line="14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the Closing Date, ARYA changed its jurisdiction of incorporation by deregistering as a Cayman Islands exempted company and continuing and domesticating as a corporation incorporated under the laws of the State of Delaware (the “</w:t>
      </w:r>
      <w:r>
        <w:rPr>
          <w:rFonts w:ascii="Arial" w:cs="Arial" w:eastAsia="Arial" w:hAnsi="Arial"/>
          <w:sz w:val="16"/>
          <w:szCs w:val="16"/>
          <w:u w:val="single" w:color="auto"/>
          <w:color w:val="auto"/>
        </w:rPr>
        <w:t>Domestication</w:t>
      </w:r>
      <w:r>
        <w:rPr>
          <w:rFonts w:ascii="Arial" w:cs="Arial" w:eastAsia="Arial" w:hAnsi="Arial"/>
          <w:sz w:val="16"/>
          <w:szCs w:val="16"/>
          <w:color w:val="auto"/>
        </w:rPr>
        <w:t>”). Upon the Domestication, all of the outstanding Class A ordinary shares of ARYA were exchanged for an equivalent number of shares of Common Stock (the “</w:t>
      </w:r>
      <w:r>
        <w:rPr>
          <w:rFonts w:ascii="Arial" w:cs="Arial" w:eastAsia="Arial" w:hAnsi="Arial"/>
          <w:sz w:val="16"/>
          <w:szCs w:val="16"/>
          <w:u w:val="single" w:color="auto"/>
          <w:color w:val="auto"/>
        </w:rPr>
        <w:t>Domestication Exchange</w:t>
      </w:r>
      <w:r>
        <w:rPr>
          <w:rFonts w:ascii="Arial" w:cs="Arial" w:eastAsia="Arial" w:hAnsi="Arial"/>
          <w:sz w:val="16"/>
          <w:szCs w:val="16"/>
          <w:color w:val="auto"/>
        </w:rPr>
        <w:t>”). On the Closing Date, the Reporting Person acquired an aggregate of 50,000 shares of Common Stock pursuant to the Domestication Exchange.</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24, 2021, the Reporting Person acquired 13,568 shares of Common Stock on the public market using personal funds at a weighted average price per share of $7.684863. On August 25, 2021, the Reporting Person acquired acquired 11,693 shares of Common Stock on the public market using personal funds at a weighted average price per share of $7.736137.</w:t>
      </w:r>
    </w:p>
    <w:p>
      <w:pPr>
        <w:sectPr>
          <w:pgSz w:w="11900" w:h="16838" w:orient="portrait"/>
          <w:cols w:equalWidth="0" w:num="1">
            <w:col w:w="10940"/>
          </w:cols>
          <w:pgMar w:left="440" w:top="270" w:right="51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Reporting Person acquired the securities of the Issuer for investment purposes. The Reporting Person may purchase additional securities or dispose of securities in varying amounts and at varying times depending upon the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 management of the Issuer, the availability and nature of opportunities to dispose of shares of the Issuer and other plans and requirements of the particular entities. The Reporting Person may discuss items of mutual interest with the Issuer, which could include items in subparagraphs (a) through (j) of Item 4 of Schedule 13D.</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Depending upon assessments of the above factors, the Reporting Person may change his present intentions as stated above and may assess whether to make suggestions to the Board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its control. The Reporting Person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the Reporting Person’s beneficiaries) from time to time, in each case, in open market or private transactions, block sales or otherwise. Any transaction that the Reporting Person may pursue may be made at any time and from time to time without prior notice and will depend on a variety of factors, including, without limitation, the price and availability of the Issuer’s securities or other financial instruments, the Reporting Person’s trading and investment strategies, subsequent developments affecting the Issuer, the Issuer’s business and the Issuer’s prospects, other investment and business opportunities available to the Reporting Person, general industry and economic conditions, the securities markets in general, tax considerations and other factors deemed relevant by the Reporting Person.</w:t>
      </w:r>
    </w:p>
    <w:p>
      <w:pPr>
        <w:spacing w:after="0" w:line="1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Reporting Person intends to review his investment in the Issuer on an ongoing basis and, in the course of his review, may take actions with respect to his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w:t>
      </w:r>
    </w:p>
    <w:p>
      <w:pPr>
        <w:spacing w:after="0" w:line="1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Reporting Person, a managing director of Madrona VI General Partner, LLC, is currently a member of the Board. In such capacity, the Reporting Person may have influence over the corporate activities of the Issuer and may engage in communications with the Issuer’s other directors, members of management and stockholders and third parties regarding the corporate governance, business, operations, strategy or future plans (including proposed corporate transactions of a significant nature) of the Issuer, including any plans or proposals which may relate to items described in subparagraphs (a) through (j) of Item 4 of Schedule 13D.</w:t>
      </w:r>
    </w:p>
    <w:p>
      <w:pPr>
        <w:spacing w:after="0" w:line="18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their position and/or change his purpose and/or develop such plans and may seek to influence management of the Issuer or the Board with respect to the business and affairs of the Issuer and may from time to time consider pursuing or proposing such matters with advisors, the Issuer or other persons.</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hanging="4"/>
        <w:spacing w:after="0" w:line="279" w:lineRule="auto"/>
        <w:tabs>
          <w:tab w:leader="none" w:pos="24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aggregate percentage of shares of Common Stock reported beneficially owned by each person named herein is determined in accordance with the SEC rules and assumes 124,094,390 shares of Common Stock outstanding, based on information included in the Issuer’s Quarterly Report on Form 10-Q filed with the SEC on August 10, 2021. The percentage would be the same if based on the Issuer’s Current Report on Form 8-K filed with the SEC on June 10, 2021. As of the date hereof, the Reporting Person beneficially owned shares of Common Stock as follows:</w:t>
      </w:r>
    </w:p>
    <w:p>
      <w:pPr>
        <w:spacing w:after="0" w:line="17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920" w:type="dxa"/>
            <w:vAlign w:val="bottom"/>
          </w:tcPr>
          <w:p>
            <w:pPr>
              <w:jc w:val="center"/>
              <w:ind w:left="1579"/>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920" w:type="dxa"/>
            <w:vAlign w:val="bottom"/>
          </w:tcPr>
          <w:p>
            <w:pPr>
              <w:jc w:val="center"/>
              <w:ind w:left="1579"/>
              <w:spacing w:after="0" w:line="149" w:lineRule="exact"/>
              <w:rPr>
                <w:sz w:val="20"/>
                <w:szCs w:val="20"/>
                <w:color w:val="auto"/>
              </w:rPr>
            </w:pPr>
            <w:r>
              <w:rPr>
                <w:rFonts w:ascii="Arial" w:cs="Arial" w:eastAsia="Arial" w:hAnsi="Arial"/>
                <w:sz w:val="14"/>
                <w:szCs w:val="14"/>
                <w:b w:val="1"/>
                <w:bCs w:val="1"/>
                <w:color w:val="auto"/>
                <w:w w:val="90"/>
              </w:rPr>
              <w:t>Shares of</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920" w:type="dxa"/>
            <w:vAlign w:val="bottom"/>
          </w:tcPr>
          <w:p>
            <w:pPr>
              <w:jc w:val="center"/>
              <w:ind w:left="1579"/>
              <w:spacing w:after="0" w:line="149" w:lineRule="exact"/>
              <w:rPr>
                <w:sz w:val="20"/>
                <w:szCs w:val="20"/>
                <w:color w:val="auto"/>
              </w:rPr>
            </w:pPr>
            <w:r>
              <w:rPr>
                <w:rFonts w:ascii="Arial" w:cs="Arial" w:eastAsia="Arial" w:hAnsi="Arial"/>
                <w:sz w:val="14"/>
                <w:szCs w:val="14"/>
                <w:b w:val="1"/>
                <w:bCs w:val="1"/>
                <w:color w:val="auto"/>
                <w:w w:val="95"/>
              </w:rPr>
              <w:t>Common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2920" w:type="dxa"/>
            <w:vAlign w:val="bottom"/>
          </w:tcPr>
          <w:p>
            <w:pPr>
              <w:jc w:val="center"/>
              <w:ind w:left="1579"/>
              <w:spacing w:after="0"/>
              <w:rPr>
                <w:sz w:val="20"/>
                <w:szCs w:val="20"/>
                <w:color w:val="auto"/>
              </w:rPr>
            </w:pPr>
            <w:r>
              <w:rPr>
                <w:rFonts w:ascii="Arial" w:cs="Arial" w:eastAsia="Arial" w:hAnsi="Arial"/>
                <w:sz w:val="14"/>
                <w:szCs w:val="14"/>
                <w:b w:val="1"/>
                <w:bCs w:val="1"/>
                <w:color w:val="auto"/>
                <w:w w:val="92"/>
              </w:rPr>
              <w:t>Stock Owned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93"/>
        </w:trPr>
        <w:tc>
          <w:tcPr>
            <w:tcW w:w="4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Matthew S. McIlwain</w:t>
            </w:r>
          </w:p>
        </w:tc>
        <w:tc>
          <w:tcPr>
            <w:tcW w:w="29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347,366</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color w:val="auto"/>
              </w:rPr>
              <w:t>Madrona Venture Fund VI, L.P.</w:t>
            </w:r>
          </w:p>
        </w:tc>
        <w:tc>
          <w:tcPr>
            <w:tcW w:w="2920" w:type="dxa"/>
            <w:vAlign w:val="bottom"/>
          </w:tcPr>
          <w:p>
            <w:pPr>
              <w:jc w:val="right"/>
              <w:ind w:right="139"/>
              <w:spacing w:after="0"/>
              <w:rPr>
                <w:sz w:val="20"/>
                <w:szCs w:val="20"/>
                <w:color w:val="auto"/>
              </w:rPr>
            </w:pPr>
            <w:r>
              <w:rPr>
                <w:rFonts w:ascii="Arial" w:cs="Arial" w:eastAsia="Arial" w:hAnsi="Arial"/>
                <w:sz w:val="18"/>
                <w:szCs w:val="18"/>
                <w:color w:val="auto"/>
              </w:rPr>
              <w:t>5,798,394</w:t>
            </w:r>
          </w:p>
        </w:tc>
        <w:tc>
          <w:tcPr>
            <w:tcW w:w="1080" w:type="dxa"/>
            <w:vAlign w:val="bottom"/>
          </w:tcPr>
          <w:p>
            <w:pPr>
              <w:ind w:left="5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Madrona Venture Fund VI-A, L.P.</w:t>
            </w:r>
          </w:p>
        </w:tc>
        <w:tc>
          <w:tcPr>
            <w:tcW w:w="29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222,376</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jc w:val="right"/>
              <w:ind w:right="139"/>
              <w:spacing w:after="0"/>
              <w:rPr>
                <w:sz w:val="20"/>
                <w:szCs w:val="20"/>
                <w:color w:val="auto"/>
              </w:rPr>
            </w:pPr>
            <w:r>
              <w:rPr>
                <w:rFonts w:ascii="Arial" w:cs="Arial" w:eastAsia="Arial" w:hAnsi="Arial"/>
                <w:sz w:val="18"/>
                <w:szCs w:val="18"/>
                <w:b w:val="1"/>
                <w:bCs w:val="1"/>
                <w:color w:val="auto"/>
              </w:rPr>
              <w:t>6,368,136</w:t>
            </w:r>
          </w:p>
        </w:tc>
        <w:tc>
          <w:tcPr>
            <w:tcW w:w="108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Madrona Investment Partners VI, L.P., as the sole general partner of Madrona Venture Fund VI, LP and Madrona Venture Fund VI-A, LP, may be deemed to beneficially own the shares held by Madrona Venture Fund VI, LP and Madrona Venture Fund VI-A, LP. Madrona VI General Partner, LLC, as the sole general partner of Madrona Investment Partners VI, L.P., may be deemed to beneficially own the shares held by Madrona Venture Fund VI, LP and Madrona Venture Fund VI-A, LP. The Reporting Person, as a managing director of Madrona VI General Partner, LLC, may be deemed to beneficially own the shares held by Madrona Venture Fund VI, LP and Madrona Venture Fund VI, LP-A. The Reporting Person disclaims beneficial ownership of all securities except to the extent of his pecuniary interest therein.</w:t>
      </w:r>
    </w:p>
    <w:p>
      <w:pPr>
        <w:spacing w:after="0" w:line="178" w:lineRule="exact"/>
        <w:rPr>
          <w:sz w:val="20"/>
          <w:szCs w:val="20"/>
          <w:color w:val="auto"/>
        </w:rPr>
      </w:pPr>
    </w:p>
    <w:p>
      <w:pPr>
        <w:ind w:left="4" w:right="24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description set forth above in Item 5(a), see the cover page of this statement for indications of the voting powers and disposition powers of the Reporting Person.</w:t>
      </w:r>
    </w:p>
    <w:p>
      <w:pPr>
        <w:spacing w:after="0" w:line="170" w:lineRule="exact"/>
        <w:rPr>
          <w:rFonts w:ascii="Arial" w:cs="Arial" w:eastAsia="Arial" w:hAnsi="Arial"/>
          <w:sz w:val="18"/>
          <w:szCs w:val="18"/>
          <w:color w:val="auto"/>
        </w:rPr>
      </w:pPr>
    </w:p>
    <w:p>
      <w:pPr>
        <w:ind w:left="4" w:right="140" w:hanging="4"/>
        <w:spacing w:after="0" w:line="263"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24, 2021, the Reporting Person acquired 13,568 shares of Common Stock on the public market using personal funds at a weighted average price per share of $7.684863. On August 25, 2021, the Reporting Person acquired 11,693 shares of Common Stock on the public market using personal funds at a weighted average price per share of $7.736137.</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In connection with the Merger and associated transactions, the Issuer, the Reporting Person and certain other stockholders entered into an amended and restated registration rights and lock-up agreement (the “</w:t>
      </w:r>
      <w:r>
        <w:rPr>
          <w:rFonts w:ascii="Arial" w:cs="Arial" w:eastAsia="Arial" w:hAnsi="Arial"/>
          <w:sz w:val="17"/>
          <w:szCs w:val="17"/>
          <w:u w:val="single" w:color="auto"/>
          <w:color w:val="auto"/>
        </w:rPr>
        <w:t>A&amp;R Registration Rights and Lock-Up Agreement</w:t>
      </w:r>
      <w:r>
        <w:rPr>
          <w:rFonts w:ascii="Arial" w:cs="Arial" w:eastAsia="Arial" w:hAnsi="Arial"/>
          <w:sz w:val="17"/>
          <w:szCs w:val="17"/>
          <w:color w:val="auto"/>
        </w:rPr>
        <w:t>”) pursuant to which the Issuer was be obligated to file a registration statement to register the resale of certain shares of the Issuer’s Common Stock within 45 days after the Closing. In addition, pursuant to the terms of the A&amp;R Registration Rights and Lock-Up Agreement and subject to certain requirements and customary conditions, including with regard to the number of demand rights that may be exercised, the parties to the agreement may demand at any time or from time to time, that the Issuer file a registration statement on Form S-3 (or on Form S-1 if Form S-3 is not available) to register the securities of the Issuer held by such holders, and the Issuer is separately required at all times to maintain an effective resale registration statement for the benefit of the holders party to the agreement. The A&amp;R Registration Rights and Lock-Up Agreement also provides such holders with “piggy-back” registration rights, subject to certain requirements and customary conditions.</w:t>
      </w:r>
    </w:p>
    <w:p>
      <w:pPr>
        <w:sectPr>
          <w:pgSz w:w="11900" w:h="16838" w:orient="portrait"/>
          <w:cols w:equalWidth="0" w:num="1">
            <w:col w:w="10984"/>
          </w:cols>
          <w:pgMar w:left="436" w:top="270" w:right="479" w:bottom="1440" w:gutter="0" w:footer="0" w:header="0"/>
        </w:sectPr>
      </w:pPr>
    </w:p>
    <w:bookmarkStart w:id="5" w:name="page6"/>
    <w:bookmarkEnd w:id="5"/>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A&amp;R Registration Rights and Lock-Up Agreement, the Reporting Person also agreed not to sell or transfer shares of Common Stock for a period of 180 days from the Closing Date, subject to certain exceptions. The Issuer’s bylaws include a similar restriction for a period of 180 days.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summary is qualified by the actual terms of the A&amp;R Registration Rights and Lock-Up Agreement, a copy of which is attached as Exhibit 1 to this Schedule 13D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Exhibit 1 Form of Amended and Restated Registration Rights and Lock-up Agreement, dated as of February 7, 2021, by and among ARYA Sciences Acquisition Corp III and the persons named therein. (Incorporated by reference to Exhibit 10.2 to the Issuer’s Current Report on Form 8-K filed with the Securities and Exchange Commission on February 8, 2021).</w:t>
      </w:r>
    </w:p>
    <w:p>
      <w:pPr>
        <w:sectPr>
          <w:pgSz w:w="11900" w:h="16838" w:orient="portrait"/>
          <w:cols w:equalWidth="0" w:num="1">
            <w:col w:w="11000"/>
          </w:cols>
          <w:pgMar w:left="440" w:top="274" w:right="4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August 25, 2021</w:t>
      </w:r>
      <w:r>
        <w:rPr>
          <w:sz w:val="20"/>
          <w:szCs w:val="20"/>
          <w:color w:val="auto"/>
        </w:rPr>
        <w:tab/>
      </w:r>
      <w:r>
        <w:rPr>
          <w:rFonts w:ascii="Arial" w:cs="Arial" w:eastAsia="Arial" w:hAnsi="Arial"/>
          <w:sz w:val="16"/>
          <w:szCs w:val="16"/>
          <w:i w:val="1"/>
          <w:iCs w:val="1"/>
          <w:color w:val="auto"/>
        </w:rPr>
        <w:t>/s/ Matthew S.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14605</wp:posOffset>
            </wp:positionV>
            <wp:extent cx="2023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Matthew S. McIlwain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2021-08-26T05:20:28Z</dcterms:created>
  <dcterms:modified xsi:type="dcterms:W3CDTF">2021-08-26T05:20:28Z</dcterms:modified>
</cp:coreProperties>
</file>