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551815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124460</wp:posOffset>
            </wp:positionV>
            <wp:extent cx="11912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9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FORM 10-Q</w:t>
      </w:r>
    </w:p>
    <w:p>
      <w:pPr>
        <w:spacing w:after="0" w:line="16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ind w:left="1140" w:hanging="461"/>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30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10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OR</w:t>
      </w:r>
    </w:p>
    <w:p>
      <w:pPr>
        <w:spacing w:after="0" w:line="158" w:lineRule="exact"/>
        <w:rPr>
          <w:sz w:val="24"/>
          <w:szCs w:val="24"/>
          <w:color w:val="auto"/>
        </w:rPr>
      </w:pPr>
    </w:p>
    <w:p>
      <w:pPr>
        <w:ind w:left="1140" w:hanging="460"/>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79"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For the transition period from _________ to _________</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Commission File Number 001-39434</w:t>
      </w:r>
    </w:p>
    <w:p>
      <w:pPr>
        <w:spacing w:after="0" w:line="16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NAUTILUS BIOTECHNOLOGY, INC.</w:t>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363" w:lineRule="exact"/>
        <w:rPr>
          <w:sz w:val="24"/>
          <w:szCs w:val="24"/>
          <w:color w:val="auto"/>
        </w:rPr>
      </w:pPr>
    </w:p>
    <w:tbl>
      <w:tblPr>
        <w:tblLayout w:type="fixed"/>
        <w:tblInd w:w="700" w:type="dxa"/>
        <w:tblCellMar>
          <w:top w:w="0" w:type="dxa"/>
          <w:left w:w="0" w:type="dxa"/>
          <w:bottom w:w="0" w:type="dxa"/>
          <w:right w:w="0" w:type="dxa"/>
        </w:tblCellMar>
      </w:tblPr>
      <w:tr>
        <w:trPr>
          <w:trHeight w:val="186"/>
        </w:trPr>
        <w:tc>
          <w:tcPr>
            <w:tcW w:w="3700" w:type="dxa"/>
            <w:vAlign w:val="bottom"/>
          </w:tcPr>
          <w:p>
            <w:pPr>
              <w:jc w:val="center"/>
              <w:ind w:right="688"/>
              <w:spacing w:after="0"/>
              <w:rPr>
                <w:sz w:val="20"/>
                <w:szCs w:val="20"/>
                <w:color w:val="auto"/>
              </w:rPr>
            </w:pPr>
            <w:r>
              <w:rPr>
                <w:rFonts w:ascii="Arial" w:cs="Arial" w:eastAsia="Arial" w:hAnsi="Arial"/>
                <w:sz w:val="14"/>
                <w:szCs w:val="14"/>
                <w:b w:val="1"/>
                <w:bCs w:val="1"/>
                <w:color w:val="auto"/>
                <w:w w:val="94"/>
              </w:rPr>
              <w:t>Delaware</w:t>
            </w:r>
          </w:p>
        </w:tc>
        <w:tc>
          <w:tcPr>
            <w:tcW w:w="5220" w:type="dxa"/>
            <w:vAlign w:val="bottom"/>
          </w:tcPr>
          <w:p>
            <w:pPr>
              <w:jc w:val="right"/>
              <w:ind w:right="128"/>
              <w:spacing w:after="0"/>
              <w:rPr>
                <w:sz w:val="20"/>
                <w:szCs w:val="20"/>
                <w:color w:val="auto"/>
              </w:rPr>
            </w:pPr>
            <w:r>
              <w:rPr>
                <w:rFonts w:ascii="Arial" w:cs="Arial" w:eastAsia="Arial" w:hAnsi="Arial"/>
                <w:sz w:val="14"/>
                <w:szCs w:val="14"/>
                <w:b w:val="1"/>
                <w:bCs w:val="1"/>
                <w:color w:val="auto"/>
              </w:rPr>
              <w:t>98-1541723</w:t>
            </w:r>
          </w:p>
        </w:tc>
      </w:tr>
      <w:tr>
        <w:trPr>
          <w:trHeight w:val="147"/>
        </w:trPr>
        <w:tc>
          <w:tcPr>
            <w:tcW w:w="3700" w:type="dxa"/>
            <w:vAlign w:val="bottom"/>
          </w:tcPr>
          <w:p>
            <w:pPr>
              <w:jc w:val="center"/>
              <w:ind w:right="708"/>
              <w:spacing w:after="0" w:line="147" w:lineRule="exact"/>
              <w:rPr>
                <w:sz w:val="20"/>
                <w:szCs w:val="20"/>
                <w:color w:val="auto"/>
              </w:rPr>
            </w:pPr>
            <w:r>
              <w:rPr>
                <w:rFonts w:ascii="Arial" w:cs="Arial" w:eastAsia="Arial" w:hAnsi="Arial"/>
                <w:sz w:val="14"/>
                <w:szCs w:val="14"/>
                <w:color w:val="auto"/>
                <w:w w:val="95"/>
              </w:rPr>
              <w:t>(State or other jurisdiction of</w:t>
            </w:r>
          </w:p>
        </w:tc>
        <w:tc>
          <w:tcPr>
            <w:tcW w:w="5220" w:type="dxa"/>
            <w:vAlign w:val="bottom"/>
          </w:tcPr>
          <w:p>
            <w:pPr>
              <w:jc w:val="center"/>
              <w:ind w:left="4068"/>
              <w:spacing w:after="0" w:line="147" w:lineRule="exact"/>
              <w:rPr>
                <w:sz w:val="20"/>
                <w:szCs w:val="20"/>
                <w:color w:val="auto"/>
              </w:rPr>
            </w:pPr>
            <w:r>
              <w:rPr>
                <w:rFonts w:ascii="Arial" w:cs="Arial" w:eastAsia="Arial" w:hAnsi="Arial"/>
                <w:sz w:val="14"/>
                <w:szCs w:val="14"/>
                <w:color w:val="auto"/>
                <w:w w:val="97"/>
              </w:rPr>
              <w:t>(I.R.S. Employer</w:t>
            </w:r>
          </w:p>
        </w:tc>
      </w:tr>
      <w:tr>
        <w:trPr>
          <w:trHeight w:val="182"/>
        </w:trPr>
        <w:tc>
          <w:tcPr>
            <w:tcW w:w="3700" w:type="dxa"/>
            <w:vAlign w:val="bottom"/>
          </w:tcPr>
          <w:p>
            <w:pPr>
              <w:jc w:val="center"/>
              <w:ind w:right="708"/>
              <w:spacing w:after="0"/>
              <w:rPr>
                <w:sz w:val="20"/>
                <w:szCs w:val="20"/>
                <w:color w:val="auto"/>
              </w:rPr>
            </w:pPr>
            <w:r>
              <w:rPr>
                <w:rFonts w:ascii="Arial" w:cs="Arial" w:eastAsia="Arial" w:hAnsi="Arial"/>
                <w:sz w:val="14"/>
                <w:szCs w:val="14"/>
                <w:color w:val="auto"/>
                <w:w w:val="94"/>
              </w:rPr>
              <w:t>incorporation or organization)</w:t>
            </w:r>
          </w:p>
        </w:tc>
        <w:tc>
          <w:tcPr>
            <w:tcW w:w="5220" w:type="dxa"/>
            <w:vAlign w:val="bottom"/>
          </w:tcPr>
          <w:p>
            <w:pPr>
              <w:jc w:val="center"/>
              <w:ind w:left="4068"/>
              <w:spacing w:after="0"/>
              <w:rPr>
                <w:sz w:val="20"/>
                <w:szCs w:val="20"/>
                <w:color w:val="auto"/>
              </w:rPr>
            </w:pPr>
            <w:r>
              <w:rPr>
                <w:rFonts w:ascii="Arial" w:cs="Arial" w:eastAsia="Arial" w:hAnsi="Arial"/>
                <w:sz w:val="14"/>
                <w:szCs w:val="14"/>
                <w:color w:val="auto"/>
                <w:w w:val="99"/>
              </w:rPr>
              <w:t>Identification No.)</w:t>
            </w:r>
          </w:p>
        </w:tc>
      </w:tr>
      <w:tr>
        <w:trPr>
          <w:trHeight w:val="764"/>
        </w:trPr>
        <w:tc>
          <w:tcPr>
            <w:tcW w:w="3700" w:type="dxa"/>
            <w:vAlign w:val="bottom"/>
          </w:tcPr>
          <w:p>
            <w:pPr>
              <w:jc w:val="center"/>
              <w:ind w:right="708"/>
              <w:spacing w:after="0"/>
              <w:rPr>
                <w:sz w:val="20"/>
                <w:szCs w:val="20"/>
                <w:color w:val="auto"/>
              </w:rPr>
            </w:pPr>
            <w:r>
              <w:rPr>
                <w:rFonts w:ascii="Arial" w:cs="Arial" w:eastAsia="Arial" w:hAnsi="Arial"/>
                <w:sz w:val="14"/>
                <w:szCs w:val="14"/>
                <w:b w:val="1"/>
                <w:bCs w:val="1"/>
                <w:color w:val="auto"/>
                <w:w w:val="91"/>
              </w:rPr>
              <w:t>2701 Eastlake Avenue East Seattle, Washington</w:t>
            </w:r>
          </w:p>
        </w:tc>
        <w:tc>
          <w:tcPr>
            <w:tcW w:w="5220" w:type="dxa"/>
            <w:vAlign w:val="bottom"/>
          </w:tcPr>
          <w:p>
            <w:pPr>
              <w:jc w:val="right"/>
              <w:ind w:right="288"/>
              <w:spacing w:after="0"/>
              <w:rPr>
                <w:sz w:val="20"/>
                <w:szCs w:val="20"/>
                <w:color w:val="auto"/>
              </w:rPr>
            </w:pPr>
            <w:r>
              <w:rPr>
                <w:rFonts w:ascii="Arial" w:cs="Arial" w:eastAsia="Arial" w:hAnsi="Arial"/>
                <w:sz w:val="14"/>
                <w:szCs w:val="14"/>
                <w:b w:val="1"/>
                <w:bCs w:val="1"/>
                <w:color w:val="auto"/>
              </w:rPr>
              <w:t>98102</w:t>
            </w:r>
          </w:p>
        </w:tc>
      </w:tr>
      <w:tr>
        <w:trPr>
          <w:trHeight w:val="364"/>
        </w:trPr>
        <w:tc>
          <w:tcPr>
            <w:tcW w:w="3700" w:type="dxa"/>
            <w:vAlign w:val="bottom"/>
          </w:tcPr>
          <w:p>
            <w:pPr>
              <w:jc w:val="center"/>
              <w:ind w:right="708"/>
              <w:spacing w:after="0"/>
              <w:rPr>
                <w:sz w:val="20"/>
                <w:szCs w:val="20"/>
                <w:color w:val="auto"/>
              </w:rPr>
            </w:pPr>
            <w:r>
              <w:rPr>
                <w:rFonts w:ascii="Arial" w:cs="Arial" w:eastAsia="Arial" w:hAnsi="Arial"/>
                <w:sz w:val="14"/>
                <w:szCs w:val="14"/>
                <w:color w:val="auto"/>
                <w:w w:val="95"/>
              </w:rPr>
              <w:t>(Address of principal executive offices)</w:t>
            </w:r>
          </w:p>
        </w:tc>
        <w:tc>
          <w:tcPr>
            <w:tcW w:w="5220" w:type="dxa"/>
            <w:vAlign w:val="bottom"/>
          </w:tcPr>
          <w:p>
            <w:pPr>
              <w:jc w:val="center"/>
              <w:ind w:left="4068"/>
              <w:spacing w:after="0"/>
              <w:rPr>
                <w:sz w:val="20"/>
                <w:szCs w:val="20"/>
                <w:color w:val="auto"/>
              </w:rPr>
            </w:pPr>
            <w:r>
              <w:rPr>
                <w:rFonts w:ascii="Arial" w:cs="Arial" w:eastAsia="Arial" w:hAnsi="Arial"/>
                <w:sz w:val="14"/>
                <w:szCs w:val="14"/>
                <w:color w:val="auto"/>
                <w:w w:val="96"/>
              </w:rPr>
              <w:t>(Zip Code)</w:t>
            </w:r>
          </w:p>
        </w:tc>
      </w:tr>
      <w:tr>
        <w:trPr>
          <w:trHeight w:val="203"/>
        </w:trPr>
        <w:tc>
          <w:tcPr>
            <w:tcW w:w="3700" w:type="dxa"/>
            <w:vAlign w:val="bottom"/>
          </w:tcPr>
          <w:p>
            <w:pPr>
              <w:spacing w:after="0"/>
              <w:rPr>
                <w:sz w:val="17"/>
                <w:szCs w:val="17"/>
                <w:color w:val="auto"/>
              </w:rPr>
            </w:pPr>
          </w:p>
        </w:tc>
        <w:tc>
          <w:tcPr>
            <w:tcW w:w="5220" w:type="dxa"/>
            <w:vAlign w:val="bottom"/>
          </w:tcPr>
          <w:p>
            <w:pPr>
              <w:jc w:val="right"/>
              <w:ind w:right="3488"/>
              <w:spacing w:after="0"/>
              <w:rPr>
                <w:sz w:val="20"/>
                <w:szCs w:val="20"/>
                <w:color w:val="auto"/>
              </w:rPr>
            </w:pPr>
            <w:r>
              <w:rPr>
                <w:rFonts w:ascii="Arial" w:cs="Arial" w:eastAsia="Arial" w:hAnsi="Arial"/>
                <w:sz w:val="14"/>
                <w:szCs w:val="14"/>
                <w:b w:val="1"/>
                <w:bCs w:val="1"/>
                <w:color w:val="auto"/>
              </w:rPr>
              <w:t>(206) 333-2001</w:t>
            </w:r>
          </w:p>
        </w:tc>
      </w:tr>
    </w:tbl>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(Registrant's telephone number, including area code)</w:t>
      </w:r>
    </w:p>
    <w:p>
      <w:pPr>
        <w:spacing w:after="0" w:line="271" w:lineRule="exact"/>
        <w:rPr>
          <w:sz w:val="24"/>
          <w:szCs w:val="24"/>
          <w:color w:val="auto"/>
        </w:rPr>
      </w:pPr>
    </w:p>
    <w:p>
      <w:pPr>
        <w:ind w:left="3260"/>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2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67" w:lineRule="exact"/>
        <w:rPr>
          <w:sz w:val="24"/>
          <w:szCs w:val="24"/>
          <w:color w:val="auto"/>
        </w:rPr>
      </w:pPr>
    </w:p>
    <w:tbl>
      <w:tblPr>
        <w:tblLayout w:type="fixed"/>
        <w:tblInd w:w="820" w:type="dxa"/>
        <w:tblCellMar>
          <w:top w:w="0" w:type="dxa"/>
          <w:left w:w="0" w:type="dxa"/>
          <w:bottom w:w="0" w:type="dxa"/>
          <w:right w:w="0" w:type="dxa"/>
        </w:tblCellMar>
      </w:tblPr>
      <w:tr>
        <w:trPr>
          <w:trHeight w:val="234"/>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26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Trading Symbol(s)</w:t>
            </w:r>
          </w:p>
        </w:tc>
        <w:tc>
          <w:tcPr>
            <w:tcW w:w="3900" w:type="dxa"/>
            <w:vAlign w:val="bottom"/>
            <w:tcBorders>
              <w:bottom w:val="single" w:sz="8" w:color="auto"/>
            </w:tcBorders>
          </w:tcPr>
          <w:p>
            <w:pPr>
              <w:jc w:val="center"/>
              <w:ind w:left="139"/>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184"/>
        </w:trPr>
        <w:tc>
          <w:tcPr>
            <w:tcW w:w="3440" w:type="dxa"/>
            <w:vAlign w:val="bottom"/>
          </w:tcPr>
          <w:p>
            <w:pPr>
              <w:jc w:val="center"/>
              <w:spacing w:after="0"/>
              <w:rPr>
                <w:sz w:val="20"/>
                <w:szCs w:val="20"/>
                <w:color w:val="auto"/>
              </w:rPr>
            </w:pPr>
            <w:r>
              <w:rPr>
                <w:rFonts w:ascii="Arial" w:cs="Arial" w:eastAsia="Arial" w:hAnsi="Arial"/>
                <w:sz w:val="14"/>
                <w:szCs w:val="14"/>
                <w:color w:val="auto"/>
                <w:w w:val="91"/>
              </w:rPr>
              <w:t>Common Stock, par value $0.0001 per share</w:t>
            </w:r>
          </w:p>
        </w:tc>
        <w:tc>
          <w:tcPr>
            <w:tcW w:w="2260" w:type="dxa"/>
            <w:vAlign w:val="bottom"/>
          </w:tcPr>
          <w:p>
            <w:pPr>
              <w:ind w:left="1040"/>
              <w:spacing w:after="0"/>
              <w:rPr>
                <w:sz w:val="20"/>
                <w:szCs w:val="20"/>
                <w:color w:val="auto"/>
              </w:rPr>
            </w:pPr>
            <w:r>
              <w:rPr>
                <w:rFonts w:ascii="Arial" w:cs="Arial" w:eastAsia="Arial" w:hAnsi="Arial"/>
                <w:sz w:val="14"/>
                <w:szCs w:val="14"/>
                <w:color w:val="auto"/>
              </w:rPr>
              <w:t>NAUT</w:t>
            </w:r>
          </w:p>
        </w:tc>
        <w:tc>
          <w:tcPr>
            <w:tcW w:w="3900" w:type="dxa"/>
            <w:vAlign w:val="bottom"/>
          </w:tcPr>
          <w:p>
            <w:pPr>
              <w:jc w:val="center"/>
              <w:ind w:left="139"/>
              <w:spacing w:after="0"/>
              <w:rPr>
                <w:sz w:val="20"/>
                <w:szCs w:val="20"/>
                <w:color w:val="auto"/>
              </w:rPr>
            </w:pPr>
            <w:r>
              <w:rPr>
                <w:rFonts w:ascii="Arial" w:cs="Arial" w:eastAsia="Arial" w:hAnsi="Arial"/>
                <w:sz w:val="14"/>
                <w:szCs w:val="14"/>
                <w:color w:val="auto"/>
                <w:w w:val="94"/>
              </w:rPr>
              <w:t>The Nasdaq Stock Market LLC</w:t>
            </w:r>
          </w:p>
        </w:tc>
      </w:tr>
    </w:tbl>
    <w:p>
      <w:pPr>
        <w:spacing w:after="0" w:line="308"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10" w:lineRule="exact"/>
        <w:rPr>
          <w:sz w:val="24"/>
          <w:szCs w:val="24"/>
          <w:color w:val="auto"/>
        </w:rPr>
      </w:pPr>
    </w:p>
    <w:p>
      <w:pPr>
        <w:ind w:right="20"/>
        <w:spacing w:after="0" w:line="212"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5" w:lineRule="exact"/>
        <w:rPr>
          <w:sz w:val="24"/>
          <w:szCs w:val="24"/>
          <w:color w:val="auto"/>
        </w:rPr>
      </w:pPr>
    </w:p>
    <w:p>
      <w:pPr>
        <w:ind w:firstLine="324"/>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4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2" w:lineRule="exact"/>
        <w:rPr>
          <w:sz w:val="24"/>
          <w:szCs w:val="24"/>
          <w:color w:val="auto"/>
        </w:rPr>
      </w:pPr>
    </w:p>
    <w:p>
      <w:pPr>
        <w:ind w:right="160"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3" w:lineRule="exact"/>
        <w:rPr>
          <w:sz w:val="24"/>
          <w:szCs w:val="24"/>
          <w:color w:val="auto"/>
        </w:rPr>
      </w:pPr>
    </w:p>
    <w:tbl>
      <w:tblPr>
        <w:tblLayout w:type="fixed"/>
        <w:tblInd w:w="20" w:type="dxa"/>
        <w:tblCellMar>
          <w:top w:w="0" w:type="dxa"/>
          <w:left w:w="0" w:type="dxa"/>
          <w:bottom w:w="0" w:type="dxa"/>
          <w:right w:w="0" w:type="dxa"/>
        </w:tblCellMar>
      </w:tblPr>
      <w:tr>
        <w:trPr>
          <w:trHeight w:val="182"/>
        </w:trPr>
        <w:tc>
          <w:tcPr>
            <w:tcW w:w="15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80" w:type="dxa"/>
            <w:vAlign w:val="bottom"/>
          </w:tcPr>
          <w:p>
            <w:pPr>
              <w:ind w:left="260"/>
              <w:spacing w:after="0"/>
              <w:rPr>
                <w:sz w:val="20"/>
                <w:szCs w:val="20"/>
                <w:color w:val="auto"/>
              </w:rPr>
            </w:pPr>
            <w:r>
              <w:rPr>
                <w:rFonts w:ascii="Arial" w:cs="Arial" w:eastAsia="Arial" w:hAnsi="Arial"/>
                <w:sz w:val="14"/>
                <w:szCs w:val="14"/>
                <w:color w:val="auto"/>
              </w:rPr>
              <w:t>o</w:t>
            </w:r>
          </w:p>
        </w:tc>
        <w:tc>
          <w:tcPr>
            <w:tcW w:w="5160" w:type="dxa"/>
            <w:vAlign w:val="bottom"/>
          </w:tcPr>
          <w:p>
            <w:pPr>
              <w:ind w:left="3280"/>
              <w:spacing w:after="0"/>
              <w:rPr>
                <w:sz w:val="20"/>
                <w:szCs w:val="20"/>
                <w:color w:val="auto"/>
              </w:rPr>
            </w:pPr>
            <w:r>
              <w:rPr>
                <w:rFonts w:ascii="Arial" w:cs="Arial" w:eastAsia="Arial" w:hAnsi="Arial"/>
                <w:sz w:val="14"/>
                <w:szCs w:val="14"/>
                <w:color w:val="auto"/>
              </w:rPr>
              <w:t>Accelerated filer</w:t>
            </w:r>
          </w:p>
        </w:tc>
        <w:tc>
          <w:tcPr>
            <w:tcW w:w="420" w:type="dxa"/>
            <w:vAlign w:val="bottom"/>
          </w:tcPr>
          <w:p>
            <w:pPr>
              <w:ind w:left="300"/>
              <w:spacing w:after="0"/>
              <w:rPr>
                <w:sz w:val="20"/>
                <w:szCs w:val="20"/>
                <w:color w:val="auto"/>
              </w:rPr>
            </w:pPr>
            <w:r>
              <w:rPr>
                <w:rFonts w:ascii="Arial" w:cs="Arial" w:eastAsia="Arial" w:hAnsi="Arial"/>
                <w:sz w:val="14"/>
                <w:szCs w:val="14"/>
                <w:color w:val="auto"/>
              </w:rPr>
              <w:t>o</w:t>
            </w:r>
          </w:p>
        </w:tc>
      </w:tr>
      <w:tr>
        <w:trPr>
          <w:trHeight w:val="222"/>
        </w:trPr>
        <w:tc>
          <w:tcPr>
            <w:tcW w:w="1540" w:type="dxa"/>
            <w:vAlign w:val="bottom"/>
          </w:tcPr>
          <w:p>
            <w:pPr>
              <w:spacing w:after="0"/>
              <w:rPr>
                <w:sz w:val="20"/>
                <w:szCs w:val="20"/>
                <w:color w:val="auto"/>
              </w:rPr>
            </w:pPr>
            <w:r>
              <w:rPr>
                <w:rFonts w:ascii="Arial" w:cs="Arial" w:eastAsia="Arial" w:hAnsi="Arial"/>
                <w:sz w:val="14"/>
                <w:szCs w:val="14"/>
                <w:color w:val="auto"/>
              </w:rPr>
              <w:t>Non-accelerated filer</w:t>
            </w:r>
          </w:p>
        </w:tc>
        <w:tc>
          <w:tcPr>
            <w:tcW w:w="36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5160" w:type="dxa"/>
            <w:vAlign w:val="bottom"/>
          </w:tcPr>
          <w:p>
            <w:pPr>
              <w:ind w:left="3280"/>
              <w:spacing w:after="0"/>
              <w:rPr>
                <w:sz w:val="20"/>
                <w:szCs w:val="20"/>
                <w:color w:val="auto"/>
              </w:rPr>
            </w:pPr>
            <w:r>
              <w:rPr>
                <w:rFonts w:ascii="Arial" w:cs="Arial" w:eastAsia="Arial" w:hAnsi="Arial"/>
                <w:sz w:val="14"/>
                <w:szCs w:val="14"/>
                <w:color w:val="auto"/>
              </w:rPr>
              <w:t>Smaller reporting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5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5160" w:type="dxa"/>
            <w:vAlign w:val="bottom"/>
          </w:tcPr>
          <w:p>
            <w:pPr>
              <w:ind w:left="3280"/>
              <w:spacing w:after="0"/>
              <w:rPr>
                <w:sz w:val="20"/>
                <w:szCs w:val="20"/>
                <w:color w:val="auto"/>
              </w:rPr>
            </w:pPr>
            <w:r>
              <w:rPr>
                <w:rFonts w:ascii="Arial" w:cs="Arial" w:eastAsia="Arial" w:hAnsi="Arial"/>
                <w:sz w:val="14"/>
                <w:szCs w:val="14"/>
                <w:color w:val="auto"/>
              </w:rPr>
              <w:t>Emerging growth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38" w:lineRule="exact"/>
        <w:rPr>
          <w:sz w:val="24"/>
          <w:szCs w:val="24"/>
          <w:color w:val="auto"/>
        </w:rPr>
      </w:pPr>
    </w:p>
    <w:p>
      <w:pPr>
        <w:ind w:right="140"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16" w:lineRule="exact"/>
        <w:rPr>
          <w:sz w:val="24"/>
          <w:szCs w:val="24"/>
          <w:color w:val="auto"/>
        </w:rPr>
      </w:pPr>
    </w:p>
    <w:p>
      <w:pPr>
        <w:ind w:right="1360" w:firstLine="324"/>
        <w:spacing w:after="0" w:line="490" w:lineRule="auto"/>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o No x As of July 29, 2022, the registrant had 124,663,186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030" w:right="379" w:bottom="1440" w:gutter="0" w:footer="0" w:header="0"/>
        </w:sectPr>
      </w:pPr>
    </w:p>
    <w:bookmarkStart w:id="1" w:name="page2"/>
    <w:bookmarkEnd w:id="1"/>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20" w:type="dxa"/>
            <w:vAlign w:val="bottom"/>
            <w:gridSpan w:val="11"/>
          </w:tcPr>
          <w:p>
            <w:pPr>
              <w:jc w:val="center"/>
              <w:ind w:right="2480"/>
              <w:spacing w:after="0"/>
              <w:rPr>
                <w:sz w:val="20"/>
                <w:szCs w:val="20"/>
                <w:color w:val="auto"/>
              </w:rPr>
            </w:pPr>
            <w:r>
              <w:rPr>
                <w:rFonts w:ascii="Arial" w:cs="Arial" w:eastAsia="Arial" w:hAnsi="Arial"/>
                <w:sz w:val="18"/>
                <w:szCs w:val="18"/>
                <w:b w:val="1"/>
                <w:bCs w:val="1"/>
                <w:color w:val="auto"/>
              </w:rPr>
              <w:t>NAUTILUS BIOTECHNOLOGY, INC.</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20" w:type="dxa"/>
            <w:vAlign w:val="bottom"/>
            <w:gridSpan w:val="11"/>
          </w:tcPr>
          <w:p>
            <w:pPr>
              <w:jc w:val="center"/>
              <w:ind w:right="2500"/>
              <w:spacing w:after="0"/>
              <w:rPr>
                <w:sz w:val="20"/>
                <w:szCs w:val="20"/>
                <w:color w:val="auto"/>
              </w:rPr>
            </w:pPr>
            <w:r>
              <w:rPr>
                <w:rFonts w:ascii="Arial" w:cs="Arial" w:eastAsia="Arial" w:hAnsi="Arial"/>
                <w:sz w:val="18"/>
                <w:szCs w:val="18"/>
                <w:b w:val="1"/>
                <w:bCs w:val="1"/>
                <w:color w:val="auto"/>
                <w:w w:val="98"/>
              </w:rPr>
              <w:t>TABLE OF CONTENTS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425"/>
        </w:trPr>
        <w:tc>
          <w:tcPr>
            <w:tcW w:w="10360" w:type="dxa"/>
            <w:vAlign w:val="bottom"/>
            <w:gridSpan w:val="2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PART I. FINANCIAL INFORMATION</w:t>
              </w:r>
            </w:hyperlink>
          </w:p>
        </w:tc>
        <w:tc>
          <w:tcPr>
            <w:tcW w:w="320" w:type="dxa"/>
            <w:vAlign w:val="bottom"/>
          </w:tcPr>
          <w:p>
            <w:pPr>
              <w:spacing w:after="0"/>
              <w:rPr>
                <w:sz w:val="24"/>
                <w:szCs w:val="24"/>
                <w:color w:val="auto"/>
              </w:rPr>
            </w:pPr>
          </w:p>
        </w:tc>
        <w:tc>
          <w:tcPr>
            <w:tcW w:w="400" w:type="dxa"/>
            <w:vAlign w:val="bottom"/>
            <w:gridSpan w:val="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iii</w:t>
              </w:r>
            </w:hyperlink>
          </w:p>
        </w:tc>
        <w:tc>
          <w:tcPr>
            <w:tcW w:w="0" w:type="dxa"/>
            <w:vAlign w:val="bottom"/>
          </w:tcPr>
          <w:p>
            <w:pPr>
              <w:spacing w:after="0"/>
              <w:rPr>
                <w:sz w:val="1"/>
                <w:szCs w:val="1"/>
                <w:color w:val="auto"/>
              </w:rPr>
            </w:pPr>
          </w:p>
        </w:tc>
      </w:tr>
      <w:tr>
        <w:trPr>
          <w:trHeight w:val="466"/>
        </w:trPr>
        <w:tc>
          <w:tcPr>
            <w:tcW w:w="102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1860" w:type="dxa"/>
            <w:vAlign w:val="bottom"/>
            <w:tcBorders>
              <w:top w:val="single" w:sz="8" w:color="0000FF"/>
            </w:tcBorders>
            <w:gridSpan w:val="9"/>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Financial Statements</w:t>
              </w:r>
            </w:hyperlink>
          </w:p>
        </w:tc>
        <w:tc>
          <w:tcPr>
            <w:tcW w:w="7480" w:type="dxa"/>
            <w:vAlign w:val="bottom"/>
            <w:gridSpan w:val="12"/>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spacing w:after="0"/>
              <w:rPr>
                <w:sz w:val="22"/>
                <w:szCs w:val="22"/>
                <w:color w:val="auto"/>
              </w:rPr>
            </w:pPr>
          </w:p>
        </w:tc>
        <w:tc>
          <w:tcPr>
            <w:tcW w:w="4260" w:type="dxa"/>
            <w:vAlign w:val="bottom"/>
            <w:tcBorders>
              <w:bottom w:val="single" w:sz="8" w:color="0000FF"/>
            </w:tcBorders>
            <w:gridSpan w:val="12"/>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Condensed Consolidated Financial Statements (Unaudited)</w:t>
              </w:r>
            </w:hyperlink>
          </w:p>
        </w:tc>
        <w:tc>
          <w:tcPr>
            <w:tcW w:w="5080" w:type="dxa"/>
            <w:vAlign w:val="bottom"/>
            <w:gridSpan w:val="9"/>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Borders>
              <w:bottom w:val="single" w:sz="8" w:color="0000FF"/>
            </w:tcBorders>
            <w:gridSpan w:val="2"/>
          </w:tcPr>
          <w:p>
            <w:pPr>
              <w:spacing w:after="0"/>
              <w:rPr>
                <w:rFonts w:ascii="Arial" w:cs="Arial" w:eastAsia="Arial" w:hAnsi="Arial"/>
                <w:sz w:val="18"/>
                <w:szCs w:val="18"/>
                <w:color w:val="0000FF"/>
                <w:w w:val="82"/>
              </w:rPr>
            </w:pPr>
            <w:hyperlink w:anchor="page4">
              <w:r>
                <w:rPr>
                  <w:rFonts w:ascii="Arial" w:cs="Arial" w:eastAsia="Arial" w:hAnsi="Arial"/>
                  <w:sz w:val="18"/>
                  <w:szCs w:val="18"/>
                  <w:color w:val="0000FF"/>
                  <w:w w:val="82"/>
                </w:rPr>
                <w:t>iii</w:t>
              </w:r>
            </w:hyperlink>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20" w:type="dxa"/>
            <w:vAlign w:val="bottom"/>
          </w:tcPr>
          <w:p>
            <w:pPr>
              <w:spacing w:after="0"/>
              <w:rPr>
                <w:sz w:val="22"/>
                <w:szCs w:val="22"/>
                <w:color w:val="auto"/>
              </w:rPr>
            </w:pPr>
          </w:p>
        </w:tc>
        <w:tc>
          <w:tcPr>
            <w:tcW w:w="9340" w:type="dxa"/>
            <w:vAlign w:val="bottom"/>
            <w:gridSpan w:val="21"/>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 as of June 30, 2022 and December 31, 2021 (unaudited)</w:t>
              </w:r>
            </w:hyperlink>
          </w:p>
        </w:tc>
        <w:tc>
          <w:tcPr>
            <w:tcW w:w="460" w:type="dxa"/>
            <w:vAlign w:val="bottom"/>
            <w:gridSpan w:val="3"/>
          </w:tcPr>
          <w:p>
            <w:pPr>
              <w:jc w:val="center"/>
              <w:ind w:left="170"/>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1</w:t>
              </w:r>
            </w:hyperlink>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spacing w:after="0"/>
              <w:rPr>
                <w:sz w:val="22"/>
                <w:szCs w:val="22"/>
                <w:color w:val="auto"/>
              </w:rPr>
            </w:pPr>
          </w:p>
        </w:tc>
        <w:tc>
          <w:tcPr>
            <w:tcW w:w="9340" w:type="dxa"/>
            <w:vAlign w:val="bottom"/>
            <w:gridSpan w:val="21"/>
          </w:tcPr>
          <w:p>
            <w:pPr>
              <w:spacing w:after="0"/>
              <w:rPr>
                <w:rFonts w:ascii="Arial" w:cs="Arial" w:eastAsia="Arial" w:hAnsi="Arial"/>
                <w:sz w:val="18"/>
                <w:szCs w:val="18"/>
                <w:color w:val="0000FF"/>
                <w:w w:val="93"/>
              </w:rPr>
            </w:pPr>
            <w:hyperlink w:anchor="page5">
              <w:r>
                <w:rPr>
                  <w:rFonts w:ascii="Arial" w:cs="Arial" w:eastAsia="Arial" w:hAnsi="Arial"/>
                  <w:sz w:val="18"/>
                  <w:szCs w:val="18"/>
                  <w:color w:val="0000FF"/>
                  <w:w w:val="93"/>
                </w:rPr>
                <w:t>Condensed Consolidated Statements of Operations for the Three and Six Months Ended June 30, 2022 and 2021 (unaudited)</w:t>
              </w:r>
            </w:hyperlink>
          </w:p>
        </w:tc>
        <w:tc>
          <w:tcPr>
            <w:tcW w:w="460" w:type="dxa"/>
            <w:vAlign w:val="bottom"/>
            <w:gridSpan w:val="3"/>
          </w:tcPr>
          <w:p>
            <w:pPr>
              <w:jc w:val="center"/>
              <w:ind w:left="170"/>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2</w:t>
              </w:r>
            </w:hyperlink>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20" w:type="dxa"/>
            <w:vAlign w:val="bottom"/>
          </w:tcPr>
          <w:p>
            <w:pPr>
              <w:spacing w:after="0"/>
              <w:rPr>
                <w:sz w:val="22"/>
                <w:szCs w:val="22"/>
                <w:color w:val="auto"/>
              </w:rPr>
            </w:pPr>
          </w:p>
        </w:tc>
        <w:tc>
          <w:tcPr>
            <w:tcW w:w="8960" w:type="dxa"/>
            <w:vAlign w:val="bottom"/>
            <w:gridSpan w:val="19"/>
          </w:tcPr>
          <w:p>
            <w:pPr>
              <w:spacing w:after="0"/>
              <w:rPr>
                <w:rFonts w:ascii="Arial" w:cs="Arial" w:eastAsia="Arial" w:hAnsi="Arial"/>
                <w:sz w:val="18"/>
                <w:szCs w:val="18"/>
                <w:color w:val="0000FF"/>
                <w:w w:val="90"/>
              </w:rPr>
            </w:pPr>
            <w:hyperlink w:anchor="page6">
              <w:r>
                <w:rPr>
                  <w:rFonts w:ascii="Arial" w:cs="Arial" w:eastAsia="Arial" w:hAnsi="Arial"/>
                  <w:sz w:val="18"/>
                  <w:szCs w:val="18"/>
                  <w:color w:val="0000FF"/>
                  <w:w w:val="90"/>
                </w:rPr>
                <w:t>Condensed Consolidated Statements of Comprehensive Loss for the Three and Six Months Ended June 30, 2022 and 2021</w:t>
              </w:r>
            </w:hyperlink>
          </w:p>
        </w:tc>
        <w:tc>
          <w:tcPr>
            <w:tcW w:w="380" w:type="dxa"/>
            <w:vAlign w:val="bottom"/>
            <w:gridSpan w:val="2"/>
          </w:tcPr>
          <w:p>
            <w:pPr>
              <w:spacing w:after="0"/>
              <w:rPr>
                <w:sz w:val="22"/>
                <w:szCs w:val="22"/>
                <w:color w:val="auto"/>
              </w:rPr>
            </w:pPr>
          </w:p>
        </w:tc>
        <w:tc>
          <w:tcPr>
            <w:tcW w:w="460" w:type="dxa"/>
            <w:vAlign w:val="bottom"/>
            <w:gridSpan w:val="3"/>
            <w:vMerge w:val="restart"/>
          </w:tcPr>
          <w:p>
            <w:pPr>
              <w:jc w:val="center"/>
              <w:ind w:left="170"/>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3</w:t>
              </w:r>
            </w:hyperlink>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882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w:anchor="page6">
              <w:r>
                <w:rPr>
                  <w:rFonts w:ascii="Arial" w:cs="Arial" w:eastAsia="Arial" w:hAnsi="Arial"/>
                  <w:sz w:val="18"/>
                  <w:szCs w:val="18"/>
                  <w:color w:val="0000FF"/>
                </w:rPr>
                <w:t>(unaudited)</w:t>
              </w:r>
            </w:hyperlink>
          </w:p>
        </w:tc>
        <w:tc>
          <w:tcPr>
            <w:tcW w:w="4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spacing w:after="0"/>
              <w:rPr>
                <w:sz w:val="22"/>
                <w:szCs w:val="22"/>
                <w:color w:val="auto"/>
              </w:rPr>
            </w:pPr>
          </w:p>
        </w:tc>
        <w:tc>
          <w:tcPr>
            <w:tcW w:w="9340" w:type="dxa"/>
            <w:vAlign w:val="bottom"/>
            <w:gridSpan w:val="21"/>
          </w:tcPr>
          <w:p>
            <w:pPr>
              <w:spacing w:after="0"/>
              <w:rPr>
                <w:rFonts w:ascii="Arial" w:cs="Arial" w:eastAsia="Arial" w:hAnsi="Arial"/>
                <w:sz w:val="18"/>
                <w:szCs w:val="18"/>
                <w:color w:val="0000FF"/>
                <w:w w:val="90"/>
              </w:rPr>
            </w:pPr>
            <w:hyperlink w:anchor="page7">
              <w:r>
                <w:rPr>
                  <w:rFonts w:ascii="Arial" w:cs="Arial" w:eastAsia="Arial" w:hAnsi="Arial"/>
                  <w:sz w:val="18"/>
                  <w:szCs w:val="18"/>
                  <w:color w:val="0000FF"/>
                  <w:w w:val="90"/>
                </w:rPr>
                <w:t>Condensed Consolidated Statements of Redeemable Convertible Preferred Stock and Stockholders’ Equity for the Three and Six</w:t>
              </w:r>
            </w:hyperlink>
          </w:p>
        </w:tc>
        <w:tc>
          <w:tcPr>
            <w:tcW w:w="460" w:type="dxa"/>
            <w:vAlign w:val="bottom"/>
            <w:gridSpan w:val="3"/>
            <w:vMerge w:val="restart"/>
          </w:tcPr>
          <w:p>
            <w:pPr>
              <w:jc w:val="center"/>
              <w:ind w:left="170"/>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4</w:t>
              </w:r>
            </w:hyperlink>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926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w:anchor="page7">
              <w:r>
                <w:rPr>
                  <w:rFonts w:ascii="Arial" w:cs="Arial" w:eastAsia="Arial" w:hAnsi="Arial"/>
                  <w:sz w:val="18"/>
                  <w:szCs w:val="18"/>
                  <w:color w:val="0000FF"/>
                </w:rPr>
                <w:t>Months Ended June 30, 2022 and 2021 (unaudited)</w:t>
              </w:r>
            </w:hyperlink>
          </w:p>
        </w:tc>
        <w:tc>
          <w:tcPr>
            <w:tcW w:w="80" w:type="dxa"/>
            <w:vAlign w:val="bottom"/>
          </w:tcPr>
          <w:p>
            <w:pPr>
              <w:spacing w:after="0"/>
              <w:rPr>
                <w:sz w:val="13"/>
                <w:szCs w:val="13"/>
                <w:color w:val="auto"/>
              </w:rPr>
            </w:pPr>
          </w:p>
        </w:tc>
        <w:tc>
          <w:tcPr>
            <w:tcW w:w="46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20" w:type="dxa"/>
            <w:vAlign w:val="bottom"/>
          </w:tcPr>
          <w:p>
            <w:pPr>
              <w:spacing w:after="0"/>
              <w:rPr>
                <w:sz w:val="22"/>
                <w:szCs w:val="22"/>
                <w:color w:val="auto"/>
              </w:rPr>
            </w:pPr>
          </w:p>
        </w:tc>
        <w:tc>
          <w:tcPr>
            <w:tcW w:w="9340" w:type="dxa"/>
            <w:vAlign w:val="bottom"/>
            <w:gridSpan w:val="21"/>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Condensed Consolidated Statements of Cash Flows for the Six Months Ended June 30, 2022 and 2021 (unaudited)</w:t>
              </w:r>
            </w:hyperlink>
          </w:p>
        </w:tc>
        <w:tc>
          <w:tcPr>
            <w:tcW w:w="460" w:type="dxa"/>
            <w:vAlign w:val="bottom"/>
            <w:gridSpan w:val="3"/>
          </w:tcPr>
          <w:p>
            <w:pPr>
              <w:jc w:val="center"/>
              <w:ind w:left="170"/>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6</w:t>
              </w:r>
            </w:hyperlink>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spacing w:after="0"/>
              <w:rPr>
                <w:sz w:val="22"/>
                <w:szCs w:val="22"/>
                <w:color w:val="auto"/>
              </w:rPr>
            </w:pPr>
          </w:p>
        </w:tc>
        <w:tc>
          <w:tcPr>
            <w:tcW w:w="8240" w:type="dxa"/>
            <w:vAlign w:val="bottom"/>
            <w:gridSpan w:val="17"/>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Notes to Condensed Consolidated Financial Statements (unaudited)</w:t>
              </w:r>
            </w:hyperlink>
          </w:p>
        </w:tc>
        <w:tc>
          <w:tcPr>
            <w:tcW w:w="1100" w:type="dxa"/>
            <w:vAlign w:val="bottom"/>
            <w:gridSpan w:val="4"/>
          </w:tcPr>
          <w:p>
            <w:pPr>
              <w:spacing w:after="0"/>
              <w:rPr>
                <w:sz w:val="22"/>
                <w:szCs w:val="22"/>
                <w:color w:val="auto"/>
              </w:rPr>
            </w:pPr>
          </w:p>
        </w:tc>
        <w:tc>
          <w:tcPr>
            <w:tcW w:w="460" w:type="dxa"/>
            <w:vAlign w:val="bottom"/>
            <w:gridSpan w:val="3"/>
          </w:tcPr>
          <w:p>
            <w:pPr>
              <w:jc w:val="center"/>
              <w:ind w:left="170"/>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7</w:t>
              </w:r>
            </w:hyperlink>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6440" w:type="dxa"/>
            <w:vAlign w:val="bottom"/>
            <w:gridSpan w:val="15"/>
          </w:tcPr>
          <w:p>
            <w:pPr>
              <w:spacing w:after="0"/>
              <w:rPr>
                <w:rFonts w:ascii="Arial" w:cs="Arial" w:eastAsia="Arial" w:hAnsi="Arial"/>
                <w:sz w:val="18"/>
                <w:szCs w:val="18"/>
                <w:color w:val="0000FF"/>
                <w:w w:val="90"/>
              </w:rPr>
            </w:pPr>
            <w:hyperlink w:anchor="page24">
              <w:r>
                <w:rPr>
                  <w:rFonts w:ascii="Arial" w:cs="Arial" w:eastAsia="Arial" w:hAnsi="Arial"/>
                  <w:sz w:val="18"/>
                  <w:szCs w:val="18"/>
                  <w:color w:val="0000FF"/>
                  <w:w w:val="90"/>
                </w:rPr>
                <w:t>Management's Discussion and Analysis of Financial Condition and Results of Operations</w:t>
              </w:r>
            </w:hyperlink>
          </w:p>
        </w:tc>
        <w:tc>
          <w:tcPr>
            <w:tcW w:w="2900" w:type="dxa"/>
            <w:vAlign w:val="bottom"/>
            <w:gridSpan w:val="6"/>
          </w:tcPr>
          <w:p>
            <w:pPr>
              <w:spacing w:after="0"/>
              <w:rPr>
                <w:sz w:val="22"/>
                <w:szCs w:val="22"/>
                <w:color w:val="auto"/>
              </w:rPr>
            </w:pPr>
          </w:p>
        </w:tc>
        <w:tc>
          <w:tcPr>
            <w:tcW w:w="720" w:type="dxa"/>
            <w:vAlign w:val="bottom"/>
            <w:gridSpan w:val="4"/>
          </w:tcPr>
          <w:p>
            <w:pPr>
              <w:jc w:val="center"/>
              <w:spacing w:after="0"/>
              <w:rPr>
                <w:rFonts w:ascii="Arial" w:cs="Arial" w:eastAsia="Arial" w:hAnsi="Arial"/>
                <w:sz w:val="18"/>
                <w:szCs w:val="18"/>
                <w:color w:val="0000FF"/>
                <w:w w:val="89"/>
              </w:rPr>
            </w:pPr>
            <w:hyperlink w:anchor="page24">
              <w:r>
                <w:rPr>
                  <w:rFonts w:ascii="Arial" w:cs="Arial" w:eastAsia="Arial" w:hAnsi="Arial"/>
                  <w:sz w:val="18"/>
                  <w:szCs w:val="18"/>
                  <w:color w:val="0000FF"/>
                  <w:w w:val="89"/>
                </w:rPr>
                <w:t>21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13"/>
          </w:tcPr>
          <w:p>
            <w:pPr>
              <w:spacing w:after="0"/>
              <w:rPr>
                <w:rFonts w:ascii="Arial" w:cs="Arial" w:eastAsia="Arial" w:hAnsi="Arial"/>
                <w:sz w:val="18"/>
                <w:szCs w:val="18"/>
                <w:color w:val="0000FF"/>
                <w:w w:val="91"/>
              </w:rPr>
            </w:pPr>
            <w:hyperlink w:anchor="page34">
              <w:r>
                <w:rPr>
                  <w:rFonts w:ascii="Arial" w:cs="Arial" w:eastAsia="Arial" w:hAnsi="Arial"/>
                  <w:sz w:val="18"/>
                  <w:szCs w:val="18"/>
                  <w:color w:val="0000FF"/>
                  <w:w w:val="91"/>
                </w:rPr>
                <w:t>Quantitative and Qualitative Disclosures About Market Risk</w:t>
              </w:r>
            </w:hyperlink>
          </w:p>
        </w:tc>
        <w:tc>
          <w:tcPr>
            <w:tcW w:w="2100" w:type="dxa"/>
            <w:vAlign w:val="bottom"/>
            <w:gridSpan w:val="2"/>
          </w:tcPr>
          <w:p>
            <w:pPr>
              <w:spacing w:after="0"/>
              <w:rPr>
                <w:sz w:val="18"/>
                <w:szCs w:val="18"/>
                <w:color w:val="auto"/>
              </w:rPr>
            </w:pPr>
          </w:p>
        </w:tc>
        <w:tc>
          <w:tcPr>
            <w:tcW w:w="2900" w:type="dxa"/>
            <w:vAlign w:val="bottom"/>
            <w:gridSpan w:val="6"/>
          </w:tcPr>
          <w:p>
            <w:pPr>
              <w:spacing w:after="0"/>
              <w:rPr>
                <w:sz w:val="18"/>
                <w:szCs w:val="18"/>
                <w:color w:val="auto"/>
              </w:rPr>
            </w:pPr>
          </w:p>
        </w:tc>
        <w:tc>
          <w:tcPr>
            <w:tcW w:w="720" w:type="dxa"/>
            <w:vAlign w:val="bottom"/>
            <w:gridSpan w:val="4"/>
          </w:tcPr>
          <w:p>
            <w:pPr>
              <w:jc w:val="center"/>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5000" w:type="dxa"/>
            <w:vAlign w:val="bottom"/>
            <w:tcBorders>
              <w:left w:val="single" w:sz="8" w:color="0000FF"/>
            </w:tcBorders>
            <w:gridSpan w:val="8"/>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13"/>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Controls and Procedures</w:t>
              </w:r>
            </w:hyperlink>
          </w:p>
        </w:tc>
        <w:tc>
          <w:tcPr>
            <w:tcW w:w="5000" w:type="dxa"/>
            <w:vAlign w:val="bottom"/>
            <w:gridSpan w:val="8"/>
          </w:tcPr>
          <w:p>
            <w:pPr>
              <w:spacing w:after="0"/>
              <w:rPr>
                <w:sz w:val="18"/>
                <w:szCs w:val="18"/>
                <w:color w:val="auto"/>
              </w:rPr>
            </w:pPr>
          </w:p>
        </w:tc>
        <w:tc>
          <w:tcPr>
            <w:tcW w:w="720" w:type="dxa"/>
            <w:vAlign w:val="bottom"/>
            <w:gridSpan w:val="4"/>
          </w:tcPr>
          <w:p>
            <w:pPr>
              <w:jc w:val="center"/>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32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640" w:type="dxa"/>
            <w:vAlign w:val="bottom"/>
            <w:tcBorders>
              <w:bottom w:val="single" w:sz="8" w:color="0000FF"/>
            </w:tcBorders>
            <w:gridSpan w:val="8"/>
          </w:tcPr>
          <w:p>
            <w:pPr>
              <w:spacing w:after="0"/>
              <w:rPr>
                <w:rFonts w:ascii="Arial" w:cs="Arial" w:eastAsia="Arial" w:hAnsi="Arial"/>
                <w:sz w:val="18"/>
                <w:szCs w:val="18"/>
                <w:color w:val="0000FF"/>
                <w:w w:val="95"/>
              </w:rPr>
            </w:pPr>
            <w:hyperlink w:anchor="page36">
              <w:r>
                <w:rPr>
                  <w:rFonts w:ascii="Arial" w:cs="Arial" w:eastAsia="Arial" w:hAnsi="Arial"/>
                  <w:sz w:val="18"/>
                  <w:szCs w:val="18"/>
                  <w:color w:val="0000FF"/>
                  <w:w w:val="95"/>
                </w:rPr>
                <w:t>PART II - OTHER INFORMATION</w:t>
              </w:r>
            </w:hyperlink>
          </w:p>
        </w:tc>
        <w:tc>
          <w:tcPr>
            <w:tcW w:w="7720" w:type="dxa"/>
            <w:vAlign w:val="bottom"/>
            <w:gridSpan w:val="14"/>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1320" w:type="dxa"/>
            <w:vAlign w:val="bottom"/>
            <w:gridSpan w:val="5"/>
          </w:tcPr>
          <w:p>
            <w:pPr>
              <w:spacing w:after="0"/>
              <w:rPr>
                <w:rFonts w:ascii="Arial" w:cs="Arial" w:eastAsia="Arial" w:hAnsi="Arial"/>
                <w:sz w:val="18"/>
                <w:szCs w:val="18"/>
                <w:color w:val="0000FF"/>
                <w:w w:val="85"/>
              </w:rPr>
            </w:pPr>
            <w:hyperlink w:anchor="page37">
              <w:r>
                <w:rPr>
                  <w:rFonts w:ascii="Arial" w:cs="Arial" w:eastAsia="Arial" w:hAnsi="Arial"/>
                  <w:sz w:val="18"/>
                  <w:szCs w:val="18"/>
                  <w:color w:val="0000FF"/>
                  <w:w w:val="85"/>
                </w:rPr>
                <w:t>Legal Proceedings</w:t>
              </w:r>
            </w:hyperlink>
          </w:p>
        </w:tc>
        <w:tc>
          <w:tcPr>
            <w:tcW w:w="8020" w:type="dxa"/>
            <w:vAlign w:val="bottom"/>
            <w:gridSpan w:val="16"/>
          </w:tcPr>
          <w:p>
            <w:pPr>
              <w:spacing w:after="0"/>
              <w:rPr>
                <w:sz w:val="24"/>
                <w:szCs w:val="24"/>
                <w:color w:val="auto"/>
              </w:rPr>
            </w:pPr>
          </w:p>
        </w:tc>
        <w:tc>
          <w:tcPr>
            <w:tcW w:w="720" w:type="dxa"/>
            <w:vAlign w:val="bottom"/>
            <w:gridSpan w:val="4"/>
          </w:tcPr>
          <w:p>
            <w:pPr>
              <w:jc w:val="center"/>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33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8"/>
                <w:szCs w:val="18"/>
                <w:color w:val="auto"/>
              </w:rPr>
              <w:t>Item 1A.</w:t>
            </w:r>
          </w:p>
        </w:tc>
        <w:tc>
          <w:tcPr>
            <w:tcW w:w="1320" w:type="dxa"/>
            <w:vAlign w:val="bottom"/>
            <w:gridSpan w:val="5"/>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Risk Factors</w:t>
              </w:r>
            </w:hyperlink>
          </w:p>
        </w:tc>
        <w:tc>
          <w:tcPr>
            <w:tcW w:w="8020" w:type="dxa"/>
            <w:vAlign w:val="bottom"/>
            <w:gridSpan w:val="16"/>
          </w:tcPr>
          <w:p>
            <w:pPr>
              <w:spacing w:after="0"/>
              <w:rPr>
                <w:sz w:val="18"/>
                <w:szCs w:val="18"/>
                <w:color w:val="auto"/>
              </w:rPr>
            </w:pPr>
          </w:p>
        </w:tc>
        <w:tc>
          <w:tcPr>
            <w:tcW w:w="720" w:type="dxa"/>
            <w:vAlign w:val="bottom"/>
            <w:gridSpan w:val="4"/>
          </w:tcPr>
          <w:p>
            <w:pPr>
              <w:jc w:val="center"/>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33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9340" w:type="dxa"/>
            <w:vAlign w:val="bottom"/>
            <w:gridSpan w:val="21"/>
          </w:tcPr>
          <w:p>
            <w:pPr>
              <w:spacing w:after="0"/>
              <w:rPr>
                <w:rFonts w:ascii="Arial" w:cs="Arial" w:eastAsia="Arial" w:hAnsi="Arial"/>
                <w:sz w:val="18"/>
                <w:szCs w:val="18"/>
                <w:color w:val="0000FF"/>
              </w:rPr>
            </w:pPr>
            <w:hyperlink w:anchor="page77">
              <w:r>
                <w:rPr>
                  <w:rFonts w:ascii="Arial" w:cs="Arial" w:eastAsia="Arial" w:hAnsi="Arial"/>
                  <w:sz w:val="18"/>
                  <w:szCs w:val="18"/>
                  <w:color w:val="0000FF"/>
                </w:rPr>
                <w:t>Unregistered Sales of Equity Securities and Use of Proceeds</w:t>
              </w:r>
            </w:hyperlink>
          </w:p>
        </w:tc>
        <w:tc>
          <w:tcPr>
            <w:tcW w:w="720" w:type="dxa"/>
            <w:vAlign w:val="bottom"/>
            <w:gridSpan w:val="4"/>
          </w:tcPr>
          <w:p>
            <w:pPr>
              <w:jc w:val="center"/>
              <w:spacing w:after="0"/>
              <w:rPr>
                <w:rFonts w:ascii="Arial" w:cs="Arial" w:eastAsia="Arial" w:hAnsi="Arial"/>
                <w:sz w:val="18"/>
                <w:szCs w:val="18"/>
                <w:color w:val="0000FF"/>
                <w:w w:val="89"/>
              </w:rPr>
            </w:pPr>
            <w:hyperlink w:anchor="page77">
              <w:r>
                <w:rPr>
                  <w:rFonts w:ascii="Arial" w:cs="Arial" w:eastAsia="Arial" w:hAnsi="Arial"/>
                  <w:sz w:val="18"/>
                  <w:szCs w:val="18"/>
                  <w:color w:val="0000FF"/>
                  <w:w w:val="89"/>
                </w:rPr>
                <w:t>74</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13"/>
          </w:tcPr>
          <w:p>
            <w:pPr>
              <w:spacing w:after="0"/>
              <w:rPr>
                <w:rFonts w:ascii="Arial" w:cs="Arial" w:eastAsia="Arial" w:hAnsi="Arial"/>
                <w:sz w:val="18"/>
                <w:szCs w:val="18"/>
                <w:color w:val="0000FF"/>
              </w:rPr>
            </w:pPr>
            <w:hyperlink w:anchor="page78">
              <w:r>
                <w:rPr>
                  <w:rFonts w:ascii="Arial" w:cs="Arial" w:eastAsia="Arial" w:hAnsi="Arial"/>
                  <w:sz w:val="18"/>
                  <w:szCs w:val="18"/>
                  <w:color w:val="0000FF"/>
                </w:rPr>
                <w:t>Defaults Upon Senior Securities</w:t>
              </w:r>
            </w:hyperlink>
          </w:p>
        </w:tc>
        <w:tc>
          <w:tcPr>
            <w:tcW w:w="5000" w:type="dxa"/>
            <w:vAlign w:val="bottom"/>
            <w:gridSpan w:val="8"/>
          </w:tcPr>
          <w:p>
            <w:pPr>
              <w:spacing w:after="0"/>
              <w:rPr>
                <w:sz w:val="18"/>
                <w:szCs w:val="18"/>
                <w:color w:val="auto"/>
              </w:rPr>
            </w:pPr>
          </w:p>
        </w:tc>
        <w:tc>
          <w:tcPr>
            <w:tcW w:w="720" w:type="dxa"/>
            <w:vAlign w:val="bottom"/>
            <w:gridSpan w:val="4"/>
          </w:tcPr>
          <w:p>
            <w:pPr>
              <w:jc w:val="center"/>
              <w:spacing w:after="0"/>
              <w:rPr>
                <w:rFonts w:ascii="Arial" w:cs="Arial" w:eastAsia="Arial" w:hAnsi="Arial"/>
                <w:sz w:val="18"/>
                <w:szCs w:val="18"/>
                <w:color w:val="0000FF"/>
                <w:w w:val="89"/>
              </w:rPr>
            </w:pPr>
            <w:hyperlink w:anchor="page78">
              <w:r>
                <w:rPr>
                  <w:rFonts w:ascii="Arial" w:cs="Arial" w:eastAsia="Arial" w:hAnsi="Arial"/>
                  <w:sz w:val="18"/>
                  <w:szCs w:val="18"/>
                  <w:color w:val="0000FF"/>
                  <w:w w:val="89"/>
                </w:rPr>
                <w:t>74</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2320" w:type="dxa"/>
            <w:vAlign w:val="bottom"/>
            <w:gridSpan w:val="10"/>
          </w:tcPr>
          <w:p>
            <w:pPr>
              <w:spacing w:after="0"/>
              <w:rPr>
                <w:rFonts w:ascii="Arial" w:cs="Arial" w:eastAsia="Arial" w:hAnsi="Arial"/>
                <w:sz w:val="18"/>
                <w:szCs w:val="18"/>
                <w:color w:val="0000FF"/>
              </w:rPr>
            </w:pPr>
            <w:hyperlink w:anchor="page78">
              <w:r>
                <w:rPr>
                  <w:rFonts w:ascii="Arial" w:cs="Arial" w:eastAsia="Arial" w:hAnsi="Arial"/>
                  <w:sz w:val="18"/>
                  <w:szCs w:val="18"/>
                  <w:color w:val="0000FF"/>
                </w:rPr>
                <w:t>Mine Safety Disclosures</w:t>
              </w:r>
            </w:hyperlink>
          </w:p>
        </w:tc>
        <w:tc>
          <w:tcPr>
            <w:tcW w:w="7020" w:type="dxa"/>
            <w:vAlign w:val="bottom"/>
            <w:gridSpan w:val="11"/>
          </w:tcPr>
          <w:p>
            <w:pPr>
              <w:spacing w:after="0"/>
              <w:rPr>
                <w:sz w:val="18"/>
                <w:szCs w:val="18"/>
                <w:color w:val="auto"/>
              </w:rPr>
            </w:pPr>
          </w:p>
        </w:tc>
        <w:tc>
          <w:tcPr>
            <w:tcW w:w="720" w:type="dxa"/>
            <w:vAlign w:val="bottom"/>
            <w:gridSpan w:val="4"/>
          </w:tcPr>
          <w:p>
            <w:pPr>
              <w:jc w:val="center"/>
              <w:spacing w:after="0"/>
              <w:rPr>
                <w:rFonts w:ascii="Arial" w:cs="Arial" w:eastAsia="Arial" w:hAnsi="Arial"/>
                <w:sz w:val="18"/>
                <w:szCs w:val="18"/>
                <w:color w:val="0000FF"/>
                <w:w w:val="89"/>
              </w:rPr>
            </w:pPr>
            <w:hyperlink w:anchor="page78">
              <w:r>
                <w:rPr>
                  <w:rFonts w:ascii="Arial" w:cs="Arial" w:eastAsia="Arial" w:hAnsi="Arial"/>
                  <w:sz w:val="18"/>
                  <w:szCs w:val="18"/>
                  <w:color w:val="0000FF"/>
                  <w:w w:val="89"/>
                </w:rPr>
                <w:t>74</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gridSpan w:val="5"/>
          </w:tcPr>
          <w:p>
            <w:pPr>
              <w:spacing w:after="0"/>
              <w:rPr>
                <w:rFonts w:ascii="Arial" w:cs="Arial" w:eastAsia="Arial" w:hAnsi="Arial"/>
                <w:sz w:val="18"/>
                <w:szCs w:val="18"/>
                <w:color w:val="0000FF"/>
                <w:w w:val="91"/>
              </w:rPr>
            </w:pPr>
            <w:hyperlink w:anchor="page78">
              <w:r>
                <w:rPr>
                  <w:rFonts w:ascii="Arial" w:cs="Arial" w:eastAsia="Arial" w:hAnsi="Arial"/>
                  <w:sz w:val="18"/>
                  <w:szCs w:val="18"/>
                  <w:color w:val="0000FF"/>
                  <w:w w:val="91"/>
                </w:rPr>
                <w:t>Other Information</w:t>
              </w:r>
            </w:hyperlink>
          </w:p>
        </w:tc>
        <w:tc>
          <w:tcPr>
            <w:tcW w:w="440" w:type="dxa"/>
            <w:vAlign w:val="bottom"/>
            <w:gridSpan w:val="3"/>
          </w:tcPr>
          <w:p>
            <w:pPr>
              <w:spacing w:after="0"/>
              <w:rPr>
                <w:sz w:val="18"/>
                <w:szCs w:val="18"/>
                <w:color w:val="auto"/>
              </w:rPr>
            </w:pPr>
          </w:p>
        </w:tc>
        <w:tc>
          <w:tcPr>
            <w:tcW w:w="7580" w:type="dxa"/>
            <w:vAlign w:val="bottom"/>
            <w:gridSpan w:val="13"/>
          </w:tcPr>
          <w:p>
            <w:pPr>
              <w:spacing w:after="0"/>
              <w:rPr>
                <w:sz w:val="18"/>
                <w:szCs w:val="18"/>
                <w:color w:val="auto"/>
              </w:rPr>
            </w:pPr>
          </w:p>
        </w:tc>
        <w:tc>
          <w:tcPr>
            <w:tcW w:w="720" w:type="dxa"/>
            <w:vAlign w:val="bottom"/>
            <w:gridSpan w:val="4"/>
          </w:tcPr>
          <w:p>
            <w:pPr>
              <w:jc w:val="center"/>
              <w:spacing w:after="0"/>
              <w:rPr>
                <w:rFonts w:ascii="Arial" w:cs="Arial" w:eastAsia="Arial" w:hAnsi="Arial"/>
                <w:sz w:val="18"/>
                <w:szCs w:val="18"/>
                <w:color w:val="0000FF"/>
                <w:w w:val="89"/>
              </w:rPr>
            </w:pPr>
            <w:hyperlink w:anchor="page78">
              <w:r>
                <w:rPr>
                  <w:rFonts w:ascii="Arial" w:cs="Arial" w:eastAsia="Arial" w:hAnsi="Arial"/>
                  <w:sz w:val="18"/>
                  <w:szCs w:val="18"/>
                  <w:color w:val="0000FF"/>
                  <w:w w:val="89"/>
                </w:rPr>
                <w:t>74</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8020" w:type="dxa"/>
            <w:vAlign w:val="bottom"/>
            <w:gridSpan w:val="16"/>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gridSpan w:val="2"/>
          </w:tcPr>
          <w:p>
            <w:pPr>
              <w:spacing w:after="0"/>
              <w:rPr>
                <w:rFonts w:ascii="Arial" w:cs="Arial" w:eastAsia="Arial" w:hAnsi="Arial"/>
                <w:sz w:val="18"/>
                <w:szCs w:val="18"/>
                <w:color w:val="0000FF"/>
                <w:w w:val="91"/>
              </w:rPr>
            </w:pPr>
            <w:hyperlink w:anchor="page78">
              <w:r>
                <w:rPr>
                  <w:rFonts w:ascii="Arial" w:cs="Arial" w:eastAsia="Arial" w:hAnsi="Arial"/>
                  <w:sz w:val="18"/>
                  <w:szCs w:val="18"/>
                  <w:color w:val="0000FF"/>
                  <w:w w:val="91"/>
                </w:rPr>
                <w:t>Exhibits</w:t>
              </w:r>
            </w:hyperlink>
          </w:p>
        </w:tc>
        <w:tc>
          <w:tcPr>
            <w:tcW w:w="720" w:type="dxa"/>
            <w:vAlign w:val="bottom"/>
            <w:gridSpan w:val="3"/>
          </w:tcPr>
          <w:p>
            <w:pPr>
              <w:spacing w:after="0"/>
              <w:rPr>
                <w:sz w:val="18"/>
                <w:szCs w:val="18"/>
                <w:color w:val="auto"/>
              </w:rPr>
            </w:pPr>
          </w:p>
        </w:tc>
        <w:tc>
          <w:tcPr>
            <w:tcW w:w="8020" w:type="dxa"/>
            <w:vAlign w:val="bottom"/>
            <w:gridSpan w:val="16"/>
          </w:tcPr>
          <w:p>
            <w:pPr>
              <w:spacing w:after="0"/>
              <w:rPr>
                <w:sz w:val="18"/>
                <w:szCs w:val="18"/>
                <w:color w:val="auto"/>
              </w:rPr>
            </w:pPr>
          </w:p>
        </w:tc>
        <w:tc>
          <w:tcPr>
            <w:tcW w:w="720" w:type="dxa"/>
            <w:vAlign w:val="bottom"/>
            <w:gridSpan w:val="4"/>
          </w:tcPr>
          <w:p>
            <w:pPr>
              <w:jc w:val="center"/>
              <w:spacing w:after="0"/>
              <w:rPr>
                <w:rFonts w:ascii="Arial" w:cs="Arial" w:eastAsia="Arial" w:hAnsi="Arial"/>
                <w:sz w:val="18"/>
                <w:szCs w:val="18"/>
                <w:color w:val="0000FF"/>
                <w:w w:val="89"/>
              </w:rPr>
            </w:pPr>
            <w:hyperlink w:anchor="page78">
              <w:r>
                <w:rPr>
                  <w:rFonts w:ascii="Arial" w:cs="Arial" w:eastAsia="Arial" w:hAnsi="Arial"/>
                  <w:sz w:val="18"/>
                  <w:szCs w:val="18"/>
                  <w:color w:val="0000FF"/>
                  <w:w w:val="89"/>
                </w:rPr>
                <w:t>75</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740" w:type="dxa"/>
            <w:vAlign w:val="bottom"/>
            <w:gridSpan w:val="19"/>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360" w:type="dxa"/>
            <w:vAlign w:val="bottom"/>
            <w:gridSpan w:val="22"/>
          </w:tcPr>
          <w:p>
            <w:pPr>
              <w:spacing w:after="0"/>
              <w:rPr>
                <w:rFonts w:ascii="Arial" w:cs="Arial" w:eastAsia="Arial" w:hAnsi="Arial"/>
                <w:sz w:val="18"/>
                <w:szCs w:val="18"/>
                <w:color w:val="0000FF"/>
              </w:rPr>
            </w:pPr>
            <w:hyperlink w:anchor="page79">
              <w:r>
                <w:rPr>
                  <w:rFonts w:ascii="Arial" w:cs="Arial" w:eastAsia="Arial" w:hAnsi="Arial"/>
                  <w:sz w:val="18"/>
                  <w:szCs w:val="18"/>
                  <w:color w:val="0000FF"/>
                </w:rPr>
                <w:t>SIGNATURES</w:t>
              </w:r>
            </w:hyperlink>
          </w:p>
        </w:tc>
        <w:tc>
          <w:tcPr>
            <w:tcW w:w="720" w:type="dxa"/>
            <w:vAlign w:val="bottom"/>
            <w:gridSpan w:val="4"/>
          </w:tcPr>
          <w:p>
            <w:pPr>
              <w:jc w:val="center"/>
              <w:spacing w:after="0"/>
              <w:rPr>
                <w:rFonts w:ascii="Arial" w:cs="Arial" w:eastAsia="Arial" w:hAnsi="Arial"/>
                <w:sz w:val="18"/>
                <w:szCs w:val="18"/>
                <w:color w:val="0000FF"/>
                <w:w w:val="89"/>
              </w:rPr>
            </w:pPr>
            <w:hyperlink w:anchor="page79">
              <w:r>
                <w:rPr>
                  <w:rFonts w:ascii="Arial" w:cs="Arial" w:eastAsia="Arial" w:hAnsi="Arial"/>
                  <w:sz w:val="18"/>
                  <w:szCs w:val="18"/>
                  <w:color w:val="0000FF"/>
                  <w:w w:val="89"/>
                </w:rPr>
                <w:t>76</w:t>
              </w:r>
            </w:hyperlink>
          </w:p>
        </w:tc>
        <w:tc>
          <w:tcPr>
            <w:tcW w:w="0" w:type="dxa"/>
            <w:vAlign w:val="bottom"/>
          </w:tcPr>
          <w:p>
            <w:pPr>
              <w:spacing w:after="0"/>
              <w:rPr>
                <w:sz w:val="1"/>
                <w:szCs w:val="1"/>
                <w:color w:val="auto"/>
              </w:rPr>
            </w:pPr>
          </w:p>
        </w:tc>
      </w:tr>
      <w:tr>
        <w:trPr>
          <w:trHeight w:val="20"/>
        </w:trPr>
        <w:tc>
          <w:tcPr>
            <w:tcW w:w="10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173355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1440" w:right="479" w:bottom="1440" w:gutter="0" w:footer="0" w:header="0"/>
        </w:sectPr>
      </w:pPr>
    </w:p>
    <w:bookmarkStart w:id="2" w:name="page3"/>
    <w:bookmarkEnd w:id="2"/>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or the Securities Act, and Section 21E of the Securities Exchange Act of 1934, as amended, or the Exchange Act, that are based on our management’s beliefs and assumptions and on information currently available to our management. The forward-looking statements are contained principally in the section entitled “Risk Factors” and “Management’s Discussion and Analysis of Financial Condition and Results of Operations.” Forward-looking statements include, but are not limited to, statements concerning the following:</w:t>
      </w:r>
    </w:p>
    <w:p>
      <w:pPr>
        <w:spacing w:after="0" w:line="134" w:lineRule="exact"/>
        <w:rPr>
          <w:sz w:val="20"/>
          <w:szCs w:val="20"/>
          <w:color w:val="auto"/>
        </w:rPr>
      </w:pPr>
    </w:p>
    <w:p>
      <w:pPr>
        <w:ind w:right="480" w:firstLine="332"/>
        <w:spacing w:after="0" w:line="277" w:lineRule="auto"/>
        <w:tabs>
          <w:tab w:leader="none" w:pos="643"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the success of our proteomics platform (the “Nautilus platform”), which remains in the development stage and subject to scientific and technical validation;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timing and progress of the development of the Nautilus platform;</w:t>
      </w:r>
    </w:p>
    <w:p>
      <w:pPr>
        <w:spacing w:after="0" w:line="171" w:lineRule="exact"/>
        <w:rPr>
          <w:rFonts w:ascii="Arial" w:cs="Arial" w:eastAsia="Arial" w:hAnsi="Arial"/>
          <w:sz w:val="18"/>
          <w:szCs w:val="18"/>
          <w:color w:val="auto"/>
        </w:rPr>
      </w:pPr>
    </w:p>
    <w:p>
      <w:pPr>
        <w:ind w:right="60" w:firstLine="332"/>
        <w:spacing w:after="0" w:line="277" w:lineRule="auto"/>
        <w:tabs>
          <w:tab w:leader="none" w:pos="643"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our addressable market, market growth, future revenue, key performance indicators, expenses, capital requirements and needs for additional financing;</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rate and degree of market acceptance of the Nautilus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Nautilus platform on the field of proteomics and the size and growth of the addressable proteomics market;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and grow our business and commercialize our Nautilus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three phase commercial launch plan;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the Nautilus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intellectual property protection for our products or avoid or defend claims of infringement;</w:t>
      </w:r>
    </w:p>
    <w:p>
      <w:pPr>
        <w:spacing w:after="0" w:line="171" w:lineRule="exact"/>
        <w:rPr>
          <w:rFonts w:ascii="Arial" w:cs="Arial" w:eastAsia="Arial" w:hAnsi="Arial"/>
          <w:sz w:val="18"/>
          <w:szCs w:val="18"/>
          <w:color w:val="auto"/>
        </w:rPr>
      </w:pPr>
    </w:p>
    <w:p>
      <w:pPr>
        <w:ind w:right="300" w:firstLine="332"/>
        <w:spacing w:after="0" w:line="311" w:lineRule="auto"/>
        <w:tabs>
          <w:tab w:leader="none" w:pos="643"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recognize the anticipated benefits of the Business Combination (as defined in Part I, Item I, Note 1, “Description of Business and Basis of Presentation,” in our notes to condensed consolidated financial statements in this Quarterly Report on Form 10-Q), which may be affected by, among other things, competition, our ability to grow and manage future growth effectively, and our ability to retain our key employees;</w:t>
      </w:r>
    </w:p>
    <w:p>
      <w:pPr>
        <w:spacing w:after="0" w:line="94"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use of proceeds from the Business Combination;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third-party manufacturers and suppliers;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financing in the future;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or other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volatility of the trading price of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commercialize new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about market trends;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local, regional, national and international economic conditions and events;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COVID-19 on the foregoing;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including but not limited to those detailed under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 w:name="page4"/>
    <w:bookmarkEnd w:id="3"/>
    <w:p>
      <w:pPr>
        <w:spacing w:after="0" w:line="144"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color w:val="auto"/>
        </w:rPr>
        <w:t>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30"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elsewhere in this Quarterly Report on Form 10-Q. Given these uncertainties, you should not place undue reliance on these forward-looking statements.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spacing w:after="0" w:line="111" w:lineRule="exact"/>
        <w:rPr>
          <w:sz w:val="20"/>
          <w:szCs w:val="20"/>
          <w:color w:val="auto"/>
        </w:rPr>
      </w:pPr>
    </w:p>
    <w:p>
      <w:pPr>
        <w:ind w:right="320" w:firstLine="324"/>
        <w:spacing w:after="0" w:line="286" w:lineRule="auto"/>
        <w:rPr>
          <w:sz w:val="20"/>
          <w:szCs w:val="20"/>
          <w:color w:val="auto"/>
        </w:rPr>
      </w:pPr>
      <w:r>
        <w:rPr>
          <w:rFonts w:ascii="Arial" w:cs="Arial" w:eastAsia="Arial" w:hAnsi="Arial"/>
          <w:sz w:val="17"/>
          <w:szCs w:val="17"/>
          <w:color w:val="auto"/>
        </w:rPr>
        <w:t>The forward-looking statements made in this Quarterly Report on Form 10-Q relate only to events as of the date on which the statements are made.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111"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This Quarterly Report on Form 10-Q also contains estimates, projections and other information concerning our industry, our business, and market opportunity, including data regarding the estimated size of the market.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38" w:lineRule="exact"/>
        <w:rPr>
          <w:sz w:val="20"/>
          <w:szCs w:val="20"/>
          <w:color w:val="auto"/>
        </w:rPr>
      </w:pPr>
    </w:p>
    <w:p>
      <w:pPr>
        <w:ind w:right="400" w:firstLine="324"/>
        <w:spacing w:after="0" w:line="257" w:lineRule="auto"/>
        <w:rPr>
          <w:sz w:val="20"/>
          <w:szCs w:val="20"/>
          <w:color w:val="auto"/>
        </w:rPr>
      </w:pPr>
      <w:r>
        <w:rPr>
          <w:rFonts w:ascii="Arial" w:cs="Arial" w:eastAsia="Arial" w:hAnsi="Arial"/>
          <w:sz w:val="18"/>
          <w:szCs w:val="18"/>
          <w:color w:val="auto"/>
        </w:rPr>
        <w:t>This Quarterly Report on Form 10-Q contains references to trademarks and service marks belonging to other entities. Solely for convenience, trademarks and trade names referred to in this Quarterly Report on Form 10-Q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Condensed Consolidated Balance Sheets</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As of June 30, 2022 and December 31, 2021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320" w:type="dxa"/>
            <w:vAlign w:val="bottom"/>
          </w:tcPr>
          <w:p>
            <w:pPr>
              <w:spacing w:after="0"/>
              <w:rPr>
                <w:sz w:val="14"/>
                <w:szCs w:val="14"/>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340" w:type="dxa"/>
            <w:vAlign w:val="bottom"/>
          </w:tcPr>
          <w:p>
            <w:pPr>
              <w:jc w:val="right"/>
              <w:ind w:right="27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802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2"/>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210,354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185,619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investments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160,110</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3,493</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303,446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349,222</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29,377</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35,558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16,371</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 term assets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371,707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398,450</w:t>
            </w: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3,119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operating lease liability</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5,812</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liability, net of current portion</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28,050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29,062</w:t>
            </w: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34,149</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34,874</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Commitments and contingencies (Note 10)</w:t>
            </w: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2"/>
              </w:rPr>
              <w:t>Preferred stock, $0.0001 par value, 200,000,000 authorized as of June 30, 2022 and December 31, 2021; 0</w:t>
            </w:r>
          </w:p>
        </w:tc>
        <w:tc>
          <w:tcPr>
            <w:tcW w:w="32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shares issued and outstanding as of June 30, 2022 and December 31, 2021</w:t>
            </w:r>
          </w:p>
        </w:tc>
        <w:tc>
          <w:tcPr>
            <w:tcW w:w="32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100"/>
              <w:spacing w:after="0" w:line="176" w:lineRule="exact"/>
              <w:rPr>
                <w:sz w:val="20"/>
                <w:szCs w:val="20"/>
                <w:color w:val="auto"/>
              </w:rPr>
            </w:pPr>
            <w:r>
              <w:rPr>
                <w:rFonts w:ascii="Arial" w:cs="Arial" w:eastAsia="Arial" w:hAnsi="Arial"/>
                <w:sz w:val="18"/>
                <w:szCs w:val="18"/>
                <w:color w:val="auto"/>
                <w:w w:val="91"/>
              </w:rPr>
              <w:t>Common stock, $0.0001 par value, 1,000,000,000 shares authorized as of June 30, 2022 and December 31,</w:t>
            </w: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260"/>
              <w:spacing w:after="0" w:line="176" w:lineRule="exact"/>
              <w:rPr>
                <w:sz w:val="20"/>
                <w:szCs w:val="20"/>
                <w:color w:val="auto"/>
              </w:rPr>
            </w:pPr>
            <w:r>
              <w:rPr>
                <w:rFonts w:ascii="Arial" w:cs="Arial" w:eastAsia="Arial" w:hAnsi="Arial"/>
                <w:sz w:val="18"/>
                <w:szCs w:val="18"/>
                <w:color w:val="auto"/>
                <w:w w:val="90"/>
              </w:rPr>
              <w:t>2021; 124,562,745 and 124,303,083 shares issued and outstanding as of June 30, 2022 and December 31,</w:t>
            </w:r>
          </w:p>
        </w:tc>
        <w:tc>
          <w:tcPr>
            <w:tcW w:w="3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8020" w:type="dxa"/>
            <w:vAlign w:val="bottom"/>
          </w:tcPr>
          <w:p>
            <w:pPr>
              <w:ind w:left="260"/>
              <w:spacing w:after="0"/>
              <w:rPr>
                <w:sz w:val="20"/>
                <w:szCs w:val="20"/>
                <w:color w:val="auto"/>
              </w:rPr>
            </w:pPr>
            <w:r>
              <w:rPr>
                <w:rFonts w:ascii="Arial" w:cs="Arial" w:eastAsia="Arial" w:hAnsi="Arial"/>
                <w:sz w:val="18"/>
                <w:szCs w:val="18"/>
                <w:color w:val="auto"/>
              </w:rPr>
              <w:t>2021, respectively</w:t>
            </w:r>
          </w:p>
        </w:tc>
        <w:tc>
          <w:tcPr>
            <w:tcW w:w="32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449,406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444,388</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(111,092)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(80,640)</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337,558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363,576</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371,707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398,450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5" w:name="page6"/>
    <w:bookmarkEnd w:id="5"/>
    <w:p>
      <w:pPr>
        <w:ind w:left="20"/>
        <w:spacing w:after="0"/>
        <w:rPr>
          <w:sz w:val="20"/>
          <w:szCs w:val="20"/>
          <w:color w:val="auto"/>
        </w:rPr>
      </w:pPr>
      <w:r>
        <w:rPr>
          <w:rFonts w:ascii="Arial" w:cs="Arial" w:eastAsia="Arial" w:hAnsi="Arial"/>
          <w:sz w:val="22"/>
          <w:szCs w:val="22"/>
          <w:b w:val="1"/>
          <w:bCs w:val="1"/>
          <w:color w:val="auto"/>
        </w:rPr>
        <w:t>Nautilus Biotechnology, Inc.</w:t>
      </w:r>
    </w:p>
    <w:p>
      <w:pPr>
        <w:ind w:left="20"/>
        <w:spacing w:after="0" w:line="204" w:lineRule="auto"/>
        <w:rPr>
          <w:sz w:val="20"/>
          <w:szCs w:val="20"/>
          <w:color w:val="auto"/>
        </w:rPr>
      </w:pPr>
      <w:r>
        <w:rPr>
          <w:rFonts w:ascii="Arial" w:cs="Arial" w:eastAsia="Arial" w:hAnsi="Arial"/>
          <w:sz w:val="22"/>
          <w:szCs w:val="22"/>
          <w:b w:val="1"/>
          <w:bCs w:val="1"/>
          <w:color w:val="auto"/>
        </w:rPr>
        <w:t>Condensed Consolidated Statements of Operations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Three and Six Months Ended June 30, 2022 and 2021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0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80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8"/>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32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8,856</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6,380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18,514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11,215</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7,899</w:t>
            </w:r>
          </w:p>
        </w:tc>
        <w:tc>
          <w:tcPr>
            <w:tcW w:w="0" w:type="dxa"/>
            <w:vAlign w:val="bottom"/>
          </w:tcPr>
          <w:p>
            <w:pPr>
              <w:spacing w:after="0"/>
              <w:rPr>
                <w:sz w:val="1"/>
                <w:szCs w:val="1"/>
                <w:color w:val="auto"/>
              </w:rPr>
            </w:pPr>
          </w:p>
        </w:tc>
      </w:tr>
      <w:tr>
        <w:trPr>
          <w:trHeight w:val="223"/>
        </w:trPr>
        <w:tc>
          <w:tcPr>
            <w:tcW w:w="468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15,472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31,494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19,114</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(14,689)</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(30,452)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(19,122)</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Net loss per share attributable to common stockholders, basic</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8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23"/>
        </w:trPr>
        <w:tc>
          <w:tcPr>
            <w:tcW w:w="46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and diluted</w:t>
            </w: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1"/>
              </w:rPr>
              <w:t>Weighted-average shares used in computing net loss per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68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124,494,036</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55,070,480</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124,456,518</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44,096,149</w:t>
            </w:r>
          </w:p>
        </w:tc>
        <w:tc>
          <w:tcPr>
            <w:tcW w:w="0" w:type="dxa"/>
            <w:vAlign w:val="bottom"/>
          </w:tcPr>
          <w:p>
            <w:pPr>
              <w:spacing w:after="0"/>
              <w:rPr>
                <w:sz w:val="1"/>
                <w:szCs w:val="1"/>
                <w:color w:val="auto"/>
              </w:rPr>
            </w:pPr>
          </w:p>
        </w:tc>
      </w:tr>
      <w:tr>
        <w:trPr>
          <w:trHeight w:val="203"/>
        </w:trPr>
        <w:tc>
          <w:tcPr>
            <w:tcW w:w="4680" w:type="dxa"/>
            <w:vAlign w:val="bottom"/>
          </w:tcPr>
          <w:p>
            <w:pPr>
              <w:ind w:left="180"/>
              <w:spacing w:after="0" w:line="202" w:lineRule="exact"/>
              <w:rPr>
                <w:sz w:val="20"/>
                <w:szCs w:val="20"/>
                <w:color w:val="auto"/>
              </w:rPr>
            </w:pPr>
            <w:r>
              <w:rPr>
                <w:rFonts w:ascii="Arial" w:cs="Arial" w:eastAsia="Arial" w:hAnsi="Arial"/>
                <w:sz w:val="18"/>
                <w:szCs w:val="18"/>
                <w:color w:val="auto"/>
              </w:rPr>
              <w:t>attributable to common stockholders, basic and diluted</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0" w:right="559" w:bottom="1440" w:gutter="0" w:footer="0" w:header="0"/>
        </w:sectPr>
      </w:pPr>
    </w:p>
    <w:bookmarkStart w:id="6" w:name="page7"/>
    <w:bookmarkEnd w:id="6"/>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Condensed Consolidated Statements of Comprehensive Loss</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Three and Six Months Ended June 30, 2022 and 2021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60" w:type="dxa"/>
            <w:vAlign w:val="bottom"/>
            <w:gridSpan w:val="4"/>
          </w:tcPr>
          <w:p>
            <w:pPr>
              <w:jc w:val="right"/>
              <w:ind w:right="634"/>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r>
      <w:tr>
        <w:trPr>
          <w:trHeight w:val="224"/>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(19,122)</w:t>
            </w: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loss on securities available-for-sale</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loss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(19,135)</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80" w:right="519" w:bottom="1440" w:gutter="0" w:footer="0" w:header="0"/>
        </w:sectPr>
      </w:pPr>
    </w:p>
    <w:bookmarkStart w:id="7" w:name="page8"/>
    <w:bookmarkEnd w:id="7"/>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right="1360"/>
        <w:spacing w:after="0" w:line="246" w:lineRule="auto"/>
        <w:rPr>
          <w:sz w:val="20"/>
          <w:szCs w:val="20"/>
          <w:color w:val="auto"/>
        </w:rPr>
      </w:pPr>
      <w:r>
        <w:rPr>
          <w:rFonts w:ascii="Arial" w:cs="Arial" w:eastAsia="Arial" w:hAnsi="Arial"/>
          <w:sz w:val="22"/>
          <w:szCs w:val="22"/>
          <w:b w:val="1"/>
          <w:bCs w:val="1"/>
          <w:color w:val="auto"/>
        </w:rPr>
        <w:t>Condensed Consolidated Statements of Redeemable Convertible Preferred Stock and Stockholders’ Equity Three and Six Months Ended June 30, 2022 and 2021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680" w:type="dxa"/>
            <w:vAlign w:val="bottom"/>
            <w:gridSpan w:val="4"/>
          </w:tcPr>
          <w:p>
            <w:pPr>
              <w:spacing w:after="0"/>
              <w:rPr>
                <w:sz w:val="20"/>
                <w:szCs w:val="20"/>
                <w:color w:val="auto"/>
              </w:rPr>
            </w:pPr>
            <w:r>
              <w:rPr>
                <w:rFonts w:ascii="Arial" w:cs="Arial" w:eastAsia="Arial" w:hAnsi="Arial"/>
                <w:sz w:val="13"/>
                <w:szCs w:val="13"/>
                <w:b w:val="1"/>
                <w:bCs w:val="1"/>
                <w:i w:val="1"/>
                <w:iCs w:val="1"/>
                <w:color w:val="auto"/>
                <w:w w:val="90"/>
              </w:rPr>
              <w:t>Three Months Ended June 30,</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20" w:type="dxa"/>
            <w:vAlign w:val="bottom"/>
            <w:gridSpan w:val="15"/>
            <w:vMerge w:val="restart"/>
          </w:tcPr>
          <w:p>
            <w:pPr>
              <w:spacing w:after="0"/>
              <w:rPr>
                <w:sz w:val="20"/>
                <w:szCs w:val="20"/>
                <w:color w:val="auto"/>
              </w:rPr>
            </w:pPr>
            <w:r>
              <w:rPr>
                <w:rFonts w:ascii="Arial" w:cs="Arial" w:eastAsia="Arial" w:hAnsi="Arial"/>
                <w:sz w:val="13"/>
                <w:szCs w:val="13"/>
                <w:b w:val="1"/>
                <w:bCs w:val="1"/>
                <w:color w:val="auto"/>
                <w:w w:val="99"/>
              </w:rPr>
              <w:t>Redeemable Convertible Preferred Stock</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600" w:type="dxa"/>
            <w:vAlign w:val="bottom"/>
            <w:tcBorders>
              <w:top w:val="single" w:sz="8" w:color="auto"/>
            </w:tcBorders>
            <w:gridSpan w:val="2"/>
          </w:tcPr>
          <w:p>
            <w:pPr>
              <w:spacing w:after="0" w:line="102" w:lineRule="exact"/>
              <w:rPr>
                <w:sz w:val="20"/>
                <w:szCs w:val="20"/>
                <w:color w:val="auto"/>
              </w:rPr>
            </w:pPr>
            <w:r>
              <w:rPr>
                <w:rFonts w:ascii="Arial" w:cs="Arial" w:eastAsia="Arial" w:hAnsi="Arial"/>
                <w:sz w:val="10"/>
                <w:szCs w:val="10"/>
                <w:b w:val="1"/>
                <w:bCs w:val="1"/>
                <w:i w:val="1"/>
                <w:iCs w:val="1"/>
                <w:color w:val="auto"/>
              </w:rPr>
              <w:t>2022</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520" w:type="dxa"/>
            <w:vAlign w:val="bottom"/>
            <w:gridSpan w:val="15"/>
            <w:vMerge w:val="continue"/>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4"/>
            <w:vMerge w:val="restart"/>
          </w:tcPr>
          <w:p>
            <w:pPr>
              <w:jc w:val="center"/>
              <w:ind w:right="80"/>
              <w:spacing w:after="0"/>
              <w:rPr>
                <w:sz w:val="20"/>
                <w:szCs w:val="20"/>
                <w:color w:val="auto"/>
              </w:rPr>
            </w:pPr>
            <w:r>
              <w:rPr>
                <w:rFonts w:ascii="Arial" w:cs="Arial" w:eastAsia="Arial" w:hAnsi="Arial"/>
                <w:sz w:val="13"/>
                <w:szCs w:val="13"/>
                <w:b w:val="1"/>
                <w:bCs w:val="1"/>
                <w:color w:val="auto"/>
                <w:w w:val="85"/>
              </w:rPr>
              <w:t>Accumulated</w:t>
            </w: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160" w:type="dxa"/>
            <w:vAlign w:val="bottom"/>
            <w:tcBorders>
              <w:bottom w:val="single" w:sz="8" w:color="auto"/>
            </w:tcBorders>
            <w:gridSpan w:val="27"/>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280" w:type="dxa"/>
            <w:vAlign w:val="bottom"/>
            <w:gridSpan w:val="17"/>
          </w:tcPr>
          <w:p>
            <w:pPr>
              <w:spacing w:after="0" w:line="20" w:lineRule="exact"/>
              <w:rPr>
                <w:sz w:val="1"/>
                <w:szCs w:val="1"/>
                <w:color w:val="auto"/>
              </w:rPr>
            </w:pPr>
          </w:p>
        </w:tc>
        <w:tc>
          <w:tcPr>
            <w:tcW w:w="1020" w:type="dxa"/>
            <w:vAlign w:val="bottom"/>
            <w:gridSpan w:val="4"/>
            <w:vMerge w:val="continue"/>
          </w:tcPr>
          <w:p>
            <w:pPr>
              <w:spacing w:after="0" w:line="20" w:lineRule="exact"/>
              <w:rPr>
                <w:sz w:val="1"/>
                <w:szCs w:val="1"/>
                <w:color w:val="auto"/>
              </w:rPr>
            </w:pPr>
          </w:p>
        </w:tc>
        <w:tc>
          <w:tcPr>
            <w:tcW w:w="2020" w:type="dxa"/>
            <w:vAlign w:val="bottom"/>
            <w:gridSpan w:val="10"/>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gridSpan w:val="6"/>
            <w:vMerge w:val="restart"/>
          </w:tcPr>
          <w:p>
            <w:pPr>
              <w:jc w:val="right"/>
              <w:spacing w:after="0"/>
              <w:rPr>
                <w:sz w:val="20"/>
                <w:szCs w:val="20"/>
                <w:color w:val="auto"/>
              </w:rPr>
            </w:pPr>
            <w:r>
              <w:rPr>
                <w:rFonts w:ascii="Arial" w:cs="Arial" w:eastAsia="Arial" w:hAnsi="Arial"/>
                <w:sz w:val="13"/>
                <w:szCs w:val="13"/>
                <w:b w:val="1"/>
                <w:bCs w:val="1"/>
                <w:color w:val="auto"/>
              </w:rPr>
              <w:t>Series Seed</w:t>
            </w: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5"/>
            <w:vMerge w:val="restart"/>
          </w:tcPr>
          <w:p>
            <w:pPr>
              <w:ind w:left="300"/>
              <w:spacing w:after="0"/>
              <w:rPr>
                <w:sz w:val="20"/>
                <w:szCs w:val="20"/>
                <w:color w:val="auto"/>
              </w:rPr>
            </w:pPr>
            <w:r>
              <w:rPr>
                <w:rFonts w:ascii="Arial" w:cs="Arial" w:eastAsia="Arial" w:hAnsi="Arial"/>
                <w:sz w:val="13"/>
                <w:szCs w:val="13"/>
                <w:b w:val="1"/>
                <w:bCs w:val="1"/>
                <w:color w:val="auto"/>
                <w:w w:val="99"/>
              </w:rPr>
              <w:t>Series A</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gridSpan w:val="4"/>
            <w:vMerge w:val="restart"/>
          </w:tcPr>
          <w:p>
            <w:pPr>
              <w:ind w:left="220"/>
              <w:spacing w:after="0"/>
              <w:rPr>
                <w:sz w:val="20"/>
                <w:szCs w:val="20"/>
                <w:color w:val="auto"/>
              </w:rPr>
            </w:pPr>
            <w:r>
              <w:rPr>
                <w:rFonts w:ascii="Arial" w:cs="Arial" w:eastAsia="Arial" w:hAnsi="Arial"/>
                <w:sz w:val="13"/>
                <w:szCs w:val="13"/>
                <w:b w:val="1"/>
                <w:bCs w:val="1"/>
                <w:color w:val="auto"/>
              </w:rPr>
              <w:t>Series B</w:t>
            </w: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5"/>
            <w:vMerge w:val="restart"/>
          </w:tcPr>
          <w:p>
            <w:pPr>
              <w:ind w:left="20"/>
              <w:spacing w:after="0"/>
              <w:rPr>
                <w:sz w:val="20"/>
                <w:szCs w:val="20"/>
                <w:color w:val="auto"/>
              </w:rPr>
            </w:pPr>
            <w:r>
              <w:rPr>
                <w:rFonts w:ascii="Arial" w:cs="Arial" w:eastAsia="Arial" w:hAnsi="Arial"/>
                <w:sz w:val="13"/>
                <w:szCs w:val="13"/>
                <w:b w:val="1"/>
                <w:bCs w:val="1"/>
                <w:color w:val="auto"/>
                <w:w w:val="88"/>
              </w:rPr>
              <w:t>Common Stock</w:t>
            </w: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gridSpan w:val="4"/>
            <w:vMerge w:val="continue"/>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6"/>
            <w:vMerge w:val="continue"/>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5"/>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4"/>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5"/>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5"/>
          </w:tcPr>
          <w:p>
            <w:pPr>
              <w:jc w:val="right"/>
              <w:spacing w:after="0" w:line="102" w:lineRule="exact"/>
              <w:rPr>
                <w:sz w:val="20"/>
                <w:szCs w:val="20"/>
                <w:color w:val="auto"/>
              </w:rPr>
            </w:pPr>
            <w:r>
              <w:rPr>
                <w:rFonts w:ascii="Arial" w:cs="Arial" w:eastAsia="Arial" w:hAnsi="Arial"/>
                <w:sz w:val="10"/>
                <w:szCs w:val="10"/>
                <w:b w:val="1"/>
                <w:bCs w:val="1"/>
                <w:color w:val="auto"/>
              </w:rPr>
              <w:t>Additional</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gridSpan w:val="3"/>
          </w:tcPr>
          <w:p>
            <w:pPr>
              <w:jc w:val="center"/>
              <w:ind w:right="340"/>
              <w:spacing w:after="0" w:line="102" w:lineRule="exact"/>
              <w:rPr>
                <w:sz w:val="20"/>
                <w:szCs w:val="20"/>
                <w:color w:val="auto"/>
              </w:rPr>
            </w:pPr>
            <w:r>
              <w:rPr>
                <w:rFonts w:ascii="Arial" w:cs="Arial" w:eastAsia="Arial" w:hAnsi="Arial"/>
                <w:sz w:val="10"/>
                <w:szCs w:val="10"/>
                <w:b w:val="1"/>
                <w:bCs w:val="1"/>
                <w:color w:val="auto"/>
              </w:rPr>
              <w:t>Other</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ind w:right="358"/>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620" w:type="dxa"/>
            <w:vAlign w:val="bottom"/>
            <w:gridSpan w:val="3"/>
          </w:tcPr>
          <w:p>
            <w:pPr>
              <w:spacing w:after="0" w:line="102" w:lineRule="exact"/>
              <w:rPr>
                <w:sz w:val="20"/>
                <w:szCs w:val="20"/>
                <w:color w:val="auto"/>
              </w:rPr>
            </w:pPr>
            <w:r>
              <w:rPr>
                <w:rFonts w:ascii="Arial" w:cs="Arial" w:eastAsia="Arial" w:hAnsi="Arial"/>
                <w:sz w:val="10"/>
                <w:szCs w:val="10"/>
                <w:i w:val="1"/>
                <w:iCs w:val="1"/>
                <w:color w:val="auto"/>
              </w:rPr>
              <w:t>(in thousands, except share</w:t>
            </w:r>
          </w:p>
        </w:tc>
        <w:tc>
          <w:tcPr>
            <w:tcW w:w="60" w:type="dxa"/>
            <w:vAlign w:val="bottom"/>
          </w:tcPr>
          <w:p>
            <w:pPr>
              <w:spacing w:after="0"/>
              <w:rPr>
                <w:sz w:val="8"/>
                <w:szCs w:val="8"/>
                <w:color w:val="auto"/>
              </w:rPr>
            </w:pPr>
          </w:p>
        </w:tc>
        <w:tc>
          <w:tcPr>
            <w:tcW w:w="600" w:type="dxa"/>
            <w:vAlign w:val="bottom"/>
            <w:vMerge w:val="restart"/>
          </w:tcPr>
          <w:p>
            <w:pPr>
              <w:ind w:left="100"/>
              <w:spacing w:after="0"/>
              <w:rPr>
                <w:sz w:val="20"/>
                <w:szCs w:val="20"/>
                <w:color w:val="auto"/>
              </w:rPr>
            </w:pPr>
            <w:r>
              <w:rPr>
                <w:rFonts w:ascii="Arial" w:cs="Arial" w:eastAsia="Arial" w:hAnsi="Arial"/>
                <w:sz w:val="13"/>
                <w:szCs w:val="13"/>
                <w:b w:val="1"/>
                <w:bCs w:val="1"/>
                <w:color w:val="auto"/>
              </w:rPr>
              <w:t>Shares</w:t>
            </w:r>
          </w:p>
        </w:tc>
        <w:tc>
          <w:tcPr>
            <w:tcW w:w="8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3"/>
            <w:vMerge w:val="restart"/>
          </w:tcPr>
          <w:p>
            <w:pPr>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vMerge w:val="restart"/>
          </w:tcPr>
          <w:p>
            <w:pPr>
              <w:spacing w:after="0"/>
              <w:rPr>
                <w:sz w:val="8"/>
                <w:szCs w:val="8"/>
                <w:color w:val="auto"/>
              </w:rPr>
            </w:pPr>
          </w:p>
        </w:tc>
        <w:tc>
          <w:tcPr>
            <w:tcW w:w="160" w:type="dxa"/>
            <w:vAlign w:val="bottom"/>
            <w:gridSpan w:val="2"/>
            <w:vMerge w:val="restart"/>
          </w:tcPr>
          <w:p>
            <w:pPr>
              <w:spacing w:after="0"/>
              <w:rPr>
                <w:sz w:val="8"/>
                <w:szCs w:val="8"/>
                <w:color w:val="auto"/>
              </w:rPr>
            </w:pPr>
          </w:p>
        </w:tc>
        <w:tc>
          <w:tcPr>
            <w:tcW w:w="480" w:type="dxa"/>
            <w:vAlign w:val="bottom"/>
            <w:vMerge w:val="restart"/>
          </w:tcPr>
          <w:p>
            <w:pPr>
              <w:spacing w:after="0"/>
              <w:rPr>
                <w:sz w:val="20"/>
                <w:szCs w:val="20"/>
                <w:color w:val="auto"/>
              </w:rPr>
            </w:pPr>
            <w:r>
              <w:rPr>
                <w:rFonts w:ascii="Arial" w:cs="Arial" w:eastAsia="Arial" w:hAnsi="Arial"/>
                <w:sz w:val="13"/>
                <w:szCs w:val="13"/>
                <w:b w:val="1"/>
                <w:bCs w:val="1"/>
                <w:color w:val="auto"/>
              </w:rPr>
              <w:t>Shares</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89"/>
              </w:rPr>
              <w:t>Amount</w:t>
            </w:r>
          </w:p>
        </w:tc>
        <w:tc>
          <w:tcPr>
            <w:tcW w:w="80" w:type="dxa"/>
            <w:vAlign w:val="bottom"/>
            <w:vMerge w:val="restart"/>
          </w:tcPr>
          <w:p>
            <w:pPr>
              <w:spacing w:after="0"/>
              <w:rPr>
                <w:sz w:val="8"/>
                <w:szCs w:val="8"/>
                <w:color w:val="auto"/>
              </w:rPr>
            </w:pPr>
          </w:p>
        </w:tc>
        <w:tc>
          <w:tcPr>
            <w:tcW w:w="160" w:type="dxa"/>
            <w:vAlign w:val="bottom"/>
            <w:vMerge w:val="restart"/>
          </w:tcPr>
          <w:p>
            <w:pPr>
              <w:spacing w:after="0"/>
              <w:rPr>
                <w:sz w:val="8"/>
                <w:szCs w:val="8"/>
                <w:color w:val="auto"/>
              </w:rPr>
            </w:pPr>
          </w:p>
        </w:tc>
        <w:tc>
          <w:tcPr>
            <w:tcW w:w="5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8"/>
                <w:szCs w:val="8"/>
                <w:color w:val="auto"/>
              </w:rPr>
            </w:pPr>
          </w:p>
        </w:tc>
        <w:tc>
          <w:tcPr>
            <w:tcW w:w="580" w:type="dxa"/>
            <w:vAlign w:val="bottom"/>
            <w:gridSpan w:val="4"/>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gridSpan w:val="3"/>
            <w:vMerge w:val="restart"/>
          </w:tcPr>
          <w:p>
            <w:pPr>
              <w:jc w:val="right"/>
              <w:ind w:right="137"/>
              <w:spacing w:after="0"/>
              <w:rPr>
                <w:sz w:val="20"/>
                <w:szCs w:val="20"/>
                <w:color w:val="auto"/>
              </w:rPr>
            </w:pPr>
            <w:r>
              <w:rPr>
                <w:rFonts w:ascii="Arial" w:cs="Arial" w:eastAsia="Arial" w:hAnsi="Arial"/>
                <w:sz w:val="13"/>
                <w:szCs w:val="13"/>
                <w:b w:val="1"/>
                <w:bCs w:val="1"/>
                <w:color w:val="auto"/>
                <w:w w:val="92"/>
              </w:rPr>
              <w:t>Shares</w:t>
            </w:r>
          </w:p>
        </w:tc>
        <w:tc>
          <w:tcPr>
            <w:tcW w:w="80" w:type="dxa"/>
            <w:vAlign w:val="bottom"/>
            <w:vMerge w:val="restart"/>
          </w:tcPr>
          <w:p>
            <w:pPr>
              <w:spacing w:after="0"/>
              <w:rPr>
                <w:sz w:val="8"/>
                <w:szCs w:val="8"/>
                <w:color w:val="auto"/>
              </w:rPr>
            </w:pPr>
          </w:p>
        </w:tc>
        <w:tc>
          <w:tcPr>
            <w:tcW w:w="56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vMerge w:val="restart"/>
          </w:tcPr>
          <w:p>
            <w:pPr>
              <w:spacing w:after="0"/>
              <w:rPr>
                <w:sz w:val="8"/>
                <w:szCs w:val="8"/>
                <w:color w:val="auto"/>
              </w:rPr>
            </w:pPr>
          </w:p>
        </w:tc>
        <w:tc>
          <w:tcPr>
            <w:tcW w:w="620" w:type="dxa"/>
            <w:vAlign w:val="bottom"/>
            <w:gridSpan w:val="5"/>
          </w:tcPr>
          <w:p>
            <w:pPr>
              <w:jc w:val="right"/>
              <w:ind w:right="38"/>
              <w:spacing w:after="0" w:line="102" w:lineRule="exact"/>
              <w:rPr>
                <w:sz w:val="20"/>
                <w:szCs w:val="20"/>
                <w:color w:val="auto"/>
              </w:rPr>
            </w:pPr>
            <w:r>
              <w:rPr>
                <w:rFonts w:ascii="Arial" w:cs="Arial" w:eastAsia="Arial" w:hAnsi="Arial"/>
                <w:sz w:val="10"/>
                <w:szCs w:val="10"/>
                <w:b w:val="1"/>
                <w:bCs w:val="1"/>
                <w:color w:val="auto"/>
              </w:rPr>
              <w:t>Paid-in</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4"/>
          </w:tcPr>
          <w:p>
            <w:pPr>
              <w:jc w:val="center"/>
              <w:ind w:right="100"/>
              <w:spacing w:after="0" w:line="102" w:lineRule="exact"/>
              <w:rPr>
                <w:sz w:val="20"/>
                <w:szCs w:val="20"/>
                <w:color w:val="auto"/>
              </w:rPr>
            </w:pPr>
            <w:r>
              <w:rPr>
                <w:rFonts w:ascii="Arial" w:cs="Arial" w:eastAsia="Arial" w:hAnsi="Arial"/>
                <w:sz w:val="10"/>
                <w:szCs w:val="10"/>
                <w:b w:val="1"/>
                <w:bCs w:val="1"/>
                <w:color w:val="auto"/>
              </w:rPr>
              <w:t>Comprehensive</w:t>
            </w:r>
          </w:p>
        </w:tc>
        <w:tc>
          <w:tcPr>
            <w:tcW w:w="880" w:type="dxa"/>
            <w:vAlign w:val="bottom"/>
            <w:gridSpan w:val="6"/>
          </w:tcPr>
          <w:p>
            <w:pPr>
              <w:jc w:val="center"/>
              <w:ind w:right="80"/>
              <w:spacing w:after="0" w:line="102" w:lineRule="exact"/>
              <w:rPr>
                <w:sz w:val="20"/>
                <w:szCs w:val="20"/>
                <w:color w:val="auto"/>
              </w:rPr>
            </w:pPr>
            <w:r>
              <w:rPr>
                <w:rFonts w:ascii="Arial" w:cs="Arial" w:eastAsia="Arial" w:hAnsi="Arial"/>
                <w:sz w:val="10"/>
                <w:szCs w:val="10"/>
                <w:b w:val="1"/>
                <w:bCs w:val="1"/>
                <w:color w:val="auto"/>
              </w:rPr>
              <w:t>Accumulated</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Borders>
              <w:bottom w:val="single" w:sz="8" w:color="CCEEFF"/>
            </w:tcBorders>
          </w:tcPr>
          <w:p>
            <w:pPr>
              <w:spacing w:after="0"/>
              <w:rPr>
                <w:sz w:val="14"/>
                <w:szCs w:val="14"/>
                <w:color w:val="auto"/>
              </w:rPr>
            </w:pPr>
          </w:p>
        </w:tc>
        <w:tc>
          <w:tcPr>
            <w:tcW w:w="1620" w:type="dxa"/>
            <w:vAlign w:val="bottom"/>
            <w:tcBorders>
              <w:bottom w:val="single" w:sz="8" w:color="CCEEFF"/>
            </w:tcBorders>
            <w:gridSpan w:val="3"/>
          </w:tcPr>
          <w:p>
            <w:pPr>
              <w:spacing w:after="0"/>
              <w:rPr>
                <w:sz w:val="20"/>
                <w:szCs w:val="20"/>
                <w:color w:val="auto"/>
              </w:rPr>
            </w:pPr>
            <w:r>
              <w:rPr>
                <w:rFonts w:ascii="Arial" w:cs="Arial" w:eastAsia="Arial" w:hAnsi="Arial"/>
                <w:sz w:val="13"/>
                <w:szCs w:val="13"/>
                <w:i w:val="1"/>
                <w:iCs w:val="1"/>
                <w:color w:val="auto"/>
              </w:rPr>
              <w:t>amounts)</w:t>
            </w: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3"/>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gridSpan w:val="2"/>
            <w:vMerge w:val="continue"/>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gridSpan w:val="4"/>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gridSpan w:val="4"/>
            <w:vMerge w:val="continue"/>
          </w:tcPr>
          <w:p>
            <w:pPr>
              <w:spacing w:after="0"/>
              <w:rPr>
                <w:sz w:val="14"/>
                <w:szCs w:val="14"/>
                <w:color w:val="auto"/>
              </w:rPr>
            </w:pPr>
          </w:p>
        </w:tc>
        <w:tc>
          <w:tcPr>
            <w:tcW w:w="100" w:type="dxa"/>
            <w:vAlign w:val="bottom"/>
            <w:tcBorders>
              <w:bottom w:val="single" w:sz="8" w:color="CCEEFF"/>
              <w:right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3"/>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560" w:type="dxa"/>
            <w:vAlign w:val="bottom"/>
            <w:tcBorders>
              <w:bottom w:val="single" w:sz="8" w:color="auto"/>
            </w:tcBorders>
            <w:gridSpan w:val="3"/>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620" w:type="dxa"/>
            <w:vAlign w:val="bottom"/>
            <w:tcBorders>
              <w:bottom w:val="single" w:sz="8" w:color="auto"/>
            </w:tcBorders>
            <w:gridSpan w:val="5"/>
          </w:tcPr>
          <w:p>
            <w:pPr>
              <w:jc w:val="right"/>
              <w:ind w:right="38"/>
              <w:spacing w:after="0"/>
              <w:rPr>
                <w:sz w:val="20"/>
                <w:szCs w:val="20"/>
                <w:color w:val="auto"/>
              </w:rPr>
            </w:pPr>
            <w:r>
              <w:rPr>
                <w:rFonts w:ascii="Arial" w:cs="Arial" w:eastAsia="Arial" w:hAnsi="Arial"/>
                <w:sz w:val="13"/>
                <w:szCs w:val="13"/>
                <w:b w:val="1"/>
                <w:bCs w:val="1"/>
                <w:color w:val="auto"/>
              </w:rPr>
              <w:t>Capital</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260"/>
              <w:spacing w:after="0"/>
              <w:rPr>
                <w:sz w:val="20"/>
                <w:szCs w:val="20"/>
                <w:color w:val="auto"/>
              </w:rPr>
            </w:pPr>
            <w:r>
              <w:rPr>
                <w:rFonts w:ascii="Arial" w:cs="Arial" w:eastAsia="Arial" w:hAnsi="Arial"/>
                <w:sz w:val="13"/>
                <w:szCs w:val="13"/>
                <w:b w:val="1"/>
                <w:bCs w:val="1"/>
                <w:color w:val="auto"/>
                <w:w w:val="85"/>
              </w:rPr>
              <w:t>Loss</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4"/>
          </w:tcPr>
          <w:p>
            <w:pPr>
              <w:jc w:val="center"/>
              <w:ind w:right="157"/>
              <w:spacing w:after="0"/>
              <w:rPr>
                <w:sz w:val="20"/>
                <w:szCs w:val="20"/>
                <w:color w:val="auto"/>
              </w:rPr>
            </w:pPr>
            <w:r>
              <w:rPr>
                <w:rFonts w:ascii="Arial" w:cs="Arial" w:eastAsia="Arial" w:hAnsi="Arial"/>
                <w:sz w:val="13"/>
                <w:szCs w:val="13"/>
                <w:b w:val="1"/>
                <w:bCs w:val="1"/>
                <w:color w:val="auto"/>
                <w:w w:val="90"/>
              </w:rPr>
              <w:t>Deficit</w:t>
            </w:r>
          </w:p>
        </w:tc>
        <w:tc>
          <w:tcPr>
            <w:tcW w:w="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w w:val="87"/>
              </w:rPr>
              <w:t>Stockholders’Equity</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1680" w:type="dxa"/>
            <w:vAlign w:val="bottom"/>
            <w:gridSpan w:val="4"/>
            <w:shd w:val="clear" w:color="auto" w:fill="CCEEFF"/>
          </w:tcPr>
          <w:p>
            <w:pPr>
              <w:spacing w:after="0"/>
              <w:rPr>
                <w:sz w:val="20"/>
                <w:szCs w:val="20"/>
                <w:color w:val="auto"/>
              </w:rPr>
            </w:pPr>
            <w:r>
              <w:rPr>
                <w:rFonts w:ascii="Arial" w:cs="Arial" w:eastAsia="Arial" w:hAnsi="Arial"/>
                <w:sz w:val="13"/>
                <w:szCs w:val="13"/>
                <w:b w:val="1"/>
                <w:bCs w:val="1"/>
                <w:color w:val="auto"/>
                <w:w w:val="98"/>
              </w:rPr>
              <w:t>Balances at March 31, 2022</w:t>
            </w:r>
          </w:p>
        </w:tc>
        <w:tc>
          <w:tcPr>
            <w:tcW w:w="700" w:type="dxa"/>
            <w:vAlign w:val="bottom"/>
            <w:gridSpan w:val="3"/>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jc w:val="right"/>
              <w:ind w:right="17"/>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7"/>
                <w:szCs w:val="17"/>
                <w:color w:val="auto"/>
              </w:rPr>
            </w:pPr>
          </w:p>
        </w:tc>
        <w:tc>
          <w:tcPr>
            <w:tcW w:w="580" w:type="dxa"/>
            <w:vAlign w:val="bottom"/>
            <w:gridSpan w:val="4"/>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center"/>
              <w:ind w:left="257"/>
              <w:spacing w:after="0"/>
              <w:rPr>
                <w:sz w:val="20"/>
                <w:szCs w:val="20"/>
                <w:color w:val="auto"/>
              </w:rPr>
            </w:pPr>
            <w:r>
              <w:rPr>
                <w:rFonts w:ascii="Arial" w:cs="Arial" w:eastAsia="Arial" w:hAnsi="Arial"/>
                <w:sz w:val="13"/>
                <w:szCs w:val="13"/>
                <w:color w:val="auto"/>
                <w:w w:val="91"/>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shd w:val="clear" w:color="auto" w:fill="CCEEFF"/>
          </w:tcPr>
          <w:p>
            <w:pPr>
              <w:spacing w:after="0"/>
              <w:rPr>
                <w:sz w:val="17"/>
                <w:szCs w:val="17"/>
                <w:color w:val="auto"/>
              </w:rPr>
            </w:pP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3"/>
                <w:szCs w:val="13"/>
                <w:color w:val="auto"/>
              </w:rPr>
              <w:t>124,456,653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w w:val="82"/>
              </w:rPr>
              <w:t>$</w:t>
            </w: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w w:val="85"/>
              </w:rPr>
              <w:t>446,654</w:t>
            </w:r>
          </w:p>
        </w:tc>
        <w:tc>
          <w:tcPr>
            <w:tcW w:w="360" w:type="dxa"/>
            <w:vAlign w:val="bottom"/>
            <w:gridSpan w:val="3"/>
            <w:shd w:val="clear" w:color="auto" w:fill="CCEEFF"/>
          </w:tcPr>
          <w:p>
            <w:pPr>
              <w:jc w:val="right"/>
              <w:ind w:right="99"/>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center"/>
              <w:ind w:left="319"/>
              <w:spacing w:after="0"/>
              <w:rPr>
                <w:sz w:val="20"/>
                <w:szCs w:val="20"/>
                <w:color w:val="auto"/>
              </w:rPr>
            </w:pPr>
            <w:r>
              <w:rPr>
                <w:rFonts w:ascii="Arial" w:cs="Arial" w:eastAsia="Arial" w:hAnsi="Arial"/>
                <w:sz w:val="13"/>
                <w:szCs w:val="13"/>
                <w:color w:val="auto"/>
                <w:w w:val="92"/>
              </w:rPr>
              <w:t>(554)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80" w:type="dxa"/>
            <w:vAlign w:val="bottom"/>
            <w:gridSpan w:val="4"/>
            <w:shd w:val="clear" w:color="auto" w:fill="CCEEFF"/>
          </w:tcPr>
          <w:p>
            <w:pPr>
              <w:ind w:left="120"/>
              <w:spacing w:after="0"/>
              <w:rPr>
                <w:sz w:val="20"/>
                <w:szCs w:val="20"/>
                <w:color w:val="auto"/>
              </w:rPr>
            </w:pPr>
            <w:r>
              <w:rPr>
                <w:rFonts w:ascii="Arial" w:cs="Arial" w:eastAsia="Arial" w:hAnsi="Arial"/>
                <w:sz w:val="13"/>
                <w:szCs w:val="13"/>
                <w:color w:val="auto"/>
                <w:w w:val="90"/>
              </w:rPr>
              <w:t>(96,403)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349,709</w:t>
            </w:r>
          </w:p>
        </w:tc>
        <w:tc>
          <w:tcPr>
            <w:tcW w:w="0" w:type="dxa"/>
            <w:vAlign w:val="bottom"/>
          </w:tcPr>
          <w:p>
            <w:pPr>
              <w:spacing w:after="0"/>
              <w:rPr>
                <w:sz w:val="1"/>
                <w:szCs w:val="1"/>
                <w:color w:val="auto"/>
              </w:rPr>
            </w:pPr>
          </w:p>
        </w:tc>
      </w:tr>
      <w:tr>
        <w:trPr>
          <w:trHeight w:val="122"/>
        </w:trPr>
        <w:tc>
          <w:tcPr>
            <w:tcW w:w="5900" w:type="dxa"/>
            <w:vAlign w:val="bottom"/>
            <w:tcBorders>
              <w:right w:val="single" w:sz="8" w:color="auto"/>
            </w:tcBorders>
            <w:gridSpan w:val="32"/>
          </w:tcPr>
          <w:p>
            <w:pPr>
              <w:spacing w:after="0"/>
              <w:rPr>
                <w:sz w:val="20"/>
                <w:szCs w:val="20"/>
                <w:color w:val="auto"/>
              </w:rPr>
            </w:pPr>
            <w:r>
              <w:rPr>
                <w:rFonts w:ascii="Arial" w:cs="Arial" w:eastAsia="Arial" w:hAnsi="Arial"/>
                <w:sz w:val="13"/>
                <w:szCs w:val="13"/>
                <w:color w:val="auto"/>
              </w:rPr>
              <w:t>Issuance of common stock</w:t>
            </w:r>
          </w:p>
        </w:tc>
        <w:tc>
          <w:tcPr>
            <w:tcW w:w="5320" w:type="dxa"/>
            <w:vAlign w:val="bottom"/>
            <w:gridSpan w:val="31"/>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80" w:type="dxa"/>
            <w:vAlign w:val="bottom"/>
            <w:gridSpan w:val="4"/>
          </w:tcPr>
          <w:p>
            <w:pPr>
              <w:ind w:left="160"/>
              <w:spacing w:after="0" w:line="122" w:lineRule="exact"/>
              <w:rPr>
                <w:sz w:val="20"/>
                <w:szCs w:val="20"/>
                <w:color w:val="auto"/>
              </w:rPr>
            </w:pPr>
            <w:r>
              <w:rPr>
                <w:rFonts w:ascii="Arial" w:cs="Arial" w:eastAsia="Arial" w:hAnsi="Arial"/>
                <w:sz w:val="13"/>
                <w:szCs w:val="13"/>
                <w:color w:val="auto"/>
              </w:rPr>
              <w:t>upon exercise of vested</w:t>
            </w:r>
          </w:p>
        </w:tc>
        <w:tc>
          <w:tcPr>
            <w:tcW w:w="700" w:type="dxa"/>
            <w:vAlign w:val="bottom"/>
            <w:gridSpan w:val="3"/>
            <w:vMerge w:val="restart"/>
          </w:tcPr>
          <w:p>
            <w:pPr>
              <w:jc w:val="right"/>
              <w:ind w:right="9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4"/>
            <w:vMerge w:val="restart"/>
          </w:tcPr>
          <w:p>
            <w:pPr>
              <w:ind w:left="160"/>
              <w:spacing w:after="0"/>
              <w:rPr>
                <w:sz w:val="20"/>
                <w:szCs w:val="20"/>
                <w:color w:val="auto"/>
              </w:rPr>
            </w:pPr>
            <w:r>
              <w:rPr>
                <w:rFonts w:ascii="Arial" w:cs="Arial" w:eastAsia="Arial" w:hAnsi="Arial"/>
                <w:sz w:val="13"/>
                <w:szCs w:val="13"/>
                <w:color w:val="auto"/>
              </w:rPr>
              <w:t>—</w:t>
            </w:r>
          </w:p>
        </w:tc>
        <w:tc>
          <w:tcPr>
            <w:tcW w:w="480" w:type="dxa"/>
            <w:vAlign w:val="bottom"/>
            <w:vMerge w:val="restart"/>
          </w:tcPr>
          <w:p>
            <w:pPr>
              <w:jc w:val="center"/>
              <w:ind w:left="257"/>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3"/>
            <w:vMerge w:val="restart"/>
          </w:tcPr>
          <w:p>
            <w:pPr>
              <w:jc w:val="right"/>
              <w:ind w:right="23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440" w:type="dxa"/>
            <w:vAlign w:val="bottom"/>
            <w:vMerge w:val="restart"/>
          </w:tcPr>
          <w:p>
            <w:pPr>
              <w:ind w:lef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vMerge w:val="restart"/>
          </w:tcPr>
          <w:p>
            <w:pPr>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3"/>
            <w:vMerge w:val="restart"/>
          </w:tcPr>
          <w:p>
            <w:pPr>
              <w:jc w:val="right"/>
              <w:spacing w:after="0"/>
              <w:rPr>
                <w:sz w:val="20"/>
                <w:szCs w:val="20"/>
                <w:color w:val="auto"/>
              </w:rPr>
            </w:pPr>
            <w:r>
              <w:rPr>
                <w:rFonts w:ascii="Arial" w:cs="Arial" w:eastAsia="Arial" w:hAnsi="Arial"/>
                <w:sz w:val="13"/>
                <w:szCs w:val="13"/>
                <w:color w:val="auto"/>
              </w:rPr>
              <w:t>57,739</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32</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gridSpan w:val="2"/>
            <w:vMerge w:val="restart"/>
          </w:tcPr>
          <w:p>
            <w:pPr>
              <w:ind w:lef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680" w:type="dxa"/>
            <w:vAlign w:val="bottom"/>
            <w:gridSpan w:val="4"/>
          </w:tcPr>
          <w:p>
            <w:pPr>
              <w:ind w:left="160"/>
              <w:spacing w:after="0"/>
              <w:rPr>
                <w:sz w:val="20"/>
                <w:szCs w:val="20"/>
                <w:color w:val="auto"/>
              </w:rPr>
            </w:pPr>
            <w:r>
              <w:rPr>
                <w:rFonts w:ascii="Arial" w:cs="Arial" w:eastAsia="Arial" w:hAnsi="Arial"/>
                <w:sz w:val="13"/>
                <w:szCs w:val="13"/>
                <w:color w:val="auto"/>
              </w:rPr>
              <w:t>stock options</w:t>
            </w:r>
          </w:p>
        </w:tc>
        <w:tc>
          <w:tcPr>
            <w:tcW w:w="7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4"/>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900" w:type="dxa"/>
            <w:vAlign w:val="bottom"/>
            <w:tcBorders>
              <w:right w:val="single" w:sz="8" w:color="auto"/>
            </w:tcBorders>
            <w:gridSpan w:val="32"/>
            <w:shd w:val="clear" w:color="auto" w:fill="CCEEFF"/>
          </w:tcPr>
          <w:p>
            <w:pPr>
              <w:spacing w:after="0"/>
              <w:rPr>
                <w:sz w:val="20"/>
                <w:szCs w:val="20"/>
                <w:color w:val="auto"/>
              </w:rPr>
            </w:pPr>
            <w:r>
              <w:rPr>
                <w:rFonts w:ascii="Arial" w:cs="Arial" w:eastAsia="Arial" w:hAnsi="Arial"/>
                <w:sz w:val="13"/>
                <w:szCs w:val="13"/>
                <w:color w:val="auto"/>
              </w:rPr>
              <w:t>Issuance of common stock</w:t>
            </w:r>
          </w:p>
        </w:tc>
        <w:tc>
          <w:tcPr>
            <w:tcW w:w="320" w:type="dxa"/>
            <w:vAlign w:val="bottom"/>
            <w:tcBorders>
              <w:right w:val="single" w:sz="8" w:color="CCEEFF"/>
            </w:tcBorders>
            <w:gridSpan w:val="3"/>
            <w:shd w:val="clear" w:color="auto" w:fill="CCEEFF"/>
          </w:tcPr>
          <w:p>
            <w:pPr>
              <w:spacing w:after="0"/>
              <w:rPr>
                <w:sz w:val="11"/>
                <w:szCs w:val="11"/>
                <w:color w:val="auto"/>
              </w:rPr>
            </w:pPr>
          </w:p>
        </w:tc>
        <w:tc>
          <w:tcPr>
            <w:tcW w:w="5000" w:type="dxa"/>
            <w:vAlign w:val="bottom"/>
            <w:gridSpan w:val="28"/>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680" w:type="dxa"/>
            <w:vAlign w:val="bottom"/>
            <w:gridSpan w:val="4"/>
            <w:shd w:val="clear" w:color="auto" w:fill="CCEEFF"/>
          </w:tcPr>
          <w:p>
            <w:pPr>
              <w:ind w:left="160"/>
              <w:spacing w:after="0" w:line="122" w:lineRule="exact"/>
              <w:rPr>
                <w:sz w:val="20"/>
                <w:szCs w:val="20"/>
                <w:color w:val="auto"/>
              </w:rPr>
            </w:pPr>
            <w:r>
              <w:rPr>
                <w:rFonts w:ascii="Arial" w:cs="Arial" w:eastAsia="Arial" w:hAnsi="Arial"/>
                <w:sz w:val="13"/>
                <w:szCs w:val="13"/>
                <w:color w:val="auto"/>
              </w:rPr>
              <w:t>under employee stock</w:t>
            </w:r>
          </w:p>
        </w:tc>
        <w:tc>
          <w:tcPr>
            <w:tcW w:w="700" w:type="dxa"/>
            <w:vAlign w:val="bottom"/>
            <w:gridSpan w:val="3"/>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4"/>
            <w:vMerge w:val="restart"/>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480" w:type="dxa"/>
            <w:vAlign w:val="bottom"/>
            <w:vMerge w:val="restart"/>
            <w:shd w:val="clear" w:color="auto" w:fill="CCEEFF"/>
          </w:tcPr>
          <w:p>
            <w:pPr>
              <w:jc w:val="center"/>
              <w:ind w:left="257"/>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gridSpan w:val="3"/>
            <w:vMerge w:val="restart"/>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48,353</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153</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153</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680" w:type="dxa"/>
            <w:vAlign w:val="bottom"/>
            <w:gridSpan w:val="4"/>
            <w:shd w:val="clear" w:color="auto" w:fill="CCEEFF"/>
          </w:tcPr>
          <w:p>
            <w:pPr>
              <w:ind w:left="160"/>
              <w:spacing w:after="0"/>
              <w:rPr>
                <w:sz w:val="20"/>
                <w:szCs w:val="20"/>
                <w:color w:val="auto"/>
              </w:rPr>
            </w:pPr>
            <w:r>
              <w:rPr>
                <w:rFonts w:ascii="Arial" w:cs="Arial" w:eastAsia="Arial" w:hAnsi="Arial"/>
                <w:sz w:val="13"/>
                <w:szCs w:val="13"/>
                <w:color w:val="auto"/>
              </w:rPr>
              <w:t>purchase plan</w:t>
            </w:r>
          </w:p>
        </w:tc>
        <w:tc>
          <w:tcPr>
            <w:tcW w:w="700" w:type="dxa"/>
            <w:vAlign w:val="bottom"/>
            <w:gridSpan w:val="3"/>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4"/>
            <w:vMerge w:val="continue"/>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gridSpan w:val="2"/>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680" w:type="dxa"/>
            <w:vAlign w:val="bottom"/>
            <w:gridSpan w:val="4"/>
          </w:tcPr>
          <w:p>
            <w:pPr>
              <w:spacing w:after="0" w:line="122" w:lineRule="exact"/>
              <w:rPr>
                <w:sz w:val="20"/>
                <w:szCs w:val="20"/>
                <w:color w:val="auto"/>
              </w:rPr>
            </w:pPr>
            <w:r>
              <w:rPr>
                <w:rFonts w:ascii="Arial" w:cs="Arial" w:eastAsia="Arial" w:hAnsi="Arial"/>
                <w:sz w:val="13"/>
                <w:szCs w:val="13"/>
                <w:color w:val="auto"/>
              </w:rPr>
              <w:t>Stock-based compensation</w:t>
            </w:r>
          </w:p>
        </w:tc>
        <w:tc>
          <w:tcPr>
            <w:tcW w:w="700" w:type="dxa"/>
            <w:vAlign w:val="bottom"/>
            <w:gridSpan w:val="3"/>
            <w:vMerge w:val="restart"/>
          </w:tcPr>
          <w:p>
            <w:pPr>
              <w:jc w:val="right"/>
              <w:ind w:right="9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4"/>
            <w:vMerge w:val="restart"/>
          </w:tcPr>
          <w:p>
            <w:pPr>
              <w:ind w:left="160"/>
              <w:spacing w:after="0"/>
              <w:rPr>
                <w:sz w:val="20"/>
                <w:szCs w:val="20"/>
                <w:color w:val="auto"/>
              </w:rPr>
            </w:pPr>
            <w:r>
              <w:rPr>
                <w:rFonts w:ascii="Arial" w:cs="Arial" w:eastAsia="Arial" w:hAnsi="Arial"/>
                <w:sz w:val="13"/>
                <w:szCs w:val="13"/>
                <w:color w:val="auto"/>
              </w:rPr>
              <w:t>—</w:t>
            </w:r>
          </w:p>
        </w:tc>
        <w:tc>
          <w:tcPr>
            <w:tcW w:w="480" w:type="dxa"/>
            <w:vAlign w:val="bottom"/>
            <w:vMerge w:val="restart"/>
          </w:tcPr>
          <w:p>
            <w:pPr>
              <w:jc w:val="center"/>
              <w:ind w:left="257"/>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3"/>
            <w:vMerge w:val="restart"/>
          </w:tcPr>
          <w:p>
            <w:pPr>
              <w:jc w:val="right"/>
              <w:ind w:right="23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440" w:type="dxa"/>
            <w:vAlign w:val="bottom"/>
            <w:vMerge w:val="restart"/>
          </w:tcPr>
          <w:p>
            <w:pPr>
              <w:ind w:lef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vMerge w:val="restart"/>
          </w:tcPr>
          <w:p>
            <w:pPr>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440" w:type="dxa"/>
            <w:vAlign w:val="bottom"/>
            <w:gridSpan w:val="4"/>
            <w:vMerge w:val="restart"/>
          </w:tcPr>
          <w:p>
            <w:pPr>
              <w:jc w:val="right"/>
              <w:spacing w:after="0"/>
              <w:rPr>
                <w:sz w:val="20"/>
                <w:szCs w:val="20"/>
                <w:color w:val="auto"/>
              </w:rPr>
            </w:pPr>
            <w:r>
              <w:rPr>
                <w:rFonts w:ascii="Arial" w:cs="Arial" w:eastAsia="Arial" w:hAnsi="Arial"/>
                <w:sz w:val="13"/>
                <w:szCs w:val="13"/>
                <w:color w:val="auto"/>
              </w:rPr>
              <w:t>2,567</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gridSpan w:val="2"/>
            <w:vMerge w:val="restart"/>
          </w:tcPr>
          <w:p>
            <w:pPr>
              <w:ind w:lef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2,567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680" w:type="dxa"/>
            <w:vAlign w:val="bottom"/>
            <w:gridSpan w:val="4"/>
          </w:tcPr>
          <w:p>
            <w:pPr>
              <w:ind w:left="160"/>
              <w:spacing w:after="0"/>
              <w:rPr>
                <w:sz w:val="20"/>
                <w:szCs w:val="20"/>
                <w:color w:val="auto"/>
              </w:rPr>
            </w:pPr>
            <w:r>
              <w:rPr>
                <w:rFonts w:ascii="Arial" w:cs="Arial" w:eastAsia="Arial" w:hAnsi="Arial"/>
                <w:sz w:val="13"/>
                <w:szCs w:val="13"/>
                <w:color w:val="auto"/>
              </w:rPr>
              <w:t>expense</w:t>
            </w:r>
          </w:p>
        </w:tc>
        <w:tc>
          <w:tcPr>
            <w:tcW w:w="7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4"/>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Other comprehensive loss</w:t>
            </w:r>
          </w:p>
        </w:tc>
        <w:tc>
          <w:tcPr>
            <w:tcW w:w="700" w:type="dxa"/>
            <w:vAlign w:val="bottom"/>
            <w:gridSpan w:val="3"/>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center"/>
              <w:ind w:left="257"/>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left="319"/>
              <w:spacing w:after="0"/>
              <w:rPr>
                <w:sz w:val="20"/>
                <w:szCs w:val="20"/>
                <w:color w:val="auto"/>
              </w:rPr>
            </w:pPr>
            <w:r>
              <w:rPr>
                <w:rFonts w:ascii="Arial" w:cs="Arial" w:eastAsia="Arial" w:hAnsi="Arial"/>
                <w:sz w:val="13"/>
                <w:szCs w:val="13"/>
                <w:color w:val="auto"/>
                <w:w w:val="92"/>
              </w:rPr>
              <w:t>(214)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w:t>
            </w:r>
          </w:p>
        </w:tc>
        <w:tc>
          <w:tcPr>
            <w:tcW w:w="0" w:type="dxa"/>
            <w:vAlign w:val="bottom"/>
          </w:tcPr>
          <w:p>
            <w:pPr>
              <w:spacing w:after="0"/>
              <w:rPr>
                <w:sz w:val="1"/>
                <w:szCs w:val="1"/>
                <w:color w:val="auto"/>
              </w:rPr>
            </w:pPr>
          </w:p>
        </w:tc>
      </w:tr>
      <w:tr>
        <w:trPr>
          <w:trHeight w:val="196"/>
        </w:trPr>
        <w:tc>
          <w:tcPr>
            <w:tcW w:w="1640" w:type="dxa"/>
            <w:vAlign w:val="bottom"/>
            <w:tcBorders>
              <w:bottom w:val="single" w:sz="8" w:color="CCEEFF"/>
            </w:tcBorders>
            <w:gridSpan w:val="4"/>
          </w:tcPr>
          <w:p>
            <w:pPr>
              <w:spacing w:after="0"/>
              <w:rPr>
                <w:sz w:val="20"/>
                <w:szCs w:val="20"/>
                <w:color w:val="auto"/>
              </w:rPr>
            </w:pPr>
            <w:r>
              <w:rPr>
                <w:rFonts w:ascii="Arial" w:cs="Arial" w:eastAsia="Arial" w:hAnsi="Arial"/>
                <w:sz w:val="13"/>
                <w:szCs w:val="13"/>
                <w:color w:val="auto"/>
              </w:rPr>
              <w:t>Net loss</w:t>
            </w: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gridSpan w:val="5"/>
          </w:tcPr>
          <w:p>
            <w:pPr>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gridSpan w:val="4"/>
          </w:tcPr>
          <w:p>
            <w:pPr>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gridSpan w:val="4"/>
          </w:tcPr>
          <w:p>
            <w:pPr>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gridSpan w:val="3"/>
          </w:tcPr>
          <w:p>
            <w:pPr>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gridSpan w:val="4"/>
          </w:tcPr>
          <w:p>
            <w:pPr>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gridSpan w:val="4"/>
          </w:tcPr>
          <w:p>
            <w:pPr>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gridSpan w:val="3"/>
          </w:tcPr>
          <w:p>
            <w:pPr>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gridSpan w:val="6"/>
          </w:tcPr>
          <w:p>
            <w:pPr>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gridSpan w:val="3"/>
          </w:tcPr>
          <w:p>
            <w:pPr>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gridSpan w:val="5"/>
          </w:tcPr>
          <w:p>
            <w:pPr>
              <w:jc w:val="right"/>
              <w:ind w:right="737"/>
              <w:spacing w:after="0"/>
              <w:rPr>
                <w:sz w:val="20"/>
                <w:szCs w:val="20"/>
                <w:color w:val="auto"/>
              </w:rPr>
            </w:pPr>
            <w:r>
              <w:rPr>
                <w:rFonts w:ascii="Arial" w:cs="Arial" w:eastAsia="Arial" w:hAnsi="Arial"/>
                <w:sz w:val="13"/>
                <w:szCs w:val="13"/>
                <w:color w:val="auto"/>
              </w:rPr>
              <w:t>(14,689)</w:t>
            </w:r>
          </w:p>
        </w:tc>
        <w:tc>
          <w:tcPr>
            <w:tcW w:w="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4"/>
          </w:tcPr>
          <w:p>
            <w:pPr>
              <w:jc w:val="right"/>
              <w:ind w:right="1078"/>
              <w:spacing w:after="0"/>
              <w:rPr>
                <w:sz w:val="20"/>
                <w:szCs w:val="20"/>
                <w:color w:val="auto"/>
              </w:rPr>
            </w:pPr>
            <w:r>
              <w:rPr>
                <w:rFonts w:ascii="Arial" w:cs="Arial" w:eastAsia="Arial" w:hAnsi="Arial"/>
                <w:sz w:val="13"/>
                <w:szCs w:val="13"/>
                <w:color w:val="auto"/>
              </w:rPr>
              <w:t>(14,689)</w:t>
            </w:r>
          </w:p>
        </w:tc>
        <w:tc>
          <w:tcPr>
            <w:tcW w:w="0" w:type="dxa"/>
            <w:vAlign w:val="bottom"/>
          </w:tcPr>
          <w:p>
            <w:pPr>
              <w:spacing w:after="0"/>
              <w:rPr>
                <w:sz w:val="1"/>
                <w:szCs w:val="1"/>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3"/>
                <w:szCs w:val="13"/>
                <w:b w:val="1"/>
                <w:bCs w:val="1"/>
                <w:color w:val="auto"/>
              </w:rPr>
              <w:t>Balances at June 30, 2022</w:t>
            </w:r>
          </w:p>
        </w:tc>
        <w:tc>
          <w:tcPr>
            <w:tcW w:w="700" w:type="dxa"/>
            <w:vAlign w:val="bottom"/>
            <w:tcBorders>
              <w:bottom w:val="single" w:sz="8" w:color="CCEEFF"/>
            </w:tcBorders>
            <w:gridSpan w:val="3"/>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0"/>
                <w:szCs w:val="10"/>
                <w:color w:val="auto"/>
                <w:w w:val="71"/>
              </w:rPr>
              <w:t>$</w:t>
            </w: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CCEEFF"/>
            </w:tcBorders>
            <w:shd w:val="clear" w:color="auto" w:fill="CCEEFF"/>
          </w:tcPr>
          <w:p>
            <w:pPr>
              <w:jc w:val="center"/>
              <w:ind w:left="257"/>
              <w:spacing w:after="0"/>
              <w:rPr>
                <w:sz w:val="20"/>
                <w:szCs w:val="20"/>
                <w:color w:val="auto"/>
              </w:rPr>
            </w:pPr>
            <w:r>
              <w:rPr>
                <w:rFonts w:ascii="Arial" w:cs="Arial" w:eastAsia="Arial" w:hAnsi="Arial"/>
                <w:sz w:val="13"/>
                <w:szCs w:val="13"/>
                <w:color w:val="auto"/>
                <w:w w:val="91"/>
              </w:rPr>
              <w:t>—</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gridSpan w:val="3"/>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82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3"/>
                <w:szCs w:val="13"/>
                <w:color w:val="auto"/>
              </w:rPr>
              <w:t>124,562,745</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3"/>
                <w:szCs w:val="13"/>
                <w:color w:val="auto"/>
                <w:w w:val="85"/>
              </w:rPr>
              <w:t>449,406</w:t>
            </w:r>
          </w:p>
        </w:tc>
        <w:tc>
          <w:tcPr>
            <w:tcW w:w="36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gridSpan w:val="2"/>
            <w:shd w:val="clear" w:color="auto" w:fill="CCEEFF"/>
          </w:tcPr>
          <w:p>
            <w:pPr>
              <w:jc w:val="center"/>
              <w:ind w:left="319"/>
              <w:spacing w:after="0"/>
              <w:rPr>
                <w:sz w:val="20"/>
                <w:szCs w:val="20"/>
                <w:color w:val="auto"/>
              </w:rPr>
            </w:pPr>
            <w:r>
              <w:rPr>
                <w:rFonts w:ascii="Arial" w:cs="Arial" w:eastAsia="Arial" w:hAnsi="Arial"/>
                <w:sz w:val="13"/>
                <w:szCs w:val="13"/>
                <w:color w:val="auto"/>
                <w:w w:val="92"/>
              </w:rPr>
              <w:t>(768)</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3"/>
                <w:szCs w:val="13"/>
                <w:color w:val="auto"/>
                <w:w w:val="96"/>
              </w:rPr>
              <w:t>(111,092)</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337,558</w:t>
            </w:r>
          </w:p>
        </w:tc>
        <w:tc>
          <w:tcPr>
            <w:tcW w:w="0" w:type="dxa"/>
            <w:vAlign w:val="bottom"/>
          </w:tcPr>
          <w:p>
            <w:pPr>
              <w:spacing w:after="0"/>
              <w:rPr>
                <w:sz w:val="1"/>
                <w:szCs w:val="1"/>
                <w:color w:val="auto"/>
              </w:rPr>
            </w:pPr>
          </w:p>
        </w:tc>
      </w:tr>
      <w:tr>
        <w:trPr>
          <w:trHeight w:val="20"/>
        </w:trPr>
        <w:tc>
          <w:tcPr>
            <w:tcW w:w="1640" w:type="dxa"/>
            <w:vAlign w:val="bottom"/>
            <w:tcBorders>
              <w:top w:val="single" w:sz="8" w:color="CCEEFF"/>
            </w:tcBorders>
            <w:gridSpan w:val="4"/>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gridSpan w:val="5"/>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gridSpan w:val="4"/>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76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gridSpan w:val="6"/>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gridSpan w:val="5"/>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1680" w:type="dxa"/>
            <w:vAlign w:val="bottom"/>
            <w:gridSpan w:val="4"/>
            <w:vMerge w:val="restart"/>
          </w:tcPr>
          <w:p>
            <w:pPr>
              <w:spacing w:after="0"/>
              <w:rPr>
                <w:sz w:val="20"/>
                <w:szCs w:val="20"/>
                <w:color w:val="auto"/>
              </w:rPr>
            </w:pPr>
            <w:r>
              <w:rPr>
                <w:rFonts w:ascii="Arial" w:cs="Arial" w:eastAsia="Arial" w:hAnsi="Arial"/>
                <w:sz w:val="13"/>
                <w:szCs w:val="13"/>
                <w:b w:val="1"/>
                <w:bCs w:val="1"/>
                <w:i w:val="1"/>
                <w:iCs w:val="1"/>
                <w:color w:val="auto"/>
                <w:w w:val="90"/>
              </w:rPr>
              <w:t>Three Months Ended June 30,</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520" w:type="dxa"/>
            <w:vAlign w:val="bottom"/>
            <w:gridSpan w:val="15"/>
            <w:vMerge w:val="restart"/>
          </w:tcPr>
          <w:p>
            <w:pPr>
              <w:ind w:left="180"/>
              <w:spacing w:after="0"/>
              <w:rPr>
                <w:sz w:val="20"/>
                <w:szCs w:val="20"/>
                <w:color w:val="auto"/>
              </w:rPr>
            </w:pPr>
            <w:r>
              <w:rPr>
                <w:rFonts w:ascii="Arial" w:cs="Arial" w:eastAsia="Arial" w:hAnsi="Arial"/>
                <w:sz w:val="13"/>
                <w:szCs w:val="13"/>
                <w:b w:val="1"/>
                <w:bCs w:val="1"/>
                <w:color w:val="auto"/>
                <w:w w:val="91"/>
              </w:rPr>
              <w:t>Redeemable Convertible Preferred Stock</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80" w:type="dxa"/>
            <w:vAlign w:val="bottom"/>
            <w:gridSpan w:val="4"/>
            <w:vMerge w:val="continue"/>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520" w:type="dxa"/>
            <w:vAlign w:val="bottom"/>
            <w:gridSpan w:val="15"/>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 w:type="dxa"/>
            <w:vAlign w:val="bottom"/>
            <w:tcBorders>
              <w:top w:val="single" w:sz="8" w:color="auto"/>
              <w:bottom w:val="single" w:sz="8" w:color="auto"/>
            </w:tcBorders>
          </w:tcPr>
          <w:p>
            <w:pPr>
              <w:spacing w:after="0" w:line="88" w:lineRule="exact"/>
              <w:rPr>
                <w:sz w:val="20"/>
                <w:szCs w:val="20"/>
                <w:color w:val="auto"/>
              </w:rPr>
            </w:pPr>
            <w:r>
              <w:rPr>
                <w:rFonts w:ascii="Arial" w:cs="Arial" w:eastAsia="Arial" w:hAnsi="Arial"/>
                <w:sz w:val="10"/>
                <w:szCs w:val="10"/>
                <w:b w:val="1"/>
                <w:bCs w:val="1"/>
                <w:i w:val="1"/>
                <w:iCs w:val="1"/>
                <w:color w:val="auto"/>
              </w:rPr>
              <w:t>2021</w:t>
            </w:r>
          </w:p>
        </w:tc>
        <w:tc>
          <w:tcPr>
            <w:tcW w:w="13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520" w:type="dxa"/>
            <w:vAlign w:val="bottom"/>
            <w:gridSpan w:val="15"/>
            <w:vMerge w:val="continue"/>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85"/>
              </w:rPr>
              <w:t>Accumulated</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center"/>
              <w:ind w:right="18"/>
              <w:spacing w:after="0" w:line="102"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0"/>
        </w:trPr>
        <w:tc>
          <w:tcPr>
            <w:tcW w:w="1700" w:type="dxa"/>
            <w:vAlign w:val="bottom"/>
            <w:gridSpan w:val="5"/>
          </w:tcPr>
          <w:p>
            <w:pPr>
              <w:spacing w:after="0" w:line="20" w:lineRule="exact"/>
              <w:rPr>
                <w:sz w:val="1"/>
                <w:szCs w:val="1"/>
                <w:color w:val="auto"/>
              </w:rPr>
            </w:pPr>
          </w:p>
        </w:tc>
        <w:tc>
          <w:tcPr>
            <w:tcW w:w="4400" w:type="dxa"/>
            <w:vAlign w:val="bottom"/>
            <w:tcBorders>
              <w:bottom w:val="single" w:sz="8" w:color="auto"/>
            </w:tcBorders>
            <w:gridSpan w:val="29"/>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280" w:type="dxa"/>
            <w:vAlign w:val="bottom"/>
            <w:gridSpan w:val="16"/>
          </w:tcPr>
          <w:p>
            <w:pPr>
              <w:spacing w:after="0" w:line="20" w:lineRule="exact"/>
              <w:rPr>
                <w:sz w:val="1"/>
                <w:szCs w:val="1"/>
                <w:color w:val="auto"/>
              </w:rPr>
            </w:pPr>
          </w:p>
        </w:tc>
        <w:tc>
          <w:tcPr>
            <w:tcW w:w="920" w:type="dxa"/>
            <w:vAlign w:val="bottom"/>
            <w:gridSpan w:val="3"/>
            <w:vMerge w:val="continue"/>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500" w:type="dxa"/>
            <w:vAlign w:val="bottom"/>
            <w:gridSpan w:val="10"/>
            <w:vMerge w:val="restart"/>
          </w:tcPr>
          <w:p>
            <w:pPr>
              <w:ind w:left="400"/>
              <w:spacing w:after="0" w:line="138" w:lineRule="exact"/>
              <w:rPr>
                <w:sz w:val="20"/>
                <w:szCs w:val="20"/>
                <w:color w:val="auto"/>
              </w:rPr>
            </w:pPr>
            <w:r>
              <w:rPr>
                <w:rFonts w:ascii="Arial" w:cs="Arial" w:eastAsia="Arial" w:hAnsi="Arial"/>
                <w:sz w:val="13"/>
                <w:szCs w:val="13"/>
                <w:b w:val="1"/>
                <w:bCs w:val="1"/>
                <w:color w:val="auto"/>
              </w:rPr>
              <w:t>Series Seed</w:t>
            </w:r>
          </w:p>
        </w:tc>
        <w:tc>
          <w:tcPr>
            <w:tcW w:w="480" w:type="dxa"/>
            <w:vAlign w:val="bottom"/>
          </w:tcPr>
          <w:p>
            <w:pPr>
              <w:spacing w:after="0"/>
              <w:rPr>
                <w:sz w:val="5"/>
                <w:szCs w:val="5"/>
                <w:color w:val="auto"/>
              </w:rPr>
            </w:pPr>
          </w:p>
        </w:tc>
        <w:tc>
          <w:tcPr>
            <w:tcW w:w="460" w:type="dxa"/>
            <w:vAlign w:val="bottom"/>
            <w:gridSpan w:val="5"/>
            <w:vMerge w:val="restart"/>
          </w:tcPr>
          <w:p>
            <w:pPr>
              <w:spacing w:after="0" w:line="138" w:lineRule="exact"/>
              <w:rPr>
                <w:sz w:val="20"/>
                <w:szCs w:val="20"/>
                <w:color w:val="auto"/>
              </w:rPr>
            </w:pPr>
            <w:r>
              <w:rPr>
                <w:rFonts w:ascii="Arial" w:cs="Arial" w:eastAsia="Arial" w:hAnsi="Arial"/>
                <w:sz w:val="13"/>
                <w:szCs w:val="13"/>
                <w:b w:val="1"/>
                <w:bCs w:val="1"/>
                <w:color w:val="auto"/>
                <w:w w:val="84"/>
              </w:rPr>
              <w:t>Series A</w:t>
            </w: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gridSpan w:val="5"/>
            <w:vMerge w:val="restart"/>
          </w:tcPr>
          <w:p>
            <w:pPr>
              <w:ind w:left="40"/>
              <w:spacing w:after="0" w:line="138" w:lineRule="exact"/>
              <w:rPr>
                <w:sz w:val="20"/>
                <w:szCs w:val="20"/>
                <w:color w:val="auto"/>
              </w:rPr>
            </w:pPr>
            <w:r>
              <w:rPr>
                <w:rFonts w:ascii="Arial" w:cs="Arial" w:eastAsia="Arial" w:hAnsi="Arial"/>
                <w:sz w:val="13"/>
                <w:szCs w:val="13"/>
                <w:b w:val="1"/>
                <w:bCs w:val="1"/>
                <w:color w:val="auto"/>
              </w:rPr>
              <w:t>Series B</w:t>
            </w: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gridSpan w:val="6"/>
            <w:vMerge w:val="restart"/>
          </w:tcPr>
          <w:p>
            <w:pPr>
              <w:ind w:left="280"/>
              <w:spacing w:after="0" w:line="138" w:lineRule="exact"/>
              <w:rPr>
                <w:sz w:val="20"/>
                <w:szCs w:val="20"/>
                <w:color w:val="auto"/>
              </w:rPr>
            </w:pPr>
            <w:r>
              <w:rPr>
                <w:rFonts w:ascii="Arial" w:cs="Arial" w:eastAsia="Arial" w:hAnsi="Arial"/>
                <w:sz w:val="13"/>
                <w:szCs w:val="13"/>
                <w:b w:val="1"/>
                <w:bCs w:val="1"/>
                <w:color w:val="auto"/>
                <w:w w:val="90"/>
              </w:rPr>
              <w:t>Common Stock</w:t>
            </w: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500" w:type="dxa"/>
            <w:vAlign w:val="bottom"/>
            <w:gridSpan w:val="10"/>
            <w:vMerge w:val="continue"/>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gridSpan w:val="5"/>
            <w:vMerge w:val="continue"/>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gridSpan w:val="5"/>
            <w:vMerge w:val="continue"/>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160" w:type="dxa"/>
            <w:vAlign w:val="bottom"/>
            <w:gridSpan w:val="6"/>
            <w:vMerge w:val="continue"/>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gridSpan w:val="5"/>
            <w:vMerge w:val="restart"/>
          </w:tcPr>
          <w:p>
            <w:pPr>
              <w:jc w:val="right"/>
              <w:spacing w:after="0" w:line="102" w:lineRule="exact"/>
              <w:rPr>
                <w:sz w:val="20"/>
                <w:szCs w:val="20"/>
                <w:color w:val="auto"/>
              </w:rPr>
            </w:pPr>
            <w:r>
              <w:rPr>
                <w:rFonts w:ascii="Arial" w:cs="Arial" w:eastAsia="Arial" w:hAnsi="Arial"/>
                <w:sz w:val="10"/>
                <w:szCs w:val="10"/>
                <w:b w:val="1"/>
                <w:bCs w:val="1"/>
                <w:color w:val="auto"/>
              </w:rPr>
              <w:t>Additional</w:t>
            </w:r>
          </w:p>
        </w:tc>
        <w:tc>
          <w:tcPr>
            <w:tcW w:w="80" w:type="dxa"/>
            <w:vAlign w:val="bottom"/>
          </w:tcPr>
          <w:p>
            <w:pPr>
              <w:spacing w:after="0"/>
              <w:rPr>
                <w:sz w:val="6"/>
                <w:szCs w:val="6"/>
                <w:color w:val="auto"/>
              </w:rPr>
            </w:pPr>
          </w:p>
        </w:tc>
        <w:tc>
          <w:tcPr>
            <w:tcW w:w="700" w:type="dxa"/>
            <w:vAlign w:val="bottom"/>
            <w:gridSpan w:val="2"/>
            <w:vMerge w:val="restart"/>
          </w:tcPr>
          <w:p>
            <w:pPr>
              <w:jc w:val="center"/>
              <w:ind w:left="200"/>
              <w:spacing w:after="0" w:line="102" w:lineRule="exact"/>
              <w:rPr>
                <w:sz w:val="20"/>
                <w:szCs w:val="20"/>
                <w:color w:val="auto"/>
              </w:rPr>
            </w:pPr>
            <w:r>
              <w:rPr>
                <w:rFonts w:ascii="Arial" w:cs="Arial" w:eastAsia="Arial" w:hAnsi="Arial"/>
                <w:sz w:val="10"/>
                <w:szCs w:val="10"/>
                <w:b w:val="1"/>
                <w:bCs w:val="1"/>
                <w:color w:val="auto"/>
              </w:rPr>
              <w:t>Other</w:t>
            </w: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1700" w:type="dxa"/>
            <w:vAlign w:val="bottom"/>
            <w:gridSpan w:val="5"/>
          </w:tcPr>
          <w:p>
            <w:pPr>
              <w:spacing w:after="0"/>
              <w:rPr>
                <w:sz w:val="3"/>
                <w:szCs w:val="3"/>
                <w:color w:val="auto"/>
              </w:rPr>
            </w:pPr>
          </w:p>
        </w:tc>
        <w:tc>
          <w:tcPr>
            <w:tcW w:w="1420" w:type="dxa"/>
            <w:vAlign w:val="bottom"/>
            <w:tcBorders>
              <w:bottom w:val="single" w:sz="8" w:color="auto"/>
            </w:tcBorders>
            <w:gridSpan w:val="9"/>
          </w:tcPr>
          <w:p>
            <w:pPr>
              <w:spacing w:after="0"/>
              <w:rPr>
                <w:sz w:val="3"/>
                <w:szCs w:val="3"/>
                <w:color w:val="auto"/>
              </w:rPr>
            </w:pPr>
          </w:p>
        </w:tc>
        <w:tc>
          <w:tcPr>
            <w:tcW w:w="80" w:type="dxa"/>
            <w:vAlign w:val="bottom"/>
          </w:tcPr>
          <w:p>
            <w:pPr>
              <w:spacing w:after="0"/>
              <w:rPr>
                <w:sz w:val="3"/>
                <w:szCs w:val="3"/>
                <w:color w:val="auto"/>
              </w:rPr>
            </w:pPr>
          </w:p>
        </w:tc>
        <w:tc>
          <w:tcPr>
            <w:tcW w:w="1420" w:type="dxa"/>
            <w:vAlign w:val="bottom"/>
            <w:tcBorders>
              <w:bottom w:val="single" w:sz="8" w:color="auto"/>
            </w:tcBorders>
            <w:gridSpan w:val="9"/>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tcBorders>
              <w:bottom w:val="single" w:sz="8" w:color="auto"/>
            </w:tcBorders>
            <w:gridSpan w:val="9"/>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400" w:type="dxa"/>
            <w:vAlign w:val="bottom"/>
            <w:tcBorders>
              <w:bottom w:val="single" w:sz="8" w:color="auto"/>
            </w:tcBorders>
            <w:gridSpan w:val="8"/>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gridSpan w:val="5"/>
            <w:vMerge w:val="continue"/>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1300" w:type="dxa"/>
            <w:vAlign w:val="bottom"/>
            <w:gridSpan w:val="9"/>
          </w:tcPr>
          <w:p>
            <w:pPr>
              <w:spacing w:after="0"/>
              <w:rPr>
                <w:sz w:val="3"/>
                <w:szCs w:val="3"/>
                <w:color w:val="auto"/>
              </w:rPr>
            </w:pPr>
          </w:p>
        </w:tc>
        <w:tc>
          <w:tcPr>
            <w:tcW w:w="720" w:type="dxa"/>
            <w:vAlign w:val="bottom"/>
            <w:vMerge w:val="restart"/>
          </w:tcPr>
          <w:p>
            <w:pPr>
              <w:jc w:val="center"/>
              <w:ind w:right="18"/>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680" w:type="dxa"/>
            <w:vAlign w:val="bottom"/>
            <w:gridSpan w:val="4"/>
          </w:tcPr>
          <w:p>
            <w:pPr>
              <w:spacing w:after="0" w:line="102" w:lineRule="exact"/>
              <w:rPr>
                <w:sz w:val="20"/>
                <w:szCs w:val="20"/>
                <w:color w:val="auto"/>
              </w:rPr>
            </w:pPr>
            <w:r>
              <w:rPr>
                <w:rFonts w:ascii="Arial" w:cs="Arial" w:eastAsia="Arial" w:hAnsi="Arial"/>
                <w:sz w:val="10"/>
                <w:szCs w:val="10"/>
                <w:i w:val="1"/>
                <w:iCs w:val="1"/>
                <w:color w:val="auto"/>
              </w:rPr>
              <w:t>(in thousands, except share</w:t>
            </w:r>
          </w:p>
        </w:tc>
        <w:tc>
          <w:tcPr>
            <w:tcW w:w="700" w:type="dxa"/>
            <w:vAlign w:val="bottom"/>
            <w:gridSpan w:val="3"/>
            <w:vMerge w:val="restart"/>
          </w:tcPr>
          <w:p>
            <w:pPr>
              <w:jc w:val="right"/>
              <w:ind w:right="17"/>
              <w:spacing w:after="0"/>
              <w:rPr>
                <w:sz w:val="20"/>
                <w:szCs w:val="20"/>
                <w:color w:val="auto"/>
              </w:rPr>
            </w:pPr>
            <w:r>
              <w:rPr>
                <w:rFonts w:ascii="Arial" w:cs="Arial" w:eastAsia="Arial" w:hAnsi="Arial"/>
                <w:sz w:val="13"/>
                <w:szCs w:val="13"/>
                <w:b w:val="1"/>
                <w:bCs w:val="1"/>
                <w:color w:val="auto"/>
                <w:w w:val="99"/>
              </w:rPr>
              <w:t xml:space="preserve">Shares </w:t>
            </w:r>
            <w:r>
              <w:rPr>
                <w:rFonts w:ascii="Arial" w:cs="Arial" w:eastAsia="Arial" w:hAnsi="Arial"/>
                <w:sz w:val="16"/>
                <w:szCs w:val="16"/>
                <w:b w:val="1"/>
                <w:bCs w:val="1"/>
                <w:color w:val="auto"/>
                <w:w w:val="99"/>
                <w:vertAlign w:val="superscript"/>
              </w:rPr>
              <w:t>(1)</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4"/>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80" w:type="dxa"/>
            <w:vAlign w:val="bottom"/>
            <w:vMerge w:val="restart"/>
          </w:tcPr>
          <w:p>
            <w:pPr>
              <w:spacing w:after="0"/>
              <w:rPr>
                <w:sz w:val="8"/>
                <w:szCs w:val="8"/>
                <w:color w:val="auto"/>
              </w:rPr>
            </w:pPr>
          </w:p>
        </w:tc>
        <w:tc>
          <w:tcPr>
            <w:tcW w:w="740" w:type="dxa"/>
            <w:vAlign w:val="bottom"/>
            <w:gridSpan w:val="4"/>
            <w:vMerge w:val="restart"/>
          </w:tcPr>
          <w:p>
            <w:pPr>
              <w:jc w:val="right"/>
              <w:ind w:right="57"/>
              <w:spacing w:after="0"/>
              <w:rPr>
                <w:sz w:val="20"/>
                <w:szCs w:val="20"/>
                <w:color w:val="auto"/>
              </w:rPr>
            </w:pPr>
            <w:r>
              <w:rPr>
                <w:rFonts w:ascii="Arial" w:cs="Arial" w:eastAsia="Arial" w:hAnsi="Arial"/>
                <w:sz w:val="13"/>
                <w:szCs w:val="13"/>
                <w:b w:val="1"/>
                <w:bCs w:val="1"/>
                <w:color w:val="auto"/>
                <w:w w:val="99"/>
              </w:rPr>
              <w:t xml:space="preserve">Shares </w:t>
            </w:r>
            <w:r>
              <w:rPr>
                <w:rFonts w:ascii="Arial" w:cs="Arial" w:eastAsia="Arial" w:hAnsi="Arial"/>
                <w:sz w:val="16"/>
                <w:szCs w:val="16"/>
                <w:b w:val="1"/>
                <w:bCs w:val="1"/>
                <w:color w:val="auto"/>
                <w:w w:val="99"/>
                <w:vertAlign w:val="superscript"/>
              </w:rPr>
              <w:t>(1)</w:t>
            </w:r>
          </w:p>
        </w:tc>
        <w:tc>
          <w:tcPr>
            <w:tcW w:w="100" w:type="dxa"/>
            <w:vAlign w:val="bottom"/>
            <w:vMerge w:val="restart"/>
          </w:tcPr>
          <w:p>
            <w:pPr>
              <w:spacing w:after="0"/>
              <w:rPr>
                <w:sz w:val="8"/>
                <w:szCs w:val="8"/>
                <w:color w:val="auto"/>
              </w:rPr>
            </w:pPr>
          </w:p>
        </w:tc>
        <w:tc>
          <w:tcPr>
            <w:tcW w:w="580" w:type="dxa"/>
            <w:vAlign w:val="bottom"/>
            <w:gridSpan w:val="4"/>
            <w:vMerge w:val="restart"/>
          </w:tcPr>
          <w:p>
            <w:pPr>
              <w:jc w:val="right"/>
              <w:ind w:right="17"/>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tcPr>
          <w:p>
            <w:pPr>
              <w:spacing w:after="0"/>
              <w:rPr>
                <w:sz w:val="8"/>
                <w:szCs w:val="8"/>
                <w:color w:val="auto"/>
              </w:rPr>
            </w:pPr>
          </w:p>
        </w:tc>
        <w:tc>
          <w:tcPr>
            <w:tcW w:w="740" w:type="dxa"/>
            <w:vAlign w:val="bottom"/>
            <w:gridSpan w:val="3"/>
            <w:vMerge w:val="restart"/>
          </w:tcPr>
          <w:p>
            <w:pPr>
              <w:jc w:val="right"/>
              <w:ind w:right="57"/>
              <w:spacing w:after="0"/>
              <w:rPr>
                <w:sz w:val="20"/>
                <w:szCs w:val="20"/>
                <w:color w:val="auto"/>
              </w:rPr>
            </w:pPr>
            <w:r>
              <w:rPr>
                <w:rFonts w:ascii="Arial" w:cs="Arial" w:eastAsia="Arial" w:hAnsi="Arial"/>
                <w:sz w:val="13"/>
                <w:szCs w:val="13"/>
                <w:b w:val="1"/>
                <w:bCs w:val="1"/>
                <w:color w:val="auto"/>
                <w:w w:val="99"/>
              </w:rPr>
              <w:t xml:space="preserve">Shares </w:t>
            </w:r>
            <w:r>
              <w:rPr>
                <w:rFonts w:ascii="Arial" w:cs="Arial" w:eastAsia="Arial" w:hAnsi="Arial"/>
                <w:sz w:val="16"/>
                <w:szCs w:val="16"/>
                <w:b w:val="1"/>
                <w:bCs w:val="1"/>
                <w:color w:val="auto"/>
                <w:w w:val="99"/>
                <w:vertAlign w:val="superscript"/>
              </w:rPr>
              <w:t>(1)</w:t>
            </w:r>
          </w:p>
        </w:tc>
        <w:tc>
          <w:tcPr>
            <w:tcW w:w="80" w:type="dxa"/>
            <w:vAlign w:val="bottom"/>
            <w:vMerge w:val="restart"/>
          </w:tcPr>
          <w:p>
            <w:pPr>
              <w:spacing w:after="0"/>
              <w:rPr>
                <w:sz w:val="8"/>
                <w:szCs w:val="8"/>
                <w:color w:val="auto"/>
              </w:rPr>
            </w:pPr>
          </w:p>
        </w:tc>
        <w:tc>
          <w:tcPr>
            <w:tcW w:w="580" w:type="dxa"/>
            <w:vAlign w:val="bottom"/>
            <w:gridSpan w:val="5"/>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3"/>
            <w:vMerge w:val="restart"/>
          </w:tcPr>
          <w:p>
            <w:pPr>
              <w:jc w:val="right"/>
              <w:ind w:right="57"/>
              <w:spacing w:after="0"/>
              <w:rPr>
                <w:sz w:val="20"/>
                <w:szCs w:val="20"/>
                <w:color w:val="auto"/>
              </w:rPr>
            </w:pPr>
            <w:r>
              <w:rPr>
                <w:rFonts w:ascii="Arial" w:cs="Arial" w:eastAsia="Arial" w:hAnsi="Arial"/>
                <w:sz w:val="13"/>
                <w:szCs w:val="13"/>
                <w:b w:val="1"/>
                <w:bCs w:val="1"/>
                <w:color w:val="auto"/>
                <w:w w:val="99"/>
              </w:rPr>
              <w:t xml:space="preserve">Shares </w:t>
            </w:r>
            <w:r>
              <w:rPr>
                <w:rFonts w:ascii="Arial" w:cs="Arial" w:eastAsia="Arial" w:hAnsi="Arial"/>
                <w:sz w:val="16"/>
                <w:szCs w:val="16"/>
                <w:b w:val="1"/>
                <w:bCs w:val="1"/>
                <w:color w:val="auto"/>
                <w:w w:val="99"/>
                <w:vertAlign w:val="superscript"/>
              </w:rPr>
              <w:t>(1)</w:t>
            </w:r>
          </w:p>
        </w:tc>
        <w:tc>
          <w:tcPr>
            <w:tcW w:w="80" w:type="dxa"/>
            <w:vAlign w:val="bottom"/>
            <w:vMerge w:val="restart"/>
          </w:tcPr>
          <w:p>
            <w:pPr>
              <w:spacing w:after="0"/>
              <w:rPr>
                <w:sz w:val="8"/>
                <w:szCs w:val="8"/>
                <w:color w:val="auto"/>
              </w:rPr>
            </w:pPr>
          </w:p>
        </w:tc>
        <w:tc>
          <w:tcPr>
            <w:tcW w:w="52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4"/>
          </w:tcPr>
          <w:p>
            <w:pPr>
              <w:jc w:val="right"/>
              <w:ind w:right="79"/>
              <w:spacing w:after="0" w:line="102" w:lineRule="exact"/>
              <w:rPr>
                <w:sz w:val="20"/>
                <w:szCs w:val="20"/>
                <w:color w:val="auto"/>
              </w:rPr>
            </w:pPr>
            <w:r>
              <w:rPr>
                <w:rFonts w:ascii="Arial" w:cs="Arial" w:eastAsia="Arial" w:hAnsi="Arial"/>
                <w:sz w:val="10"/>
                <w:szCs w:val="10"/>
                <w:b w:val="1"/>
                <w:bCs w:val="1"/>
                <w:color w:val="auto"/>
              </w:rPr>
              <w:t>Paid-in</w:t>
            </w:r>
          </w:p>
        </w:tc>
        <w:tc>
          <w:tcPr>
            <w:tcW w:w="80" w:type="dxa"/>
            <w:vAlign w:val="bottom"/>
          </w:tcPr>
          <w:p>
            <w:pPr>
              <w:spacing w:after="0"/>
              <w:rPr>
                <w:sz w:val="8"/>
                <w:szCs w:val="8"/>
                <w:color w:val="auto"/>
              </w:rPr>
            </w:pPr>
          </w:p>
        </w:tc>
        <w:tc>
          <w:tcPr>
            <w:tcW w:w="920" w:type="dxa"/>
            <w:vAlign w:val="bottom"/>
            <w:gridSpan w:val="3"/>
          </w:tcPr>
          <w:p>
            <w:pPr>
              <w:jc w:val="center"/>
              <w:spacing w:after="0" w:line="102" w:lineRule="exact"/>
              <w:rPr>
                <w:sz w:val="20"/>
                <w:szCs w:val="20"/>
                <w:color w:val="auto"/>
              </w:rPr>
            </w:pPr>
            <w:r>
              <w:rPr>
                <w:rFonts w:ascii="Arial" w:cs="Arial" w:eastAsia="Arial" w:hAnsi="Arial"/>
                <w:sz w:val="10"/>
                <w:szCs w:val="10"/>
                <w:b w:val="1"/>
                <w:bCs w:val="1"/>
                <w:color w:val="auto"/>
              </w:rPr>
              <w:t>Comprehensive</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gridSpan w:val="5"/>
          </w:tcPr>
          <w:p>
            <w:pPr>
              <w:ind w:left="40"/>
              <w:spacing w:after="0" w:line="102" w:lineRule="exact"/>
              <w:rPr>
                <w:sz w:val="20"/>
                <w:szCs w:val="20"/>
                <w:color w:val="auto"/>
              </w:rPr>
            </w:pPr>
            <w:r>
              <w:rPr>
                <w:rFonts w:ascii="Arial" w:cs="Arial" w:eastAsia="Arial" w:hAnsi="Arial"/>
                <w:sz w:val="10"/>
                <w:szCs w:val="10"/>
                <w:b w:val="1"/>
                <w:bCs w:val="1"/>
                <w:color w:val="auto"/>
              </w:rPr>
              <w:t>Accumulated</w:t>
            </w: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CCEEFF"/>
            </w:tcBorders>
          </w:tcPr>
          <w:p>
            <w:pPr>
              <w:spacing w:after="0"/>
              <w:rPr>
                <w:sz w:val="15"/>
                <w:szCs w:val="15"/>
                <w:color w:val="auto"/>
              </w:rPr>
            </w:pPr>
          </w:p>
        </w:tc>
        <w:tc>
          <w:tcPr>
            <w:tcW w:w="1680" w:type="dxa"/>
            <w:vAlign w:val="bottom"/>
            <w:tcBorders>
              <w:bottom w:val="single" w:sz="8" w:color="CCEEFF"/>
            </w:tcBorders>
            <w:gridSpan w:val="4"/>
          </w:tcPr>
          <w:p>
            <w:pPr>
              <w:spacing w:after="0"/>
              <w:rPr>
                <w:sz w:val="20"/>
                <w:szCs w:val="20"/>
                <w:color w:val="auto"/>
              </w:rPr>
            </w:pPr>
            <w:r>
              <w:rPr>
                <w:rFonts w:ascii="Arial" w:cs="Arial" w:eastAsia="Arial" w:hAnsi="Arial"/>
                <w:sz w:val="13"/>
                <w:szCs w:val="13"/>
                <w:i w:val="1"/>
                <w:iCs w:val="1"/>
                <w:color w:val="auto"/>
              </w:rPr>
              <w:t>amounts)</w:t>
            </w:r>
          </w:p>
        </w:tc>
        <w:tc>
          <w:tcPr>
            <w:tcW w:w="700" w:type="dxa"/>
            <w:vAlign w:val="bottom"/>
            <w:tcBorders>
              <w:bottom w:val="single" w:sz="8" w:color="auto"/>
            </w:tcBorders>
            <w:gridSpan w:val="3"/>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gridSpan w:val="4"/>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740" w:type="dxa"/>
            <w:vAlign w:val="bottom"/>
            <w:tcBorders>
              <w:bottom w:val="single" w:sz="8" w:color="auto"/>
            </w:tcBorders>
            <w:gridSpan w:val="4"/>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580" w:type="dxa"/>
            <w:vAlign w:val="bottom"/>
            <w:tcBorders>
              <w:bottom w:val="single" w:sz="8" w:color="auto"/>
            </w:tcBorders>
            <w:gridSpan w:val="4"/>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gridSpan w:val="3"/>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580" w:type="dxa"/>
            <w:vAlign w:val="bottom"/>
            <w:tcBorders>
              <w:bottom w:val="single" w:sz="8" w:color="auto"/>
            </w:tcBorders>
            <w:gridSpan w:val="5"/>
            <w:vMerge w:val="continue"/>
          </w:tcPr>
          <w:p>
            <w:pPr>
              <w:spacing w:after="0"/>
              <w:rPr>
                <w:sz w:val="15"/>
                <w:szCs w:val="15"/>
                <w:color w:val="auto"/>
              </w:rPr>
            </w:pPr>
          </w:p>
        </w:tc>
        <w:tc>
          <w:tcPr>
            <w:tcW w:w="120" w:type="dxa"/>
            <w:vAlign w:val="bottom"/>
            <w:tcBorders>
              <w:bottom w:val="single" w:sz="8" w:color="CCEEFF"/>
              <w:right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gridSpan w:val="3"/>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520" w:type="dxa"/>
            <w:vAlign w:val="bottom"/>
            <w:tcBorders>
              <w:bottom w:val="single" w:sz="8" w:color="auto"/>
            </w:tcBorders>
            <w:gridSpan w:val="3"/>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3"/>
                <w:szCs w:val="13"/>
                <w:b w:val="1"/>
                <w:bCs w:val="1"/>
                <w:color w:val="auto"/>
                <w:w w:val="96"/>
              </w:rPr>
              <w:t>Capital</w:t>
            </w: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6"/>
              </w:rPr>
              <w:t>Income (Loss)</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Deficit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8"/>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680" w:type="dxa"/>
            <w:vAlign w:val="bottom"/>
            <w:gridSpan w:val="4"/>
            <w:shd w:val="clear" w:color="auto" w:fill="CCEEFF"/>
          </w:tcPr>
          <w:p>
            <w:pPr>
              <w:spacing w:after="0"/>
              <w:rPr>
                <w:sz w:val="20"/>
                <w:szCs w:val="20"/>
                <w:color w:val="auto"/>
              </w:rPr>
            </w:pPr>
            <w:r>
              <w:rPr>
                <w:rFonts w:ascii="Arial" w:cs="Arial" w:eastAsia="Arial" w:hAnsi="Arial"/>
                <w:sz w:val="13"/>
                <w:szCs w:val="13"/>
                <w:b w:val="1"/>
                <w:bCs w:val="1"/>
                <w:color w:val="auto"/>
                <w:w w:val="98"/>
              </w:rPr>
              <w:t>Balances at March 31, 2021</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13,174,805</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5,494</w:t>
            </w:r>
          </w:p>
        </w:tc>
        <w:tc>
          <w:tcPr>
            <w:tcW w:w="8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16,836,436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27,067</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22,164,724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75,857</w:t>
            </w:r>
          </w:p>
        </w:tc>
        <w:tc>
          <w:tcPr>
            <w:tcW w:w="120" w:type="dxa"/>
            <w:vAlign w:val="bottom"/>
            <w:tcBorders>
              <w:right w:val="single" w:sz="8" w:color="auto"/>
            </w:tcBorders>
            <w:shd w:val="clear" w:color="auto" w:fill="CCEEFF"/>
          </w:tcPr>
          <w:p>
            <w:pPr>
              <w:spacing w:after="0"/>
              <w:rPr>
                <w:sz w:val="17"/>
                <w:szCs w:val="17"/>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33,069,513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7"/>
                <w:szCs w:val="17"/>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w w:val="85"/>
              </w:rPr>
              <w:t>1,936</w:t>
            </w:r>
          </w:p>
        </w:tc>
        <w:tc>
          <w:tcPr>
            <w:tcW w:w="70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6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64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w w:val="90"/>
              </w:rPr>
              <w:t>(38,734)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(36,795)</w:t>
            </w:r>
          </w:p>
        </w:tc>
        <w:tc>
          <w:tcPr>
            <w:tcW w:w="0" w:type="dxa"/>
            <w:vAlign w:val="bottom"/>
          </w:tcPr>
          <w:p>
            <w:pPr>
              <w:spacing w:after="0"/>
              <w:rPr>
                <w:sz w:val="1"/>
                <w:szCs w:val="1"/>
                <w:color w:val="auto"/>
              </w:rPr>
            </w:pPr>
          </w:p>
        </w:tc>
      </w:tr>
      <w:tr>
        <w:trPr>
          <w:trHeight w:val="122"/>
        </w:trPr>
        <w:tc>
          <w:tcPr>
            <w:tcW w:w="6220" w:type="dxa"/>
            <w:vAlign w:val="bottom"/>
            <w:tcBorders>
              <w:right w:val="single" w:sz="8" w:color="auto"/>
            </w:tcBorders>
            <w:gridSpan w:val="35"/>
          </w:tcPr>
          <w:p>
            <w:pPr>
              <w:spacing w:after="0"/>
              <w:rPr>
                <w:sz w:val="20"/>
                <w:szCs w:val="20"/>
                <w:color w:val="auto"/>
              </w:rPr>
            </w:pPr>
            <w:r>
              <w:rPr>
                <w:rFonts w:ascii="Arial" w:cs="Arial" w:eastAsia="Arial" w:hAnsi="Arial"/>
                <w:sz w:val="13"/>
                <w:szCs w:val="13"/>
                <w:color w:val="auto"/>
              </w:rPr>
              <w:t>Issuance of common stock upon</w:t>
            </w:r>
          </w:p>
        </w:tc>
        <w:tc>
          <w:tcPr>
            <w:tcW w:w="5000" w:type="dxa"/>
            <w:vAlign w:val="bottom"/>
            <w:gridSpan w:val="28"/>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80" w:type="dxa"/>
            <w:vAlign w:val="bottom"/>
            <w:gridSpan w:val="4"/>
          </w:tcPr>
          <w:p>
            <w:pPr>
              <w:ind w:left="160"/>
              <w:spacing w:after="0" w:line="122" w:lineRule="exact"/>
              <w:rPr>
                <w:sz w:val="20"/>
                <w:szCs w:val="20"/>
                <w:color w:val="auto"/>
              </w:rPr>
            </w:pPr>
            <w:r>
              <w:rPr>
                <w:rFonts w:ascii="Arial" w:cs="Arial" w:eastAsia="Arial" w:hAnsi="Arial"/>
                <w:sz w:val="13"/>
                <w:szCs w:val="13"/>
                <w:color w:val="auto"/>
              </w:rPr>
              <w:t>exercise of vested stock</w:t>
            </w:r>
          </w:p>
        </w:tc>
        <w:tc>
          <w:tcPr>
            <w:tcW w:w="70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4"/>
            <w:vMerge w:val="restart"/>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gridSpan w:val="3"/>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tcPr>
          <w:p>
            <w:pPr>
              <w:spacing w:after="0"/>
              <w:rPr>
                <w:sz w:val="10"/>
                <w:szCs w:val="10"/>
                <w:color w:val="auto"/>
              </w:rPr>
            </w:pPr>
          </w:p>
        </w:tc>
        <w:tc>
          <w:tcPr>
            <w:tcW w:w="800" w:type="dxa"/>
            <w:vAlign w:val="bottom"/>
            <w:gridSpan w:val="4"/>
            <w:vMerge w:val="restart"/>
          </w:tcPr>
          <w:p>
            <w:pPr>
              <w:jc w:val="right"/>
              <w:spacing w:after="0"/>
              <w:rPr>
                <w:sz w:val="20"/>
                <w:szCs w:val="20"/>
                <w:color w:val="auto"/>
              </w:rPr>
            </w:pPr>
            <w:r>
              <w:rPr>
                <w:rFonts w:ascii="Arial" w:cs="Arial" w:eastAsia="Arial" w:hAnsi="Arial"/>
                <w:sz w:val="13"/>
                <w:szCs w:val="13"/>
                <w:color w:val="auto"/>
              </w:rPr>
              <w:t>65,003</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gridSpan w:val="3"/>
            <w:vMerge w:val="restart"/>
          </w:tcPr>
          <w:p>
            <w:pPr>
              <w:jc w:val="right"/>
              <w:spacing w:after="0"/>
              <w:rPr>
                <w:sz w:val="20"/>
                <w:szCs w:val="20"/>
                <w:color w:val="auto"/>
              </w:rPr>
            </w:pPr>
            <w:r>
              <w:rPr>
                <w:rFonts w:ascii="Arial" w:cs="Arial" w:eastAsia="Arial" w:hAnsi="Arial"/>
                <w:sz w:val="13"/>
                <w:szCs w:val="13"/>
                <w:color w:val="auto"/>
              </w:rPr>
              <w:t>46</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gridSpan w:val="2"/>
            <w:vMerge w:val="restart"/>
          </w:tcPr>
          <w:p>
            <w:pPr>
              <w:ind w:lef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680" w:type="dxa"/>
            <w:vAlign w:val="bottom"/>
            <w:gridSpan w:val="4"/>
          </w:tcPr>
          <w:p>
            <w:pPr>
              <w:ind w:left="160"/>
              <w:spacing w:after="0"/>
              <w:rPr>
                <w:sz w:val="20"/>
                <w:szCs w:val="20"/>
                <w:color w:val="auto"/>
              </w:rPr>
            </w:pPr>
            <w:r>
              <w:rPr>
                <w:rFonts w:ascii="Arial" w:cs="Arial" w:eastAsia="Arial" w:hAnsi="Arial"/>
                <w:sz w:val="13"/>
                <w:szCs w:val="13"/>
                <w:color w:val="auto"/>
              </w:rPr>
              <w:t>options</w:t>
            </w:r>
          </w:p>
        </w:tc>
        <w:tc>
          <w:tcPr>
            <w:tcW w:w="7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4"/>
            <w:vMerge w:val="continue"/>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680" w:type="dxa"/>
            <w:vAlign w:val="bottom"/>
            <w:gridSpan w:val="4"/>
            <w:shd w:val="clear" w:color="auto" w:fill="CCEEFF"/>
          </w:tcPr>
          <w:p>
            <w:pPr>
              <w:spacing w:after="0" w:line="129" w:lineRule="exact"/>
              <w:rPr>
                <w:sz w:val="20"/>
                <w:szCs w:val="20"/>
                <w:color w:val="auto"/>
              </w:rPr>
            </w:pPr>
            <w:r>
              <w:rPr>
                <w:rFonts w:ascii="Arial" w:cs="Arial" w:eastAsia="Arial" w:hAnsi="Arial"/>
                <w:sz w:val="13"/>
                <w:szCs w:val="13"/>
                <w:color w:val="auto"/>
                <w:w w:val="89"/>
              </w:rPr>
              <w:t>Issuance of common stock upon</w:t>
            </w:r>
          </w:p>
        </w:tc>
        <w:tc>
          <w:tcPr>
            <w:tcW w:w="70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4"/>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shd w:val="clear" w:color="auto" w:fill="CCEEFF"/>
          </w:tcPr>
          <w:p>
            <w:pPr>
              <w:spacing w:after="0"/>
              <w:rPr>
                <w:sz w:val="11"/>
                <w:szCs w:val="11"/>
                <w:color w:val="auto"/>
              </w:rPr>
            </w:pPr>
          </w:p>
        </w:tc>
        <w:tc>
          <w:tcPr>
            <w:tcW w:w="800" w:type="dxa"/>
            <w:vAlign w:val="bottom"/>
            <w:gridSpan w:val="4"/>
            <w:vMerge w:val="restart"/>
            <w:shd w:val="clear" w:color="auto" w:fill="CCEEFF"/>
          </w:tcPr>
          <w:p>
            <w:pPr>
              <w:jc w:val="right"/>
              <w:spacing w:after="0"/>
              <w:rPr>
                <w:sz w:val="20"/>
                <w:szCs w:val="20"/>
                <w:color w:val="auto"/>
              </w:rPr>
            </w:pPr>
            <w:r>
              <w:rPr>
                <w:rFonts w:ascii="Arial" w:cs="Arial" w:eastAsia="Arial" w:hAnsi="Arial"/>
                <w:sz w:val="13"/>
                <w:szCs w:val="13"/>
                <w:color w:val="auto"/>
              </w:rPr>
              <w:t>62,772</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680" w:type="dxa"/>
            <w:vAlign w:val="bottom"/>
            <w:gridSpan w:val="4"/>
            <w:shd w:val="clear" w:color="auto" w:fill="CCEEFF"/>
          </w:tcPr>
          <w:p>
            <w:pPr>
              <w:ind w:left="160"/>
              <w:spacing w:after="0"/>
              <w:rPr>
                <w:sz w:val="20"/>
                <w:szCs w:val="20"/>
                <w:color w:val="auto"/>
              </w:rPr>
            </w:pPr>
            <w:r>
              <w:rPr>
                <w:rFonts w:ascii="Arial" w:cs="Arial" w:eastAsia="Arial" w:hAnsi="Arial"/>
                <w:sz w:val="13"/>
                <w:szCs w:val="13"/>
                <w:color w:val="auto"/>
              </w:rPr>
              <w:t>exercise of warrants</w:t>
            </w:r>
          </w:p>
        </w:tc>
        <w:tc>
          <w:tcPr>
            <w:tcW w:w="700" w:type="dxa"/>
            <w:vAlign w:val="bottom"/>
            <w:gridSpan w:val="3"/>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4"/>
            <w:vMerge w:val="continue"/>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20" w:type="dxa"/>
            <w:vAlign w:val="bottom"/>
            <w:gridSpan w:val="3"/>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200" w:type="dxa"/>
            <w:vAlign w:val="bottom"/>
            <w:gridSpan w:val="2"/>
            <w:vMerge w:val="continue"/>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0" w:type="dxa"/>
            <w:vAlign w:val="bottom"/>
            <w:gridSpan w:val="4"/>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6220" w:type="dxa"/>
            <w:vAlign w:val="bottom"/>
            <w:tcBorders>
              <w:right w:val="single" w:sz="8" w:color="auto"/>
            </w:tcBorders>
            <w:gridSpan w:val="35"/>
          </w:tcPr>
          <w:p>
            <w:pPr>
              <w:spacing w:after="0"/>
              <w:rPr>
                <w:sz w:val="20"/>
                <w:szCs w:val="20"/>
                <w:color w:val="auto"/>
              </w:rPr>
            </w:pPr>
            <w:r>
              <w:rPr>
                <w:rFonts w:ascii="Arial" w:cs="Arial" w:eastAsia="Arial" w:hAnsi="Arial"/>
                <w:sz w:val="13"/>
                <w:szCs w:val="13"/>
                <w:color w:val="auto"/>
              </w:rPr>
              <w:t>Conversion of redeemable</w:t>
            </w:r>
          </w:p>
        </w:tc>
        <w:tc>
          <w:tcPr>
            <w:tcW w:w="5000" w:type="dxa"/>
            <w:vAlign w:val="bottom"/>
            <w:gridSpan w:val="28"/>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220" w:type="dxa"/>
            <w:vAlign w:val="bottom"/>
            <w:tcBorders>
              <w:right w:val="single" w:sz="8" w:color="auto"/>
            </w:tcBorders>
            <w:gridSpan w:val="35"/>
          </w:tcPr>
          <w:p>
            <w:pPr>
              <w:spacing w:after="0"/>
              <w:rPr>
                <w:sz w:val="20"/>
                <w:szCs w:val="20"/>
                <w:color w:val="auto"/>
              </w:rPr>
            </w:pPr>
            <w:r>
              <w:rPr>
                <w:rFonts w:ascii="Arial" w:cs="Arial" w:eastAsia="Arial" w:hAnsi="Arial"/>
                <w:sz w:val="13"/>
                <w:szCs w:val="13"/>
                <w:color w:val="auto"/>
              </w:rPr>
              <w:t>convertible preferred stock</w:t>
            </w:r>
          </w:p>
        </w:tc>
        <w:tc>
          <w:tcPr>
            <w:tcW w:w="5000" w:type="dxa"/>
            <w:vAlign w:val="bottom"/>
            <w:gridSpan w:val="28"/>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20" w:type="dxa"/>
            <w:vAlign w:val="bottom"/>
            <w:tcBorders>
              <w:right w:val="single" w:sz="8" w:color="auto"/>
            </w:tcBorders>
            <w:gridSpan w:val="35"/>
          </w:tcPr>
          <w:p>
            <w:pPr>
              <w:spacing w:after="0"/>
              <w:rPr>
                <w:sz w:val="20"/>
                <w:szCs w:val="20"/>
                <w:color w:val="auto"/>
              </w:rPr>
            </w:pPr>
            <w:r>
              <w:rPr>
                <w:rFonts w:ascii="Arial" w:cs="Arial" w:eastAsia="Arial" w:hAnsi="Arial"/>
                <w:sz w:val="13"/>
                <w:szCs w:val="13"/>
                <w:color w:val="auto"/>
              </w:rPr>
              <w:t>into common stock in</w:t>
            </w:r>
          </w:p>
        </w:tc>
        <w:tc>
          <w:tcPr>
            <w:tcW w:w="5000" w:type="dxa"/>
            <w:vAlign w:val="bottom"/>
            <w:gridSpan w:val="28"/>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680" w:type="dxa"/>
            <w:vAlign w:val="bottom"/>
            <w:gridSpan w:val="4"/>
          </w:tcPr>
          <w:p>
            <w:pPr>
              <w:ind w:left="160"/>
              <w:spacing w:after="0" w:line="122" w:lineRule="exact"/>
              <w:rPr>
                <w:sz w:val="20"/>
                <w:szCs w:val="20"/>
                <w:color w:val="auto"/>
              </w:rPr>
            </w:pPr>
            <w:r>
              <w:rPr>
                <w:rFonts w:ascii="Arial" w:cs="Arial" w:eastAsia="Arial" w:hAnsi="Arial"/>
                <w:sz w:val="13"/>
                <w:szCs w:val="13"/>
                <w:color w:val="auto"/>
                <w:w w:val="94"/>
              </w:rPr>
              <w:t>connection with the reverse</w:t>
            </w:r>
          </w:p>
        </w:tc>
        <w:tc>
          <w:tcPr>
            <w:tcW w:w="760" w:type="dxa"/>
            <w:vAlign w:val="bottom"/>
            <w:gridSpan w:val="4"/>
            <w:vMerge w:val="restart"/>
          </w:tcPr>
          <w:p>
            <w:pPr>
              <w:ind w:left="80"/>
              <w:spacing w:after="0"/>
              <w:rPr>
                <w:sz w:val="20"/>
                <w:szCs w:val="20"/>
                <w:color w:val="auto"/>
              </w:rPr>
            </w:pPr>
            <w:r>
              <w:rPr>
                <w:rFonts w:ascii="Arial" w:cs="Arial" w:eastAsia="Arial" w:hAnsi="Arial"/>
                <w:sz w:val="13"/>
                <w:szCs w:val="13"/>
                <w:color w:val="auto"/>
                <w:w w:val="89"/>
              </w:rPr>
              <w:t>(13,174,805)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3"/>
            <w:vMerge w:val="restart"/>
          </w:tcPr>
          <w:p>
            <w:pPr>
              <w:jc w:val="right"/>
              <w:spacing w:after="0"/>
              <w:rPr>
                <w:sz w:val="20"/>
                <w:szCs w:val="20"/>
                <w:color w:val="auto"/>
              </w:rPr>
            </w:pPr>
            <w:r>
              <w:rPr>
                <w:rFonts w:ascii="Arial" w:cs="Arial" w:eastAsia="Arial" w:hAnsi="Arial"/>
                <w:sz w:val="13"/>
                <w:szCs w:val="13"/>
                <w:color w:val="auto"/>
              </w:rPr>
              <w:t>(5,494)</w:t>
            </w:r>
          </w:p>
        </w:tc>
        <w:tc>
          <w:tcPr>
            <w:tcW w:w="80" w:type="dxa"/>
            <w:vAlign w:val="bottom"/>
          </w:tcPr>
          <w:p>
            <w:pPr>
              <w:spacing w:after="0"/>
              <w:rPr>
                <w:sz w:val="10"/>
                <w:szCs w:val="10"/>
                <w:color w:val="auto"/>
              </w:rPr>
            </w:pPr>
          </w:p>
        </w:tc>
        <w:tc>
          <w:tcPr>
            <w:tcW w:w="740" w:type="dxa"/>
            <w:vAlign w:val="bottom"/>
            <w:gridSpan w:val="4"/>
            <w:vMerge w:val="restart"/>
          </w:tcPr>
          <w:p>
            <w:pPr>
              <w:jc w:val="center"/>
              <w:spacing w:after="0"/>
              <w:rPr>
                <w:sz w:val="20"/>
                <w:szCs w:val="20"/>
                <w:color w:val="auto"/>
              </w:rPr>
            </w:pPr>
            <w:r>
              <w:rPr>
                <w:rFonts w:ascii="Arial" w:cs="Arial" w:eastAsia="Arial" w:hAnsi="Arial"/>
                <w:sz w:val="13"/>
                <w:szCs w:val="13"/>
                <w:color w:val="auto"/>
                <w:w w:val="86"/>
              </w:rPr>
              <w:t>(16,836,436)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3"/>
            <w:vMerge w:val="restart"/>
          </w:tcPr>
          <w:p>
            <w:pPr>
              <w:jc w:val="right"/>
              <w:spacing w:after="0"/>
              <w:rPr>
                <w:sz w:val="20"/>
                <w:szCs w:val="20"/>
                <w:color w:val="auto"/>
              </w:rPr>
            </w:pPr>
            <w:r>
              <w:rPr>
                <w:rFonts w:ascii="Arial" w:cs="Arial" w:eastAsia="Arial" w:hAnsi="Arial"/>
                <w:sz w:val="13"/>
                <w:szCs w:val="13"/>
                <w:color w:val="auto"/>
                <w:w w:val="86"/>
              </w:rPr>
              <w:t>(27,067)</w:t>
            </w:r>
          </w:p>
        </w:tc>
        <w:tc>
          <w:tcPr>
            <w:tcW w:w="820" w:type="dxa"/>
            <w:vAlign w:val="bottom"/>
            <w:gridSpan w:val="4"/>
            <w:vMerge w:val="restart"/>
          </w:tcPr>
          <w:p>
            <w:pPr>
              <w:jc w:val="right"/>
              <w:spacing w:after="0"/>
              <w:rPr>
                <w:sz w:val="20"/>
                <w:szCs w:val="20"/>
                <w:color w:val="auto"/>
              </w:rPr>
            </w:pPr>
            <w:r>
              <w:rPr>
                <w:rFonts w:ascii="Arial" w:cs="Arial" w:eastAsia="Arial" w:hAnsi="Arial"/>
                <w:sz w:val="13"/>
                <w:szCs w:val="13"/>
                <w:color w:val="auto"/>
              </w:rPr>
              <w:t>(22,164,724)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4"/>
            <w:vMerge w:val="restart"/>
          </w:tcPr>
          <w:p>
            <w:pPr>
              <w:jc w:val="right"/>
              <w:spacing w:after="0"/>
              <w:rPr>
                <w:sz w:val="20"/>
                <w:szCs w:val="20"/>
                <w:color w:val="auto"/>
              </w:rPr>
            </w:pPr>
            <w:r>
              <w:rPr>
                <w:rFonts w:ascii="Arial" w:cs="Arial" w:eastAsia="Arial" w:hAnsi="Arial"/>
                <w:sz w:val="13"/>
                <w:szCs w:val="13"/>
                <w:color w:val="auto"/>
                <w:w w:val="90"/>
              </w:rPr>
              <w:t>(75,857)</w:t>
            </w:r>
          </w:p>
        </w:tc>
        <w:tc>
          <w:tcPr>
            <w:tcW w:w="120" w:type="dxa"/>
            <w:vAlign w:val="bottom"/>
            <w:tcBorders>
              <w:right w:val="single" w:sz="8" w:color="auto"/>
            </w:tcBorders>
          </w:tcPr>
          <w:p>
            <w:pPr>
              <w:spacing w:after="0"/>
              <w:rPr>
                <w:sz w:val="10"/>
                <w:szCs w:val="10"/>
                <w:color w:val="auto"/>
              </w:rPr>
            </w:pPr>
          </w:p>
        </w:tc>
        <w:tc>
          <w:tcPr>
            <w:tcW w:w="800" w:type="dxa"/>
            <w:vAlign w:val="bottom"/>
            <w:gridSpan w:val="4"/>
            <w:vMerge w:val="restart"/>
          </w:tcPr>
          <w:p>
            <w:pPr>
              <w:jc w:val="right"/>
              <w:spacing w:after="0"/>
              <w:rPr>
                <w:sz w:val="20"/>
                <w:szCs w:val="20"/>
                <w:color w:val="auto"/>
              </w:rPr>
            </w:pPr>
            <w:r>
              <w:rPr>
                <w:rFonts w:ascii="Arial" w:cs="Arial" w:eastAsia="Arial" w:hAnsi="Arial"/>
                <w:sz w:val="13"/>
                <w:szCs w:val="13"/>
                <w:color w:val="auto"/>
              </w:rPr>
              <w:t>52,175,965</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7</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4"/>
            <w:vMerge w:val="restart"/>
          </w:tcPr>
          <w:p>
            <w:pPr>
              <w:jc w:val="right"/>
              <w:spacing w:after="0"/>
              <w:rPr>
                <w:sz w:val="20"/>
                <w:szCs w:val="20"/>
                <w:color w:val="auto"/>
              </w:rPr>
            </w:pPr>
            <w:r>
              <w:rPr>
                <w:rFonts w:ascii="Arial" w:cs="Arial" w:eastAsia="Arial" w:hAnsi="Arial"/>
                <w:sz w:val="13"/>
                <w:szCs w:val="13"/>
                <w:color w:val="auto"/>
              </w:rPr>
              <w:t>108,411</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gridSpan w:val="2"/>
            <w:vMerge w:val="restart"/>
          </w:tcPr>
          <w:p>
            <w:pPr>
              <w:ind w:lef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108,418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680" w:type="dxa"/>
            <w:vAlign w:val="bottom"/>
            <w:gridSpan w:val="4"/>
          </w:tcPr>
          <w:p>
            <w:pPr>
              <w:ind w:left="160"/>
              <w:spacing w:after="0"/>
              <w:rPr>
                <w:sz w:val="20"/>
                <w:szCs w:val="20"/>
                <w:color w:val="auto"/>
              </w:rPr>
            </w:pPr>
            <w:r>
              <w:rPr>
                <w:rFonts w:ascii="Arial" w:cs="Arial" w:eastAsia="Arial" w:hAnsi="Arial"/>
                <w:sz w:val="13"/>
                <w:szCs w:val="13"/>
                <w:color w:val="auto"/>
              </w:rPr>
              <w:t>recapitalization</w:t>
            </w:r>
          </w:p>
        </w:tc>
        <w:tc>
          <w:tcPr>
            <w:tcW w:w="76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3"/>
            <w:vMerge w:val="continue"/>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4"/>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900" w:type="dxa"/>
            <w:vAlign w:val="bottom"/>
            <w:tcBorders>
              <w:right w:val="single" w:sz="8" w:color="CCEEFF"/>
            </w:tcBorders>
            <w:gridSpan w:val="32"/>
            <w:shd w:val="clear" w:color="auto" w:fill="CCEEFF"/>
          </w:tcPr>
          <w:p>
            <w:pPr>
              <w:spacing w:after="0"/>
              <w:rPr>
                <w:sz w:val="20"/>
                <w:szCs w:val="20"/>
                <w:color w:val="auto"/>
              </w:rPr>
            </w:pPr>
            <w:r>
              <w:rPr>
                <w:rFonts w:ascii="Arial" w:cs="Arial" w:eastAsia="Arial" w:hAnsi="Arial"/>
                <w:sz w:val="13"/>
                <w:szCs w:val="13"/>
                <w:color w:val="auto"/>
              </w:rPr>
              <w:t>Issuance of common stock upon</w:t>
            </w:r>
          </w:p>
        </w:tc>
        <w:tc>
          <w:tcPr>
            <w:tcW w:w="320" w:type="dxa"/>
            <w:vAlign w:val="bottom"/>
            <w:tcBorders>
              <w:right w:val="single" w:sz="8" w:color="auto"/>
            </w:tcBorders>
            <w:gridSpan w:val="3"/>
            <w:shd w:val="clear" w:color="auto" w:fill="CCEEFF"/>
          </w:tcPr>
          <w:p>
            <w:pPr>
              <w:spacing w:after="0"/>
              <w:rPr>
                <w:sz w:val="11"/>
                <w:szCs w:val="11"/>
                <w:color w:val="auto"/>
              </w:rPr>
            </w:pPr>
          </w:p>
        </w:tc>
        <w:tc>
          <w:tcPr>
            <w:tcW w:w="5000" w:type="dxa"/>
            <w:vAlign w:val="bottom"/>
            <w:gridSpan w:val="28"/>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680" w:type="dxa"/>
            <w:vAlign w:val="bottom"/>
            <w:gridSpan w:val="4"/>
            <w:shd w:val="clear" w:color="auto" w:fill="CCEEFF"/>
          </w:tcPr>
          <w:p>
            <w:pPr>
              <w:ind w:left="160"/>
              <w:spacing w:after="0" w:line="122" w:lineRule="exact"/>
              <w:rPr>
                <w:sz w:val="20"/>
                <w:szCs w:val="20"/>
                <w:color w:val="auto"/>
              </w:rPr>
            </w:pPr>
            <w:r>
              <w:rPr>
                <w:rFonts w:ascii="Arial" w:cs="Arial" w:eastAsia="Arial" w:hAnsi="Arial"/>
                <w:sz w:val="13"/>
                <w:szCs w:val="13"/>
                <w:color w:val="auto"/>
                <w:w w:val="94"/>
              </w:rPr>
              <w:t>the reverse recapitalization,</w:t>
            </w:r>
          </w:p>
        </w:tc>
        <w:tc>
          <w:tcPr>
            <w:tcW w:w="70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4"/>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shd w:val="clear" w:color="auto" w:fill="CCEEFF"/>
          </w:tcPr>
          <w:p>
            <w:pPr>
              <w:spacing w:after="0"/>
              <w:rPr>
                <w:sz w:val="10"/>
                <w:szCs w:val="10"/>
                <w:color w:val="auto"/>
              </w:rPr>
            </w:pPr>
          </w:p>
        </w:tc>
        <w:tc>
          <w:tcPr>
            <w:tcW w:w="800" w:type="dxa"/>
            <w:vAlign w:val="bottom"/>
            <w:gridSpan w:val="4"/>
            <w:vMerge w:val="restart"/>
            <w:shd w:val="clear" w:color="auto" w:fill="CCEEFF"/>
          </w:tcPr>
          <w:p>
            <w:pPr>
              <w:jc w:val="right"/>
              <w:spacing w:after="0"/>
              <w:rPr>
                <w:sz w:val="20"/>
                <w:szCs w:val="20"/>
                <w:color w:val="auto"/>
              </w:rPr>
            </w:pPr>
            <w:r>
              <w:rPr>
                <w:rFonts w:ascii="Arial" w:cs="Arial" w:eastAsia="Arial" w:hAnsi="Arial"/>
                <w:sz w:val="13"/>
                <w:szCs w:val="13"/>
                <w:color w:val="auto"/>
              </w:rPr>
              <w:t>38,721,137</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4"/>
            <w:vMerge w:val="restart"/>
            <w:shd w:val="clear" w:color="auto" w:fill="CCEEFF"/>
          </w:tcPr>
          <w:p>
            <w:pPr>
              <w:jc w:val="right"/>
              <w:spacing w:after="0"/>
              <w:rPr>
                <w:sz w:val="20"/>
                <w:szCs w:val="20"/>
                <w:color w:val="auto"/>
              </w:rPr>
            </w:pPr>
            <w:r>
              <w:rPr>
                <w:rFonts w:ascii="Arial" w:cs="Arial" w:eastAsia="Arial" w:hAnsi="Arial"/>
                <w:sz w:val="13"/>
                <w:szCs w:val="13"/>
                <w:color w:val="auto"/>
              </w:rPr>
              <w:t>327,276</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gridSpan w:val="2"/>
            <w:vMerge w:val="restart"/>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327,280</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680" w:type="dxa"/>
            <w:vAlign w:val="bottom"/>
            <w:gridSpan w:val="4"/>
            <w:shd w:val="clear" w:color="auto" w:fill="CCEEFF"/>
          </w:tcPr>
          <w:p>
            <w:pPr>
              <w:ind w:left="160"/>
              <w:spacing w:after="0"/>
              <w:rPr>
                <w:sz w:val="20"/>
                <w:szCs w:val="20"/>
                <w:color w:val="auto"/>
              </w:rPr>
            </w:pPr>
            <w:r>
              <w:rPr>
                <w:rFonts w:ascii="Arial" w:cs="Arial" w:eastAsia="Arial" w:hAnsi="Arial"/>
                <w:sz w:val="13"/>
                <w:szCs w:val="13"/>
                <w:color w:val="auto"/>
              </w:rPr>
              <w:t>net of issuance costs</w:t>
            </w:r>
          </w:p>
        </w:tc>
        <w:tc>
          <w:tcPr>
            <w:tcW w:w="700" w:type="dxa"/>
            <w:vAlign w:val="bottom"/>
            <w:gridSpan w:val="3"/>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4"/>
            <w:vMerge w:val="continue"/>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20" w:type="dxa"/>
            <w:vAlign w:val="bottom"/>
            <w:gridSpan w:val="3"/>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200" w:type="dxa"/>
            <w:vAlign w:val="bottom"/>
            <w:gridSpan w:val="2"/>
            <w:vMerge w:val="continue"/>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0" w:type="dxa"/>
            <w:vAlign w:val="bottom"/>
            <w:gridSpan w:val="4"/>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4"/>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680" w:type="dxa"/>
            <w:vAlign w:val="bottom"/>
            <w:gridSpan w:val="4"/>
          </w:tcPr>
          <w:p>
            <w:pPr>
              <w:spacing w:after="0" w:line="122" w:lineRule="exact"/>
              <w:rPr>
                <w:sz w:val="20"/>
                <w:szCs w:val="20"/>
                <w:color w:val="auto"/>
              </w:rPr>
            </w:pPr>
            <w:r>
              <w:rPr>
                <w:rFonts w:ascii="Arial" w:cs="Arial" w:eastAsia="Arial" w:hAnsi="Arial"/>
                <w:sz w:val="13"/>
                <w:szCs w:val="13"/>
                <w:color w:val="auto"/>
              </w:rPr>
              <w:t>Stock-based compensation</w:t>
            </w:r>
          </w:p>
        </w:tc>
        <w:tc>
          <w:tcPr>
            <w:tcW w:w="70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4"/>
            <w:vMerge w:val="restart"/>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gridSpan w:val="3"/>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gridSpan w:val="3"/>
            <w:vMerge w:val="restart"/>
          </w:tcPr>
          <w:p>
            <w:pPr>
              <w:jc w:val="right"/>
              <w:spacing w:after="0"/>
              <w:rPr>
                <w:sz w:val="20"/>
                <w:szCs w:val="20"/>
                <w:color w:val="auto"/>
              </w:rPr>
            </w:pPr>
            <w:r>
              <w:rPr>
                <w:rFonts w:ascii="Arial" w:cs="Arial" w:eastAsia="Arial" w:hAnsi="Arial"/>
                <w:sz w:val="13"/>
                <w:szCs w:val="13"/>
                <w:color w:val="auto"/>
                <w:w w:val="85"/>
              </w:rPr>
              <w:t>1,820</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gridSpan w:val="2"/>
            <w:vMerge w:val="restart"/>
          </w:tcPr>
          <w:p>
            <w:pPr>
              <w:ind w:lef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1,820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680" w:type="dxa"/>
            <w:vAlign w:val="bottom"/>
            <w:gridSpan w:val="4"/>
          </w:tcPr>
          <w:p>
            <w:pPr>
              <w:ind w:left="160"/>
              <w:spacing w:after="0"/>
              <w:rPr>
                <w:sz w:val="20"/>
                <w:szCs w:val="20"/>
                <w:color w:val="auto"/>
              </w:rPr>
            </w:pPr>
            <w:r>
              <w:rPr>
                <w:rFonts w:ascii="Arial" w:cs="Arial" w:eastAsia="Arial" w:hAnsi="Arial"/>
                <w:sz w:val="13"/>
                <w:szCs w:val="13"/>
                <w:color w:val="auto"/>
              </w:rPr>
              <w:t>expense</w:t>
            </w:r>
          </w:p>
        </w:tc>
        <w:tc>
          <w:tcPr>
            <w:tcW w:w="7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4"/>
            <w:vMerge w:val="continue"/>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Other comprehensive loss</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3"/>
                <w:szCs w:val="13"/>
                <w:color w:val="auto"/>
                <w:w w:val="86"/>
              </w:rPr>
              <w:t>(12)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1680" w:type="dxa"/>
            <w:vAlign w:val="bottom"/>
            <w:tcBorders>
              <w:bottom w:val="single" w:sz="8" w:color="CCEEFF"/>
            </w:tcBorders>
            <w:gridSpan w:val="4"/>
          </w:tcPr>
          <w:p>
            <w:pPr>
              <w:spacing w:after="0"/>
              <w:rPr>
                <w:sz w:val="20"/>
                <w:szCs w:val="20"/>
                <w:color w:val="auto"/>
              </w:rPr>
            </w:pPr>
            <w:r>
              <w:rPr>
                <w:rFonts w:ascii="Arial" w:cs="Arial" w:eastAsia="Arial" w:hAnsi="Arial"/>
                <w:sz w:val="13"/>
                <w:szCs w:val="13"/>
                <w:color w:val="auto"/>
              </w:rPr>
              <w:t>Net loss</w:t>
            </w: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3"/>
          </w:tcPr>
          <w:p>
            <w:pPr>
              <w:ind w:left="180"/>
              <w:spacing w:after="0"/>
              <w:rPr>
                <w:sz w:val="20"/>
                <w:szCs w:val="20"/>
                <w:color w:val="auto"/>
              </w:rPr>
            </w:pPr>
            <w:r>
              <w:rPr>
                <w:rFonts w:ascii="Arial" w:cs="Arial" w:eastAsia="Arial" w:hAnsi="Arial"/>
                <w:sz w:val="13"/>
                <w:szCs w:val="13"/>
                <w:color w:val="auto"/>
                <w:w w:val="90"/>
              </w:rPr>
              <w:t>(10,713)</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(10,713)</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spacing w:after="0"/>
              <w:rPr>
                <w:sz w:val="20"/>
                <w:szCs w:val="20"/>
                <w:color w:val="auto"/>
              </w:rPr>
            </w:pPr>
            <w:r>
              <w:rPr>
                <w:rFonts w:ascii="Arial" w:cs="Arial" w:eastAsia="Arial" w:hAnsi="Arial"/>
                <w:sz w:val="13"/>
                <w:szCs w:val="13"/>
                <w:b w:val="1"/>
                <w:bCs w:val="1"/>
                <w:color w:val="auto"/>
              </w:rPr>
              <w:t>Balances at June 30, 2021</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4"/>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w w:val="99"/>
              </w:rPr>
              <w:t>124,094,390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439,489</w:t>
            </w:r>
          </w:p>
        </w:tc>
        <w:tc>
          <w:tcPr>
            <w:tcW w:w="70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3"/>
                <w:szCs w:val="13"/>
                <w:color w:val="auto"/>
                <w:w w:val="86"/>
              </w:rPr>
              <w:t>(10)</w:t>
            </w:r>
          </w:p>
        </w:tc>
        <w:tc>
          <w:tcPr>
            <w:tcW w:w="26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64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w w:val="90"/>
              </w:rPr>
              <w:t>(49,447)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390,044</w:t>
            </w: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gridSpan w:val="5"/>
          </w:tcPr>
          <w:p>
            <w:pPr>
              <w:spacing w:after="0" w:line="20" w:lineRule="exact"/>
              <w:rPr>
                <w:sz w:val="1"/>
                <w:szCs w:val="1"/>
                <w:color w:val="auto"/>
              </w:rPr>
            </w:pPr>
          </w:p>
        </w:tc>
        <w:tc>
          <w:tcPr>
            <w:tcW w:w="76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gridSpan w:val="5"/>
          </w:tcPr>
          <w:p>
            <w:pPr>
              <w:spacing w:after="0" w:line="20" w:lineRule="exact"/>
              <w:rPr>
                <w:sz w:val="1"/>
                <w:szCs w:val="1"/>
                <w:color w:val="auto"/>
              </w:rPr>
            </w:pPr>
          </w:p>
        </w:tc>
        <w:tc>
          <w:tcPr>
            <w:tcW w:w="18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gridSpan w:val="5"/>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8" w:name="page9"/>
    <w:bookmarkEnd w:id="8"/>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right="1380"/>
        <w:spacing w:after="0" w:line="246" w:lineRule="auto"/>
        <w:rPr>
          <w:sz w:val="20"/>
          <w:szCs w:val="20"/>
          <w:color w:val="auto"/>
        </w:rPr>
      </w:pPr>
      <w:r>
        <w:rPr>
          <w:rFonts w:ascii="Arial" w:cs="Arial" w:eastAsia="Arial" w:hAnsi="Arial"/>
          <w:sz w:val="22"/>
          <w:szCs w:val="22"/>
          <w:b w:val="1"/>
          <w:bCs w:val="1"/>
          <w:color w:val="auto"/>
        </w:rPr>
        <w:t>Condensed Consolidated Statements of Redeemable Convertible Preferred Stock and Stockholders’ Equity Three and Six Months Ended June 30, 2022 and 2021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680" w:type="dxa"/>
            <w:vAlign w:val="bottom"/>
            <w:gridSpan w:val="3"/>
          </w:tcPr>
          <w:p>
            <w:pPr>
              <w:spacing w:after="0"/>
              <w:rPr>
                <w:sz w:val="20"/>
                <w:szCs w:val="20"/>
                <w:color w:val="auto"/>
              </w:rPr>
            </w:pPr>
            <w:r>
              <w:rPr>
                <w:rFonts w:ascii="Arial" w:cs="Arial" w:eastAsia="Arial" w:hAnsi="Arial"/>
                <w:sz w:val="13"/>
                <w:szCs w:val="13"/>
                <w:b w:val="1"/>
                <w:bCs w:val="1"/>
                <w:i w:val="1"/>
                <w:iCs w:val="1"/>
                <w:color w:val="auto"/>
                <w:w w:val="98"/>
              </w:rPr>
              <w:t>Six Months Ended June 30,</w:t>
            </w: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0" w:type="dxa"/>
            <w:vAlign w:val="bottom"/>
            <w:gridSpan w:val="16"/>
            <w:vMerge w:val="restart"/>
          </w:tcPr>
          <w:p>
            <w:pPr>
              <w:ind w:left="80"/>
              <w:spacing w:after="0"/>
              <w:rPr>
                <w:sz w:val="20"/>
                <w:szCs w:val="20"/>
                <w:color w:val="auto"/>
              </w:rPr>
            </w:pPr>
            <w:r>
              <w:rPr>
                <w:rFonts w:ascii="Arial" w:cs="Arial" w:eastAsia="Arial" w:hAnsi="Arial"/>
                <w:sz w:val="13"/>
                <w:szCs w:val="13"/>
                <w:b w:val="1"/>
                <w:bCs w:val="1"/>
                <w:color w:val="auto"/>
                <w:w w:val="99"/>
              </w:rPr>
              <w:t>Redeemable Convertible Preferred Stock</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60" w:type="dxa"/>
            <w:vAlign w:val="bottom"/>
            <w:tcBorders>
              <w:top w:val="single" w:sz="8" w:color="auto"/>
            </w:tcBorders>
            <w:gridSpan w:val="2"/>
          </w:tcPr>
          <w:p>
            <w:pPr>
              <w:spacing w:after="0" w:line="102" w:lineRule="exact"/>
              <w:rPr>
                <w:sz w:val="20"/>
                <w:szCs w:val="20"/>
                <w:color w:val="auto"/>
              </w:rPr>
            </w:pPr>
            <w:r>
              <w:rPr>
                <w:rFonts w:ascii="Arial" w:cs="Arial" w:eastAsia="Arial" w:hAnsi="Arial"/>
                <w:sz w:val="10"/>
                <w:szCs w:val="10"/>
                <w:b w:val="1"/>
                <w:bCs w:val="1"/>
                <w:i w:val="1"/>
                <w:iCs w:val="1"/>
                <w:color w:val="auto"/>
              </w:rPr>
              <w:t>2022</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0" w:type="dxa"/>
            <w:vAlign w:val="bottom"/>
            <w:gridSpan w:val="16"/>
            <w:vMerge w:val="continue"/>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4"/>
            <w:vMerge w:val="restart"/>
          </w:tcPr>
          <w:p>
            <w:pPr>
              <w:jc w:val="center"/>
              <w:ind w:right="80"/>
              <w:spacing w:after="0"/>
              <w:rPr>
                <w:sz w:val="20"/>
                <w:szCs w:val="20"/>
                <w:color w:val="auto"/>
              </w:rPr>
            </w:pPr>
            <w:r>
              <w:rPr>
                <w:rFonts w:ascii="Arial" w:cs="Arial" w:eastAsia="Arial" w:hAnsi="Arial"/>
                <w:sz w:val="13"/>
                <w:szCs w:val="13"/>
                <w:b w:val="1"/>
                <w:bCs w:val="1"/>
                <w:color w:val="auto"/>
                <w:w w:val="85"/>
              </w:rPr>
              <w:t>Accumulated</w:t>
            </w: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160" w:type="dxa"/>
            <w:vAlign w:val="bottom"/>
            <w:tcBorders>
              <w:bottom w:val="single" w:sz="8" w:color="auto"/>
            </w:tcBorders>
            <w:gridSpan w:val="26"/>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240" w:type="dxa"/>
            <w:vAlign w:val="bottom"/>
            <w:gridSpan w:val="18"/>
          </w:tcPr>
          <w:p>
            <w:pPr>
              <w:spacing w:after="0" w:line="20" w:lineRule="exact"/>
              <w:rPr>
                <w:sz w:val="1"/>
                <w:szCs w:val="1"/>
                <w:color w:val="auto"/>
              </w:rPr>
            </w:pPr>
          </w:p>
        </w:tc>
        <w:tc>
          <w:tcPr>
            <w:tcW w:w="1020" w:type="dxa"/>
            <w:vAlign w:val="bottom"/>
            <w:gridSpan w:val="4"/>
            <w:vMerge w:val="continue"/>
          </w:tcPr>
          <w:p>
            <w:pPr>
              <w:spacing w:after="0" w:line="20" w:lineRule="exact"/>
              <w:rPr>
                <w:sz w:val="1"/>
                <w:szCs w:val="1"/>
                <w:color w:val="auto"/>
              </w:rPr>
            </w:pPr>
          </w:p>
        </w:tc>
        <w:tc>
          <w:tcPr>
            <w:tcW w:w="2020" w:type="dxa"/>
            <w:vAlign w:val="bottom"/>
            <w:gridSpan w:val="10"/>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gridSpan w:val="6"/>
            <w:vMerge w:val="restart"/>
          </w:tcPr>
          <w:p>
            <w:pPr>
              <w:ind w:left="300"/>
              <w:spacing w:after="0"/>
              <w:rPr>
                <w:sz w:val="20"/>
                <w:szCs w:val="20"/>
                <w:color w:val="auto"/>
              </w:rPr>
            </w:pPr>
            <w:r>
              <w:rPr>
                <w:rFonts w:ascii="Arial" w:cs="Arial" w:eastAsia="Arial" w:hAnsi="Arial"/>
                <w:sz w:val="13"/>
                <w:szCs w:val="13"/>
                <w:b w:val="1"/>
                <w:bCs w:val="1"/>
                <w:color w:val="auto"/>
                <w:w w:val="94"/>
              </w:rPr>
              <w:t>Series Seed</w:t>
            </w: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5"/>
            <w:vMerge w:val="restart"/>
          </w:tcPr>
          <w:p>
            <w:pPr>
              <w:jc w:val="right"/>
              <w:ind w:right="120"/>
              <w:spacing w:after="0"/>
              <w:rPr>
                <w:sz w:val="20"/>
                <w:szCs w:val="20"/>
                <w:color w:val="auto"/>
              </w:rPr>
            </w:pPr>
            <w:r>
              <w:rPr>
                <w:rFonts w:ascii="Arial" w:cs="Arial" w:eastAsia="Arial" w:hAnsi="Arial"/>
                <w:sz w:val="13"/>
                <w:szCs w:val="13"/>
                <w:b w:val="1"/>
                <w:bCs w:val="1"/>
                <w:color w:val="auto"/>
              </w:rPr>
              <w:t>Series A</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4"/>
            <w:vMerge w:val="restart"/>
          </w:tcPr>
          <w:p>
            <w:pPr>
              <w:ind w:left="200"/>
              <w:spacing w:after="0"/>
              <w:rPr>
                <w:sz w:val="20"/>
                <w:szCs w:val="20"/>
                <w:color w:val="auto"/>
              </w:rPr>
            </w:pPr>
            <w:r>
              <w:rPr>
                <w:rFonts w:ascii="Arial" w:cs="Arial" w:eastAsia="Arial" w:hAnsi="Arial"/>
                <w:sz w:val="13"/>
                <w:szCs w:val="13"/>
                <w:b w:val="1"/>
                <w:bCs w:val="1"/>
                <w:color w:val="auto"/>
              </w:rPr>
              <w:t>Series B</w:t>
            </w:r>
          </w:p>
        </w:tc>
        <w:tc>
          <w:tcPr>
            <w:tcW w:w="26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5"/>
            <w:vMerge w:val="restart"/>
          </w:tcPr>
          <w:p>
            <w:pPr>
              <w:spacing w:after="0"/>
              <w:rPr>
                <w:sz w:val="20"/>
                <w:szCs w:val="20"/>
                <w:color w:val="auto"/>
              </w:rPr>
            </w:pPr>
            <w:r>
              <w:rPr>
                <w:rFonts w:ascii="Arial" w:cs="Arial" w:eastAsia="Arial" w:hAnsi="Arial"/>
                <w:sz w:val="13"/>
                <w:szCs w:val="13"/>
                <w:b w:val="1"/>
                <w:bCs w:val="1"/>
                <w:color w:val="auto"/>
                <w:w w:val="92"/>
              </w:rPr>
              <w:t>Common Stock</w:t>
            </w: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gridSpan w:val="4"/>
            <w:vMerge w:val="continue"/>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6"/>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5"/>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4"/>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5"/>
            <w:vMerge w:val="continue"/>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5"/>
          </w:tcPr>
          <w:p>
            <w:pPr>
              <w:jc w:val="right"/>
              <w:spacing w:after="0" w:line="102" w:lineRule="exact"/>
              <w:rPr>
                <w:sz w:val="20"/>
                <w:szCs w:val="20"/>
                <w:color w:val="auto"/>
              </w:rPr>
            </w:pPr>
            <w:r>
              <w:rPr>
                <w:rFonts w:ascii="Arial" w:cs="Arial" w:eastAsia="Arial" w:hAnsi="Arial"/>
                <w:sz w:val="10"/>
                <w:szCs w:val="10"/>
                <w:b w:val="1"/>
                <w:bCs w:val="1"/>
                <w:color w:val="auto"/>
              </w:rPr>
              <w:t>Additional</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gridSpan w:val="3"/>
          </w:tcPr>
          <w:p>
            <w:pPr>
              <w:jc w:val="center"/>
              <w:ind w:right="340"/>
              <w:spacing w:after="0" w:line="102" w:lineRule="exact"/>
              <w:rPr>
                <w:sz w:val="20"/>
                <w:szCs w:val="20"/>
                <w:color w:val="auto"/>
              </w:rPr>
            </w:pPr>
            <w:r>
              <w:rPr>
                <w:rFonts w:ascii="Arial" w:cs="Arial" w:eastAsia="Arial" w:hAnsi="Arial"/>
                <w:sz w:val="10"/>
                <w:szCs w:val="10"/>
                <w:b w:val="1"/>
                <w:bCs w:val="1"/>
                <w:color w:val="auto"/>
              </w:rPr>
              <w:t>Other</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ind w:right="378"/>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680" w:type="dxa"/>
            <w:vAlign w:val="bottom"/>
            <w:gridSpan w:val="3"/>
          </w:tcPr>
          <w:p>
            <w:pPr>
              <w:spacing w:after="0" w:line="102" w:lineRule="exact"/>
              <w:rPr>
                <w:sz w:val="20"/>
                <w:szCs w:val="20"/>
                <w:color w:val="auto"/>
              </w:rPr>
            </w:pPr>
            <w:r>
              <w:rPr>
                <w:rFonts w:ascii="Arial" w:cs="Arial" w:eastAsia="Arial" w:hAnsi="Arial"/>
                <w:sz w:val="10"/>
                <w:szCs w:val="10"/>
                <w:i w:val="1"/>
                <w:iCs w:val="1"/>
                <w:color w:val="auto"/>
              </w:rPr>
              <w:t>(in thousands, except share</w:t>
            </w:r>
          </w:p>
        </w:tc>
        <w:tc>
          <w:tcPr>
            <w:tcW w:w="60" w:type="dxa"/>
            <w:vAlign w:val="bottom"/>
          </w:tcPr>
          <w:p>
            <w:pPr>
              <w:spacing w:after="0"/>
              <w:rPr>
                <w:sz w:val="8"/>
                <w:szCs w:val="8"/>
                <w:color w:val="auto"/>
              </w:rPr>
            </w:pPr>
          </w:p>
        </w:tc>
        <w:tc>
          <w:tcPr>
            <w:tcW w:w="560" w:type="dxa"/>
            <w:vAlign w:val="bottom"/>
            <w:vMerge w:val="restart"/>
          </w:tcPr>
          <w:p>
            <w:pPr>
              <w:ind w:left="20"/>
              <w:spacing w:after="0"/>
              <w:rPr>
                <w:sz w:val="20"/>
                <w:szCs w:val="20"/>
                <w:color w:val="auto"/>
              </w:rPr>
            </w:pPr>
            <w:r>
              <w:rPr>
                <w:rFonts w:ascii="Arial" w:cs="Arial" w:eastAsia="Arial" w:hAnsi="Arial"/>
                <w:sz w:val="13"/>
                <w:szCs w:val="13"/>
                <w:b w:val="1"/>
                <w:bCs w:val="1"/>
                <w:color w:val="auto"/>
                <w:w w:val="86"/>
              </w:rPr>
              <w:t xml:space="preserve">Shares </w:t>
            </w:r>
            <w:r>
              <w:rPr>
                <w:rFonts w:ascii="Arial" w:cs="Arial" w:eastAsia="Arial" w:hAnsi="Arial"/>
                <w:sz w:val="16"/>
                <w:szCs w:val="16"/>
                <w:b w:val="1"/>
                <w:bCs w:val="1"/>
                <w:color w:val="auto"/>
                <w:w w:val="86"/>
                <w:vertAlign w:val="superscript"/>
              </w:rPr>
              <w:t>(1)</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4"/>
            <w:vMerge w:val="restart"/>
          </w:tcPr>
          <w:p>
            <w:pPr>
              <w:jc w:val="right"/>
              <w:ind w:right="17"/>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86"/>
              </w:rPr>
              <w:t xml:space="preserve">Shares </w:t>
            </w:r>
            <w:r>
              <w:rPr>
                <w:rFonts w:ascii="Arial" w:cs="Arial" w:eastAsia="Arial" w:hAnsi="Arial"/>
                <w:sz w:val="16"/>
                <w:szCs w:val="16"/>
                <w:b w:val="1"/>
                <w:bCs w:val="1"/>
                <w:color w:val="auto"/>
                <w:w w:val="86"/>
                <w:vertAlign w:val="superscript"/>
              </w:rPr>
              <w:t>(1)</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89"/>
              </w:rPr>
              <w:t>Amount</w:t>
            </w:r>
          </w:p>
        </w:tc>
        <w:tc>
          <w:tcPr>
            <w:tcW w:w="80" w:type="dxa"/>
            <w:vAlign w:val="bottom"/>
          </w:tcPr>
          <w:p>
            <w:pPr>
              <w:spacing w:after="0"/>
              <w:rPr>
                <w:sz w:val="8"/>
                <w:szCs w:val="8"/>
                <w:color w:val="auto"/>
              </w:rPr>
            </w:pPr>
          </w:p>
        </w:tc>
        <w:tc>
          <w:tcPr>
            <w:tcW w:w="68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w w:val="93"/>
              </w:rPr>
              <w:t xml:space="preserve">Shares </w:t>
            </w:r>
            <w:r>
              <w:rPr>
                <w:rFonts w:ascii="Arial" w:cs="Arial" w:eastAsia="Arial" w:hAnsi="Arial"/>
                <w:sz w:val="16"/>
                <w:szCs w:val="16"/>
                <w:b w:val="1"/>
                <w:bCs w:val="1"/>
                <w:color w:val="auto"/>
                <w:w w:val="93"/>
                <w:vertAlign w:val="superscript"/>
              </w:rPr>
              <w:t>(1)</w:t>
            </w:r>
          </w:p>
        </w:tc>
        <w:tc>
          <w:tcPr>
            <w:tcW w:w="80" w:type="dxa"/>
            <w:vAlign w:val="bottom"/>
          </w:tcPr>
          <w:p>
            <w:pPr>
              <w:spacing w:after="0"/>
              <w:rPr>
                <w:sz w:val="8"/>
                <w:szCs w:val="8"/>
                <w:color w:val="auto"/>
              </w:rPr>
            </w:pPr>
          </w:p>
        </w:tc>
        <w:tc>
          <w:tcPr>
            <w:tcW w:w="58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gridSpan w:val="4"/>
            <w:vMerge w:val="restart"/>
          </w:tcPr>
          <w:p>
            <w:pPr>
              <w:jc w:val="right"/>
              <w:ind w:right="77"/>
              <w:spacing w:after="0"/>
              <w:rPr>
                <w:sz w:val="20"/>
                <w:szCs w:val="20"/>
                <w:color w:val="auto"/>
              </w:rPr>
            </w:pPr>
            <w:r>
              <w:rPr>
                <w:rFonts w:ascii="Arial" w:cs="Arial" w:eastAsia="Arial" w:hAnsi="Arial"/>
                <w:sz w:val="13"/>
                <w:szCs w:val="13"/>
                <w:b w:val="1"/>
                <w:bCs w:val="1"/>
                <w:color w:val="auto"/>
                <w:w w:val="76"/>
              </w:rPr>
              <w:t xml:space="preserve">Shares </w:t>
            </w:r>
            <w:r>
              <w:rPr>
                <w:rFonts w:ascii="Arial" w:cs="Arial" w:eastAsia="Arial" w:hAnsi="Arial"/>
                <w:sz w:val="16"/>
                <w:szCs w:val="16"/>
                <w:b w:val="1"/>
                <w:bCs w:val="1"/>
                <w:color w:val="auto"/>
                <w:w w:val="76"/>
                <w:vertAlign w:val="superscript"/>
              </w:rPr>
              <w:t>(1)</w:t>
            </w:r>
          </w:p>
        </w:tc>
        <w:tc>
          <w:tcPr>
            <w:tcW w:w="80" w:type="dxa"/>
            <w:vAlign w:val="bottom"/>
            <w:vMerge w:val="restart"/>
          </w:tcPr>
          <w:p>
            <w:pPr>
              <w:spacing w:after="0"/>
              <w:rPr>
                <w:sz w:val="8"/>
                <w:szCs w:val="8"/>
                <w:color w:val="auto"/>
              </w:rPr>
            </w:pPr>
          </w:p>
        </w:tc>
        <w:tc>
          <w:tcPr>
            <w:tcW w:w="52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w w:val="93"/>
              </w:rPr>
              <w:t>Amount</w:t>
            </w:r>
          </w:p>
        </w:tc>
        <w:tc>
          <w:tcPr>
            <w:tcW w:w="80" w:type="dxa"/>
            <w:vAlign w:val="bottom"/>
            <w:vMerge w:val="restart"/>
          </w:tcPr>
          <w:p>
            <w:pPr>
              <w:spacing w:after="0"/>
              <w:rPr>
                <w:sz w:val="8"/>
                <w:szCs w:val="8"/>
                <w:color w:val="auto"/>
              </w:rPr>
            </w:pPr>
          </w:p>
        </w:tc>
        <w:tc>
          <w:tcPr>
            <w:tcW w:w="640" w:type="dxa"/>
            <w:vAlign w:val="bottom"/>
            <w:gridSpan w:val="5"/>
          </w:tcPr>
          <w:p>
            <w:pPr>
              <w:jc w:val="right"/>
              <w:ind w:right="58"/>
              <w:spacing w:after="0" w:line="102" w:lineRule="exact"/>
              <w:rPr>
                <w:sz w:val="20"/>
                <w:szCs w:val="20"/>
                <w:color w:val="auto"/>
              </w:rPr>
            </w:pPr>
            <w:r>
              <w:rPr>
                <w:rFonts w:ascii="Arial" w:cs="Arial" w:eastAsia="Arial" w:hAnsi="Arial"/>
                <w:sz w:val="10"/>
                <w:szCs w:val="10"/>
                <w:b w:val="1"/>
                <w:bCs w:val="1"/>
                <w:color w:val="auto"/>
              </w:rPr>
              <w:t>Paid-in</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4"/>
          </w:tcPr>
          <w:p>
            <w:pPr>
              <w:jc w:val="center"/>
              <w:ind w:right="100"/>
              <w:spacing w:after="0" w:line="102" w:lineRule="exact"/>
              <w:rPr>
                <w:sz w:val="20"/>
                <w:szCs w:val="20"/>
                <w:color w:val="auto"/>
              </w:rPr>
            </w:pPr>
            <w:r>
              <w:rPr>
                <w:rFonts w:ascii="Arial" w:cs="Arial" w:eastAsia="Arial" w:hAnsi="Arial"/>
                <w:sz w:val="10"/>
                <w:szCs w:val="10"/>
                <w:b w:val="1"/>
                <w:bCs w:val="1"/>
                <w:color w:val="auto"/>
              </w:rPr>
              <w:t>Comprehensive</w:t>
            </w:r>
          </w:p>
        </w:tc>
        <w:tc>
          <w:tcPr>
            <w:tcW w:w="880" w:type="dxa"/>
            <w:vAlign w:val="bottom"/>
            <w:gridSpan w:val="6"/>
          </w:tcPr>
          <w:p>
            <w:pPr>
              <w:jc w:val="center"/>
              <w:ind w:right="80"/>
              <w:spacing w:after="0" w:line="102" w:lineRule="exact"/>
              <w:rPr>
                <w:sz w:val="20"/>
                <w:szCs w:val="20"/>
                <w:color w:val="auto"/>
              </w:rPr>
            </w:pPr>
            <w:r>
              <w:rPr>
                <w:rFonts w:ascii="Arial" w:cs="Arial" w:eastAsia="Arial" w:hAnsi="Arial"/>
                <w:sz w:val="10"/>
                <w:szCs w:val="10"/>
                <w:b w:val="1"/>
                <w:bCs w:val="1"/>
                <w:color w:val="auto"/>
              </w:rPr>
              <w:t>Accumulated</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CCEEFF"/>
            </w:tcBorders>
          </w:tcPr>
          <w:p>
            <w:pPr>
              <w:spacing w:after="0"/>
              <w:rPr>
                <w:sz w:val="15"/>
                <w:szCs w:val="15"/>
                <w:color w:val="auto"/>
              </w:rPr>
            </w:pPr>
          </w:p>
        </w:tc>
        <w:tc>
          <w:tcPr>
            <w:tcW w:w="1680" w:type="dxa"/>
            <w:vAlign w:val="bottom"/>
            <w:tcBorders>
              <w:bottom w:val="single" w:sz="8" w:color="CCEEFF"/>
            </w:tcBorders>
            <w:gridSpan w:val="3"/>
          </w:tcPr>
          <w:p>
            <w:pPr>
              <w:spacing w:after="0"/>
              <w:rPr>
                <w:sz w:val="20"/>
                <w:szCs w:val="20"/>
                <w:color w:val="auto"/>
              </w:rPr>
            </w:pPr>
            <w:r>
              <w:rPr>
                <w:rFonts w:ascii="Arial" w:cs="Arial" w:eastAsia="Arial" w:hAnsi="Arial"/>
                <w:sz w:val="13"/>
                <w:szCs w:val="13"/>
                <w:i w:val="1"/>
                <w:iCs w:val="1"/>
                <w:color w:val="auto"/>
              </w:rPr>
              <w:t>amounts)</w:t>
            </w:r>
          </w:p>
        </w:tc>
        <w:tc>
          <w:tcPr>
            <w:tcW w:w="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gridSpan w:val="4"/>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80" w:type="dxa"/>
            <w:vAlign w:val="bottom"/>
            <w:tcBorders>
              <w:bottom w:val="single" w:sz="8" w:color="auto"/>
            </w:tcBorders>
            <w:vMerge w:val="continue"/>
          </w:tcPr>
          <w:p>
            <w:pPr>
              <w:spacing w:after="0"/>
              <w:rPr>
                <w:sz w:val="15"/>
                <w:szCs w:val="15"/>
                <w:color w:val="auto"/>
              </w:rPr>
            </w:pPr>
          </w:p>
        </w:tc>
        <w:tc>
          <w:tcPr>
            <w:tcW w:w="560" w:type="dxa"/>
            <w:vAlign w:val="bottom"/>
            <w:tcBorders>
              <w:bottom w:val="single" w:sz="8" w:color="auto"/>
            </w:tcBorders>
            <w:gridSpan w:val="2"/>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gridSpan w:val="4"/>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gridSpan w:val="3"/>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gridSpan w:val="3"/>
            <w:vMerge w:val="continue"/>
          </w:tcPr>
          <w:p>
            <w:pPr>
              <w:spacing w:after="0"/>
              <w:rPr>
                <w:sz w:val="15"/>
                <w:szCs w:val="15"/>
                <w:color w:val="auto"/>
              </w:rPr>
            </w:pPr>
          </w:p>
        </w:tc>
        <w:tc>
          <w:tcPr>
            <w:tcW w:w="100" w:type="dxa"/>
            <w:vAlign w:val="bottom"/>
            <w:tcBorders>
              <w:bottom w:val="single" w:sz="8" w:color="CCEEFF"/>
              <w:right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4"/>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520" w:type="dxa"/>
            <w:vAlign w:val="bottom"/>
            <w:tcBorders>
              <w:bottom w:val="single" w:sz="8" w:color="auto"/>
            </w:tcBorders>
            <w:gridSpan w:val="3"/>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640" w:type="dxa"/>
            <w:vAlign w:val="bottom"/>
            <w:tcBorders>
              <w:bottom w:val="single" w:sz="8" w:color="auto"/>
            </w:tcBorders>
            <w:gridSpan w:val="5"/>
          </w:tcPr>
          <w:p>
            <w:pPr>
              <w:jc w:val="right"/>
              <w:ind w:right="38"/>
              <w:spacing w:after="0"/>
              <w:rPr>
                <w:sz w:val="20"/>
                <w:szCs w:val="20"/>
                <w:color w:val="auto"/>
              </w:rPr>
            </w:pPr>
            <w:r>
              <w:rPr>
                <w:rFonts w:ascii="Arial" w:cs="Arial" w:eastAsia="Arial" w:hAnsi="Arial"/>
                <w:sz w:val="13"/>
                <w:szCs w:val="13"/>
                <w:b w:val="1"/>
                <w:bCs w:val="1"/>
                <w:color w:val="auto"/>
              </w:rPr>
              <w:t>Capital</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260"/>
              <w:spacing w:after="0"/>
              <w:rPr>
                <w:sz w:val="20"/>
                <w:szCs w:val="20"/>
                <w:color w:val="auto"/>
              </w:rPr>
            </w:pPr>
            <w:r>
              <w:rPr>
                <w:rFonts w:ascii="Arial" w:cs="Arial" w:eastAsia="Arial" w:hAnsi="Arial"/>
                <w:sz w:val="13"/>
                <w:szCs w:val="13"/>
                <w:b w:val="1"/>
                <w:bCs w:val="1"/>
                <w:color w:val="auto"/>
                <w:w w:val="85"/>
              </w:rPr>
              <w:t>Loss</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4"/>
          </w:tcPr>
          <w:p>
            <w:pPr>
              <w:jc w:val="center"/>
              <w:ind w:right="157"/>
              <w:spacing w:after="0"/>
              <w:rPr>
                <w:sz w:val="20"/>
                <w:szCs w:val="20"/>
                <w:color w:val="auto"/>
              </w:rPr>
            </w:pPr>
            <w:r>
              <w:rPr>
                <w:rFonts w:ascii="Arial" w:cs="Arial" w:eastAsia="Arial" w:hAnsi="Arial"/>
                <w:sz w:val="13"/>
                <w:szCs w:val="13"/>
                <w:b w:val="1"/>
                <w:bCs w:val="1"/>
                <w:color w:val="auto"/>
                <w:w w:val="90"/>
              </w:rPr>
              <w:t>Deficit</w:t>
            </w:r>
          </w:p>
        </w:tc>
        <w:tc>
          <w:tcPr>
            <w:tcW w:w="8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w w:val="87"/>
              </w:rPr>
              <w:t>Stockholders’Equity</w:t>
            </w:r>
          </w:p>
        </w:tc>
        <w:tc>
          <w:tcPr>
            <w:tcW w:w="0" w:type="dxa"/>
            <w:vAlign w:val="bottom"/>
          </w:tcPr>
          <w:p>
            <w:pPr>
              <w:spacing w:after="0"/>
              <w:rPr>
                <w:sz w:val="1"/>
                <w:szCs w:val="1"/>
                <w:color w:val="auto"/>
              </w:rPr>
            </w:pPr>
          </w:p>
        </w:tc>
      </w:tr>
      <w:tr>
        <w:trPr>
          <w:trHeight w:val="102"/>
        </w:trPr>
        <w:tc>
          <w:tcPr>
            <w:tcW w:w="20" w:type="dxa"/>
            <w:vAlign w:val="bottom"/>
            <w:shd w:val="clear" w:color="auto" w:fill="CCEEFF"/>
          </w:tcPr>
          <w:p>
            <w:pPr>
              <w:spacing w:after="0"/>
              <w:rPr>
                <w:sz w:val="8"/>
                <w:szCs w:val="8"/>
                <w:color w:val="auto"/>
              </w:rPr>
            </w:pPr>
          </w:p>
        </w:tc>
        <w:tc>
          <w:tcPr>
            <w:tcW w:w="1680" w:type="dxa"/>
            <w:vAlign w:val="bottom"/>
            <w:gridSpan w:val="3"/>
            <w:shd w:val="clear" w:color="auto" w:fill="CCEEFF"/>
          </w:tcPr>
          <w:p>
            <w:pPr>
              <w:spacing w:after="0" w:line="102" w:lineRule="exact"/>
              <w:rPr>
                <w:sz w:val="20"/>
                <w:szCs w:val="20"/>
                <w:color w:val="auto"/>
              </w:rPr>
            </w:pPr>
            <w:r>
              <w:rPr>
                <w:rFonts w:ascii="Arial" w:cs="Arial" w:eastAsia="Arial" w:hAnsi="Arial"/>
                <w:sz w:val="10"/>
                <w:szCs w:val="10"/>
                <w:b w:val="1"/>
                <w:bCs w:val="1"/>
                <w:color w:val="auto"/>
              </w:rPr>
              <w:t>Balances at December 31,</w:t>
            </w:r>
          </w:p>
        </w:tc>
        <w:tc>
          <w:tcPr>
            <w:tcW w:w="60" w:type="dxa"/>
            <w:vAlign w:val="bottom"/>
            <w:shd w:val="clear" w:color="auto" w:fill="CCEEFF"/>
          </w:tcPr>
          <w:p>
            <w:pPr>
              <w:spacing w:after="0"/>
              <w:rPr>
                <w:sz w:val="8"/>
                <w:szCs w:val="8"/>
                <w:color w:val="auto"/>
              </w:rPr>
            </w:pPr>
          </w:p>
        </w:tc>
        <w:tc>
          <w:tcPr>
            <w:tcW w:w="560" w:type="dxa"/>
            <w:vAlign w:val="bottom"/>
            <w:vMerge w:val="restart"/>
            <w:shd w:val="clear" w:color="auto" w:fill="CCEEFF"/>
          </w:tcPr>
          <w:p>
            <w:pPr>
              <w:ind w:left="420"/>
              <w:spacing w:after="0"/>
              <w:rPr>
                <w:sz w:val="20"/>
                <w:szCs w:val="20"/>
                <w:color w:val="auto"/>
              </w:rPr>
            </w:pPr>
            <w:r>
              <w:rPr>
                <w:rFonts w:ascii="Arial" w:cs="Arial" w:eastAsia="Arial" w:hAnsi="Arial"/>
                <w:sz w:val="13"/>
                <w:szCs w:val="13"/>
                <w:color w:val="auto"/>
                <w:w w:val="91"/>
              </w:rPr>
              <w:t>—</w:t>
            </w:r>
          </w:p>
        </w:tc>
        <w:tc>
          <w:tcPr>
            <w:tcW w:w="280" w:type="dxa"/>
            <w:vAlign w:val="bottom"/>
            <w:gridSpan w:val="4"/>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8"/>
                <w:szCs w:val="8"/>
                <w:color w:val="auto"/>
              </w:rPr>
            </w:pPr>
          </w:p>
        </w:tc>
        <w:tc>
          <w:tcPr>
            <w:tcW w:w="400" w:type="dxa"/>
            <w:vAlign w:val="bottom"/>
            <w:gridSpan w:val="3"/>
            <w:vMerge w:val="restart"/>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8"/>
                <w:szCs w:val="8"/>
                <w:color w:val="auto"/>
              </w:rPr>
            </w:pPr>
          </w:p>
        </w:tc>
        <w:tc>
          <w:tcPr>
            <w:tcW w:w="480" w:type="dxa"/>
            <w:vAlign w:val="bottom"/>
            <w:vMerge w:val="restart"/>
            <w:shd w:val="clear" w:color="auto" w:fill="CCEEFF"/>
          </w:tcPr>
          <w:p>
            <w:pPr>
              <w:jc w:val="center"/>
              <w:ind w:left="257"/>
              <w:spacing w:after="0"/>
              <w:rPr>
                <w:sz w:val="20"/>
                <w:szCs w:val="20"/>
                <w:color w:val="auto"/>
              </w:rPr>
            </w:pPr>
            <w:r>
              <w:rPr>
                <w:rFonts w:ascii="Arial" w:cs="Arial" w:eastAsia="Arial" w:hAnsi="Arial"/>
                <w:sz w:val="13"/>
                <w:szCs w:val="13"/>
                <w:color w:val="auto"/>
                <w:w w:val="91"/>
              </w:rPr>
              <w:t>—</w:t>
            </w:r>
          </w:p>
        </w:tc>
        <w:tc>
          <w:tcPr>
            <w:tcW w:w="280" w:type="dxa"/>
            <w:vAlign w:val="bottom"/>
            <w:gridSpan w:val="3"/>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vMerge w:val="restart"/>
            <w:shd w:val="clear" w:color="auto" w:fill="CCEEFF"/>
          </w:tcPr>
          <w:p>
            <w:pPr>
              <w:ind w:lef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vMerge w:val="restart"/>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320" w:type="dxa"/>
            <w:vAlign w:val="bottom"/>
            <w:gridSpan w:val="2"/>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8"/>
                <w:szCs w:val="8"/>
                <w:color w:val="auto"/>
              </w:rPr>
            </w:pPr>
          </w:p>
        </w:tc>
        <w:tc>
          <w:tcPr>
            <w:tcW w:w="260" w:type="dxa"/>
            <w:vAlign w:val="bottom"/>
            <w:vMerge w:val="restart"/>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shd w:val="clear" w:color="auto" w:fill="CCEEFF"/>
          </w:tcPr>
          <w:p>
            <w:pPr>
              <w:spacing w:after="0"/>
              <w:rPr>
                <w:sz w:val="8"/>
                <w:szCs w:val="8"/>
                <w:color w:val="auto"/>
              </w:rPr>
            </w:pPr>
          </w:p>
        </w:tc>
        <w:tc>
          <w:tcPr>
            <w:tcW w:w="820" w:type="dxa"/>
            <w:vAlign w:val="bottom"/>
            <w:gridSpan w:val="6"/>
            <w:vMerge w:val="restart"/>
            <w:shd w:val="clear" w:color="auto" w:fill="CCEEFF"/>
          </w:tcPr>
          <w:p>
            <w:pPr>
              <w:jc w:val="right"/>
              <w:spacing w:after="0"/>
              <w:rPr>
                <w:sz w:val="20"/>
                <w:szCs w:val="20"/>
                <w:color w:val="auto"/>
              </w:rPr>
            </w:pPr>
            <w:r>
              <w:rPr>
                <w:rFonts w:ascii="Arial" w:cs="Arial" w:eastAsia="Arial" w:hAnsi="Arial"/>
                <w:sz w:val="13"/>
                <w:szCs w:val="13"/>
                <w:color w:val="auto"/>
              </w:rPr>
              <w:t>124,303,083</w:t>
            </w:r>
          </w:p>
        </w:tc>
        <w:tc>
          <w:tcPr>
            <w:tcW w:w="80" w:type="dxa"/>
            <w:vAlign w:val="bottom"/>
            <w:shd w:val="clear" w:color="auto" w:fill="CCEEFF"/>
          </w:tcPr>
          <w:p>
            <w:pPr>
              <w:spacing w:after="0"/>
              <w:rPr>
                <w:sz w:val="8"/>
                <w:szCs w:val="8"/>
                <w:color w:val="auto"/>
              </w:rPr>
            </w:pPr>
          </w:p>
        </w:tc>
        <w:tc>
          <w:tcPr>
            <w:tcW w:w="24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8"/>
                <w:szCs w:val="8"/>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8"/>
                <w:szCs w:val="8"/>
                <w:color w:val="auto"/>
              </w:rPr>
            </w:pPr>
          </w:p>
        </w:tc>
        <w:tc>
          <w:tcPr>
            <w:tcW w:w="180" w:type="dxa"/>
            <w:vAlign w:val="bottom"/>
            <w:vMerge w:val="restart"/>
            <w:shd w:val="clear" w:color="auto" w:fill="CCEEFF"/>
          </w:tcPr>
          <w:p>
            <w:pPr>
              <w:jc w:val="right"/>
              <w:ind w:right="38"/>
              <w:spacing w:after="0"/>
              <w:rPr>
                <w:sz w:val="20"/>
                <w:szCs w:val="20"/>
                <w:color w:val="auto"/>
              </w:rPr>
            </w:pPr>
            <w:r>
              <w:rPr>
                <w:rFonts w:ascii="Arial" w:cs="Arial" w:eastAsia="Arial" w:hAnsi="Arial"/>
                <w:sz w:val="13"/>
                <w:szCs w:val="13"/>
                <w:color w:val="auto"/>
                <w:w w:val="82"/>
              </w:rPr>
              <w:t>$</w:t>
            </w:r>
          </w:p>
        </w:tc>
        <w:tc>
          <w:tcPr>
            <w:tcW w:w="460" w:type="dxa"/>
            <w:vAlign w:val="bottom"/>
            <w:gridSpan w:val="4"/>
            <w:vMerge w:val="restart"/>
            <w:shd w:val="clear" w:color="auto" w:fill="CCEEFF"/>
          </w:tcPr>
          <w:p>
            <w:pPr>
              <w:jc w:val="right"/>
              <w:spacing w:after="0"/>
              <w:rPr>
                <w:sz w:val="20"/>
                <w:szCs w:val="20"/>
                <w:color w:val="auto"/>
              </w:rPr>
            </w:pPr>
            <w:r>
              <w:rPr>
                <w:rFonts w:ascii="Arial" w:cs="Arial" w:eastAsia="Arial" w:hAnsi="Arial"/>
                <w:sz w:val="13"/>
                <w:szCs w:val="13"/>
                <w:color w:val="auto"/>
                <w:w w:val="85"/>
              </w:rPr>
              <w:t>444,388</w:t>
            </w:r>
          </w:p>
        </w:tc>
        <w:tc>
          <w:tcPr>
            <w:tcW w:w="340" w:type="dxa"/>
            <w:vAlign w:val="bottom"/>
            <w:gridSpan w:val="3"/>
            <w:vMerge w:val="restart"/>
            <w:shd w:val="clear" w:color="auto" w:fill="CCEEFF"/>
          </w:tcPr>
          <w:p>
            <w:pPr>
              <w:jc w:val="right"/>
              <w:ind w:right="99"/>
              <w:spacing w:after="0"/>
              <w:rPr>
                <w:sz w:val="20"/>
                <w:szCs w:val="20"/>
                <w:color w:val="auto"/>
              </w:rPr>
            </w:pPr>
            <w:r>
              <w:rPr>
                <w:rFonts w:ascii="Arial" w:cs="Arial" w:eastAsia="Arial" w:hAnsi="Arial"/>
                <w:sz w:val="13"/>
                <w:szCs w:val="13"/>
                <w:color w:val="auto"/>
              </w:rPr>
              <w:t>$</w:t>
            </w: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(184)</w:t>
            </w:r>
          </w:p>
        </w:tc>
        <w:tc>
          <w:tcPr>
            <w:tcW w:w="80" w:type="dxa"/>
            <w:vAlign w:val="bottom"/>
            <w:shd w:val="clear" w:color="auto" w:fill="CCEEFF"/>
          </w:tcPr>
          <w:p>
            <w:pPr>
              <w:spacing w:after="0"/>
              <w:rPr>
                <w:sz w:val="8"/>
                <w:szCs w:val="8"/>
                <w:color w:val="auto"/>
              </w:rPr>
            </w:pPr>
          </w:p>
        </w:tc>
        <w:tc>
          <w:tcPr>
            <w:tcW w:w="220" w:type="dxa"/>
            <w:vAlign w:val="bottom"/>
            <w:vMerge w:val="restart"/>
            <w:shd w:val="clear" w:color="auto" w:fill="CCEEFF"/>
          </w:tcPr>
          <w:p>
            <w:pPr>
              <w:jc w:val="right"/>
              <w:ind w:right="78"/>
              <w:spacing w:after="0"/>
              <w:rPr>
                <w:sz w:val="20"/>
                <w:szCs w:val="20"/>
                <w:color w:val="auto"/>
              </w:rPr>
            </w:pPr>
            <w:r>
              <w:rPr>
                <w:rFonts w:ascii="Arial" w:cs="Arial" w:eastAsia="Arial" w:hAnsi="Arial"/>
                <w:sz w:val="13"/>
                <w:szCs w:val="13"/>
                <w:color w:val="auto"/>
                <w:w w:val="82"/>
              </w:rPr>
              <w:t>$</w:t>
            </w:r>
          </w:p>
        </w:tc>
        <w:tc>
          <w:tcPr>
            <w:tcW w:w="580" w:type="dxa"/>
            <w:vAlign w:val="bottom"/>
            <w:gridSpan w:val="4"/>
            <w:vMerge w:val="restart"/>
            <w:shd w:val="clear" w:color="auto" w:fill="CCEEFF"/>
          </w:tcPr>
          <w:p>
            <w:pPr>
              <w:ind w:left="120"/>
              <w:spacing w:after="0"/>
              <w:rPr>
                <w:sz w:val="20"/>
                <w:szCs w:val="20"/>
                <w:color w:val="auto"/>
              </w:rPr>
            </w:pPr>
            <w:r>
              <w:rPr>
                <w:rFonts w:ascii="Arial" w:cs="Arial" w:eastAsia="Arial" w:hAnsi="Arial"/>
                <w:sz w:val="13"/>
                <w:szCs w:val="13"/>
                <w:color w:val="auto"/>
                <w:w w:val="90"/>
              </w:rPr>
              <w:t>(80,640)</w:t>
            </w:r>
          </w:p>
        </w:tc>
        <w:tc>
          <w:tcPr>
            <w:tcW w:w="80" w:type="dxa"/>
            <w:vAlign w:val="bottom"/>
            <w:shd w:val="clear" w:color="auto" w:fill="CCEEFF"/>
          </w:tcPr>
          <w:p>
            <w:pPr>
              <w:spacing w:after="0"/>
              <w:rPr>
                <w:sz w:val="8"/>
                <w:szCs w:val="8"/>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363,576</w:t>
            </w:r>
          </w:p>
        </w:tc>
        <w:tc>
          <w:tcPr>
            <w:tcW w:w="0" w:type="dxa"/>
            <w:vAlign w:val="bottom"/>
          </w:tcPr>
          <w:p>
            <w:pPr>
              <w:spacing w:after="0"/>
              <w:rPr>
                <w:sz w:val="1"/>
                <w:szCs w:val="1"/>
                <w:color w:val="auto"/>
              </w:rPr>
            </w:pPr>
          </w:p>
        </w:tc>
      </w:tr>
      <w:tr>
        <w:trPr>
          <w:trHeight w:val="176"/>
        </w:trPr>
        <w:tc>
          <w:tcPr>
            <w:tcW w:w="1480" w:type="dxa"/>
            <w:vAlign w:val="bottom"/>
            <w:gridSpan w:val="3"/>
            <w:shd w:val="clear" w:color="auto" w:fill="CCEEFF"/>
          </w:tcPr>
          <w:p>
            <w:pPr>
              <w:ind w:left="20"/>
              <w:spacing w:after="0"/>
              <w:rPr>
                <w:sz w:val="20"/>
                <w:szCs w:val="20"/>
                <w:color w:val="auto"/>
              </w:rPr>
            </w:pPr>
            <w:r>
              <w:rPr>
                <w:rFonts w:ascii="Arial" w:cs="Arial" w:eastAsia="Arial" w:hAnsi="Arial"/>
                <w:sz w:val="13"/>
                <w:szCs w:val="13"/>
                <w:b w:val="1"/>
                <w:bCs w:val="1"/>
                <w:color w:val="auto"/>
              </w:rPr>
              <w:t>2021</w:t>
            </w: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280" w:type="dxa"/>
            <w:vAlign w:val="bottom"/>
            <w:gridSpan w:val="4"/>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28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20" w:type="dxa"/>
            <w:vAlign w:val="bottom"/>
            <w:gridSpan w:val="6"/>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460" w:type="dxa"/>
            <w:vAlign w:val="bottom"/>
            <w:gridSpan w:val="4"/>
            <w:vMerge w:val="continue"/>
            <w:shd w:val="clear" w:color="auto" w:fill="CCEEFF"/>
          </w:tcPr>
          <w:p>
            <w:pPr>
              <w:spacing w:after="0"/>
              <w:rPr>
                <w:sz w:val="15"/>
                <w:szCs w:val="15"/>
                <w:color w:val="auto"/>
              </w:rPr>
            </w:pPr>
          </w:p>
        </w:tc>
        <w:tc>
          <w:tcPr>
            <w:tcW w:w="340" w:type="dxa"/>
            <w:vAlign w:val="bottom"/>
            <w:gridSpan w:val="3"/>
            <w:vMerge w:val="continue"/>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580" w:type="dxa"/>
            <w:vAlign w:val="bottom"/>
            <w:gridSpan w:val="4"/>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5960" w:type="dxa"/>
            <w:vAlign w:val="bottom"/>
            <w:tcBorders>
              <w:right w:val="single" w:sz="8" w:color="auto"/>
            </w:tcBorders>
            <w:gridSpan w:val="31"/>
          </w:tcPr>
          <w:p>
            <w:pPr>
              <w:spacing w:after="0"/>
              <w:rPr>
                <w:sz w:val="20"/>
                <w:szCs w:val="20"/>
                <w:color w:val="auto"/>
              </w:rPr>
            </w:pPr>
            <w:r>
              <w:rPr>
                <w:rFonts w:ascii="Arial" w:cs="Arial" w:eastAsia="Arial" w:hAnsi="Arial"/>
                <w:sz w:val="13"/>
                <w:szCs w:val="13"/>
                <w:color w:val="auto"/>
              </w:rPr>
              <w:t>Issuance of common stock upon</w:t>
            </w:r>
          </w:p>
        </w:tc>
        <w:tc>
          <w:tcPr>
            <w:tcW w:w="5280" w:type="dxa"/>
            <w:vAlign w:val="bottom"/>
            <w:gridSpan w:val="32"/>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80" w:type="dxa"/>
            <w:vAlign w:val="bottom"/>
            <w:gridSpan w:val="3"/>
          </w:tcPr>
          <w:p>
            <w:pPr>
              <w:ind w:left="160"/>
              <w:spacing w:after="0" w:line="122" w:lineRule="exact"/>
              <w:rPr>
                <w:sz w:val="20"/>
                <w:szCs w:val="20"/>
                <w:color w:val="auto"/>
              </w:rPr>
            </w:pPr>
            <w:r>
              <w:rPr>
                <w:rFonts w:ascii="Arial" w:cs="Arial" w:eastAsia="Arial" w:hAnsi="Arial"/>
                <w:sz w:val="13"/>
                <w:szCs w:val="13"/>
                <w:color w:val="auto"/>
              </w:rPr>
              <w:t>exercise of vested stock</w:t>
            </w:r>
          </w:p>
        </w:tc>
        <w:tc>
          <w:tcPr>
            <w:tcW w:w="60" w:type="dxa"/>
            <w:vAlign w:val="bottom"/>
          </w:tcPr>
          <w:p>
            <w:pPr>
              <w:spacing w:after="0"/>
              <w:rPr>
                <w:sz w:val="10"/>
                <w:szCs w:val="10"/>
                <w:color w:val="auto"/>
              </w:rPr>
            </w:pPr>
          </w:p>
        </w:tc>
        <w:tc>
          <w:tcPr>
            <w:tcW w:w="560" w:type="dxa"/>
            <w:vAlign w:val="bottom"/>
            <w:vMerge w:val="restart"/>
          </w:tcPr>
          <w:p>
            <w:pPr>
              <w:ind w:left="42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gridSpan w:val="3"/>
            <w:vMerge w:val="restart"/>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480" w:type="dxa"/>
            <w:vAlign w:val="bottom"/>
            <w:vMerge w:val="restart"/>
          </w:tcPr>
          <w:p>
            <w:pPr>
              <w:jc w:val="center"/>
              <w:ind w:left="257"/>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vMerge w:val="restart"/>
          </w:tcPr>
          <w:p>
            <w:pPr>
              <w:ind w:lef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vMerge w:val="restart"/>
          </w:tcPr>
          <w:p>
            <w:pPr>
              <w:ind w:lef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vMerge w:val="restart"/>
          </w:tcPr>
          <w:p>
            <w:pPr>
              <w:ind w:left="6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4"/>
            <w:vMerge w:val="restart"/>
          </w:tcPr>
          <w:p>
            <w:pPr>
              <w:jc w:val="right"/>
              <w:spacing w:after="0"/>
              <w:rPr>
                <w:sz w:val="20"/>
                <w:szCs w:val="20"/>
                <w:color w:val="auto"/>
              </w:rPr>
            </w:pPr>
            <w:r>
              <w:rPr>
                <w:rFonts w:ascii="Arial" w:cs="Arial" w:eastAsia="Arial" w:hAnsi="Arial"/>
                <w:sz w:val="13"/>
                <w:szCs w:val="13"/>
                <w:color w:val="auto"/>
              </w:rPr>
              <w:t>211,309</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gridSpan w:val="2"/>
            <w:vMerge w:val="restart"/>
          </w:tcPr>
          <w:p>
            <w:pPr>
              <w:ind w:left="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Arial" w:cs="Arial" w:eastAsia="Arial" w:hAnsi="Arial"/>
                <w:sz w:val="13"/>
                <w:szCs w:val="13"/>
                <w:color w:val="auto"/>
                <w:w w:val="82"/>
              </w:rPr>
              <w:t>188</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ind w:left="4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gridSpan w:val="2"/>
            <w:vMerge w:val="restart"/>
          </w:tcPr>
          <w:p>
            <w:pPr>
              <w:ind w:lef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188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680" w:type="dxa"/>
            <w:vAlign w:val="bottom"/>
            <w:gridSpan w:val="3"/>
          </w:tcPr>
          <w:p>
            <w:pPr>
              <w:ind w:left="160"/>
              <w:spacing w:after="0"/>
              <w:rPr>
                <w:sz w:val="20"/>
                <w:szCs w:val="20"/>
                <w:color w:val="auto"/>
              </w:rPr>
            </w:pPr>
            <w:r>
              <w:rPr>
                <w:rFonts w:ascii="Arial" w:cs="Arial" w:eastAsia="Arial" w:hAnsi="Arial"/>
                <w:sz w:val="13"/>
                <w:szCs w:val="13"/>
                <w:color w:val="auto"/>
              </w:rPr>
              <w:t>options</w:t>
            </w:r>
          </w:p>
        </w:tc>
        <w:tc>
          <w:tcPr>
            <w:tcW w:w="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960" w:type="dxa"/>
            <w:vAlign w:val="bottom"/>
            <w:tcBorders>
              <w:right w:val="single" w:sz="8" w:color="auto"/>
            </w:tcBorders>
            <w:gridSpan w:val="31"/>
            <w:shd w:val="clear" w:color="auto" w:fill="CCEEFF"/>
          </w:tcPr>
          <w:p>
            <w:pPr>
              <w:spacing w:after="0"/>
              <w:rPr>
                <w:sz w:val="20"/>
                <w:szCs w:val="20"/>
                <w:color w:val="auto"/>
              </w:rPr>
            </w:pPr>
            <w:r>
              <w:rPr>
                <w:rFonts w:ascii="Arial" w:cs="Arial" w:eastAsia="Arial" w:hAnsi="Arial"/>
                <w:sz w:val="13"/>
                <w:szCs w:val="13"/>
                <w:color w:val="auto"/>
              </w:rPr>
              <w:t>Issuance of common stock</w:t>
            </w:r>
          </w:p>
        </w:tc>
        <w:tc>
          <w:tcPr>
            <w:tcW w:w="320" w:type="dxa"/>
            <w:vAlign w:val="bottom"/>
            <w:tcBorders>
              <w:right w:val="single" w:sz="8" w:color="CCEEFF"/>
            </w:tcBorders>
            <w:gridSpan w:val="4"/>
            <w:shd w:val="clear" w:color="auto" w:fill="CCEEFF"/>
          </w:tcPr>
          <w:p>
            <w:pPr>
              <w:spacing w:after="0"/>
              <w:rPr>
                <w:sz w:val="11"/>
                <w:szCs w:val="11"/>
                <w:color w:val="auto"/>
              </w:rPr>
            </w:pPr>
          </w:p>
        </w:tc>
        <w:tc>
          <w:tcPr>
            <w:tcW w:w="4960" w:type="dxa"/>
            <w:vAlign w:val="bottom"/>
            <w:gridSpan w:val="28"/>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680" w:type="dxa"/>
            <w:vAlign w:val="bottom"/>
            <w:gridSpan w:val="3"/>
            <w:shd w:val="clear" w:color="auto" w:fill="CCEEFF"/>
          </w:tcPr>
          <w:p>
            <w:pPr>
              <w:ind w:left="160"/>
              <w:spacing w:after="0" w:line="122" w:lineRule="exact"/>
              <w:rPr>
                <w:sz w:val="20"/>
                <w:szCs w:val="20"/>
                <w:color w:val="auto"/>
              </w:rPr>
            </w:pPr>
            <w:r>
              <w:rPr>
                <w:rFonts w:ascii="Arial" w:cs="Arial" w:eastAsia="Arial" w:hAnsi="Arial"/>
                <w:sz w:val="13"/>
                <w:szCs w:val="13"/>
                <w:color w:val="auto"/>
              </w:rPr>
              <w:t>under employee stock</w:t>
            </w:r>
          </w:p>
        </w:tc>
        <w:tc>
          <w:tcPr>
            <w:tcW w:w="6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gridSpan w:val="3"/>
            <w:vMerge w:val="restart"/>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center"/>
              <w:ind w:left="237"/>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gridSpan w:val="4"/>
            <w:vMerge w:val="restart"/>
            <w:shd w:val="clear" w:color="auto" w:fill="CCEEFF"/>
          </w:tcPr>
          <w:p>
            <w:pPr>
              <w:jc w:val="right"/>
              <w:spacing w:after="0"/>
              <w:rPr>
                <w:sz w:val="20"/>
                <w:szCs w:val="20"/>
                <w:color w:val="auto"/>
              </w:rPr>
            </w:pPr>
            <w:r>
              <w:rPr>
                <w:rFonts w:ascii="Arial" w:cs="Arial" w:eastAsia="Arial" w:hAnsi="Arial"/>
                <w:sz w:val="13"/>
                <w:szCs w:val="13"/>
                <w:color w:val="auto"/>
              </w:rPr>
              <w:t>48,353</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153</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153</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680" w:type="dxa"/>
            <w:vAlign w:val="bottom"/>
            <w:gridSpan w:val="3"/>
            <w:shd w:val="clear" w:color="auto" w:fill="CCEEFF"/>
          </w:tcPr>
          <w:p>
            <w:pPr>
              <w:ind w:left="160"/>
              <w:spacing w:after="0"/>
              <w:rPr>
                <w:sz w:val="20"/>
                <w:szCs w:val="20"/>
                <w:color w:val="auto"/>
              </w:rPr>
            </w:pPr>
            <w:r>
              <w:rPr>
                <w:rFonts w:ascii="Arial" w:cs="Arial" w:eastAsia="Arial" w:hAnsi="Arial"/>
                <w:sz w:val="13"/>
                <w:szCs w:val="13"/>
                <w:color w:val="auto"/>
              </w:rPr>
              <w:t>purchase plan</w:t>
            </w:r>
          </w:p>
        </w:tc>
        <w:tc>
          <w:tcPr>
            <w:tcW w:w="6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gridSpan w:val="4"/>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gridSpan w:val="2"/>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80" w:type="dxa"/>
            <w:vAlign w:val="bottom"/>
            <w:gridSpan w:val="3"/>
          </w:tcPr>
          <w:p>
            <w:pPr>
              <w:spacing w:after="0" w:line="122" w:lineRule="exact"/>
              <w:rPr>
                <w:sz w:val="20"/>
                <w:szCs w:val="20"/>
                <w:color w:val="auto"/>
              </w:rPr>
            </w:pPr>
            <w:r>
              <w:rPr>
                <w:rFonts w:ascii="Arial" w:cs="Arial" w:eastAsia="Arial" w:hAnsi="Arial"/>
                <w:sz w:val="13"/>
                <w:szCs w:val="13"/>
                <w:color w:val="auto"/>
              </w:rPr>
              <w:t>Stock-based compensation</w:t>
            </w:r>
          </w:p>
        </w:tc>
        <w:tc>
          <w:tcPr>
            <w:tcW w:w="60" w:type="dxa"/>
            <w:vAlign w:val="bottom"/>
          </w:tcPr>
          <w:p>
            <w:pPr>
              <w:spacing w:after="0"/>
              <w:rPr>
                <w:sz w:val="10"/>
                <w:szCs w:val="10"/>
                <w:color w:val="auto"/>
              </w:rPr>
            </w:pPr>
          </w:p>
        </w:tc>
        <w:tc>
          <w:tcPr>
            <w:tcW w:w="560" w:type="dxa"/>
            <w:vAlign w:val="bottom"/>
            <w:vMerge w:val="restart"/>
          </w:tcPr>
          <w:p>
            <w:pPr>
              <w:ind w:left="42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gridSpan w:val="3"/>
            <w:vMerge w:val="restart"/>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480" w:type="dxa"/>
            <w:vAlign w:val="bottom"/>
            <w:vMerge w:val="restart"/>
          </w:tcPr>
          <w:p>
            <w:pPr>
              <w:jc w:val="center"/>
              <w:ind w:left="257"/>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vMerge w:val="restart"/>
          </w:tcPr>
          <w:p>
            <w:pPr>
              <w:ind w:lef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vMerge w:val="restart"/>
          </w:tcPr>
          <w:p>
            <w:pPr>
              <w:ind w:lef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vMerge w:val="restart"/>
          </w:tcPr>
          <w:p>
            <w:pPr>
              <w:ind w:left="6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gridSpan w:val="2"/>
            <w:vMerge w:val="restart"/>
          </w:tcPr>
          <w:p>
            <w:pPr>
              <w:ind w:left="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460" w:type="dxa"/>
            <w:vAlign w:val="bottom"/>
            <w:gridSpan w:val="4"/>
            <w:vMerge w:val="restart"/>
          </w:tcPr>
          <w:p>
            <w:pPr>
              <w:jc w:val="right"/>
              <w:spacing w:after="0"/>
              <w:rPr>
                <w:sz w:val="20"/>
                <w:szCs w:val="20"/>
                <w:color w:val="auto"/>
              </w:rPr>
            </w:pPr>
            <w:r>
              <w:rPr>
                <w:rFonts w:ascii="Arial" w:cs="Arial" w:eastAsia="Arial" w:hAnsi="Arial"/>
                <w:sz w:val="13"/>
                <w:szCs w:val="13"/>
                <w:color w:val="auto"/>
              </w:rPr>
              <w:t>4,677</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ind w:left="4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gridSpan w:val="2"/>
            <w:vMerge w:val="restart"/>
          </w:tcPr>
          <w:p>
            <w:pPr>
              <w:ind w:lef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4,677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680" w:type="dxa"/>
            <w:vAlign w:val="bottom"/>
            <w:gridSpan w:val="3"/>
          </w:tcPr>
          <w:p>
            <w:pPr>
              <w:ind w:left="160"/>
              <w:spacing w:after="0"/>
              <w:rPr>
                <w:sz w:val="20"/>
                <w:szCs w:val="20"/>
                <w:color w:val="auto"/>
              </w:rPr>
            </w:pPr>
            <w:r>
              <w:rPr>
                <w:rFonts w:ascii="Arial" w:cs="Arial" w:eastAsia="Arial" w:hAnsi="Arial"/>
                <w:sz w:val="13"/>
                <w:szCs w:val="13"/>
                <w:color w:val="auto"/>
              </w:rPr>
              <w:t>expense</w:t>
            </w:r>
          </w:p>
        </w:tc>
        <w:tc>
          <w:tcPr>
            <w:tcW w:w="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Other comprehensive loss</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ind w:left="42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center"/>
              <w:ind w:left="257"/>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(584)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(584)</w:t>
            </w:r>
          </w:p>
        </w:tc>
        <w:tc>
          <w:tcPr>
            <w:tcW w:w="0" w:type="dxa"/>
            <w:vAlign w:val="bottom"/>
          </w:tcPr>
          <w:p>
            <w:pPr>
              <w:spacing w:after="0"/>
              <w:rPr>
                <w:sz w:val="1"/>
                <w:szCs w:val="1"/>
                <w:color w:val="auto"/>
              </w:rPr>
            </w:pPr>
          </w:p>
        </w:tc>
      </w:tr>
      <w:tr>
        <w:trPr>
          <w:trHeight w:val="196"/>
        </w:trPr>
        <w:tc>
          <w:tcPr>
            <w:tcW w:w="1700" w:type="dxa"/>
            <w:vAlign w:val="bottom"/>
            <w:tcBorders>
              <w:bottom w:val="single" w:sz="8" w:color="CCEEFF"/>
            </w:tcBorders>
            <w:gridSpan w:val="4"/>
          </w:tcPr>
          <w:p>
            <w:pPr>
              <w:spacing w:after="0"/>
              <w:rPr>
                <w:sz w:val="20"/>
                <w:szCs w:val="20"/>
                <w:color w:val="auto"/>
              </w:rPr>
            </w:pPr>
            <w:r>
              <w:rPr>
                <w:rFonts w:ascii="Arial" w:cs="Arial" w:eastAsia="Arial" w:hAnsi="Arial"/>
                <w:sz w:val="13"/>
                <w:szCs w:val="13"/>
                <w:color w:val="auto"/>
              </w:rPr>
              <w:t>Net loss</w:t>
            </w:r>
          </w:p>
        </w:tc>
        <w:tc>
          <w:tcPr>
            <w:tcW w:w="660" w:type="dxa"/>
            <w:vAlign w:val="bottom"/>
            <w:tcBorders>
              <w:bottom w:val="single" w:sz="8" w:color="auto"/>
            </w:tcBorders>
            <w:gridSpan w:val="3"/>
          </w:tcPr>
          <w:p>
            <w:pPr>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gridSpan w:val="4"/>
          </w:tcPr>
          <w:p>
            <w:pPr>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gridSpan w:val="4"/>
          </w:tcPr>
          <w:p>
            <w:pPr>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gridSpan w:val="4"/>
          </w:tcPr>
          <w:p>
            <w:pPr>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gridSpan w:val="3"/>
          </w:tcPr>
          <w:p>
            <w:pPr>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gridSpan w:val="3"/>
          </w:tcPr>
          <w:p>
            <w:pPr>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gridSpan w:val="5"/>
          </w:tcPr>
          <w:p>
            <w:pPr>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gridSpan w:val="3"/>
          </w:tcPr>
          <w:p>
            <w:pPr>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gridSpan w:val="6"/>
          </w:tcPr>
          <w:p>
            <w:pPr>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gridSpan w:val="3"/>
          </w:tcPr>
          <w:p>
            <w:pPr>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gridSpan w:val="5"/>
          </w:tcPr>
          <w:p>
            <w:pPr>
              <w:jc w:val="right"/>
              <w:ind w:right="737"/>
              <w:spacing w:after="0"/>
              <w:rPr>
                <w:sz w:val="20"/>
                <w:szCs w:val="20"/>
                <w:color w:val="auto"/>
              </w:rPr>
            </w:pPr>
            <w:r>
              <w:rPr>
                <w:rFonts w:ascii="Arial" w:cs="Arial" w:eastAsia="Arial" w:hAnsi="Arial"/>
                <w:sz w:val="13"/>
                <w:szCs w:val="13"/>
                <w:color w:val="auto"/>
              </w:rPr>
              <w:t>(30,452)</w:t>
            </w:r>
          </w:p>
        </w:tc>
        <w:tc>
          <w:tcPr>
            <w:tcW w:w="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4"/>
          </w:tcPr>
          <w:p>
            <w:pPr>
              <w:jc w:val="right"/>
              <w:ind w:right="1078"/>
              <w:spacing w:after="0"/>
              <w:rPr>
                <w:sz w:val="20"/>
                <w:szCs w:val="20"/>
                <w:color w:val="auto"/>
              </w:rPr>
            </w:pPr>
            <w:r>
              <w:rPr>
                <w:rFonts w:ascii="Arial" w:cs="Arial" w:eastAsia="Arial" w:hAnsi="Arial"/>
                <w:sz w:val="13"/>
                <w:szCs w:val="13"/>
                <w:color w:val="auto"/>
              </w:rPr>
              <w:t>(30,452)</w:t>
            </w:r>
          </w:p>
        </w:tc>
        <w:tc>
          <w:tcPr>
            <w:tcW w:w="0" w:type="dxa"/>
            <w:vAlign w:val="bottom"/>
          </w:tcPr>
          <w:p>
            <w:pPr>
              <w:spacing w:after="0"/>
              <w:rPr>
                <w:sz w:val="1"/>
                <w:szCs w:val="1"/>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3"/>
                <w:szCs w:val="13"/>
                <w:b w:val="1"/>
                <w:bCs w:val="1"/>
                <w:color w:val="auto"/>
              </w:rPr>
              <w:t>Balances at June 30, 2022</w:t>
            </w:r>
          </w:p>
        </w:tc>
        <w:tc>
          <w:tcPr>
            <w:tcW w:w="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3"/>
                <w:szCs w:val="13"/>
                <w:color w:val="auto"/>
                <w:w w:val="91"/>
              </w:rPr>
              <w:t>—</w:t>
            </w:r>
          </w:p>
        </w:tc>
        <w:tc>
          <w:tcPr>
            <w:tcW w:w="28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gridSpan w:val="3"/>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center"/>
              <w:ind w:left="257"/>
              <w:spacing w:after="0"/>
              <w:rPr>
                <w:sz w:val="20"/>
                <w:szCs w:val="20"/>
                <w:color w:val="auto"/>
              </w:rPr>
            </w:pPr>
            <w:r>
              <w:rPr>
                <w:rFonts w:ascii="Arial" w:cs="Arial" w:eastAsia="Arial" w:hAnsi="Arial"/>
                <w:sz w:val="13"/>
                <w:szCs w:val="13"/>
                <w:color w:val="auto"/>
                <w:w w:val="91"/>
              </w:rPr>
              <w:t>—</w:t>
            </w:r>
          </w:p>
        </w:tc>
        <w:tc>
          <w:tcPr>
            <w:tcW w:w="280" w:type="dxa"/>
            <w:vAlign w:val="bottom"/>
            <w:tcBorders>
              <w:bottom w:val="single" w:sz="8" w:color="CCEEFF"/>
            </w:tcBorders>
            <w:gridSpan w:val="3"/>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CCEEFF"/>
            </w:tcBorders>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82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3"/>
                <w:szCs w:val="13"/>
                <w:color w:val="auto"/>
              </w:rPr>
              <w:t>124,562,745</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12</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3"/>
                <w:szCs w:val="13"/>
                <w:color w:val="auto"/>
                <w:w w:val="85"/>
              </w:rPr>
              <w:t>449,406</w:t>
            </w:r>
          </w:p>
        </w:tc>
        <w:tc>
          <w:tcPr>
            <w:tcW w:w="34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(768)</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3"/>
                <w:szCs w:val="13"/>
                <w:color w:val="auto"/>
                <w:w w:val="93"/>
              </w:rPr>
              <w:t>(111,092)</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337,558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3"/>
                <w:szCs w:val="13"/>
                <w:b w:val="1"/>
                <w:bCs w:val="1"/>
                <w:i w:val="1"/>
                <w:iCs w:val="1"/>
                <w:color w:val="auto"/>
                <w:w w:val="98"/>
              </w:rPr>
              <w:t>Six Months Ended June 30,</w:t>
            </w:r>
          </w:p>
        </w:tc>
        <w:tc>
          <w:tcPr>
            <w:tcW w:w="66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760" w:type="dxa"/>
            <w:vAlign w:val="bottom"/>
            <w:tcBorders>
              <w:top w:val="single" w:sz="8" w:color="auto"/>
              <w:bottom w:val="single" w:sz="8" w:color="auto"/>
            </w:tcBorders>
            <w:gridSpan w:val="5"/>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gridSpan w:val="6"/>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gridSpan w:val="5"/>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1680" w:type="dxa"/>
            <w:vAlign w:val="bottom"/>
            <w:gridSpan w:val="3"/>
            <w:vMerge w:val="continue"/>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20" w:type="dxa"/>
            <w:vAlign w:val="bottom"/>
            <w:gridSpan w:val="15"/>
            <w:vMerge w:val="restart"/>
          </w:tcPr>
          <w:p>
            <w:pPr>
              <w:jc w:val="center"/>
              <w:spacing w:after="0"/>
              <w:rPr>
                <w:sz w:val="20"/>
                <w:szCs w:val="20"/>
                <w:color w:val="auto"/>
              </w:rPr>
            </w:pPr>
            <w:r>
              <w:rPr>
                <w:rFonts w:ascii="Arial" w:cs="Arial" w:eastAsia="Arial" w:hAnsi="Arial"/>
                <w:sz w:val="13"/>
                <w:szCs w:val="13"/>
                <w:b w:val="1"/>
                <w:bCs w:val="1"/>
                <w:color w:val="auto"/>
                <w:w w:val="88"/>
              </w:rPr>
              <w:t>Redeemable Convertible Preferred Stock</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8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20" w:type="dxa"/>
            <w:vAlign w:val="bottom"/>
            <w:gridSpan w:val="15"/>
            <w:vMerge w:val="continue"/>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 w:type="dxa"/>
            <w:vAlign w:val="bottom"/>
            <w:tcBorders>
              <w:top w:val="single" w:sz="8" w:color="auto"/>
              <w:bottom w:val="single" w:sz="8" w:color="auto"/>
            </w:tcBorders>
          </w:tcPr>
          <w:p>
            <w:pPr>
              <w:spacing w:after="0" w:line="88" w:lineRule="exact"/>
              <w:rPr>
                <w:sz w:val="20"/>
                <w:szCs w:val="20"/>
                <w:color w:val="auto"/>
              </w:rPr>
            </w:pPr>
            <w:r>
              <w:rPr>
                <w:rFonts w:ascii="Arial" w:cs="Arial" w:eastAsia="Arial" w:hAnsi="Arial"/>
                <w:sz w:val="10"/>
                <w:szCs w:val="10"/>
                <w:b w:val="1"/>
                <w:bCs w:val="1"/>
                <w:i w:val="1"/>
                <w:iCs w:val="1"/>
                <w:color w:val="auto"/>
              </w:rPr>
              <w:t>2021</w:t>
            </w:r>
          </w:p>
        </w:tc>
        <w:tc>
          <w:tcPr>
            <w:tcW w:w="12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20" w:type="dxa"/>
            <w:vAlign w:val="bottom"/>
            <w:gridSpan w:val="15"/>
            <w:vMerge w:val="continue"/>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85"/>
              </w:rPr>
              <w:t>Accumulated</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center"/>
              <w:ind w:right="38"/>
              <w:spacing w:after="0" w:line="102"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1"/>
        </w:trPr>
        <w:tc>
          <w:tcPr>
            <w:tcW w:w="1760" w:type="dxa"/>
            <w:vAlign w:val="bottom"/>
            <w:gridSpan w:val="5"/>
          </w:tcPr>
          <w:p>
            <w:pPr>
              <w:spacing w:after="0" w:line="20" w:lineRule="exact"/>
              <w:rPr>
                <w:sz w:val="1"/>
                <w:szCs w:val="1"/>
                <w:color w:val="auto"/>
              </w:rPr>
            </w:pPr>
          </w:p>
        </w:tc>
        <w:tc>
          <w:tcPr>
            <w:tcW w:w="4420" w:type="dxa"/>
            <w:vAlign w:val="bottom"/>
            <w:tcBorders>
              <w:bottom w:val="single" w:sz="8" w:color="auto"/>
            </w:tcBorders>
            <w:gridSpan w:val="29"/>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240" w:type="dxa"/>
            <w:vAlign w:val="bottom"/>
            <w:gridSpan w:val="16"/>
          </w:tcPr>
          <w:p>
            <w:pPr>
              <w:spacing w:after="0" w:line="20" w:lineRule="exact"/>
              <w:rPr>
                <w:sz w:val="1"/>
                <w:szCs w:val="1"/>
                <w:color w:val="auto"/>
              </w:rPr>
            </w:pPr>
          </w:p>
        </w:tc>
        <w:tc>
          <w:tcPr>
            <w:tcW w:w="920" w:type="dxa"/>
            <w:vAlign w:val="bottom"/>
            <w:gridSpan w:val="3"/>
            <w:vMerge w:val="continue"/>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gridSpan w:val="6"/>
            <w:vMerge w:val="restart"/>
          </w:tcPr>
          <w:p>
            <w:pPr>
              <w:ind w:left="400"/>
              <w:spacing w:after="0" w:line="138" w:lineRule="exact"/>
              <w:rPr>
                <w:sz w:val="20"/>
                <w:szCs w:val="20"/>
                <w:color w:val="auto"/>
              </w:rPr>
            </w:pPr>
            <w:r>
              <w:rPr>
                <w:rFonts w:ascii="Arial" w:cs="Arial" w:eastAsia="Arial" w:hAnsi="Arial"/>
                <w:sz w:val="13"/>
                <w:szCs w:val="13"/>
                <w:b w:val="1"/>
                <w:bCs w:val="1"/>
                <w:color w:val="auto"/>
                <w:w w:val="81"/>
              </w:rPr>
              <w:t>Series Seed</w:t>
            </w: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gridSpan w:val="5"/>
            <w:vMerge w:val="restart"/>
          </w:tcPr>
          <w:p>
            <w:pPr>
              <w:jc w:val="center"/>
              <w:spacing w:after="0" w:line="138" w:lineRule="exact"/>
              <w:rPr>
                <w:sz w:val="20"/>
                <w:szCs w:val="20"/>
                <w:color w:val="auto"/>
              </w:rPr>
            </w:pPr>
            <w:r>
              <w:rPr>
                <w:rFonts w:ascii="Arial" w:cs="Arial" w:eastAsia="Arial" w:hAnsi="Arial"/>
                <w:sz w:val="13"/>
                <w:szCs w:val="13"/>
                <w:b w:val="1"/>
                <w:bCs w:val="1"/>
                <w:color w:val="auto"/>
                <w:w w:val="88"/>
              </w:rPr>
              <w:t>Series A</w:t>
            </w: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gridSpan w:val="4"/>
            <w:vMerge w:val="restart"/>
          </w:tcPr>
          <w:p>
            <w:pPr>
              <w:ind w:left="60"/>
              <w:spacing w:after="0" w:line="138" w:lineRule="exact"/>
              <w:rPr>
                <w:sz w:val="20"/>
                <w:szCs w:val="20"/>
                <w:color w:val="auto"/>
              </w:rPr>
            </w:pPr>
            <w:r>
              <w:rPr>
                <w:rFonts w:ascii="Arial" w:cs="Arial" w:eastAsia="Arial" w:hAnsi="Arial"/>
                <w:sz w:val="13"/>
                <w:szCs w:val="13"/>
                <w:b w:val="1"/>
                <w:bCs w:val="1"/>
                <w:color w:val="auto"/>
              </w:rPr>
              <w:t>Series B</w:t>
            </w: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6"/>
            <w:vMerge w:val="restart"/>
          </w:tcPr>
          <w:p>
            <w:pPr>
              <w:ind w:left="260"/>
              <w:spacing w:after="0" w:line="138" w:lineRule="exact"/>
              <w:rPr>
                <w:sz w:val="20"/>
                <w:szCs w:val="20"/>
                <w:color w:val="auto"/>
              </w:rPr>
            </w:pPr>
            <w:r>
              <w:rPr>
                <w:rFonts w:ascii="Arial" w:cs="Arial" w:eastAsia="Arial" w:hAnsi="Arial"/>
                <w:sz w:val="13"/>
                <w:szCs w:val="13"/>
                <w:b w:val="1"/>
                <w:bCs w:val="1"/>
                <w:color w:val="auto"/>
                <w:w w:val="88"/>
              </w:rPr>
              <w:t>Common Stock</w:t>
            </w: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gridSpan w:val="6"/>
            <w:vMerge w:val="continue"/>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gridSpan w:val="5"/>
            <w:vMerge w:val="continue"/>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120" w:type="dxa"/>
            <w:vAlign w:val="bottom"/>
            <w:gridSpan w:val="6"/>
            <w:vMerge w:val="continue"/>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gridSpan w:val="5"/>
            <w:vMerge w:val="restart"/>
          </w:tcPr>
          <w:p>
            <w:pPr>
              <w:jc w:val="right"/>
              <w:spacing w:after="0" w:line="102" w:lineRule="exact"/>
              <w:rPr>
                <w:sz w:val="20"/>
                <w:szCs w:val="20"/>
                <w:color w:val="auto"/>
              </w:rPr>
            </w:pPr>
            <w:r>
              <w:rPr>
                <w:rFonts w:ascii="Arial" w:cs="Arial" w:eastAsia="Arial" w:hAnsi="Arial"/>
                <w:sz w:val="10"/>
                <w:szCs w:val="10"/>
                <w:b w:val="1"/>
                <w:bCs w:val="1"/>
                <w:color w:val="auto"/>
              </w:rPr>
              <w:t>Additional</w:t>
            </w:r>
          </w:p>
        </w:tc>
        <w:tc>
          <w:tcPr>
            <w:tcW w:w="80" w:type="dxa"/>
            <w:vAlign w:val="bottom"/>
          </w:tcPr>
          <w:p>
            <w:pPr>
              <w:spacing w:after="0"/>
              <w:rPr>
                <w:sz w:val="6"/>
                <w:szCs w:val="6"/>
                <w:color w:val="auto"/>
              </w:rPr>
            </w:pPr>
          </w:p>
        </w:tc>
        <w:tc>
          <w:tcPr>
            <w:tcW w:w="700" w:type="dxa"/>
            <w:vAlign w:val="bottom"/>
            <w:gridSpan w:val="2"/>
            <w:vMerge w:val="restart"/>
          </w:tcPr>
          <w:p>
            <w:pPr>
              <w:jc w:val="center"/>
              <w:ind w:left="200"/>
              <w:spacing w:after="0" w:line="102" w:lineRule="exact"/>
              <w:rPr>
                <w:sz w:val="20"/>
                <w:szCs w:val="20"/>
                <w:color w:val="auto"/>
              </w:rPr>
            </w:pPr>
            <w:r>
              <w:rPr>
                <w:rFonts w:ascii="Arial" w:cs="Arial" w:eastAsia="Arial" w:hAnsi="Arial"/>
                <w:sz w:val="10"/>
                <w:szCs w:val="10"/>
                <w:b w:val="1"/>
                <w:bCs w:val="1"/>
                <w:color w:val="auto"/>
              </w:rPr>
              <w:t>Other</w:t>
            </w: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1760" w:type="dxa"/>
            <w:vAlign w:val="bottom"/>
            <w:gridSpan w:val="5"/>
          </w:tcPr>
          <w:p>
            <w:pPr>
              <w:spacing w:after="0"/>
              <w:rPr>
                <w:sz w:val="3"/>
                <w:szCs w:val="3"/>
                <w:color w:val="auto"/>
              </w:rPr>
            </w:pPr>
          </w:p>
        </w:tc>
        <w:tc>
          <w:tcPr>
            <w:tcW w:w="1420" w:type="dxa"/>
            <w:vAlign w:val="bottom"/>
            <w:tcBorders>
              <w:bottom w:val="single" w:sz="8" w:color="auto"/>
            </w:tcBorders>
            <w:gridSpan w:val="9"/>
          </w:tcPr>
          <w:p>
            <w:pPr>
              <w:spacing w:after="0"/>
              <w:rPr>
                <w:sz w:val="3"/>
                <w:szCs w:val="3"/>
                <w:color w:val="auto"/>
              </w:rPr>
            </w:pPr>
          </w:p>
        </w:tc>
        <w:tc>
          <w:tcPr>
            <w:tcW w:w="80" w:type="dxa"/>
            <w:vAlign w:val="bottom"/>
          </w:tcPr>
          <w:p>
            <w:pPr>
              <w:spacing w:after="0"/>
              <w:rPr>
                <w:sz w:val="3"/>
                <w:szCs w:val="3"/>
                <w:color w:val="auto"/>
              </w:rPr>
            </w:pPr>
          </w:p>
        </w:tc>
        <w:tc>
          <w:tcPr>
            <w:tcW w:w="1420" w:type="dxa"/>
            <w:vAlign w:val="bottom"/>
            <w:tcBorders>
              <w:bottom w:val="single" w:sz="8" w:color="auto"/>
            </w:tcBorders>
            <w:gridSpan w:val="9"/>
          </w:tcPr>
          <w:p>
            <w:pPr>
              <w:spacing w:after="0"/>
              <w:rPr>
                <w:sz w:val="3"/>
                <w:szCs w:val="3"/>
                <w:color w:val="auto"/>
              </w:rPr>
            </w:pPr>
          </w:p>
        </w:tc>
        <w:tc>
          <w:tcPr>
            <w:tcW w:w="80" w:type="dxa"/>
            <w:vAlign w:val="bottom"/>
          </w:tcPr>
          <w:p>
            <w:pPr>
              <w:spacing w:after="0"/>
              <w:rPr>
                <w:sz w:val="3"/>
                <w:szCs w:val="3"/>
                <w:color w:val="auto"/>
              </w:rPr>
            </w:pPr>
          </w:p>
        </w:tc>
        <w:tc>
          <w:tcPr>
            <w:tcW w:w="1420" w:type="dxa"/>
            <w:vAlign w:val="bottom"/>
            <w:tcBorders>
              <w:bottom w:val="single" w:sz="8" w:color="auto"/>
            </w:tcBorders>
            <w:gridSpan w:val="9"/>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360" w:type="dxa"/>
            <w:vAlign w:val="bottom"/>
            <w:tcBorders>
              <w:bottom w:val="single" w:sz="8" w:color="auto"/>
            </w:tcBorders>
            <w:gridSpan w:val="8"/>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gridSpan w:val="5"/>
            <w:vMerge w:val="continue"/>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1300" w:type="dxa"/>
            <w:vAlign w:val="bottom"/>
            <w:gridSpan w:val="9"/>
          </w:tcPr>
          <w:p>
            <w:pPr>
              <w:spacing w:after="0"/>
              <w:rPr>
                <w:sz w:val="3"/>
                <w:szCs w:val="3"/>
                <w:color w:val="auto"/>
              </w:rPr>
            </w:pPr>
          </w:p>
        </w:tc>
        <w:tc>
          <w:tcPr>
            <w:tcW w:w="720" w:type="dxa"/>
            <w:vAlign w:val="bottom"/>
            <w:vMerge w:val="restart"/>
          </w:tcPr>
          <w:p>
            <w:pPr>
              <w:jc w:val="center"/>
              <w:ind w:right="58"/>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680" w:type="dxa"/>
            <w:vAlign w:val="bottom"/>
            <w:gridSpan w:val="3"/>
          </w:tcPr>
          <w:p>
            <w:pPr>
              <w:spacing w:after="0" w:line="102" w:lineRule="exact"/>
              <w:rPr>
                <w:sz w:val="20"/>
                <w:szCs w:val="20"/>
                <w:color w:val="auto"/>
              </w:rPr>
            </w:pPr>
            <w:r>
              <w:rPr>
                <w:rFonts w:ascii="Arial" w:cs="Arial" w:eastAsia="Arial" w:hAnsi="Arial"/>
                <w:sz w:val="10"/>
                <w:szCs w:val="10"/>
                <w:i w:val="1"/>
                <w:iCs w:val="1"/>
                <w:color w:val="auto"/>
              </w:rPr>
              <w:t>(in thousands, except share</w:t>
            </w:r>
          </w:p>
        </w:tc>
        <w:tc>
          <w:tcPr>
            <w:tcW w:w="60" w:type="dxa"/>
            <w:vAlign w:val="bottom"/>
          </w:tcPr>
          <w:p>
            <w:pPr>
              <w:spacing w:after="0"/>
              <w:rPr>
                <w:sz w:val="8"/>
                <w:szCs w:val="8"/>
                <w:color w:val="auto"/>
              </w:rPr>
            </w:pPr>
          </w:p>
        </w:tc>
        <w:tc>
          <w:tcPr>
            <w:tcW w:w="760" w:type="dxa"/>
            <w:vAlign w:val="bottom"/>
            <w:gridSpan w:val="4"/>
            <w:vMerge w:val="restart"/>
          </w:tcPr>
          <w:p>
            <w:pPr>
              <w:jc w:val="right"/>
              <w:ind w:right="77"/>
              <w:spacing w:after="0"/>
              <w:rPr>
                <w:sz w:val="20"/>
                <w:szCs w:val="20"/>
                <w:color w:val="auto"/>
              </w:rPr>
            </w:pPr>
            <w:r>
              <w:rPr>
                <w:rFonts w:ascii="Arial" w:cs="Arial" w:eastAsia="Arial" w:hAnsi="Arial"/>
                <w:sz w:val="13"/>
                <w:szCs w:val="13"/>
                <w:b w:val="1"/>
                <w:bCs w:val="1"/>
                <w:color w:val="auto"/>
                <w:w w:val="99"/>
              </w:rPr>
              <w:t xml:space="preserve">Shares </w:t>
            </w:r>
            <w:r>
              <w:rPr>
                <w:rFonts w:ascii="Arial" w:cs="Arial" w:eastAsia="Arial" w:hAnsi="Arial"/>
                <w:sz w:val="16"/>
                <w:szCs w:val="16"/>
                <w:b w:val="1"/>
                <w:bCs w:val="1"/>
                <w:color w:val="auto"/>
                <w:w w:val="99"/>
                <w:vertAlign w:val="superscript"/>
              </w:rPr>
              <w:t>(1)</w:t>
            </w:r>
          </w:p>
        </w:tc>
        <w:tc>
          <w:tcPr>
            <w:tcW w:w="80" w:type="dxa"/>
            <w:vAlign w:val="bottom"/>
            <w:vMerge w:val="restart"/>
          </w:tcPr>
          <w:p>
            <w:pPr>
              <w:spacing w:after="0"/>
              <w:rPr>
                <w:sz w:val="8"/>
                <w:szCs w:val="8"/>
                <w:color w:val="auto"/>
              </w:rPr>
            </w:pPr>
          </w:p>
        </w:tc>
        <w:tc>
          <w:tcPr>
            <w:tcW w:w="580" w:type="dxa"/>
            <w:vAlign w:val="bottom"/>
            <w:gridSpan w:val="4"/>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8"/>
                <w:szCs w:val="8"/>
                <w:color w:val="auto"/>
              </w:rPr>
            </w:pPr>
          </w:p>
        </w:tc>
        <w:tc>
          <w:tcPr>
            <w:tcW w:w="76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79"/>
              </w:rPr>
              <w:t xml:space="preserve">Shares </w:t>
            </w:r>
            <w:r>
              <w:rPr>
                <w:rFonts w:ascii="Arial" w:cs="Arial" w:eastAsia="Arial" w:hAnsi="Arial"/>
                <w:sz w:val="16"/>
                <w:szCs w:val="16"/>
                <w:b w:val="1"/>
                <w:bCs w:val="1"/>
                <w:color w:val="auto"/>
                <w:w w:val="79"/>
                <w:vertAlign w:val="superscript"/>
              </w:rPr>
              <w:t>(1)</w:t>
            </w:r>
          </w:p>
        </w:tc>
        <w:tc>
          <w:tcPr>
            <w:tcW w:w="80" w:type="dxa"/>
            <w:vAlign w:val="bottom"/>
            <w:vMerge w:val="restart"/>
          </w:tcPr>
          <w:p>
            <w:pPr>
              <w:spacing w:after="0"/>
              <w:rPr>
                <w:sz w:val="8"/>
                <w:szCs w:val="8"/>
                <w:color w:val="auto"/>
              </w:rPr>
            </w:pPr>
          </w:p>
        </w:tc>
        <w:tc>
          <w:tcPr>
            <w:tcW w:w="580" w:type="dxa"/>
            <w:vAlign w:val="bottom"/>
            <w:gridSpan w:val="4"/>
            <w:vMerge w:val="restart"/>
          </w:tcPr>
          <w:p>
            <w:pPr>
              <w:jc w:val="right"/>
              <w:ind w:right="17"/>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vMerge w:val="restart"/>
          </w:tcPr>
          <w:p>
            <w:pPr>
              <w:spacing w:after="0"/>
              <w:rPr>
                <w:sz w:val="8"/>
                <w:szCs w:val="8"/>
                <w:color w:val="auto"/>
              </w:rPr>
            </w:pPr>
          </w:p>
        </w:tc>
        <w:tc>
          <w:tcPr>
            <w:tcW w:w="760" w:type="dxa"/>
            <w:vAlign w:val="bottom"/>
            <w:gridSpan w:val="3"/>
            <w:vMerge w:val="restart"/>
          </w:tcPr>
          <w:p>
            <w:pPr>
              <w:jc w:val="right"/>
              <w:ind w:right="77"/>
              <w:spacing w:after="0"/>
              <w:rPr>
                <w:sz w:val="20"/>
                <w:szCs w:val="20"/>
                <w:color w:val="auto"/>
              </w:rPr>
            </w:pPr>
            <w:r>
              <w:rPr>
                <w:rFonts w:ascii="Arial" w:cs="Arial" w:eastAsia="Arial" w:hAnsi="Arial"/>
                <w:sz w:val="13"/>
                <w:szCs w:val="13"/>
                <w:b w:val="1"/>
                <w:bCs w:val="1"/>
                <w:color w:val="auto"/>
                <w:w w:val="99"/>
              </w:rPr>
              <w:t xml:space="preserve">Shares </w:t>
            </w:r>
            <w:r>
              <w:rPr>
                <w:rFonts w:ascii="Arial" w:cs="Arial" w:eastAsia="Arial" w:hAnsi="Arial"/>
                <w:sz w:val="16"/>
                <w:szCs w:val="16"/>
                <w:b w:val="1"/>
                <w:bCs w:val="1"/>
                <w:color w:val="auto"/>
                <w:w w:val="99"/>
                <w:vertAlign w:val="superscript"/>
              </w:rPr>
              <w:t>(1)</w:t>
            </w:r>
          </w:p>
        </w:tc>
        <w:tc>
          <w:tcPr>
            <w:tcW w:w="80" w:type="dxa"/>
            <w:vAlign w:val="bottom"/>
            <w:vMerge w:val="restart"/>
          </w:tcPr>
          <w:p>
            <w:pPr>
              <w:spacing w:after="0"/>
              <w:rPr>
                <w:sz w:val="8"/>
                <w:szCs w:val="8"/>
                <w:color w:val="auto"/>
              </w:rPr>
            </w:pPr>
          </w:p>
        </w:tc>
        <w:tc>
          <w:tcPr>
            <w:tcW w:w="560" w:type="dxa"/>
            <w:vAlign w:val="bottom"/>
            <w:gridSpan w:val="4"/>
            <w:vMerge w:val="restart"/>
          </w:tcPr>
          <w:p>
            <w:pPr>
              <w:ind w:left="60"/>
              <w:spacing w:after="0"/>
              <w:rPr>
                <w:sz w:val="20"/>
                <w:szCs w:val="20"/>
                <w:color w:val="auto"/>
              </w:rPr>
            </w:pPr>
            <w:r>
              <w:rPr>
                <w:rFonts w:ascii="Arial" w:cs="Arial" w:eastAsia="Arial" w:hAnsi="Arial"/>
                <w:sz w:val="13"/>
                <w:szCs w:val="13"/>
                <w:b w:val="1"/>
                <w:bCs w:val="1"/>
                <w:color w:val="auto"/>
                <w:w w:val="97"/>
              </w:rPr>
              <w:t>Amount</w:t>
            </w:r>
          </w:p>
        </w:tc>
        <w:tc>
          <w:tcPr>
            <w:tcW w:w="2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3"/>
            <w:vMerge w:val="restart"/>
          </w:tcPr>
          <w:p>
            <w:pPr>
              <w:jc w:val="right"/>
              <w:ind w:right="77"/>
              <w:spacing w:after="0"/>
              <w:rPr>
                <w:sz w:val="20"/>
                <w:szCs w:val="20"/>
                <w:color w:val="auto"/>
              </w:rPr>
            </w:pPr>
            <w:r>
              <w:rPr>
                <w:rFonts w:ascii="Arial" w:cs="Arial" w:eastAsia="Arial" w:hAnsi="Arial"/>
                <w:sz w:val="13"/>
                <w:szCs w:val="13"/>
                <w:b w:val="1"/>
                <w:bCs w:val="1"/>
                <w:color w:val="auto"/>
                <w:w w:val="99"/>
              </w:rPr>
              <w:t xml:space="preserve">Shares </w:t>
            </w:r>
            <w:r>
              <w:rPr>
                <w:rFonts w:ascii="Arial" w:cs="Arial" w:eastAsia="Arial" w:hAnsi="Arial"/>
                <w:sz w:val="16"/>
                <w:szCs w:val="16"/>
                <w:b w:val="1"/>
                <w:bCs w:val="1"/>
                <w:color w:val="auto"/>
                <w:w w:val="99"/>
                <w:vertAlign w:val="superscript"/>
              </w:rPr>
              <w:t>(1)</w:t>
            </w:r>
          </w:p>
        </w:tc>
        <w:tc>
          <w:tcPr>
            <w:tcW w:w="80" w:type="dxa"/>
            <w:vAlign w:val="bottom"/>
            <w:vMerge w:val="restart"/>
          </w:tcPr>
          <w:p>
            <w:pPr>
              <w:spacing w:after="0"/>
              <w:rPr>
                <w:sz w:val="8"/>
                <w:szCs w:val="8"/>
                <w:color w:val="auto"/>
              </w:rPr>
            </w:pPr>
          </w:p>
        </w:tc>
        <w:tc>
          <w:tcPr>
            <w:tcW w:w="520" w:type="dxa"/>
            <w:vAlign w:val="bottom"/>
            <w:gridSpan w:val="4"/>
            <w:vMerge w:val="restart"/>
          </w:tcPr>
          <w:p>
            <w:pPr>
              <w:ind w:left="40"/>
              <w:spacing w:after="0"/>
              <w:rPr>
                <w:sz w:val="20"/>
                <w:szCs w:val="20"/>
                <w:color w:val="auto"/>
              </w:rPr>
            </w:pPr>
            <w:r>
              <w:rPr>
                <w:rFonts w:ascii="Arial" w:cs="Arial" w:eastAsia="Arial" w:hAnsi="Arial"/>
                <w:sz w:val="13"/>
                <w:szCs w:val="13"/>
                <w:b w:val="1"/>
                <w:bCs w:val="1"/>
                <w:color w:val="auto"/>
                <w:w w:val="93"/>
              </w:rPr>
              <w:t>Amount</w:t>
            </w: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580" w:type="dxa"/>
            <w:vAlign w:val="bottom"/>
            <w:gridSpan w:val="4"/>
          </w:tcPr>
          <w:p>
            <w:pPr>
              <w:jc w:val="right"/>
              <w:ind w:right="59"/>
              <w:spacing w:after="0" w:line="102" w:lineRule="exact"/>
              <w:rPr>
                <w:sz w:val="20"/>
                <w:szCs w:val="20"/>
                <w:color w:val="auto"/>
              </w:rPr>
            </w:pPr>
            <w:r>
              <w:rPr>
                <w:rFonts w:ascii="Arial" w:cs="Arial" w:eastAsia="Arial" w:hAnsi="Arial"/>
                <w:sz w:val="10"/>
                <w:szCs w:val="10"/>
                <w:b w:val="1"/>
                <w:bCs w:val="1"/>
                <w:color w:val="auto"/>
              </w:rPr>
              <w:t>Paid-in</w:t>
            </w:r>
          </w:p>
        </w:tc>
        <w:tc>
          <w:tcPr>
            <w:tcW w:w="80" w:type="dxa"/>
            <w:vAlign w:val="bottom"/>
          </w:tcPr>
          <w:p>
            <w:pPr>
              <w:spacing w:after="0"/>
              <w:rPr>
                <w:sz w:val="8"/>
                <w:szCs w:val="8"/>
                <w:color w:val="auto"/>
              </w:rPr>
            </w:pPr>
          </w:p>
        </w:tc>
        <w:tc>
          <w:tcPr>
            <w:tcW w:w="920" w:type="dxa"/>
            <w:vAlign w:val="bottom"/>
            <w:gridSpan w:val="3"/>
          </w:tcPr>
          <w:p>
            <w:pPr>
              <w:jc w:val="center"/>
              <w:spacing w:after="0" w:line="102" w:lineRule="exact"/>
              <w:rPr>
                <w:sz w:val="20"/>
                <w:szCs w:val="20"/>
                <w:color w:val="auto"/>
              </w:rPr>
            </w:pPr>
            <w:r>
              <w:rPr>
                <w:rFonts w:ascii="Arial" w:cs="Arial" w:eastAsia="Arial" w:hAnsi="Arial"/>
                <w:sz w:val="10"/>
                <w:szCs w:val="10"/>
                <w:b w:val="1"/>
                <w:bCs w:val="1"/>
                <w:color w:val="auto"/>
              </w:rPr>
              <w:t>Comprehensive</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gridSpan w:val="5"/>
          </w:tcPr>
          <w:p>
            <w:pPr>
              <w:ind w:left="40"/>
              <w:spacing w:after="0" w:line="102" w:lineRule="exact"/>
              <w:rPr>
                <w:sz w:val="20"/>
                <w:szCs w:val="20"/>
                <w:color w:val="auto"/>
              </w:rPr>
            </w:pPr>
            <w:r>
              <w:rPr>
                <w:rFonts w:ascii="Arial" w:cs="Arial" w:eastAsia="Arial" w:hAnsi="Arial"/>
                <w:sz w:val="10"/>
                <w:szCs w:val="10"/>
                <w:b w:val="1"/>
                <w:bCs w:val="1"/>
                <w:color w:val="auto"/>
              </w:rPr>
              <w:t>Accumulated</w:t>
            </w: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CCEEFF"/>
            </w:tcBorders>
          </w:tcPr>
          <w:p>
            <w:pPr>
              <w:spacing w:after="0"/>
              <w:rPr>
                <w:sz w:val="15"/>
                <w:szCs w:val="15"/>
                <w:color w:val="auto"/>
              </w:rPr>
            </w:pPr>
          </w:p>
        </w:tc>
        <w:tc>
          <w:tcPr>
            <w:tcW w:w="1680" w:type="dxa"/>
            <w:vAlign w:val="bottom"/>
            <w:tcBorders>
              <w:bottom w:val="single" w:sz="8" w:color="CCEEFF"/>
            </w:tcBorders>
            <w:gridSpan w:val="3"/>
          </w:tcPr>
          <w:p>
            <w:pPr>
              <w:spacing w:after="0"/>
              <w:rPr>
                <w:sz w:val="20"/>
                <w:szCs w:val="20"/>
                <w:color w:val="auto"/>
              </w:rPr>
            </w:pPr>
            <w:r>
              <w:rPr>
                <w:rFonts w:ascii="Arial" w:cs="Arial" w:eastAsia="Arial" w:hAnsi="Arial"/>
                <w:sz w:val="13"/>
                <w:szCs w:val="13"/>
                <w:i w:val="1"/>
                <w:iCs w:val="1"/>
                <w:color w:val="auto"/>
              </w:rPr>
              <w:t>amounts)</w:t>
            </w:r>
          </w:p>
        </w:tc>
        <w:tc>
          <w:tcPr>
            <w:tcW w:w="6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gridSpan w:val="4"/>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580" w:type="dxa"/>
            <w:vAlign w:val="bottom"/>
            <w:tcBorders>
              <w:bottom w:val="single" w:sz="8" w:color="auto"/>
            </w:tcBorders>
            <w:gridSpan w:val="4"/>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gridSpan w:val="4"/>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580" w:type="dxa"/>
            <w:vAlign w:val="bottom"/>
            <w:tcBorders>
              <w:bottom w:val="single" w:sz="8" w:color="auto"/>
            </w:tcBorders>
            <w:gridSpan w:val="4"/>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760" w:type="dxa"/>
            <w:vAlign w:val="bottom"/>
            <w:tcBorders>
              <w:bottom w:val="single" w:sz="8" w:color="auto"/>
            </w:tcBorders>
            <w:gridSpan w:val="3"/>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560" w:type="dxa"/>
            <w:vAlign w:val="bottom"/>
            <w:tcBorders>
              <w:bottom w:val="single" w:sz="8" w:color="auto"/>
            </w:tcBorders>
            <w:gridSpan w:val="4"/>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right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gridSpan w:val="3"/>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520" w:type="dxa"/>
            <w:vAlign w:val="bottom"/>
            <w:tcBorders>
              <w:bottom w:val="single" w:sz="8" w:color="auto"/>
            </w:tcBorders>
            <w:gridSpan w:val="4"/>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8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3"/>
                <w:szCs w:val="13"/>
                <w:b w:val="1"/>
                <w:bCs w:val="1"/>
                <w:color w:val="auto"/>
              </w:rPr>
              <w:t>Capital</w:t>
            </w: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6"/>
              </w:rPr>
              <w:t>Income (Loss)</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Deficit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38"/>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68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w w:val="86"/>
              </w:rPr>
              <w:t>Balances at December 31, 2020</w:t>
            </w: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3"/>
                <w:szCs w:val="13"/>
                <w:color w:val="auto"/>
              </w:rPr>
              <w:t>13,174,805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w w:val="98"/>
              </w:rPr>
              <w:t>5,494</w:t>
            </w:r>
          </w:p>
        </w:tc>
        <w:tc>
          <w:tcPr>
            <w:tcW w:w="840" w:type="dxa"/>
            <w:vAlign w:val="bottom"/>
            <w:gridSpan w:val="5"/>
            <w:shd w:val="clear" w:color="auto" w:fill="CCEEFF"/>
          </w:tcPr>
          <w:p>
            <w:pPr>
              <w:jc w:val="right"/>
              <w:spacing w:after="0"/>
              <w:rPr>
                <w:sz w:val="20"/>
                <w:szCs w:val="20"/>
                <w:color w:val="auto"/>
              </w:rPr>
            </w:pPr>
            <w:r>
              <w:rPr>
                <w:rFonts w:ascii="Arial" w:cs="Arial" w:eastAsia="Arial" w:hAnsi="Arial"/>
                <w:sz w:val="13"/>
                <w:szCs w:val="13"/>
                <w:color w:val="auto"/>
              </w:rPr>
              <w:t>16,836,436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27,067</w:t>
            </w:r>
          </w:p>
        </w:tc>
        <w:tc>
          <w:tcPr>
            <w:tcW w:w="8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22,164,724</w:t>
            </w:r>
          </w:p>
        </w:tc>
        <w:tc>
          <w:tcPr>
            <w:tcW w:w="8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w w:val="92"/>
              </w:rPr>
              <w:t>$  75,857</w:t>
            </w:r>
          </w:p>
        </w:tc>
        <w:tc>
          <w:tcPr>
            <w:tcW w:w="120" w:type="dxa"/>
            <w:vAlign w:val="bottom"/>
            <w:tcBorders>
              <w:right w:val="single" w:sz="8" w:color="auto"/>
            </w:tcBorders>
            <w:gridSpan w:val="2"/>
            <w:shd w:val="clear" w:color="auto" w:fill="CCEEFF"/>
          </w:tcPr>
          <w:p>
            <w:pPr>
              <w:spacing w:after="0"/>
              <w:rPr>
                <w:sz w:val="17"/>
                <w:szCs w:val="17"/>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33,069,513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7"/>
                <w:szCs w:val="17"/>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70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24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66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w w:val="90"/>
              </w:rPr>
              <w:t>(30,325)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(29,721)</w:t>
            </w:r>
          </w:p>
        </w:tc>
        <w:tc>
          <w:tcPr>
            <w:tcW w:w="0" w:type="dxa"/>
            <w:vAlign w:val="bottom"/>
          </w:tcPr>
          <w:p>
            <w:pPr>
              <w:spacing w:after="0"/>
              <w:rPr>
                <w:sz w:val="1"/>
                <w:szCs w:val="1"/>
                <w:color w:val="auto"/>
              </w:rPr>
            </w:pPr>
          </w:p>
        </w:tc>
      </w:tr>
      <w:tr>
        <w:trPr>
          <w:trHeight w:val="122"/>
        </w:trPr>
        <w:tc>
          <w:tcPr>
            <w:tcW w:w="6280" w:type="dxa"/>
            <w:vAlign w:val="bottom"/>
            <w:tcBorders>
              <w:right w:val="single" w:sz="8" w:color="auto"/>
            </w:tcBorders>
            <w:gridSpan w:val="35"/>
          </w:tcPr>
          <w:p>
            <w:pPr>
              <w:spacing w:after="0"/>
              <w:rPr>
                <w:sz w:val="20"/>
                <w:szCs w:val="20"/>
                <w:color w:val="auto"/>
              </w:rPr>
            </w:pPr>
            <w:r>
              <w:rPr>
                <w:rFonts w:ascii="Arial" w:cs="Arial" w:eastAsia="Arial" w:hAnsi="Arial"/>
                <w:sz w:val="13"/>
                <w:szCs w:val="13"/>
                <w:color w:val="auto"/>
              </w:rPr>
              <w:t>Issuance of common stock upon</w:t>
            </w:r>
          </w:p>
        </w:tc>
        <w:tc>
          <w:tcPr>
            <w:tcW w:w="4960" w:type="dxa"/>
            <w:vAlign w:val="bottom"/>
            <w:gridSpan w:val="28"/>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80" w:type="dxa"/>
            <w:vAlign w:val="bottom"/>
            <w:gridSpan w:val="3"/>
          </w:tcPr>
          <w:p>
            <w:pPr>
              <w:ind w:left="160"/>
              <w:spacing w:after="0" w:line="122" w:lineRule="exact"/>
              <w:rPr>
                <w:sz w:val="20"/>
                <w:szCs w:val="20"/>
                <w:color w:val="auto"/>
              </w:rPr>
            </w:pPr>
            <w:r>
              <w:rPr>
                <w:rFonts w:ascii="Arial" w:cs="Arial" w:eastAsia="Arial" w:hAnsi="Arial"/>
                <w:sz w:val="13"/>
                <w:szCs w:val="13"/>
                <w:color w:val="auto"/>
              </w:rPr>
              <w:t>exercise of vested stock</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gridSpan w:val="4"/>
            <w:vMerge w:val="restart"/>
          </w:tcPr>
          <w:p>
            <w:pPr>
              <w:jc w:val="right"/>
              <w:ind w:right="140"/>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0"/>
                <w:szCs w:val="10"/>
                <w:color w:val="auto"/>
              </w:rPr>
            </w:pPr>
          </w:p>
        </w:tc>
        <w:tc>
          <w:tcPr>
            <w:tcW w:w="40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gridSpan w:val="3"/>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gridSpan w:val="3"/>
            <w:vMerge w:val="restart"/>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20" w:type="dxa"/>
            <w:vAlign w:val="bottom"/>
            <w:gridSpan w:val="4"/>
            <w:vMerge w:val="restart"/>
          </w:tcPr>
          <w:p>
            <w:pPr>
              <w:jc w:val="right"/>
              <w:spacing w:after="0"/>
              <w:rPr>
                <w:sz w:val="20"/>
                <w:szCs w:val="20"/>
                <w:color w:val="auto"/>
              </w:rPr>
            </w:pPr>
            <w:r>
              <w:rPr>
                <w:rFonts w:ascii="Arial" w:cs="Arial" w:eastAsia="Arial" w:hAnsi="Arial"/>
                <w:sz w:val="13"/>
                <w:szCs w:val="13"/>
                <w:color w:val="auto"/>
              </w:rPr>
              <w:t>65,003</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gridSpan w:val="3"/>
            <w:vMerge w:val="restart"/>
          </w:tcPr>
          <w:p>
            <w:pPr>
              <w:jc w:val="right"/>
              <w:spacing w:after="0"/>
              <w:rPr>
                <w:sz w:val="20"/>
                <w:szCs w:val="20"/>
                <w:color w:val="auto"/>
              </w:rPr>
            </w:pPr>
            <w:r>
              <w:rPr>
                <w:rFonts w:ascii="Arial" w:cs="Arial" w:eastAsia="Arial" w:hAnsi="Arial"/>
                <w:sz w:val="13"/>
                <w:szCs w:val="13"/>
                <w:color w:val="auto"/>
              </w:rPr>
              <w:t>46</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gridSpan w:val="2"/>
            <w:vMerge w:val="restart"/>
          </w:tcPr>
          <w:p>
            <w:pPr>
              <w:ind w:lef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680" w:type="dxa"/>
            <w:vAlign w:val="bottom"/>
            <w:gridSpan w:val="3"/>
          </w:tcPr>
          <w:p>
            <w:pPr>
              <w:ind w:left="160"/>
              <w:spacing w:after="0"/>
              <w:rPr>
                <w:sz w:val="20"/>
                <w:szCs w:val="20"/>
                <w:color w:val="auto"/>
              </w:rPr>
            </w:pPr>
            <w:r>
              <w:rPr>
                <w:rFonts w:ascii="Arial" w:cs="Arial" w:eastAsia="Arial" w:hAnsi="Arial"/>
                <w:sz w:val="13"/>
                <w:szCs w:val="13"/>
                <w:color w:val="auto"/>
              </w:rPr>
              <w:t>options</w:t>
            </w: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120" w:type="dxa"/>
            <w:vAlign w:val="bottom"/>
            <w:tcBorders>
              <w:right w:val="single" w:sz="8" w:color="auto"/>
            </w:tcBorders>
            <w:gridSpan w:val="2"/>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68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w w:val="89"/>
              </w:rPr>
              <w:t>Issuance of common stock upon</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gridSpan w:val="4"/>
            <w:vMerge w:val="restart"/>
            <w:shd w:val="clear" w:color="auto" w:fill="CCEEFF"/>
          </w:tcPr>
          <w:p>
            <w:pPr>
              <w:jc w:val="right"/>
              <w:ind w:right="140"/>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CEEFF"/>
          </w:tcPr>
          <w:p>
            <w:pPr>
              <w:spacing w:after="0"/>
              <w:rPr>
                <w:sz w:val="11"/>
                <w:szCs w:val="11"/>
                <w:color w:val="auto"/>
              </w:rPr>
            </w:pPr>
          </w:p>
        </w:tc>
        <w:tc>
          <w:tcPr>
            <w:tcW w:w="40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20" w:type="dxa"/>
            <w:vAlign w:val="bottom"/>
            <w:gridSpan w:val="4"/>
            <w:vMerge w:val="restart"/>
            <w:shd w:val="clear" w:color="auto" w:fill="CCEEFF"/>
          </w:tcPr>
          <w:p>
            <w:pPr>
              <w:jc w:val="right"/>
              <w:spacing w:after="0"/>
              <w:rPr>
                <w:sz w:val="20"/>
                <w:szCs w:val="20"/>
                <w:color w:val="auto"/>
              </w:rPr>
            </w:pPr>
            <w:r>
              <w:rPr>
                <w:rFonts w:ascii="Arial" w:cs="Arial" w:eastAsia="Arial" w:hAnsi="Arial"/>
                <w:sz w:val="13"/>
                <w:szCs w:val="13"/>
                <w:color w:val="auto"/>
              </w:rPr>
              <w:t>62,772</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680" w:type="dxa"/>
            <w:vAlign w:val="bottom"/>
            <w:gridSpan w:val="3"/>
            <w:shd w:val="clear" w:color="auto" w:fill="CCEEFF"/>
          </w:tcPr>
          <w:p>
            <w:pPr>
              <w:ind w:left="160"/>
              <w:spacing w:after="0"/>
              <w:rPr>
                <w:sz w:val="20"/>
                <w:szCs w:val="20"/>
                <w:color w:val="auto"/>
              </w:rPr>
            </w:pPr>
            <w:r>
              <w:rPr>
                <w:rFonts w:ascii="Arial" w:cs="Arial" w:eastAsia="Arial" w:hAnsi="Arial"/>
                <w:sz w:val="13"/>
                <w:szCs w:val="13"/>
                <w:color w:val="auto"/>
              </w:rPr>
              <w:t>exercise of warrants</w:t>
            </w: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0" w:type="dxa"/>
            <w:vAlign w:val="bottom"/>
            <w:gridSpan w:val="4"/>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20" w:type="dxa"/>
            <w:vAlign w:val="bottom"/>
            <w:gridSpan w:val="3"/>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gridSpan w:val="3"/>
            <w:vMerge w:val="continue"/>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200" w:type="dxa"/>
            <w:vAlign w:val="bottom"/>
            <w:gridSpan w:val="2"/>
            <w:vMerge w:val="continue"/>
            <w:shd w:val="clear" w:color="auto" w:fill="CCEEFF"/>
          </w:tcPr>
          <w:p>
            <w:pPr>
              <w:spacing w:after="0"/>
              <w:rPr>
                <w:sz w:val="15"/>
                <w:szCs w:val="15"/>
                <w:color w:val="auto"/>
              </w:rPr>
            </w:pPr>
          </w:p>
        </w:tc>
        <w:tc>
          <w:tcPr>
            <w:tcW w:w="120" w:type="dxa"/>
            <w:vAlign w:val="bottom"/>
            <w:tcBorders>
              <w:right w:val="single" w:sz="8" w:color="auto"/>
            </w:tcBorders>
            <w:gridSpan w:val="2"/>
            <w:shd w:val="clear" w:color="auto" w:fill="CCEEFF"/>
          </w:tcPr>
          <w:p>
            <w:pPr>
              <w:spacing w:after="0"/>
              <w:rPr>
                <w:sz w:val="15"/>
                <w:szCs w:val="15"/>
                <w:color w:val="auto"/>
              </w:rPr>
            </w:pPr>
          </w:p>
        </w:tc>
        <w:tc>
          <w:tcPr>
            <w:tcW w:w="820" w:type="dxa"/>
            <w:vAlign w:val="bottom"/>
            <w:gridSpan w:val="4"/>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6280" w:type="dxa"/>
            <w:vAlign w:val="bottom"/>
            <w:tcBorders>
              <w:right w:val="single" w:sz="8" w:color="auto"/>
            </w:tcBorders>
            <w:gridSpan w:val="35"/>
          </w:tcPr>
          <w:p>
            <w:pPr>
              <w:spacing w:after="0"/>
              <w:rPr>
                <w:sz w:val="20"/>
                <w:szCs w:val="20"/>
                <w:color w:val="auto"/>
              </w:rPr>
            </w:pPr>
            <w:r>
              <w:rPr>
                <w:rFonts w:ascii="Arial" w:cs="Arial" w:eastAsia="Arial" w:hAnsi="Arial"/>
                <w:sz w:val="13"/>
                <w:szCs w:val="13"/>
                <w:color w:val="auto"/>
              </w:rPr>
              <w:t>Conversion of redeemable</w:t>
            </w:r>
          </w:p>
        </w:tc>
        <w:tc>
          <w:tcPr>
            <w:tcW w:w="4960" w:type="dxa"/>
            <w:vAlign w:val="bottom"/>
            <w:gridSpan w:val="28"/>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80" w:type="dxa"/>
            <w:vAlign w:val="bottom"/>
            <w:tcBorders>
              <w:right w:val="single" w:sz="8" w:color="auto"/>
            </w:tcBorders>
            <w:gridSpan w:val="35"/>
          </w:tcPr>
          <w:p>
            <w:pPr>
              <w:spacing w:after="0"/>
              <w:rPr>
                <w:sz w:val="20"/>
                <w:szCs w:val="20"/>
                <w:color w:val="auto"/>
              </w:rPr>
            </w:pPr>
            <w:r>
              <w:rPr>
                <w:rFonts w:ascii="Arial" w:cs="Arial" w:eastAsia="Arial" w:hAnsi="Arial"/>
                <w:sz w:val="13"/>
                <w:szCs w:val="13"/>
                <w:color w:val="auto"/>
              </w:rPr>
              <w:t>convertible preferred stock</w:t>
            </w:r>
          </w:p>
        </w:tc>
        <w:tc>
          <w:tcPr>
            <w:tcW w:w="4960" w:type="dxa"/>
            <w:vAlign w:val="bottom"/>
            <w:gridSpan w:val="28"/>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280" w:type="dxa"/>
            <w:vAlign w:val="bottom"/>
            <w:tcBorders>
              <w:right w:val="single" w:sz="8" w:color="auto"/>
            </w:tcBorders>
            <w:gridSpan w:val="35"/>
          </w:tcPr>
          <w:p>
            <w:pPr>
              <w:spacing w:after="0"/>
              <w:rPr>
                <w:sz w:val="20"/>
                <w:szCs w:val="20"/>
                <w:color w:val="auto"/>
              </w:rPr>
            </w:pPr>
            <w:r>
              <w:rPr>
                <w:rFonts w:ascii="Arial" w:cs="Arial" w:eastAsia="Arial" w:hAnsi="Arial"/>
                <w:sz w:val="13"/>
                <w:szCs w:val="13"/>
                <w:color w:val="auto"/>
              </w:rPr>
              <w:t>into common stock in</w:t>
            </w:r>
          </w:p>
        </w:tc>
        <w:tc>
          <w:tcPr>
            <w:tcW w:w="4960" w:type="dxa"/>
            <w:vAlign w:val="bottom"/>
            <w:gridSpan w:val="28"/>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80" w:type="dxa"/>
            <w:vAlign w:val="bottom"/>
            <w:gridSpan w:val="3"/>
          </w:tcPr>
          <w:p>
            <w:pPr>
              <w:ind w:left="160"/>
              <w:spacing w:after="0" w:line="122" w:lineRule="exact"/>
              <w:rPr>
                <w:sz w:val="20"/>
                <w:szCs w:val="20"/>
                <w:color w:val="auto"/>
              </w:rPr>
            </w:pPr>
            <w:r>
              <w:rPr>
                <w:rFonts w:ascii="Arial" w:cs="Arial" w:eastAsia="Arial" w:hAnsi="Arial"/>
                <w:sz w:val="13"/>
                <w:szCs w:val="13"/>
                <w:color w:val="auto"/>
                <w:w w:val="94"/>
              </w:rPr>
              <w:t>connection with the reverse</w:t>
            </w:r>
          </w:p>
        </w:tc>
        <w:tc>
          <w:tcPr>
            <w:tcW w:w="820" w:type="dxa"/>
            <w:vAlign w:val="bottom"/>
            <w:gridSpan w:val="5"/>
            <w:vMerge w:val="restart"/>
          </w:tcPr>
          <w:p>
            <w:pPr>
              <w:jc w:val="right"/>
              <w:spacing w:after="0"/>
              <w:rPr>
                <w:sz w:val="20"/>
                <w:szCs w:val="20"/>
                <w:color w:val="auto"/>
              </w:rPr>
            </w:pPr>
            <w:r>
              <w:rPr>
                <w:rFonts w:ascii="Arial" w:cs="Arial" w:eastAsia="Arial" w:hAnsi="Arial"/>
                <w:sz w:val="13"/>
                <w:szCs w:val="13"/>
                <w:color w:val="auto"/>
              </w:rPr>
              <w:t>(13,174,805)</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gridSpan w:val="3"/>
            <w:vMerge w:val="restart"/>
          </w:tcPr>
          <w:p>
            <w:pPr>
              <w:jc w:val="right"/>
              <w:spacing w:after="0"/>
              <w:rPr>
                <w:sz w:val="20"/>
                <w:szCs w:val="20"/>
                <w:color w:val="auto"/>
              </w:rPr>
            </w:pPr>
            <w:r>
              <w:rPr>
                <w:rFonts w:ascii="Arial" w:cs="Arial" w:eastAsia="Arial" w:hAnsi="Arial"/>
                <w:sz w:val="13"/>
                <w:szCs w:val="13"/>
                <w:color w:val="auto"/>
                <w:w w:val="87"/>
              </w:rPr>
              <w:t>(5,494)</w:t>
            </w:r>
          </w:p>
        </w:tc>
        <w:tc>
          <w:tcPr>
            <w:tcW w:w="840" w:type="dxa"/>
            <w:vAlign w:val="bottom"/>
            <w:gridSpan w:val="5"/>
            <w:vMerge w:val="restart"/>
          </w:tcPr>
          <w:p>
            <w:pPr>
              <w:jc w:val="right"/>
              <w:spacing w:after="0"/>
              <w:rPr>
                <w:sz w:val="20"/>
                <w:szCs w:val="20"/>
                <w:color w:val="auto"/>
              </w:rPr>
            </w:pPr>
            <w:r>
              <w:rPr>
                <w:rFonts w:ascii="Arial" w:cs="Arial" w:eastAsia="Arial" w:hAnsi="Arial"/>
                <w:sz w:val="13"/>
                <w:szCs w:val="13"/>
                <w:color w:val="auto"/>
              </w:rPr>
              <w:t>(16,836,436)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3"/>
            <w:vMerge w:val="restart"/>
          </w:tcPr>
          <w:p>
            <w:pPr>
              <w:jc w:val="right"/>
              <w:spacing w:after="0"/>
              <w:rPr>
                <w:sz w:val="20"/>
                <w:szCs w:val="20"/>
                <w:color w:val="auto"/>
              </w:rPr>
            </w:pPr>
            <w:r>
              <w:rPr>
                <w:rFonts w:ascii="Arial" w:cs="Arial" w:eastAsia="Arial" w:hAnsi="Arial"/>
                <w:sz w:val="13"/>
                <w:szCs w:val="13"/>
                <w:color w:val="auto"/>
                <w:w w:val="90"/>
              </w:rPr>
              <w:t>(27,067)</w:t>
            </w:r>
          </w:p>
        </w:tc>
        <w:tc>
          <w:tcPr>
            <w:tcW w:w="80" w:type="dxa"/>
            <w:vAlign w:val="bottom"/>
          </w:tcPr>
          <w:p>
            <w:pPr>
              <w:spacing w:after="0"/>
              <w:rPr>
                <w:sz w:val="10"/>
                <w:szCs w:val="10"/>
                <w:color w:val="auto"/>
              </w:rPr>
            </w:pPr>
          </w:p>
        </w:tc>
        <w:tc>
          <w:tcPr>
            <w:tcW w:w="760" w:type="dxa"/>
            <w:vAlign w:val="bottom"/>
            <w:gridSpan w:val="3"/>
            <w:vMerge w:val="restart"/>
          </w:tcPr>
          <w:p>
            <w:pPr>
              <w:jc w:val="right"/>
              <w:spacing w:after="0"/>
              <w:rPr>
                <w:sz w:val="20"/>
                <w:szCs w:val="20"/>
                <w:color w:val="auto"/>
              </w:rPr>
            </w:pPr>
            <w:r>
              <w:rPr>
                <w:rFonts w:ascii="Arial" w:cs="Arial" w:eastAsia="Arial" w:hAnsi="Arial"/>
                <w:sz w:val="13"/>
                <w:szCs w:val="13"/>
                <w:color w:val="auto"/>
                <w:w w:val="94"/>
              </w:rPr>
              <w:t>(22,164,724)</w:t>
            </w:r>
          </w:p>
        </w:tc>
        <w:tc>
          <w:tcPr>
            <w:tcW w:w="80" w:type="dxa"/>
            <w:vAlign w:val="bottom"/>
          </w:tcPr>
          <w:p>
            <w:pPr>
              <w:spacing w:after="0"/>
              <w:rPr>
                <w:sz w:val="10"/>
                <w:szCs w:val="10"/>
                <w:color w:val="auto"/>
              </w:rPr>
            </w:pPr>
          </w:p>
        </w:tc>
        <w:tc>
          <w:tcPr>
            <w:tcW w:w="560" w:type="dxa"/>
            <w:vAlign w:val="bottom"/>
            <w:gridSpan w:val="4"/>
            <w:vMerge w:val="restart"/>
          </w:tcPr>
          <w:p>
            <w:pPr>
              <w:jc w:val="right"/>
              <w:spacing w:after="0"/>
              <w:rPr>
                <w:sz w:val="20"/>
                <w:szCs w:val="20"/>
                <w:color w:val="auto"/>
              </w:rPr>
            </w:pPr>
            <w:r>
              <w:rPr>
                <w:rFonts w:ascii="Arial" w:cs="Arial" w:eastAsia="Arial" w:hAnsi="Arial"/>
                <w:sz w:val="13"/>
                <w:szCs w:val="13"/>
                <w:color w:val="auto"/>
              </w:rPr>
              <w:t>(75,857)</w:t>
            </w:r>
          </w:p>
        </w:tc>
        <w:tc>
          <w:tcPr>
            <w:tcW w:w="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20" w:type="dxa"/>
            <w:vAlign w:val="bottom"/>
            <w:gridSpan w:val="4"/>
            <w:vMerge w:val="restart"/>
          </w:tcPr>
          <w:p>
            <w:pPr>
              <w:jc w:val="right"/>
              <w:spacing w:after="0"/>
              <w:rPr>
                <w:sz w:val="20"/>
                <w:szCs w:val="20"/>
                <w:color w:val="auto"/>
              </w:rPr>
            </w:pPr>
            <w:r>
              <w:rPr>
                <w:rFonts w:ascii="Arial" w:cs="Arial" w:eastAsia="Arial" w:hAnsi="Arial"/>
                <w:sz w:val="13"/>
                <w:szCs w:val="13"/>
                <w:color w:val="auto"/>
              </w:rPr>
              <w:t>52,175,965</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7</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4"/>
            <w:vMerge w:val="restart"/>
          </w:tcPr>
          <w:p>
            <w:pPr>
              <w:jc w:val="right"/>
              <w:spacing w:after="0"/>
              <w:rPr>
                <w:sz w:val="20"/>
                <w:szCs w:val="20"/>
                <w:color w:val="auto"/>
              </w:rPr>
            </w:pPr>
            <w:r>
              <w:rPr>
                <w:rFonts w:ascii="Arial" w:cs="Arial" w:eastAsia="Arial" w:hAnsi="Arial"/>
                <w:sz w:val="13"/>
                <w:szCs w:val="13"/>
                <w:color w:val="auto"/>
              </w:rPr>
              <w:t>108,411</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gridSpan w:val="2"/>
            <w:vMerge w:val="restart"/>
          </w:tcPr>
          <w:p>
            <w:pPr>
              <w:ind w:left="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108,418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680" w:type="dxa"/>
            <w:vAlign w:val="bottom"/>
            <w:gridSpan w:val="3"/>
          </w:tcPr>
          <w:p>
            <w:pPr>
              <w:ind w:left="160"/>
              <w:spacing w:after="0"/>
              <w:rPr>
                <w:sz w:val="20"/>
                <w:szCs w:val="20"/>
                <w:color w:val="auto"/>
              </w:rPr>
            </w:pPr>
            <w:r>
              <w:rPr>
                <w:rFonts w:ascii="Arial" w:cs="Arial" w:eastAsia="Arial" w:hAnsi="Arial"/>
                <w:sz w:val="13"/>
                <w:szCs w:val="13"/>
                <w:color w:val="auto"/>
              </w:rPr>
              <w:t>recapitalization</w:t>
            </w:r>
          </w:p>
        </w:tc>
        <w:tc>
          <w:tcPr>
            <w:tcW w:w="82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84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4"/>
            <w:vMerge w:val="continue"/>
          </w:tcPr>
          <w:p>
            <w:pPr>
              <w:spacing w:after="0"/>
              <w:rPr>
                <w:sz w:val="14"/>
                <w:szCs w:val="14"/>
                <w:color w:val="auto"/>
              </w:rPr>
            </w:pPr>
          </w:p>
        </w:tc>
        <w:tc>
          <w:tcPr>
            <w:tcW w:w="120" w:type="dxa"/>
            <w:vAlign w:val="bottom"/>
            <w:tcBorders>
              <w:right w:val="single" w:sz="8" w:color="auto"/>
            </w:tcBorders>
            <w:gridSpan w:val="2"/>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960" w:type="dxa"/>
            <w:vAlign w:val="bottom"/>
            <w:tcBorders>
              <w:right w:val="single" w:sz="8" w:color="CCEEFF"/>
            </w:tcBorders>
            <w:gridSpan w:val="31"/>
            <w:shd w:val="clear" w:color="auto" w:fill="CCEEFF"/>
          </w:tcPr>
          <w:p>
            <w:pPr>
              <w:spacing w:after="0"/>
              <w:rPr>
                <w:sz w:val="20"/>
                <w:szCs w:val="20"/>
                <w:color w:val="auto"/>
              </w:rPr>
            </w:pPr>
            <w:r>
              <w:rPr>
                <w:rFonts w:ascii="Arial" w:cs="Arial" w:eastAsia="Arial" w:hAnsi="Arial"/>
                <w:sz w:val="13"/>
                <w:szCs w:val="13"/>
                <w:color w:val="auto"/>
              </w:rPr>
              <w:t>Issuance of common stock upon</w:t>
            </w:r>
          </w:p>
        </w:tc>
        <w:tc>
          <w:tcPr>
            <w:tcW w:w="320" w:type="dxa"/>
            <w:vAlign w:val="bottom"/>
            <w:tcBorders>
              <w:right w:val="single" w:sz="8" w:color="auto"/>
            </w:tcBorders>
            <w:gridSpan w:val="4"/>
            <w:shd w:val="clear" w:color="auto" w:fill="CCEEFF"/>
          </w:tcPr>
          <w:p>
            <w:pPr>
              <w:spacing w:after="0"/>
              <w:rPr>
                <w:sz w:val="11"/>
                <w:szCs w:val="11"/>
                <w:color w:val="auto"/>
              </w:rPr>
            </w:pPr>
          </w:p>
        </w:tc>
        <w:tc>
          <w:tcPr>
            <w:tcW w:w="4960" w:type="dxa"/>
            <w:vAlign w:val="bottom"/>
            <w:gridSpan w:val="28"/>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1680" w:type="dxa"/>
            <w:vAlign w:val="bottom"/>
            <w:gridSpan w:val="3"/>
            <w:shd w:val="clear" w:color="auto" w:fill="CCEEFF"/>
          </w:tcPr>
          <w:p>
            <w:pPr>
              <w:ind w:left="160"/>
              <w:spacing w:after="0" w:line="122" w:lineRule="exact"/>
              <w:rPr>
                <w:sz w:val="20"/>
                <w:szCs w:val="20"/>
                <w:color w:val="auto"/>
              </w:rPr>
            </w:pPr>
            <w:r>
              <w:rPr>
                <w:rFonts w:ascii="Arial" w:cs="Arial" w:eastAsia="Arial" w:hAnsi="Arial"/>
                <w:sz w:val="13"/>
                <w:szCs w:val="13"/>
                <w:color w:val="auto"/>
                <w:w w:val="94"/>
              </w:rPr>
              <w:t>the reverse recapitalization,</w:t>
            </w: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80" w:type="dxa"/>
            <w:vAlign w:val="bottom"/>
            <w:gridSpan w:val="4"/>
            <w:vMerge w:val="restart"/>
            <w:shd w:val="clear" w:color="auto" w:fill="CCEEFF"/>
          </w:tcPr>
          <w:p>
            <w:pPr>
              <w:jc w:val="right"/>
              <w:ind w:right="140"/>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CEEFF"/>
          </w:tcPr>
          <w:p>
            <w:pPr>
              <w:spacing w:after="0"/>
              <w:rPr>
                <w:sz w:val="10"/>
                <w:szCs w:val="10"/>
                <w:color w:val="auto"/>
              </w:rPr>
            </w:pPr>
          </w:p>
        </w:tc>
        <w:tc>
          <w:tcPr>
            <w:tcW w:w="40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2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820" w:type="dxa"/>
            <w:vAlign w:val="bottom"/>
            <w:gridSpan w:val="4"/>
            <w:vMerge w:val="restart"/>
            <w:shd w:val="clear" w:color="auto" w:fill="CCEEFF"/>
          </w:tcPr>
          <w:p>
            <w:pPr>
              <w:jc w:val="right"/>
              <w:spacing w:after="0"/>
              <w:rPr>
                <w:sz w:val="20"/>
                <w:szCs w:val="20"/>
                <w:color w:val="auto"/>
              </w:rPr>
            </w:pPr>
            <w:r>
              <w:rPr>
                <w:rFonts w:ascii="Arial" w:cs="Arial" w:eastAsia="Arial" w:hAnsi="Arial"/>
                <w:sz w:val="13"/>
                <w:szCs w:val="13"/>
                <w:color w:val="auto"/>
              </w:rPr>
              <w:t>38,721,137</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4"/>
            <w:vMerge w:val="restart"/>
            <w:shd w:val="clear" w:color="auto" w:fill="CCEEFF"/>
          </w:tcPr>
          <w:p>
            <w:pPr>
              <w:jc w:val="right"/>
              <w:spacing w:after="0"/>
              <w:rPr>
                <w:sz w:val="20"/>
                <w:szCs w:val="20"/>
                <w:color w:val="auto"/>
              </w:rPr>
            </w:pPr>
            <w:r>
              <w:rPr>
                <w:rFonts w:ascii="Arial" w:cs="Arial" w:eastAsia="Arial" w:hAnsi="Arial"/>
                <w:sz w:val="13"/>
                <w:szCs w:val="13"/>
                <w:color w:val="auto"/>
              </w:rPr>
              <w:t>327,276</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327,280</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680" w:type="dxa"/>
            <w:vAlign w:val="bottom"/>
            <w:gridSpan w:val="3"/>
            <w:shd w:val="clear" w:color="auto" w:fill="CCEEFF"/>
          </w:tcPr>
          <w:p>
            <w:pPr>
              <w:ind w:left="160"/>
              <w:spacing w:after="0"/>
              <w:rPr>
                <w:sz w:val="20"/>
                <w:szCs w:val="20"/>
                <w:color w:val="auto"/>
              </w:rPr>
            </w:pPr>
            <w:r>
              <w:rPr>
                <w:rFonts w:ascii="Arial" w:cs="Arial" w:eastAsia="Arial" w:hAnsi="Arial"/>
                <w:sz w:val="13"/>
                <w:szCs w:val="13"/>
                <w:color w:val="auto"/>
              </w:rPr>
              <w:t>net of issuance costs</w:t>
            </w: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0" w:type="dxa"/>
            <w:vAlign w:val="bottom"/>
            <w:gridSpan w:val="4"/>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20" w:type="dxa"/>
            <w:vAlign w:val="bottom"/>
            <w:gridSpan w:val="3"/>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gridSpan w:val="3"/>
            <w:vMerge w:val="continue"/>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200" w:type="dxa"/>
            <w:vAlign w:val="bottom"/>
            <w:gridSpan w:val="2"/>
            <w:vMerge w:val="continue"/>
            <w:shd w:val="clear" w:color="auto" w:fill="CCEEFF"/>
          </w:tcPr>
          <w:p>
            <w:pPr>
              <w:spacing w:after="0"/>
              <w:rPr>
                <w:sz w:val="15"/>
                <w:szCs w:val="15"/>
                <w:color w:val="auto"/>
              </w:rPr>
            </w:pPr>
          </w:p>
        </w:tc>
        <w:tc>
          <w:tcPr>
            <w:tcW w:w="120" w:type="dxa"/>
            <w:vAlign w:val="bottom"/>
            <w:tcBorders>
              <w:right w:val="single" w:sz="8" w:color="auto"/>
            </w:tcBorders>
            <w:gridSpan w:val="2"/>
            <w:shd w:val="clear" w:color="auto" w:fill="CCEEFF"/>
          </w:tcPr>
          <w:p>
            <w:pPr>
              <w:spacing w:after="0"/>
              <w:rPr>
                <w:sz w:val="15"/>
                <w:szCs w:val="15"/>
                <w:color w:val="auto"/>
              </w:rPr>
            </w:pPr>
          </w:p>
        </w:tc>
        <w:tc>
          <w:tcPr>
            <w:tcW w:w="820" w:type="dxa"/>
            <w:vAlign w:val="bottom"/>
            <w:gridSpan w:val="4"/>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4"/>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80" w:type="dxa"/>
            <w:vAlign w:val="bottom"/>
            <w:gridSpan w:val="3"/>
          </w:tcPr>
          <w:p>
            <w:pPr>
              <w:spacing w:after="0" w:line="122" w:lineRule="exact"/>
              <w:rPr>
                <w:sz w:val="20"/>
                <w:szCs w:val="20"/>
                <w:color w:val="auto"/>
              </w:rPr>
            </w:pPr>
            <w:r>
              <w:rPr>
                <w:rFonts w:ascii="Arial" w:cs="Arial" w:eastAsia="Arial" w:hAnsi="Arial"/>
                <w:sz w:val="13"/>
                <w:szCs w:val="13"/>
                <w:color w:val="auto"/>
              </w:rPr>
              <w:t>Stock-based compensation</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gridSpan w:val="4"/>
            <w:vMerge w:val="restart"/>
          </w:tcPr>
          <w:p>
            <w:pPr>
              <w:jc w:val="right"/>
              <w:ind w:right="140"/>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0"/>
                <w:szCs w:val="10"/>
                <w:color w:val="auto"/>
              </w:rPr>
            </w:pPr>
          </w:p>
        </w:tc>
        <w:tc>
          <w:tcPr>
            <w:tcW w:w="40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gridSpan w:val="3"/>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gridSpan w:val="3"/>
            <w:vMerge w:val="restart"/>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gridSpan w:val="3"/>
            <w:vMerge w:val="restart"/>
          </w:tcPr>
          <w:p>
            <w:pPr>
              <w:jc w:val="right"/>
              <w:spacing w:after="0"/>
              <w:rPr>
                <w:sz w:val="20"/>
                <w:szCs w:val="20"/>
                <w:color w:val="auto"/>
              </w:rPr>
            </w:pPr>
            <w:r>
              <w:rPr>
                <w:rFonts w:ascii="Arial" w:cs="Arial" w:eastAsia="Arial" w:hAnsi="Arial"/>
                <w:sz w:val="13"/>
                <w:szCs w:val="13"/>
                <w:color w:val="auto"/>
                <w:w w:val="79"/>
              </w:rPr>
              <w:t>3,156</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gridSpan w:val="2"/>
            <w:vMerge w:val="restart"/>
          </w:tcPr>
          <w:p>
            <w:pPr>
              <w:ind w:left="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3,156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680" w:type="dxa"/>
            <w:vAlign w:val="bottom"/>
            <w:gridSpan w:val="3"/>
          </w:tcPr>
          <w:p>
            <w:pPr>
              <w:spacing w:after="0"/>
              <w:rPr>
                <w:sz w:val="20"/>
                <w:szCs w:val="20"/>
                <w:color w:val="auto"/>
              </w:rPr>
            </w:pPr>
            <w:r>
              <w:rPr>
                <w:rFonts w:ascii="Arial" w:cs="Arial" w:eastAsia="Arial" w:hAnsi="Arial"/>
                <w:sz w:val="13"/>
                <w:szCs w:val="13"/>
                <w:color w:val="auto"/>
              </w:rPr>
              <w:t>expense</w:t>
            </w: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Other comprehensive loss</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gridSpan w:val="4"/>
            <w:shd w:val="clear" w:color="auto" w:fill="CCEEFF"/>
          </w:tcPr>
          <w:p>
            <w:pPr>
              <w:jc w:val="right"/>
              <w:ind w:right="140"/>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1680" w:type="dxa"/>
            <w:vAlign w:val="bottom"/>
            <w:tcBorders>
              <w:bottom w:val="single" w:sz="8" w:color="CCEEFF"/>
            </w:tcBorders>
            <w:gridSpan w:val="3"/>
          </w:tcPr>
          <w:p>
            <w:pPr>
              <w:spacing w:after="0"/>
              <w:rPr>
                <w:sz w:val="20"/>
                <w:szCs w:val="20"/>
                <w:color w:val="auto"/>
              </w:rPr>
            </w:pPr>
            <w:r>
              <w:rPr>
                <w:rFonts w:ascii="Arial" w:cs="Arial" w:eastAsia="Arial" w:hAnsi="Arial"/>
                <w:sz w:val="13"/>
                <w:szCs w:val="13"/>
                <w:color w:val="auto"/>
              </w:rPr>
              <w:t>Net loss</w:t>
            </w:r>
          </w:p>
        </w:tc>
        <w:tc>
          <w:tcPr>
            <w:tcW w:w="6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3"/>
          </w:tcPr>
          <w:p>
            <w:pPr>
              <w:ind w:left="200"/>
              <w:spacing w:after="0"/>
              <w:rPr>
                <w:sz w:val="20"/>
                <w:szCs w:val="20"/>
                <w:color w:val="auto"/>
              </w:rPr>
            </w:pPr>
            <w:r>
              <w:rPr>
                <w:rFonts w:ascii="Arial" w:cs="Arial" w:eastAsia="Arial" w:hAnsi="Arial"/>
                <w:sz w:val="13"/>
                <w:szCs w:val="13"/>
                <w:color w:val="auto"/>
                <w:w w:val="90"/>
              </w:rPr>
              <w:t>(19,122)</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(19,122)</w:t>
            </w:r>
          </w:p>
        </w:tc>
        <w:tc>
          <w:tcPr>
            <w:tcW w:w="0" w:type="dxa"/>
            <w:vAlign w:val="bottom"/>
          </w:tcPr>
          <w:p>
            <w:pPr>
              <w:spacing w:after="0"/>
              <w:rPr>
                <w:sz w:val="1"/>
                <w:szCs w:val="1"/>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3"/>
                <w:szCs w:val="13"/>
                <w:b w:val="1"/>
                <w:bCs w:val="1"/>
                <w:color w:val="auto"/>
              </w:rPr>
              <w:t>Balances at June 30, 2021</w:t>
            </w:r>
          </w:p>
        </w:tc>
        <w:tc>
          <w:tcPr>
            <w:tcW w:w="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3"/>
                <w:szCs w:val="13"/>
                <w:color w:val="auto"/>
                <w:w w:val="91"/>
              </w:rPr>
              <w:t>—</w:t>
            </w: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2"/>
              </w:rPr>
              <w:t>$</w:t>
            </w:r>
          </w:p>
        </w:tc>
        <w:tc>
          <w:tcPr>
            <w:tcW w:w="2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right w:val="single" w:sz="8" w:color="auto"/>
            </w:tcBorders>
            <w:gridSpan w:val="2"/>
            <w:shd w:val="clear" w:color="auto" w:fill="CCEEFF"/>
          </w:tcPr>
          <w:p>
            <w:pPr>
              <w:spacing w:after="0"/>
              <w:rPr>
                <w:sz w:val="19"/>
                <w:szCs w:val="19"/>
                <w:color w:val="auto"/>
              </w:rPr>
            </w:pPr>
          </w:p>
        </w:tc>
        <w:tc>
          <w:tcPr>
            <w:tcW w:w="8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3"/>
                <w:szCs w:val="13"/>
                <w:color w:val="auto"/>
              </w:rPr>
              <w:t>124,094,390</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3"/>
                <w:szCs w:val="13"/>
                <w:color w:val="auto"/>
              </w:rPr>
              <w:t>439,489</w:t>
            </w:r>
          </w:p>
        </w:tc>
        <w:tc>
          <w:tcPr>
            <w:tcW w:w="70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6"/>
              </w:rPr>
              <w:t>(10)</w:t>
            </w:r>
          </w:p>
        </w:tc>
        <w:tc>
          <w:tcPr>
            <w:tcW w:w="24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3"/>
                <w:szCs w:val="13"/>
                <w:color w:val="auto"/>
                <w:w w:val="90"/>
              </w:rPr>
              <w:t>(49,447)</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390,044</w:t>
            </w: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tcBorders>
            <w:gridSpan w:val="5"/>
          </w:tcPr>
          <w:p>
            <w:pPr>
              <w:spacing w:after="0" w:line="20" w:lineRule="exact"/>
              <w:rPr>
                <w:sz w:val="1"/>
                <w:szCs w:val="1"/>
                <w:color w:val="auto"/>
              </w:rPr>
            </w:pPr>
          </w:p>
        </w:tc>
        <w:tc>
          <w:tcPr>
            <w:tcW w:w="76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gridSpan w:val="5"/>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76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gridSpan w:val="5"/>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340" w:right="220" w:hanging="332"/>
        <w:spacing w:after="0" w:line="273" w:lineRule="auto"/>
        <w:tabs>
          <w:tab w:leader="none" w:pos="325"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shares of the Company’s common and redeemable convertible preferred stock, prior to the Business Combination (as defined in Note 1) have been retroactively restated to reflect the exchange ratio of approximately 3.6281 established in the Business Combination as described in Note 3.</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9" w:name="page10"/>
    <w:bookmarkEnd w:id="9"/>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Condensed Consolidated Statements of Cash Flows</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Six Months Ended June 30, 2022 and 2021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69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6"/>
        </w:trPr>
        <w:tc>
          <w:tcPr>
            <w:tcW w:w="8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2"/>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(19,122)</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3,156</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premiums on securities,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Amortization of operating lease right-of-use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Accrued expenses and other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liability</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(25,864)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(14,545)</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Proceeds from maturities of securities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105,575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securities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(100,035)</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(used in) investing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50,258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(61,048)</w:t>
            </w: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Proceeds from issuance of common stock under employee stock purchase plan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proceeds from reverse recapitalization and PIPE financing</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335,409</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Payments of offering costs</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(8,082)</w:t>
            </w:r>
          </w:p>
        </w:tc>
        <w:tc>
          <w:tcPr>
            <w:tcW w:w="0" w:type="dxa"/>
            <w:vAlign w:val="bottom"/>
          </w:tcPr>
          <w:p>
            <w:pPr>
              <w:spacing w:after="0"/>
              <w:rPr>
                <w:sz w:val="1"/>
                <w:szCs w:val="1"/>
                <w:color w:val="auto"/>
              </w:rPr>
            </w:pPr>
          </w:p>
        </w:tc>
      </w:tr>
      <w:tr>
        <w:trPr>
          <w:trHeight w:val="223"/>
        </w:trPr>
        <w:tc>
          <w:tcPr>
            <w:tcW w:w="80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327,373</w:t>
            </w:r>
          </w:p>
        </w:tc>
        <w:tc>
          <w:tcPr>
            <w:tcW w:w="0" w:type="dxa"/>
            <w:vAlign w:val="bottom"/>
          </w:tcPr>
          <w:p>
            <w:pPr>
              <w:spacing w:after="0"/>
              <w:rPr>
                <w:sz w:val="1"/>
                <w:szCs w:val="1"/>
                <w:color w:val="auto"/>
              </w:rPr>
            </w:pPr>
          </w:p>
        </w:tc>
      </w:tr>
      <w:tr>
        <w:trPr>
          <w:trHeight w:val="223"/>
        </w:trPr>
        <w:tc>
          <w:tcPr>
            <w:tcW w:w="8020" w:type="dxa"/>
            <w:vAlign w:val="bottom"/>
          </w:tcPr>
          <w:p>
            <w:pPr>
              <w:ind w:left="360"/>
              <w:spacing w:after="0"/>
              <w:rPr>
                <w:sz w:val="20"/>
                <w:szCs w:val="20"/>
                <w:color w:val="auto"/>
              </w:rPr>
            </w:pPr>
            <w:r>
              <w:rPr>
                <w:rFonts w:ascii="Arial" w:cs="Arial" w:eastAsia="Arial" w:hAnsi="Arial"/>
                <w:sz w:val="18"/>
                <w:szCs w:val="18"/>
                <w:color w:val="auto"/>
              </w:rPr>
              <w:t>Net increase in cash, cash equivalents and restricted cash</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24,735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251,780</w:t>
            </w:r>
          </w:p>
        </w:tc>
        <w:tc>
          <w:tcPr>
            <w:tcW w:w="0" w:type="dxa"/>
            <w:vAlign w:val="bottom"/>
          </w:tcPr>
          <w:p>
            <w:pPr>
              <w:spacing w:after="0"/>
              <w:rPr>
                <w:sz w:val="1"/>
                <w:szCs w:val="1"/>
                <w:color w:val="auto"/>
              </w:rPr>
            </w:pPr>
          </w:p>
        </w:tc>
      </w:tr>
      <w:tr>
        <w:trPr>
          <w:trHeight w:val="257"/>
        </w:trPr>
        <w:tc>
          <w:tcPr>
            <w:tcW w:w="80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186,461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37,219</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288,999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Supplementary cash flow information on non-cash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Acquisitions of property and equipment included in accounts payable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offering costs in accounts payable and accrued expenses and other liabilities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75"/>
        </w:trPr>
        <w:tc>
          <w:tcPr>
            <w:tcW w:w="8020" w:type="dxa"/>
            <w:vAlign w:val="bottom"/>
          </w:tcPr>
          <w:p>
            <w:pPr>
              <w:ind w:left="20"/>
              <w:spacing w:after="0" w:line="176" w:lineRule="exact"/>
              <w:rPr>
                <w:sz w:val="20"/>
                <w:szCs w:val="20"/>
                <w:color w:val="auto"/>
              </w:rPr>
            </w:pPr>
            <w:r>
              <w:rPr>
                <w:rFonts w:ascii="Arial" w:cs="Arial" w:eastAsia="Arial" w:hAnsi="Arial"/>
                <w:sz w:val="18"/>
                <w:szCs w:val="18"/>
                <w:color w:val="auto"/>
                <w:w w:val="96"/>
              </w:rPr>
              <w:t>Conversion of redeemable convertible preferred stock into common stock in connection with the reverse</w:t>
            </w: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108,418</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recapitalization</w:t>
            </w:r>
          </w:p>
        </w:tc>
        <w:tc>
          <w:tcPr>
            <w:tcW w:w="360" w:type="dxa"/>
            <w:vAlign w:val="bottom"/>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offering costs reclassified to equity</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8,129</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Modification to reduce right-of-use assets and lease liability</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3,254</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10" w:name="page11"/>
    <w:bookmarkEnd w:id="10"/>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Consolidated Financial Statements</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17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Nautilus Biotechnology, Inc. (the “Company”) is a biotechnology company incorporated in 2016 and based in Seattle, Washington with laboratory operations in San Carlos, California. Since the Company’s incorporation in 2016, the Company has devoted substantially all of its resources to research and development activities, including with respect to its proteomics platform, business planning, establishing and maintaining its intellectual property portfolio, hiring personnel, raising capital and providing general and administrative support for these operations.</w:t>
      </w:r>
    </w:p>
    <w:p>
      <w:pPr>
        <w:spacing w:after="0" w:line="11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On June 9, 2021 (the “Closing Date”), Nautilus Biotechnology, Inc. a Delaware corporation (f/k/a ARYA Sciences Acquisition Corp. III, a Cayman Islands exempted company and the Company’s predecessor company (“ARYA”)), consummated the previously announced business combination (the “Business Combination”) pursuant to the terms of that certain Business Combination Agreement, dated as of February 7, 2021 (the “BCA”), by and among ARYA, Mako Merger Sub, Inc., a Delaware corporation and wholly-owned subsidiary of ARYA (“Mako Merger Sub”), and Nautilus Subsidiary, Inc., a Delaware corporation (f/k/a Nautilus Biotechnology, Inc.) (“Legacy Nautilus”). As a result of the Business Combination, ARYA changed its name to “Nautilus Biotechnology, Inc.” and Mako Merger Sub merged with and into Legacy Nautilus with Legacy Nautilus surviving as the surviving company and becoming a wholly-owned subsidiary of ARYA (the “Merger” and, collectively with the other transactions described in the BCA, the “Reverse Recapitalization”).</w:t>
      </w:r>
    </w:p>
    <w:p>
      <w:pPr>
        <w:spacing w:after="0" w:line="138"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In addition, in conjunction with the completion of the Business Combination, certain investors (“PIPE Investors”) subscribed for the purchase of an aggregate of 20,000,000 shares of common stock of the Company (“New Nautilus Common Stock”) at a price of $10.00 per share for aggregate gross proceeds of $200.0 million (“PIPE Financing”).</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Please refer to Note 3 “Reverse Recapitalization” for further details of the Business Combination.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The condensed consolidated financial statements and accompanying notes are unaudited and have been prepared in accordance with accounting principles generally accepted in the United States of America (“U.S. GAAP”) and regulations of the U.S. Securities and Exchange Commission (the “SEC”) for interim financial reporting. All intercompany transactions and balances have been eliminated upon consolidation. Certain information and footnote disclosures normally included in financial statements prepared in accordance with U.S. GAAP have been condensed or omitted pursuant to such rules and regulations. The condensed consolidated financial statements were prepared on the same basis as the audited financial statements and, in the opinion of management, reflect all adjustments, which include only normal recurring adjustments necessary for a fair statement of the Company’s financial position as of June 30, 2022, the results of its operations for the three and six months ended June 30, 2022 and 2021 and its cash flows for the six months ended June 30, 2022 and 2021. The results of operations for the three and six months ended June 30, 2022 are not necessarily indicative of the results that may be expected for the year ending December 31, 2022. These financial statements and accompanying notes should be read in conjunction with the consolidated financial statements and notes thereto in the Company’s Annual Report on Form 10-K for the fiscal year ended December 31, 2021 on file with the SEC. The Company’s reporting currency is the U.S. dollar.</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Going Concern</w:t>
      </w:r>
    </w:p>
    <w:p>
      <w:pPr>
        <w:spacing w:after="0" w:line="171"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The Company’s condensed consolidated financial statements have been prepared on the basis of continuity of operations, the realization of assets, and the satisfaction of liabilities in the ordinary course of business. Since inception, the Company has been engaged in developing its technology, raising capital, and recruiting personnel. The Company’s operating plan may change as a result of many factors currently unknown and there can be no assurance that the current operating plan will be achieved in the time frame anticipated by the Company, and it may need to seek additional funds sooner than planned. If adequate funds are not available to the Company on a timely basis, it may be required to delay, limit, reduce, or terminate certain commercial efforts, or pursue merger or acquisition strategies, all of which could adversely affect the holdings or the rights of the Company’s stockholders. The Company has incurred net operating losses and negative cash flows from operations in every year since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11" w:name="page12"/>
    <w:bookmarkEnd w:id="11"/>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color w:val="auto"/>
        </w:rPr>
        <w:t>inception and expects this to continue for the foreseeable future. As of June 30, 2022, the Company had an accumulated deficit of $111.1 million.</w:t>
      </w:r>
    </w:p>
    <w:p>
      <w:pPr>
        <w:spacing w:after="0" w:line="183"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The Company has funded its operations primarily with proceeds from the issuance of redeemable convertible preferred stock and common stock. In June 2021, the Company received gross proceeds of approximately $345.5 million from PIPE Investors and the Business Combination offset by approximately $18.2 million of transaction costs and underwriters’ fees relating to the closing of the Business Combination. The Company had cash, cash equivalents, and short-term investments of $299.3 million as of June 30, 2022. As of the date on which these condensed consolidated financial statements were available to be issued, the Company believes that its cash, cash equivalents, and short-term investments will be sufficient to fund its operations for the next twelve months following the issuance of the condensed consolidated financial statements. The Company’s actual results could vary as a result of, and its near and long-term future capital requirements will depend on many factors, including its growth rate and the timing and extent of spending to support its research and development efforts. The Company has based its estimates on assumptions that may prove to be wrong, and it could use its available capital resources sooner than it currently expects. The Company may be required to seek additional equity or debt financing. Future liquidity and cash requirements will depend on numerous factors. In the event that additional financing is required, the Company may not be able to raise it on acceptable terms or at all. If the Company is unable to raise additional capital when desired, or if it cannot expand its operations or otherwise capitalize on its business opportunities because it lacks sufficient capital, its business, operating results, and financial condition would be adversely affected.</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Impact of the COVID-19 Coronavirus</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December 2019, COVID-19 was first reported to the World Health Organization (“WHO”), and in January 2020, the WHO declared the outbreak to be a public health emergency. In March 2020, the WHO characterized COVID-19 as a pandemic. Since then, the COVID-19 pandemic and efforts to control its spread have significantly curtailed the movement of people, goods, and services worldwide. As a result, the Company has taken certain measures in response to COVID-19.</w:t>
      </w:r>
    </w:p>
    <w:p>
      <w:pPr>
        <w:spacing w:after="0" w:line="133"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While the duration and extent of the COVID-19 pandemic depends on future developments that cannot be accurately predicted at this time, such as the extent and effectiveness of containment and mitigation actions, it has already had an adverse effect on the global economy, and the ultimate societal and economic impact of the COVID-19 pandemic remains unknown. Additionally, concerns over the economic impact of COVID-19 have caused extreme volatility in financial and other capital markets, which may adversely affect the Company’s ability to access capital markets in the future. Furthermore, the impact of the COVID-19 pandemic could adversely impact the Company’s cash flows and operations and delay the Company’s research and development activities.</w:t>
      </w:r>
    </w:p>
    <w:p>
      <w:pPr>
        <w:spacing w:after="0" w:line="138" w:lineRule="exact"/>
        <w:rPr>
          <w:sz w:val="20"/>
          <w:szCs w:val="20"/>
          <w:color w:val="auto"/>
        </w:rPr>
      </w:pPr>
    </w:p>
    <w:p>
      <w:pPr>
        <w:ind w:right="180" w:firstLine="324"/>
        <w:spacing w:after="0" w:line="311" w:lineRule="auto"/>
        <w:rPr>
          <w:sz w:val="20"/>
          <w:szCs w:val="20"/>
          <w:color w:val="auto"/>
        </w:rPr>
      </w:pPr>
      <w:r>
        <w:rPr>
          <w:rFonts w:ascii="Arial" w:cs="Arial" w:eastAsia="Arial" w:hAnsi="Arial"/>
          <w:sz w:val="16"/>
          <w:szCs w:val="16"/>
          <w:color w:val="auto"/>
        </w:rPr>
        <w:t>While the Company has developed and continues to develop plans to help mitigate the potential negative impact of COVID-19, these efforts may not be effective, and any protracted economic downturn will likely limit the effectiveness of its efforts. Accordingly, it is not possible for the Company to predict the duration and ultimate extent to which this will affect its business, future results of operations, and financial condition at this time.</w:t>
      </w:r>
    </w:p>
    <w:p>
      <w:pPr>
        <w:spacing w:after="0" w:line="91"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The preparation of the condensed consolidated financial statements in conformity with U.S. GAAP requires management to make estimates and assumptions that affect the reported amounts of assets and liabilities and disclosures of contingent assets and liabilities as of the date of the condensed consolidated financial statements, and the reported amounts of expenses during the reporting period. Actual results could differ from those estimates. Significant estimates include determining the estimated lives of property and equipment, stock-based compensation including the estimated fair value per share of common stock prior to the date the Company became public, research and development accruals, and the valuation allowance for deferred tax assets.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12" w:name="page13"/>
    <w:bookmarkEnd w:id="12"/>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economic environment will be reflected in the financial statements in future periods. As future events and their effects cannot be determined with precision, actual results could materially differ from those estimates and assumptions.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Credit risk represents the accounting loss that would be recognized as of the reporting date if counterparties failed completely to perform as contracted.</w:t>
      </w:r>
    </w:p>
    <w:p>
      <w:pPr>
        <w:spacing w:after="0" w:line="194"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Financial instruments, which potentially subject the Company to concentration of credit risk, consist of cash balances maintained in excess of federal depository insurance limits and investments in U.S. Treasury securities that are not federally insured. The Company has not experienced any losses in such accounts and believes it is not exposed to significant credit risk on cash or investments. The Company relies, and expects to continue to rely, on a number of vendors to provide services, supplies and materials related to its research and development programs. The Company relies on single source suppliers for certain components and materials used in the Nautilus platform. The loss of any of these single source suppliers would require the Company to expend significant time and effort to locate and qualify an alternative source of supply for these components. The Company also relies, and expects to continue to rely, on third-party manufacturers and, in many cases, single third-party manufacturers for the production of certain reagents and antibodies. These programs could be adversely affected by a significant interruption in these services or the availability of materials.</w:t>
      </w:r>
    </w:p>
    <w:p>
      <w:pPr>
        <w:spacing w:after="0" w:line="11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Company is subject to risks similar to those of other pre-clinical stage companies in the biopharmaceutical industry, including dependence on key individuals, the need to develop commercially viable products, competition from other companies, many of whom are larger and better capitalized, the impact of the COVID-19 pandemic and the need to obtain adequate additional financing to fund the development of its products. There can be no assurance that the Company’s research and development will be successfully completed, that adequate protection for the Company’s intellectual property will be maintained, that any products developed will obtain required regulatory approval or that any approved products will be commercially viable. Even if the Company’s development efforts are successful, it is uncertain when, if ever, the Company will generate significant revenue from the sale of its products.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7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Operating segments are defined as components of an entity where discrete financial information is evaluated regularly by the chief operating decision market (“CODM”) in deciding how to allocate resources and in assessing performance. The Company’s Chief Executive Officer is its CODM. The Company’s CODM reviews financial information presented on a consolidated basis for the purposes of making operating decisions, allocating resources and evaluating financial performance. As such, the Company has determined that it operates in one operating and one reportable segment. The Company’s long-lived assets are entirely based in the United States.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The Company considers all highly-liquid investments with an original maturity of three months or less as of the date of acquisition to be cash equivalents.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w:t>
      </w:r>
    </w:p>
    <w:p>
      <w:pPr>
        <w:spacing w:after="0" w:line="171"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The Company considers investments with an original maturity greater than three months and remaining maturities less than one year to be short-term investments. The Company classifies those investments that are not required for use in current operations and that mature in more than 12 months as long-term investments.</w:t>
      </w:r>
    </w:p>
    <w:p>
      <w:pPr>
        <w:spacing w:after="0" w:line="130" w:lineRule="exact"/>
        <w:rPr>
          <w:sz w:val="20"/>
          <w:szCs w:val="20"/>
          <w:color w:val="auto"/>
        </w:rPr>
      </w:pPr>
    </w:p>
    <w:p>
      <w:pPr>
        <w:ind w:right="200" w:firstLine="324"/>
        <w:spacing w:after="0" w:line="311" w:lineRule="auto"/>
        <w:rPr>
          <w:sz w:val="20"/>
          <w:szCs w:val="20"/>
          <w:color w:val="auto"/>
        </w:rPr>
      </w:pPr>
      <w:r>
        <w:rPr>
          <w:rFonts w:ascii="Arial" w:cs="Arial" w:eastAsia="Arial" w:hAnsi="Arial"/>
          <w:sz w:val="16"/>
          <w:szCs w:val="16"/>
          <w:color w:val="auto"/>
        </w:rPr>
        <w:t>The Company classifies its investments as available for sale and reports them at fair value, with unrealized gains and losses recorded in accumulated other comprehensive income (loss). For investments sold prior to maturity, the cost of investments sold is based on the specific identification method. Realized gains and losses on the sale of investments are recorded in other income (expense), net in the condensed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13" w:name="page14"/>
    <w:bookmarkEnd w:id="13"/>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Other-than-temporary Impairment</w:t>
      </w:r>
    </w:p>
    <w:p>
      <w:pPr>
        <w:spacing w:after="0" w:line="17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Company evaluates its investments with unrealized losses for other-than-temporary impairment. When assessing investments for other-than-temporary declines in value, the Company considers factors such as, among other things, the extent and length of time the investment’s fair value has been lower than its cost basis, the financial condition and near-term prospects of the investment, the Company’s ability and intent to retain the investment for a period of time sufficient to allow for any anticipated recovery in fair value, and the expected cash flows from the security. If any adjustments to fair value reflects a decline in the value of the investment that the Company considers to be “other than temporary,” the Company reduces the investment to fair value through a charge to the condensed consolidated statement of operations and condensed consolidated statement of comprehensive loss. No such adjustments were necessary during the periods presented.</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w:t>
      </w:r>
    </w:p>
    <w:p>
      <w:pPr>
        <w:spacing w:after="0" w:line="7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defined as observable inputs such as quoted prices for identical instruments in active markets;</w:t>
      </w:r>
    </w:p>
    <w:p>
      <w:pPr>
        <w:spacing w:after="0" w:line="17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16"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92"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30"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carrying amounts of cash and cash equivalents, prepaid expenses and other current assets, accounts payable and accrued expenses and other liabilities approximate their respective fair values due to their short-term nature.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Company determines if an arrangement includes a lease at inception by assessing whether there is an identified asset and whether the contract conveys the right to control the use of the identified asset for a period of time in exchange for consideration. Operating leases with a term of more than one year are included in operating lease right-of-use (“ROU”) assets and operating lease liabilities on the Company's condensed consolidated balance sheets. ROU assets represent the Company's right to use an underlying asset for the lease term and lease liabilities represent the obligation to make lease payments. Operating lease ROU assets and liabilities are recognized on the lease commencement date based on the present value of the future minimum lease payments over the lease term. The Company uses the incremental borrowing rate commensurate with the lease term based on the information available at the lease commencement date in determining the present value of the lease payments as the Company's leases generally do not provide an implicit rate. ROU assets initially equal the lease liability, adjusted for any prepaid lease payments and initial direct costs incurred, less any lease incentives received. Certain of the Company's leases include renewal options which allow the Company to, at its election, renew or extend the lease for a fixed or indefinite period of time. These renewal periods are included in the lease terms when the Company is reasonably certain the options will be exercised. Lease expense is recognized on a straight-line basis over the lease term when leases are operating leases. If it is considered a finance lease, expense is recognized over the lease term within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14" w:name="page15"/>
    <w:bookmarkEnd w:id="14"/>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interest expense and amortization in the Company’s condensed consolidated statements of operations. The Company also has lease arrangements with lease and non-lease components. The Company elected the practical expedient not to separate non-lease components from lease components for the Company's facility leases and to account for the lease and non-lease components as a single lease component. The Company also elected to apply the short-term lease measurement and recognition exemption in which ROU assets and lease liabilities are not recognized for leases with terms of 12 months or less.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71"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Comprehensive loss consists of net loss and other gains or losses affecting stockholders’ equity that, under U.S. GAAP are excluded from net loss. For the three and six months ended June 30, 2022 and 2021, unrealized losses on debt securities were included as components of comprehensive loss.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Pronouncements</w:t>
      </w:r>
    </w:p>
    <w:p>
      <w:pPr>
        <w:spacing w:after="0" w:line="171"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Company is provided the option to adopt new or revised accounting guidance as an “emerging growth company” under the Jumpstart Our Business Startups Act of 2012 (the “JOBS Act”) either (1) within the same periods as those otherwise applicable to public business entities, or (2) within the same time periods as non-public business entities, including early adoption when permissible. With the exception of standards the Company elected to early adopt, when permissible, the Company has elected to adopt new or revised accounting guidance within the same time period as non-public business entities, as indicated below.</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17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 xml:space="preserve">In March 2020, the FASB issued ASU No. 2020-04, </w:t>
      </w:r>
      <w:r>
        <w:rPr>
          <w:rFonts w:ascii="Arial" w:cs="Arial" w:eastAsia="Arial" w:hAnsi="Arial"/>
          <w:sz w:val="18"/>
          <w:szCs w:val="18"/>
          <w:i w:val="1"/>
          <w:iCs w:val="1"/>
          <w:color w:val="auto"/>
        </w:rPr>
        <w:t>“Reference Rate Reform (Topic 848).”</w:t>
      </w:r>
      <w:r>
        <w:rPr>
          <w:rFonts w:ascii="Arial" w:cs="Arial" w:eastAsia="Arial" w:hAnsi="Arial"/>
          <w:sz w:val="18"/>
          <w:szCs w:val="18"/>
          <w:color w:val="auto"/>
        </w:rPr>
        <w:t xml:space="preserve"> The amendments in ASU 2020-04 provide optional expedients and exceptions for applying generally accepted accounting principles to contracts, hedging relationships, and other transactions affected by reference rate reform if certain criteria are met. The amendments in this ASU are effective for all entities as of March 12, 2020 through December 31, 2022. An entity may elect to apply the amendments for contract modifications by Topic or Industry Subtopic as of any date from the beginning of an interim period that includes or is subsequent to March 12, 2020, or prospectively from the date that the financial statements are available to be issued. Once elected for a Topic or an Industry Subtopic, the amendments must be applied prospectively for all eligible contract modifications for that Topic or Industry Subtopic. The Company adopted this guidance effective January 1, 2022 using the prospective method, which did not have a material impact on the Company’s condensed consolidated financial statements.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171"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which amends existing guidance on the impairment of financial assets and adds an impairment model that is based on expected losses rather</w:t>
      </w:r>
      <w:r>
        <w:rPr>
          <w:rFonts w:ascii="Arial" w:cs="Arial" w:eastAsia="Arial" w:hAnsi="Arial"/>
          <w:sz w:val="17"/>
          <w:szCs w:val="17"/>
          <w:i w:val="1"/>
          <w:iCs w:val="1"/>
          <w:color w:val="auto"/>
        </w:rPr>
        <w:t xml:space="preserve"> </w:t>
      </w:r>
      <w:r>
        <w:rPr>
          <w:rFonts w:ascii="Arial" w:cs="Arial" w:eastAsia="Arial" w:hAnsi="Arial"/>
          <w:sz w:val="17"/>
          <w:szCs w:val="17"/>
          <w:color w:val="auto"/>
        </w:rPr>
        <w:t>than incurred losses and requires an entity to recognize as an allowance its estimate of expected credit losses for its financial assets. An entity will apply this guidance through a cumulative-effect adjustment to retained earnings upon adoption (a modified-retrospective approach) while a prospective transition approach is required for debt securities for which an other-than-temporary impairment had been recognized before the effective date. This ASU is effective for the Company for its fiscal year ending December 31, 2023. Early adoption is permitted. The Company is in the process of evaluating the impact of the adoption of this ASU on its condensed consolidated financial statements and related disclosures. The Company does not anticipate adoption to have a material impact on its condensed consolidated financial statements.</w:t>
      </w:r>
    </w:p>
    <w:p>
      <w:pPr>
        <w:spacing w:after="0" w:line="124"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which enhances and simplifies various aspects of the income tax accounting guidance, including requirements such as the elimination of exceptions related to the approach for intraperiod tax allocation, the methodology for calculating income taxes in an interim period, the recognition of deferred tax liabilities for outside basis differences, ownership changes in investments, and tax basis step-up in goodwill obtained in a transaction that is not a business combination. This ASU is effective for the Company for its fiscal year ending December 31, 2022. Early adoption is permitted. The Company is in the process of evaluating the impact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15" w:name="page16"/>
    <w:bookmarkEnd w:id="15"/>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adoption of this ASU on its condensed consolidated financial statements and related disclosures. The Company does not anticipate adoption to have a material impact on its condensed consolidated financial statements.</w:t>
      </w:r>
    </w:p>
    <w:p>
      <w:pPr>
        <w:spacing w:after="0" w:line="112"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Reverse Recapitalization</w:t>
      </w:r>
    </w:p>
    <w:p>
      <w:pPr>
        <w:spacing w:after="0" w:line="17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On June 9, 2021, Mako Merger Sub merged with Legacy Nautilus, with Legacy Nautilus surviving as the surviving company and as a wholly-owned subsidiary of ARYA.</w:t>
      </w:r>
    </w:p>
    <w:p>
      <w:pPr>
        <w:spacing w:after="0" w:line="11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As a result of the Business Combination, Legacy Nautilus equity holders received an aggregate number of shares of New Nautilus Common Stock equal to (i) $900.0 million plus $24.3 million, which reflects the aggregate exercise price of all stock options (whether vested or unvested) of Legacy Nautilus at the consummation of the Business Combination, divided by (ii) $10.00 giving effect to the exchange ratio of approximately 3.6281 (“Exchange Ratio”) based on the terms of the Business Combination Agreement. For purposes of calculating the aggregate number of New Nautilus Common Stock issuable to each holder of Legacy Nautilus Common Stock pursuant to the Business Combination Agreement, all Legacy Nautilus Common Stock held by such holder was aggregated, and the Exchange Ratio was applied to that aggregate number of shares held by such holder, and not on a share-by-share basis, and the number of New Nautilus Common Stock issued was rounded down to the nearest whole share. At the Closing Date, (i) an aggregate of 18,721,137 shares of Class A and Class B ordinary shares of ARYA were exchanged for an equivalent number of Common Stock, (ii) an aggregate of 85,324,118 shares of Common Stock were issued in exchange for the shares of Nautilus outstanding as of immediately prior to the Business Combination and (iii) an aggregate of 20,000,000 shares of Common stock were issued to the PIPE Investors in the PIPE Financing with total gross proceeds of $200.0 million. Moreover, at the Closing, all options to purchase shares of Nautilus were exchanged for comparable options to purchase shares of Common Stock based on an implied Legacy Nautilus equity value of $900.0 million. Immediately after giving effect to the transactions, there were 124,045,255 shares of Common Stock outstanding and 7,106,767 shares of Common Stock subject to outstanding options under the 2017 Plan.</w:t>
      </w:r>
    </w:p>
    <w:p>
      <w:pPr>
        <w:spacing w:after="0" w:line="120"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Business Combination is accounted for as a reverse recapitalization under U.S. GAAP. This determination is primarily based on Legacy Nautilus stockholders comprising a relative majority of the voting power of Nautilus and having the ability to nominate the members of the Board, Legacy Nautilus’s operations prior to the acquisition comprising the only ongoing operations of Nautilus, and Legacy Nautilus’s senior management comprising a majority of the senior management of Nautilus. Under this method of accounting, ARYA is treated as the “acquired” company for financial reporting purposes. Accordingly, for accounting purposes, the financial statements of Nautilus represent a continuation of the financial statements of Legacy Nautilus with the Business Combination being treated as the equivalent of Nautilus issuing stock for the net assets of ARYA, accompanied by a recapitalization. The net assets of ARYA are stated at historical costs, with no goodwill or other intangible assets recorded. Operations prior to the Business Combination are presented as those of Nautilus. All periods prior to the Business Combination have been retrospectively adjusted using the Exchange Ratio for the equivalent number of shares outstanding immediately after the Business Combination to effect the reverse recapitalization.</w:t>
      </w:r>
    </w:p>
    <w:p>
      <w:pPr>
        <w:spacing w:after="0" w:line="112" w:lineRule="exact"/>
        <w:rPr>
          <w:sz w:val="20"/>
          <w:szCs w:val="20"/>
          <w:color w:val="auto"/>
        </w:rPr>
      </w:pPr>
    </w:p>
    <w:p>
      <w:pPr>
        <w:ind w:right="220" w:firstLine="324"/>
        <w:spacing w:after="0" w:line="291" w:lineRule="auto"/>
        <w:rPr>
          <w:sz w:val="20"/>
          <w:szCs w:val="20"/>
          <w:color w:val="auto"/>
        </w:rPr>
      </w:pPr>
      <w:r>
        <w:rPr>
          <w:rFonts w:ascii="Arial" w:cs="Arial" w:eastAsia="Arial" w:hAnsi="Arial"/>
          <w:sz w:val="16"/>
          <w:szCs w:val="16"/>
          <w:color w:val="auto"/>
        </w:rPr>
        <w:t>In connection with the Business Combination, the Company raised $335.4 million of net proceeds. This amount was comprised of $135.4 million of cash held in ARYA’s trust account from its initial public offering, net of ARYA’s transaction costs and underwriters’ fees of $10.1 million, and</w:t>
      </w:r>
    </w:p>
    <w:p>
      <w:pPr>
        <w:ind w:right="220"/>
        <w:spacing w:after="0" w:line="260" w:lineRule="auto"/>
        <w:rPr>
          <w:sz w:val="20"/>
          <w:szCs w:val="20"/>
          <w:color w:val="auto"/>
        </w:rPr>
      </w:pPr>
      <w:r>
        <w:rPr>
          <w:rFonts w:ascii="Arial" w:cs="Arial" w:eastAsia="Arial" w:hAnsi="Arial"/>
          <w:sz w:val="18"/>
          <w:szCs w:val="18"/>
          <w:color w:val="auto"/>
        </w:rPr>
        <w:t>$200.0 million of cash in connection with the PIPE Financing. The Company incurred $8.1 million of transaction costs, consisting of banking, legal, and other professional fees which were recorded as a reduction to additional paid-in capital.</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number of shares of Common Stock issued immediately following the consummation of the Business Combination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16" w:name="page17"/>
    <w:bookmarkEnd w:id="16"/>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876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Number of Shares</w:t>
            </w:r>
          </w:p>
        </w:tc>
      </w:tr>
      <w:tr>
        <w:trPr>
          <w:trHeight w:val="229"/>
        </w:trPr>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 of ARYA outstanding prior to the Business Combination</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19,186,500</w:t>
            </w:r>
          </w:p>
        </w:tc>
      </w:tr>
      <w:tr>
        <w:trPr>
          <w:trHeight w:val="229"/>
        </w:trPr>
        <w:tc>
          <w:tcPr>
            <w:tcW w:w="87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Less redemption of ARYA shares</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(465,363)</w:t>
            </w:r>
          </w:p>
        </w:tc>
      </w:tr>
      <w:tr>
        <w:trPr>
          <w:trHeight w:val="223"/>
        </w:trPr>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 of ARYA</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18,721,137</w:t>
            </w:r>
          </w:p>
        </w:tc>
      </w:tr>
      <w:tr>
        <w:trPr>
          <w:trHeight w:val="229"/>
        </w:trPr>
        <w:tc>
          <w:tcPr>
            <w:tcW w:w="87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Shares issued in PIPE Financing</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20,000,000</w:t>
            </w:r>
          </w:p>
        </w:tc>
      </w:tr>
      <w:tr>
        <w:trPr>
          <w:trHeight w:val="223"/>
        </w:trPr>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Business Combination and PIPE Financing shares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38,721,137</w:t>
            </w:r>
          </w:p>
        </w:tc>
      </w:tr>
      <w:tr>
        <w:trPr>
          <w:trHeight w:val="229"/>
        </w:trPr>
        <w:tc>
          <w:tcPr>
            <w:tcW w:w="87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Legacy Nautilus shares</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85,324,118</w:t>
            </w:r>
          </w:p>
        </w:tc>
      </w:tr>
      <w:tr>
        <w:trPr>
          <w:trHeight w:val="248"/>
        </w:trPr>
        <w:tc>
          <w:tcPr>
            <w:tcW w:w="8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shares of Common Stock immediately after the Business Combination</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124,045,255</w:t>
            </w: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following table details the assets carried at fair value and measured on a recurring basis within the three levels of fair value as of June 30, 2022 and December 31, 2021:</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6"/>
          </w:tcPr>
          <w:p>
            <w:pPr>
              <w:jc w:val="right"/>
              <w:ind w:right="372"/>
              <w:spacing w:after="0"/>
              <w:rPr>
                <w:sz w:val="20"/>
                <w:szCs w:val="20"/>
                <w:color w:val="auto"/>
              </w:rPr>
            </w:pPr>
            <w:r>
              <w:rPr>
                <w:rFonts w:ascii="Arial" w:cs="Arial" w:eastAsia="Arial" w:hAnsi="Arial"/>
                <w:sz w:val="14"/>
                <w:szCs w:val="14"/>
                <w:b w:val="1"/>
                <w:bCs w:val="1"/>
                <w:color w:val="auto"/>
              </w:rPr>
              <w:t>Gross Unrealized</w:t>
            </w:r>
          </w:p>
        </w:tc>
        <w:tc>
          <w:tcPr>
            <w:tcW w:w="100" w:type="dxa"/>
            <w:vAlign w:val="bottom"/>
            <w:gridSpan w:val="2"/>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Reported as:</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660" w:type="dxa"/>
            <w:vAlign w:val="bottom"/>
            <w:gridSpan w:val="2"/>
            <w:vMerge w:val="restart"/>
          </w:tcPr>
          <w:p>
            <w:pPr>
              <w:ind w:left="860"/>
              <w:spacing w:after="0"/>
              <w:rPr>
                <w:sz w:val="20"/>
                <w:szCs w:val="20"/>
                <w:color w:val="auto"/>
              </w:rPr>
            </w:pPr>
            <w:r>
              <w:rPr>
                <w:rFonts w:ascii="Arial" w:cs="Arial" w:eastAsia="Arial" w:hAnsi="Arial"/>
                <w:sz w:val="14"/>
                <w:szCs w:val="14"/>
                <w:b w:val="1"/>
                <w:bCs w:val="1"/>
                <w:color w:val="auto"/>
              </w:rPr>
              <w:t>June 30, 2022</w:t>
            </w:r>
          </w:p>
        </w:tc>
        <w:tc>
          <w:tcPr>
            <w:tcW w:w="100" w:type="dxa"/>
            <w:vAlign w:val="bottom"/>
          </w:tcPr>
          <w:p>
            <w:pPr>
              <w:spacing w:after="0"/>
              <w:rPr>
                <w:sz w:val="11"/>
                <w:szCs w:val="11"/>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Amortized Cost</w:t>
            </w:r>
          </w:p>
        </w:tc>
        <w:tc>
          <w:tcPr>
            <w:tcW w:w="200" w:type="dxa"/>
            <w:vAlign w:val="bottom"/>
          </w:tcPr>
          <w:p>
            <w:pPr>
              <w:spacing w:after="0"/>
              <w:rPr>
                <w:sz w:val="11"/>
                <w:szCs w:val="11"/>
                <w:color w:val="auto"/>
              </w:rPr>
            </w:pPr>
          </w:p>
        </w:tc>
        <w:tc>
          <w:tcPr>
            <w:tcW w:w="84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Gains</w:t>
            </w:r>
          </w:p>
        </w:tc>
        <w:tc>
          <w:tcPr>
            <w:tcW w:w="180" w:type="dxa"/>
            <w:vAlign w:val="bottom"/>
          </w:tcPr>
          <w:p>
            <w:pPr>
              <w:spacing w:after="0"/>
              <w:rPr>
                <w:sz w:val="11"/>
                <w:szCs w:val="11"/>
                <w:color w:val="auto"/>
              </w:rPr>
            </w:pPr>
          </w:p>
        </w:tc>
        <w:tc>
          <w:tcPr>
            <w:tcW w:w="8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Losses</w:t>
            </w:r>
          </w:p>
        </w:tc>
        <w:tc>
          <w:tcPr>
            <w:tcW w:w="200" w:type="dxa"/>
            <w:vAlign w:val="bottom"/>
          </w:tcPr>
          <w:p>
            <w:pPr>
              <w:spacing w:after="0"/>
              <w:rPr>
                <w:sz w:val="11"/>
                <w:szCs w:val="11"/>
                <w:color w:val="auto"/>
              </w:rPr>
            </w:pPr>
          </w:p>
        </w:tc>
        <w:tc>
          <w:tcPr>
            <w:tcW w:w="112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1"/>
                <w:szCs w:val="11"/>
                <w:color w:val="auto"/>
              </w:rPr>
            </w:pPr>
          </w:p>
        </w:tc>
        <w:tc>
          <w:tcPr>
            <w:tcW w:w="1180" w:type="dxa"/>
            <w:vAlign w:val="bottom"/>
            <w:gridSpan w:val="3"/>
          </w:tcPr>
          <w:p>
            <w:pPr>
              <w:jc w:val="center"/>
              <w:ind w:right="220"/>
              <w:spacing w:after="0" w:line="135" w:lineRule="exact"/>
              <w:rPr>
                <w:sz w:val="20"/>
                <w:szCs w:val="20"/>
                <w:color w:val="auto"/>
              </w:rPr>
            </w:pPr>
            <w:r>
              <w:rPr>
                <w:rFonts w:ascii="Arial" w:cs="Arial" w:eastAsia="Arial" w:hAnsi="Arial"/>
                <w:sz w:val="14"/>
                <w:szCs w:val="14"/>
                <w:b w:val="1"/>
                <w:bCs w:val="1"/>
                <w:color w:val="auto"/>
                <w:w w:val="89"/>
              </w:rPr>
              <w:t>Cash and cash</w:t>
            </w:r>
          </w:p>
        </w:tc>
        <w:tc>
          <w:tcPr>
            <w:tcW w:w="160" w:type="dxa"/>
            <w:vAlign w:val="bottom"/>
          </w:tcPr>
          <w:p>
            <w:pPr>
              <w:spacing w:after="0"/>
              <w:rPr>
                <w:sz w:val="11"/>
                <w:szCs w:val="11"/>
                <w:color w:val="auto"/>
              </w:rPr>
            </w:pPr>
          </w:p>
        </w:tc>
        <w:tc>
          <w:tcPr>
            <w:tcW w:w="1160" w:type="dxa"/>
            <w:vAlign w:val="bottom"/>
            <w:gridSpan w:val="4"/>
          </w:tcPr>
          <w:p>
            <w:pPr>
              <w:ind w:left="100"/>
              <w:spacing w:after="0" w:line="135" w:lineRule="exact"/>
              <w:rPr>
                <w:sz w:val="20"/>
                <w:szCs w:val="20"/>
                <w:color w:val="auto"/>
              </w:rPr>
            </w:pPr>
            <w:r>
              <w:rPr>
                <w:rFonts w:ascii="Arial" w:cs="Arial" w:eastAsia="Arial" w:hAnsi="Arial"/>
                <w:sz w:val="14"/>
                <w:szCs w:val="14"/>
                <w:b w:val="1"/>
                <w:bCs w:val="1"/>
                <w:color w:val="auto"/>
              </w:rPr>
              <w:t>Short-term</w:t>
            </w:r>
          </w:p>
        </w:tc>
        <w:tc>
          <w:tcPr>
            <w:tcW w:w="180" w:type="dxa"/>
            <w:vAlign w:val="bottom"/>
          </w:tcPr>
          <w:p>
            <w:pPr>
              <w:spacing w:after="0"/>
              <w:rPr>
                <w:sz w:val="11"/>
                <w:szCs w:val="11"/>
                <w:color w:val="auto"/>
              </w:rPr>
            </w:pPr>
          </w:p>
        </w:tc>
        <w:tc>
          <w:tcPr>
            <w:tcW w:w="10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5"/>
              </w:rPr>
              <w:t>Long-term</w:t>
            </w:r>
          </w:p>
        </w:tc>
        <w:tc>
          <w:tcPr>
            <w:tcW w:w="0" w:type="dxa"/>
            <w:vAlign w:val="bottom"/>
          </w:tcPr>
          <w:p>
            <w:pPr>
              <w:spacing w:after="0"/>
              <w:rPr>
                <w:sz w:val="1"/>
                <w:szCs w:val="1"/>
                <w:color w:val="auto"/>
              </w:rPr>
            </w:pPr>
          </w:p>
        </w:tc>
      </w:tr>
      <w:tr>
        <w:trPr>
          <w:trHeight w:val="188"/>
        </w:trPr>
        <w:tc>
          <w:tcPr>
            <w:tcW w:w="2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4"/>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equivalents</w:t>
            </w:r>
          </w:p>
        </w:tc>
        <w:tc>
          <w:tcPr>
            <w:tcW w:w="160" w:type="dxa"/>
            <w:vAlign w:val="bottom"/>
          </w:tcPr>
          <w:p>
            <w:pPr>
              <w:spacing w:after="0"/>
              <w:rPr>
                <w:sz w:val="16"/>
                <w:szCs w:val="16"/>
                <w:color w:val="auto"/>
              </w:rPr>
            </w:pPr>
          </w:p>
        </w:tc>
        <w:tc>
          <w:tcPr>
            <w:tcW w:w="1160" w:type="dxa"/>
            <w:vAlign w:val="bottom"/>
            <w:gridSpan w:val="4"/>
          </w:tcPr>
          <w:p>
            <w:pPr>
              <w:ind w:left="80"/>
              <w:spacing w:after="0"/>
              <w:rPr>
                <w:sz w:val="20"/>
                <w:szCs w:val="20"/>
                <w:color w:val="auto"/>
              </w:rPr>
            </w:pPr>
            <w:r>
              <w:rPr>
                <w:rFonts w:ascii="Arial" w:cs="Arial" w:eastAsia="Arial" w:hAnsi="Arial"/>
                <w:sz w:val="14"/>
                <w:szCs w:val="14"/>
                <w:b w:val="1"/>
                <w:bCs w:val="1"/>
                <w:color w:val="auto"/>
              </w:rPr>
              <w:t>investments</w:t>
            </w:r>
          </w:p>
        </w:tc>
        <w:tc>
          <w:tcPr>
            <w:tcW w:w="18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investments</w:t>
            </w:r>
          </w:p>
        </w:tc>
        <w:tc>
          <w:tcPr>
            <w:tcW w:w="0" w:type="dxa"/>
            <w:vAlign w:val="bottom"/>
          </w:tcPr>
          <w:p>
            <w:pPr>
              <w:spacing w:after="0"/>
              <w:rPr>
                <w:sz w:val="1"/>
                <w:szCs w:val="1"/>
                <w:color w:val="auto"/>
              </w:rPr>
            </w:pPr>
          </w:p>
        </w:tc>
      </w:tr>
      <w:tr>
        <w:trPr>
          <w:trHeight w:val="211"/>
        </w:trPr>
        <w:tc>
          <w:tcPr>
            <w:tcW w:w="26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Level 1</w:t>
            </w: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60" w:type="dxa"/>
            <w:vAlign w:val="bottom"/>
            <w:gridSpan w:val="2"/>
          </w:tcPr>
          <w:p>
            <w:pPr>
              <w:ind w:left="20"/>
              <w:spacing w:after="0"/>
              <w:rPr>
                <w:sz w:val="20"/>
                <w:szCs w:val="20"/>
                <w:color w:val="auto"/>
              </w:rPr>
            </w:pPr>
            <w:r>
              <w:rPr>
                <w:rFonts w:ascii="Arial" w:cs="Arial" w:eastAsia="Arial" w:hAnsi="Arial"/>
                <w:sz w:val="18"/>
                <w:szCs w:val="18"/>
                <w:color w:val="auto"/>
              </w:rPr>
              <w:t>Mutual funds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gridSpan w:val="2"/>
          </w:tcPr>
          <w:p>
            <w:pPr>
              <w:ind w:left="240"/>
              <w:spacing w:after="0"/>
              <w:rPr>
                <w:sz w:val="20"/>
                <w:szCs w:val="20"/>
                <w:color w:val="auto"/>
              </w:rPr>
            </w:pPr>
            <w:r>
              <w:rPr>
                <w:rFonts w:ascii="Arial" w:cs="Arial" w:eastAsia="Arial" w:hAnsi="Arial"/>
                <w:sz w:val="18"/>
                <w:szCs w:val="18"/>
                <w:color w:val="auto"/>
              </w:rPr>
              <w:t>Total Level 1</w:t>
            </w: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41,226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40,998</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14,976</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24,201</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Level 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gridSpan w:val="2"/>
          </w:tcPr>
          <w:p>
            <w:pPr>
              <w:ind w:left="20"/>
              <w:spacing w:after="0"/>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266,695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266,490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208,533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57,957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60" w:type="dxa"/>
            <w:vAlign w:val="bottom"/>
            <w:gridSpan w:val="2"/>
          </w:tcPr>
          <w:p>
            <w:pPr>
              <w:ind w:left="20"/>
              <w:spacing w:after="0"/>
              <w:rPr>
                <w:sz w:val="20"/>
                <w:szCs w:val="20"/>
                <w:color w:val="auto"/>
              </w:rPr>
            </w:pPr>
            <w:r>
              <w:rPr>
                <w:rFonts w:ascii="Arial" w:cs="Arial" w:eastAsia="Arial" w:hAnsi="Arial"/>
                <w:sz w:val="18"/>
                <w:szCs w:val="18"/>
                <w:color w:val="auto"/>
              </w:rPr>
              <w:t>Agency bonds</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20,378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tcBorders>
              <w:top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Level 2</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294,438</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293,898</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208,533</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74,008</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11,357</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gridSpan w:val="2"/>
          </w:tcPr>
          <w:p>
            <w:pPr>
              <w:ind w:left="260"/>
              <w:spacing w:after="0"/>
              <w:rPr>
                <w:sz w:val="20"/>
                <w:szCs w:val="20"/>
                <w:color w:val="auto"/>
              </w:rPr>
            </w:pPr>
            <w:r>
              <w:rPr>
                <w:rFonts w:ascii="Arial" w:cs="Arial" w:eastAsia="Arial" w:hAnsi="Arial"/>
                <w:sz w:val="18"/>
                <w:szCs w:val="18"/>
                <w:color w:val="auto"/>
              </w:rPr>
              <w:t>Total Level 1 and Level 2</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335,664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334,896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210,354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88,984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35,558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0"/>
        </w:trPr>
        <w:tc>
          <w:tcPr>
            <w:tcW w:w="26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6"/>
          </w:tcPr>
          <w:p>
            <w:pPr>
              <w:jc w:val="right"/>
              <w:ind w:right="372"/>
              <w:spacing w:after="0"/>
              <w:rPr>
                <w:sz w:val="20"/>
                <w:szCs w:val="20"/>
                <w:color w:val="auto"/>
              </w:rPr>
            </w:pPr>
            <w:r>
              <w:rPr>
                <w:rFonts w:ascii="Arial" w:cs="Arial" w:eastAsia="Arial" w:hAnsi="Arial"/>
                <w:sz w:val="14"/>
                <w:szCs w:val="14"/>
                <w:b w:val="1"/>
                <w:bCs w:val="1"/>
                <w:color w:val="auto"/>
              </w:rPr>
              <w:t>Gross Unrealized</w:t>
            </w:r>
          </w:p>
        </w:tc>
        <w:tc>
          <w:tcPr>
            <w:tcW w:w="10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Reported as:</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6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1"/>
                <w:szCs w:val="11"/>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200" w:type="dxa"/>
            <w:vAlign w:val="bottom"/>
          </w:tcPr>
          <w:p>
            <w:pPr>
              <w:spacing w:after="0"/>
              <w:rPr>
                <w:sz w:val="11"/>
                <w:szCs w:val="11"/>
                <w:color w:val="auto"/>
              </w:rPr>
            </w:pPr>
          </w:p>
        </w:tc>
        <w:tc>
          <w:tcPr>
            <w:tcW w:w="84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Gains</w:t>
            </w:r>
          </w:p>
        </w:tc>
        <w:tc>
          <w:tcPr>
            <w:tcW w:w="180" w:type="dxa"/>
            <w:vAlign w:val="bottom"/>
          </w:tcPr>
          <w:p>
            <w:pPr>
              <w:spacing w:after="0"/>
              <w:rPr>
                <w:sz w:val="11"/>
                <w:szCs w:val="11"/>
                <w:color w:val="auto"/>
              </w:rPr>
            </w:pPr>
          </w:p>
        </w:tc>
        <w:tc>
          <w:tcPr>
            <w:tcW w:w="8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Losses</w:t>
            </w:r>
          </w:p>
        </w:tc>
        <w:tc>
          <w:tcPr>
            <w:tcW w:w="200" w:type="dxa"/>
            <w:vAlign w:val="bottom"/>
          </w:tcPr>
          <w:p>
            <w:pPr>
              <w:spacing w:after="0"/>
              <w:rPr>
                <w:sz w:val="11"/>
                <w:szCs w:val="11"/>
                <w:color w:val="auto"/>
              </w:rPr>
            </w:pPr>
          </w:p>
        </w:tc>
        <w:tc>
          <w:tcPr>
            <w:tcW w:w="112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1"/>
                <w:szCs w:val="11"/>
                <w:color w:val="auto"/>
              </w:rPr>
            </w:pPr>
          </w:p>
        </w:tc>
        <w:tc>
          <w:tcPr>
            <w:tcW w:w="118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Cash and cash</w:t>
            </w:r>
          </w:p>
        </w:tc>
        <w:tc>
          <w:tcPr>
            <w:tcW w:w="160" w:type="dxa"/>
            <w:vAlign w:val="bottom"/>
          </w:tcPr>
          <w:p>
            <w:pPr>
              <w:spacing w:after="0"/>
              <w:rPr>
                <w:sz w:val="11"/>
                <w:szCs w:val="11"/>
                <w:color w:val="auto"/>
              </w:rPr>
            </w:pPr>
          </w:p>
        </w:tc>
        <w:tc>
          <w:tcPr>
            <w:tcW w:w="1160" w:type="dxa"/>
            <w:vAlign w:val="bottom"/>
            <w:gridSpan w:val="4"/>
          </w:tcPr>
          <w:p>
            <w:pPr>
              <w:ind w:left="100"/>
              <w:spacing w:after="0" w:line="135" w:lineRule="exact"/>
              <w:rPr>
                <w:sz w:val="20"/>
                <w:szCs w:val="20"/>
                <w:color w:val="auto"/>
              </w:rPr>
            </w:pPr>
            <w:r>
              <w:rPr>
                <w:rFonts w:ascii="Arial" w:cs="Arial" w:eastAsia="Arial" w:hAnsi="Arial"/>
                <w:sz w:val="14"/>
                <w:szCs w:val="14"/>
                <w:b w:val="1"/>
                <w:bCs w:val="1"/>
                <w:color w:val="auto"/>
              </w:rPr>
              <w:t>Short-term</w:t>
            </w:r>
          </w:p>
        </w:tc>
        <w:tc>
          <w:tcPr>
            <w:tcW w:w="180" w:type="dxa"/>
            <w:vAlign w:val="bottom"/>
          </w:tcPr>
          <w:p>
            <w:pPr>
              <w:spacing w:after="0"/>
              <w:rPr>
                <w:sz w:val="11"/>
                <w:szCs w:val="11"/>
                <w:color w:val="auto"/>
              </w:rPr>
            </w:pPr>
          </w:p>
        </w:tc>
        <w:tc>
          <w:tcPr>
            <w:tcW w:w="1060" w:type="dxa"/>
            <w:vAlign w:val="bottom"/>
          </w:tcPr>
          <w:p>
            <w:pPr>
              <w:jc w:val="center"/>
              <w:ind w:right="114"/>
              <w:spacing w:after="0" w:line="135" w:lineRule="exact"/>
              <w:rPr>
                <w:sz w:val="20"/>
                <w:szCs w:val="20"/>
                <w:color w:val="auto"/>
              </w:rPr>
            </w:pPr>
            <w:r>
              <w:rPr>
                <w:rFonts w:ascii="Arial" w:cs="Arial" w:eastAsia="Arial" w:hAnsi="Arial"/>
                <w:sz w:val="14"/>
                <w:szCs w:val="14"/>
                <w:b w:val="1"/>
                <w:bCs w:val="1"/>
                <w:color w:val="auto"/>
                <w:w w:val="95"/>
              </w:rPr>
              <w:t>Long-term</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4"/>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equivalents</w:t>
            </w:r>
          </w:p>
        </w:tc>
        <w:tc>
          <w:tcPr>
            <w:tcW w:w="160" w:type="dxa"/>
            <w:vAlign w:val="bottom"/>
          </w:tcPr>
          <w:p>
            <w:pPr>
              <w:spacing w:after="0"/>
              <w:rPr>
                <w:sz w:val="16"/>
                <w:szCs w:val="16"/>
                <w:color w:val="auto"/>
              </w:rPr>
            </w:pPr>
          </w:p>
        </w:tc>
        <w:tc>
          <w:tcPr>
            <w:tcW w:w="1160" w:type="dxa"/>
            <w:vAlign w:val="bottom"/>
            <w:gridSpan w:val="4"/>
          </w:tcPr>
          <w:p>
            <w:pPr>
              <w:ind w:left="80"/>
              <w:spacing w:after="0"/>
              <w:rPr>
                <w:sz w:val="20"/>
                <w:szCs w:val="20"/>
                <w:color w:val="auto"/>
              </w:rPr>
            </w:pPr>
            <w:r>
              <w:rPr>
                <w:rFonts w:ascii="Arial" w:cs="Arial" w:eastAsia="Arial" w:hAnsi="Arial"/>
                <w:sz w:val="14"/>
                <w:szCs w:val="14"/>
                <w:b w:val="1"/>
                <w:bCs w:val="1"/>
                <w:color w:val="auto"/>
              </w:rPr>
              <w:t>investments</w:t>
            </w:r>
          </w:p>
        </w:tc>
        <w:tc>
          <w:tcPr>
            <w:tcW w:w="18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investments</w:t>
            </w:r>
          </w:p>
        </w:tc>
        <w:tc>
          <w:tcPr>
            <w:tcW w:w="0" w:type="dxa"/>
            <w:vAlign w:val="bottom"/>
          </w:tcPr>
          <w:p>
            <w:pPr>
              <w:spacing w:after="0"/>
              <w:rPr>
                <w:sz w:val="1"/>
                <w:szCs w:val="1"/>
                <w:color w:val="auto"/>
              </w:rPr>
            </w:pPr>
          </w:p>
        </w:tc>
      </w:tr>
      <w:tr>
        <w:trPr>
          <w:trHeight w:val="211"/>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Level 1</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60" w:type="dxa"/>
            <w:vAlign w:val="bottom"/>
            <w:gridSpan w:val="2"/>
          </w:tcPr>
          <w:p>
            <w:pPr>
              <w:ind w:left="20"/>
              <w:spacing w:after="0"/>
              <w:rPr>
                <w:sz w:val="20"/>
                <w:szCs w:val="20"/>
                <w:color w:val="auto"/>
              </w:rPr>
            </w:pPr>
            <w:r>
              <w:rPr>
                <w:rFonts w:ascii="Arial" w:cs="Arial" w:eastAsia="Arial" w:hAnsi="Arial"/>
                <w:sz w:val="18"/>
                <w:szCs w:val="18"/>
                <w:color w:val="auto"/>
              </w:rPr>
              <w:t>Mutual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21,925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21,925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21,925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18"/>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tcPr>
          <w:p>
            <w:pPr>
              <w:ind w:left="240"/>
              <w:spacing w:after="0"/>
              <w:rPr>
                <w:sz w:val="20"/>
                <w:szCs w:val="20"/>
                <w:color w:val="auto"/>
              </w:rPr>
            </w:pPr>
            <w:r>
              <w:rPr>
                <w:rFonts w:ascii="Arial" w:cs="Arial" w:eastAsia="Arial" w:hAnsi="Arial"/>
                <w:sz w:val="18"/>
                <w:szCs w:val="18"/>
                <w:color w:val="auto"/>
              </w:rPr>
              <w:t>Total Level 1</w:t>
            </w: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37,081</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gridSpan w:val="2"/>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21,925</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Level 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gridSpan w:val="2"/>
          </w:tcPr>
          <w:p>
            <w:pPr>
              <w:ind w:left="20"/>
              <w:spacing w:after="0"/>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301,906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301,818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163,694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138,124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gridSpan w:val="2"/>
          </w:tcPr>
          <w:p>
            <w:pPr>
              <w:ind w:left="20"/>
              <w:spacing w:after="0"/>
              <w:rPr>
                <w:sz w:val="20"/>
                <w:szCs w:val="20"/>
                <w:color w:val="auto"/>
              </w:rPr>
            </w:pPr>
            <w:r>
              <w:rPr>
                <w:rFonts w:ascii="Arial" w:cs="Arial" w:eastAsia="Arial" w:hAnsi="Arial"/>
                <w:sz w:val="18"/>
                <w:szCs w:val="18"/>
                <w:color w:val="auto"/>
              </w:rPr>
              <w:t>Agency bonds</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8,998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Level 2</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325,203</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325,039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163,694</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144,974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gridSpan w:val="2"/>
          </w:tcPr>
          <w:p>
            <w:pPr>
              <w:ind w:left="260"/>
              <w:spacing w:after="0"/>
              <w:rPr>
                <w:sz w:val="20"/>
                <w:szCs w:val="20"/>
                <w:color w:val="auto"/>
              </w:rPr>
            </w:pPr>
            <w:r>
              <w:rPr>
                <w:rFonts w:ascii="Arial" w:cs="Arial" w:eastAsia="Arial" w:hAnsi="Arial"/>
                <w:sz w:val="18"/>
                <w:szCs w:val="18"/>
                <w:color w:val="auto"/>
              </w:rPr>
              <w:t>Total Level 1 and Level 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362,284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362,100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185,619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160,110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ind w:right="18"/>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16,371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Contractual maturities of short-term investments as of June 30, 2022 and December 31, 2021 are due in one year or less. Contractual maturities of long-term investments as of June 30, 2022 and December 31, 2021 are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17" w:name="page18"/>
    <w:bookmarkEnd w:id="17"/>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after 1 year through 2 years. There were no continuous unrealized loss positions in excess of twelve months as of June 30, 2022 and December 31, 2021.</w:t>
      </w:r>
    </w:p>
    <w:p>
      <w:pPr>
        <w:spacing w:after="0" w:line="190" w:lineRule="exact"/>
        <w:rPr>
          <w:sz w:val="20"/>
          <w:szCs w:val="20"/>
          <w:color w:val="auto"/>
        </w:rPr>
      </w:pPr>
    </w:p>
    <w:p>
      <w:pPr>
        <w:ind w:right="4360" w:firstLine="8"/>
        <w:spacing w:after="0" w:line="440" w:lineRule="auto"/>
        <w:tabs>
          <w:tab w:leader="none" w:pos="648"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Composition of Certain Condensed Consolidated Financial Statement Line Items Property and Equipment, Net</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consisted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4"/>
                <w:szCs w:val="14"/>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340" w:type="dxa"/>
            <w:vAlign w:val="bottom"/>
          </w:tcPr>
          <w:p>
            <w:pPr>
              <w:jc w:val="right"/>
              <w:ind w:right="27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Laboratory equipment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Computer hardware</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and office equipment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4,477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The Company recorded depreciation expense of $0.3 million and $0.6 million for the three and six months ended June 30, 2022 and $0.3 million and $0.5 million for the three and six months ended June 30, 2021, respectively, which was primarily allocated to research and development expense.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Long Term Assets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long term assets consisted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jc w:val="center"/>
              <w:ind w:left="419"/>
              <w:spacing w:after="0"/>
              <w:rPr>
                <w:sz w:val="20"/>
                <w:szCs w:val="20"/>
                <w:color w:val="auto"/>
              </w:rPr>
            </w:pPr>
            <w:r>
              <w:rPr>
                <w:rFonts w:ascii="Arial" w:cs="Arial" w:eastAsia="Arial" w:hAnsi="Arial"/>
                <w:sz w:val="14"/>
                <w:szCs w:val="14"/>
                <w:b w:val="1"/>
                <w:bCs w:val="1"/>
                <w:color w:val="auto"/>
                <w:w w:val="92"/>
              </w:rPr>
              <w:t>June 30,</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center"/>
              <w:ind w:right="13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tcPr>
          <w:p>
            <w:pPr>
              <w:jc w:val="center"/>
              <w:ind w:left="419"/>
              <w:spacing w:after="0"/>
              <w:rPr>
                <w:sz w:val="20"/>
                <w:szCs w:val="20"/>
                <w:color w:val="auto"/>
              </w:rPr>
            </w:pPr>
            <w:r>
              <w:rPr>
                <w:rFonts w:ascii="Arial" w:cs="Arial" w:eastAsia="Arial" w:hAnsi="Arial"/>
                <w:sz w:val="14"/>
                <w:szCs w:val="14"/>
                <w:b w:val="1"/>
                <w:bCs w:val="1"/>
                <w:color w:val="auto"/>
                <w:w w:val="89"/>
              </w:rPr>
              <w:t>2022</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57"/>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Deposits</w:t>
            </w:r>
          </w:p>
        </w:tc>
        <w:tc>
          <w:tcPr>
            <w:tcW w:w="10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Accrued Expenses and Other Liabilities</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80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20" w:type="dxa"/>
            <w:vAlign w:val="bottom"/>
          </w:tcPr>
          <w:p>
            <w:pPr>
              <w:ind w:left="340"/>
              <w:spacing w:after="0"/>
              <w:rPr>
                <w:sz w:val="20"/>
                <w:szCs w:val="20"/>
                <w:color w:val="auto"/>
              </w:rPr>
            </w:pPr>
            <w:r>
              <w:rPr>
                <w:rFonts w:ascii="Arial" w:cs="Arial" w:eastAsia="Arial" w:hAnsi="Arial"/>
                <w:sz w:val="18"/>
                <w:szCs w:val="18"/>
                <w:color w:val="auto"/>
              </w:rPr>
              <w:t>Accrued expenses and other liabilities consisted of the following:</w:t>
            </w: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jc w:val="center"/>
              <w:ind w:left="419"/>
              <w:spacing w:after="0"/>
              <w:rPr>
                <w:sz w:val="20"/>
                <w:szCs w:val="20"/>
                <w:color w:val="auto"/>
              </w:rPr>
            </w:pPr>
            <w:r>
              <w:rPr>
                <w:rFonts w:ascii="Arial" w:cs="Arial" w:eastAsia="Arial" w:hAnsi="Arial"/>
                <w:sz w:val="14"/>
                <w:szCs w:val="14"/>
                <w:b w:val="1"/>
                <w:bCs w:val="1"/>
                <w:color w:val="auto"/>
                <w:w w:val="92"/>
              </w:rPr>
              <w:t>June 30,</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center"/>
              <w:ind w:right="13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tcPr>
          <w:p>
            <w:pPr>
              <w:jc w:val="center"/>
              <w:ind w:left="419"/>
              <w:spacing w:after="0"/>
              <w:rPr>
                <w:sz w:val="20"/>
                <w:szCs w:val="20"/>
                <w:color w:val="auto"/>
              </w:rPr>
            </w:pPr>
            <w:r>
              <w:rPr>
                <w:rFonts w:ascii="Arial" w:cs="Arial" w:eastAsia="Arial" w:hAnsi="Arial"/>
                <w:sz w:val="14"/>
                <w:szCs w:val="14"/>
                <w:b w:val="1"/>
                <w:bCs w:val="1"/>
                <w:color w:val="auto"/>
                <w:w w:val="89"/>
              </w:rPr>
              <w:t>2022</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Accrued research and development</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professional and consulting fees</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Accrued facilities</w:t>
            </w:r>
          </w:p>
        </w:tc>
        <w:tc>
          <w:tcPr>
            <w:tcW w:w="106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3,108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3,119</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18" w:name="page19"/>
    <w:bookmarkEnd w:id="18"/>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cash equivalents and restricted cash consisted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4"/>
                <w:szCs w:val="14"/>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340" w:type="dxa"/>
            <w:vAlign w:val="bottom"/>
          </w:tcPr>
          <w:p>
            <w:pPr>
              <w:jc w:val="right"/>
              <w:ind w:right="27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185,619</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Restricted cash included in other long term assets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48"/>
        </w:trPr>
        <w:tc>
          <w:tcPr>
            <w:tcW w:w="200" w:type="dxa"/>
            <w:vAlign w:val="bottom"/>
            <w:tcBorders>
              <w:bottom w:val="single" w:sz="8" w:color="CCEEFF"/>
            </w:tcBorders>
            <w:shd w:val="clear" w:color="auto" w:fill="CCEEFF"/>
          </w:tcPr>
          <w:p>
            <w:pPr>
              <w:spacing w:after="0"/>
              <w:rPr>
                <w:sz w:val="21"/>
                <w:szCs w:val="21"/>
                <w:color w:val="auto"/>
              </w:rPr>
            </w:pPr>
          </w:p>
        </w:tc>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186,461</w:t>
            </w:r>
          </w:p>
        </w:tc>
        <w:tc>
          <w:tcPr>
            <w:tcW w:w="0" w:type="dxa"/>
            <w:vAlign w:val="bottom"/>
          </w:tcPr>
          <w:p>
            <w:pPr>
              <w:spacing w:after="0"/>
              <w:rPr>
                <w:sz w:val="1"/>
                <w:szCs w:val="1"/>
                <w:color w:val="auto"/>
              </w:rPr>
            </w:pPr>
          </w:p>
        </w:tc>
      </w:tr>
      <w:tr>
        <w:trPr>
          <w:trHeight w:val="20"/>
        </w:trPr>
        <w:tc>
          <w:tcPr>
            <w:tcW w:w="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6.</w:t>
            </w:r>
          </w:p>
        </w:tc>
        <w:tc>
          <w:tcPr>
            <w:tcW w:w="7820" w:type="dxa"/>
            <w:vAlign w:val="bottom"/>
            <w:tcBorders>
              <w:top w:val="single" w:sz="8" w:color="CCEEFF"/>
              <w:bottom w:val="single" w:sz="8" w:color="CCEEFF"/>
            </w:tcBorders>
            <w:vMerge w:val="restart"/>
          </w:tcPr>
          <w:p>
            <w:pPr>
              <w:ind w:left="460"/>
              <w:spacing w:after="0"/>
              <w:rPr>
                <w:sz w:val="20"/>
                <w:szCs w:val="20"/>
                <w:color w:val="auto"/>
              </w:rPr>
            </w:pPr>
            <w:r>
              <w:rPr>
                <w:rFonts w:ascii="Arial" w:cs="Arial" w:eastAsia="Arial" w:hAnsi="Arial"/>
                <w:sz w:val="18"/>
                <w:szCs w:val="18"/>
                <w:b w:val="1"/>
                <w:bCs w:val="1"/>
                <w:color w:val="auto"/>
              </w:rPr>
              <w:t>Redeemable Convertible Preferred Stock</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200" w:type="dxa"/>
            <w:vAlign w:val="bottom"/>
            <w:vMerge w:val="continue"/>
          </w:tcPr>
          <w:p>
            <w:pPr>
              <w:spacing w:after="0"/>
              <w:rPr>
                <w:sz w:val="24"/>
                <w:szCs w:val="24"/>
                <w:color w:val="auto"/>
              </w:rPr>
            </w:pPr>
          </w:p>
        </w:tc>
        <w:tc>
          <w:tcPr>
            <w:tcW w:w="78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On June 9, 2021, upon the closing of the Business Combination (as defined in Note 1 and further described in Note 3), all of the outstanding redeemable convertible preferred stock was converted to New Nautilus Common Stock pursuant to the Exchange Ratio effective immediately prior to the Business Combination and the remaining amount was reclassified to additional paid-in capital. As of June 30, 2022 the Company had no issued and outstanding Preferred Stock shares.</w:t>
      </w:r>
    </w:p>
    <w:p>
      <w:pPr>
        <w:spacing w:after="0" w:line="129"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75" w:lineRule="exact"/>
        <w:rPr>
          <w:sz w:val="20"/>
          <w:szCs w:val="20"/>
          <w:color w:val="auto"/>
        </w:rPr>
      </w:pPr>
    </w:p>
    <w:p>
      <w:pPr>
        <w:ind w:right="660" w:firstLine="324"/>
        <w:spacing w:after="0" w:line="311" w:lineRule="auto"/>
        <w:rPr>
          <w:sz w:val="20"/>
          <w:szCs w:val="20"/>
          <w:color w:val="auto"/>
        </w:rPr>
      </w:pPr>
      <w:r>
        <w:rPr>
          <w:rFonts w:ascii="Arial" w:cs="Arial" w:eastAsia="Arial" w:hAnsi="Arial"/>
          <w:sz w:val="16"/>
          <w:szCs w:val="16"/>
          <w:color w:val="auto"/>
        </w:rPr>
        <w:t>On June 9, 2021, the Business Combination (as defined in Note 1 and further described in Note 3) was consummated and the Company issued 38,721,137 shares for an aggregate purchase price of $327.3 million, net of issuance costs of $8.1 million. Immediately following the Business Combination, there were 124,045,255 shares of Common Stock outstanding. The holder of each share of Common Stock is entitled to one vote.</w:t>
      </w:r>
    </w:p>
    <w:p>
      <w:pPr>
        <w:spacing w:after="0" w:line="9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Company has retroactively adjusted the shares issued and outstanding prior to June 9, 2021 to give effect to the exchange ratio established in the Business Combination Agreement to determine the number of shares of Common Stock into which they were converted.</w:t>
      </w:r>
    </w:p>
    <w:p>
      <w:pPr>
        <w:spacing w:after="0" w:line="116" w:lineRule="exact"/>
        <w:rPr>
          <w:sz w:val="20"/>
          <w:szCs w:val="20"/>
          <w:color w:val="auto"/>
        </w:rPr>
      </w:pPr>
    </w:p>
    <w:p>
      <w:pPr>
        <w:ind w:right="540" w:firstLine="324"/>
        <w:spacing w:after="0" w:line="308" w:lineRule="auto"/>
        <w:rPr>
          <w:sz w:val="20"/>
          <w:szCs w:val="20"/>
          <w:color w:val="auto"/>
        </w:rPr>
      </w:pPr>
      <w:r>
        <w:rPr>
          <w:rFonts w:ascii="Arial" w:cs="Arial" w:eastAsia="Arial" w:hAnsi="Arial"/>
          <w:sz w:val="17"/>
          <w:szCs w:val="17"/>
          <w:color w:val="auto"/>
        </w:rPr>
        <w:t>In June 2021, pursuant to the Business Combination, the Company amended its certificate of incorporation to increase the number of authorized common stock shares to 1,000,000,000 shares. There were 124,562,745 shares issued and outstanding as of June 30, 2022.</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Common Stock Reserved for Future Issuance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Shares of common stock reserved for future issuance on an as-if converted basis,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660" w:type="dxa"/>
            <w:vAlign w:val="bottom"/>
            <w:gridSpan w:val="2"/>
          </w:tcPr>
          <w:p>
            <w:pPr>
              <w:ind w:left="520"/>
              <w:spacing w:after="0"/>
              <w:rPr>
                <w:sz w:val="20"/>
                <w:szCs w:val="20"/>
                <w:color w:val="auto"/>
              </w:rPr>
            </w:pPr>
            <w:r>
              <w:rPr>
                <w:rFonts w:ascii="Arial" w:cs="Arial" w:eastAsia="Arial" w:hAnsi="Arial"/>
                <w:sz w:val="14"/>
                <w:szCs w:val="14"/>
                <w:b w:val="1"/>
                <w:bCs w:val="1"/>
                <w:color w:val="auto"/>
              </w:rPr>
              <w:t>June 30,</w:t>
            </w:r>
          </w:p>
        </w:tc>
        <w:tc>
          <w:tcPr>
            <w:tcW w:w="1560" w:type="dxa"/>
            <w:vAlign w:val="bottom"/>
          </w:tcPr>
          <w:p>
            <w:pPr>
              <w:jc w:val="right"/>
              <w:ind w:right="276"/>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2760" w:type="dxa"/>
            <w:vAlign w:val="bottom"/>
            <w:tcBorders>
              <w:bottom w:val="single" w:sz="8" w:color="CCEEFF"/>
            </w:tcBorders>
          </w:tcPr>
          <w:p>
            <w:pPr>
              <w:spacing w:after="0"/>
              <w:rPr>
                <w:sz w:val="16"/>
                <w:szCs w:val="16"/>
                <w:color w:val="auto"/>
              </w:rPr>
            </w:pPr>
          </w:p>
        </w:tc>
        <w:tc>
          <w:tcPr>
            <w:tcW w:w="526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r>
      <w:tr>
        <w:trPr>
          <w:trHeight w:val="224"/>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Stock options issued and outstanding</w:t>
            </w:r>
          </w:p>
        </w:tc>
        <w:tc>
          <w:tcPr>
            <w:tcW w:w="5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11,650,794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8,550,076</w:t>
            </w:r>
          </w:p>
        </w:tc>
      </w:tr>
      <w:tr>
        <w:trPr>
          <w:trHeight w:val="230"/>
        </w:trPr>
        <w:tc>
          <w:tcPr>
            <w:tcW w:w="2760" w:type="dxa"/>
            <w:vAlign w:val="bottom"/>
          </w:tcPr>
          <w:p>
            <w:pPr>
              <w:ind w:left="20"/>
              <w:spacing w:after="0"/>
              <w:rPr>
                <w:sz w:val="20"/>
                <w:szCs w:val="20"/>
                <w:color w:val="auto"/>
              </w:rPr>
            </w:pPr>
            <w:r>
              <w:rPr>
                <w:rFonts w:ascii="Arial" w:cs="Arial" w:eastAsia="Arial" w:hAnsi="Arial"/>
                <w:sz w:val="18"/>
                <w:szCs w:val="18"/>
                <w:color w:val="auto"/>
                <w:w w:val="90"/>
              </w:rPr>
              <w:t>Shares available for grant under 2021</w:t>
            </w:r>
          </w:p>
        </w:tc>
        <w:tc>
          <w:tcPr>
            <w:tcW w:w="5260" w:type="dxa"/>
            <w:vAlign w:val="bottom"/>
          </w:tcPr>
          <w:p>
            <w:pPr>
              <w:ind w:left="20"/>
              <w:spacing w:after="0"/>
              <w:rPr>
                <w:sz w:val="20"/>
                <w:szCs w:val="20"/>
                <w:color w:val="auto"/>
              </w:rPr>
            </w:pPr>
            <w:r>
              <w:rPr>
                <w:rFonts w:ascii="Arial" w:cs="Arial" w:eastAsia="Arial" w:hAnsi="Arial"/>
                <w:sz w:val="18"/>
                <w:szCs w:val="18"/>
                <w:color w:val="auto"/>
              </w:rPr>
              <w:t>Equity Incentive Plan</w:t>
            </w:r>
          </w:p>
        </w:tc>
        <w:tc>
          <w:tcPr>
            <w:tcW w:w="1560" w:type="dxa"/>
            <w:vAlign w:val="bottom"/>
          </w:tcPr>
          <w:p>
            <w:pPr>
              <w:jc w:val="right"/>
              <w:spacing w:after="0"/>
              <w:rPr>
                <w:sz w:val="20"/>
                <w:szCs w:val="20"/>
                <w:color w:val="auto"/>
              </w:rPr>
            </w:pPr>
            <w:r>
              <w:rPr>
                <w:rFonts w:ascii="Arial" w:cs="Arial" w:eastAsia="Arial" w:hAnsi="Arial"/>
                <w:sz w:val="18"/>
                <w:szCs w:val="18"/>
                <w:color w:val="auto"/>
              </w:rPr>
              <w:t>17,384,590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14,481,463</w:t>
            </w:r>
          </w:p>
        </w:tc>
      </w:tr>
      <w:tr>
        <w:trPr>
          <w:trHeight w:val="230"/>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Shares available for grant under 2021</w:t>
            </w:r>
          </w:p>
        </w:tc>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2,439,577</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1,244,900</w:t>
            </w:r>
          </w:p>
        </w:tc>
      </w:tr>
      <w:tr>
        <w:trPr>
          <w:trHeight w:val="223"/>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Total shares of common stock reserved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31,474,961</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24,276,439</w:t>
            </w:r>
          </w:p>
        </w:tc>
      </w:tr>
      <w:tr>
        <w:trPr>
          <w:trHeight w:val="20"/>
        </w:trPr>
        <w:tc>
          <w:tcPr>
            <w:tcW w:w="27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The Company accounts for income taxes under the asset and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 For the three and six months ended June 30, 2022 and 2021, no income tax expense or benefit was recognized, primarily due to a full valuation allowance recorded against its deferred tax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19" w:name="page20"/>
    <w:bookmarkEnd w:id="19"/>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 Plan and Stock-based Compensation</w:t>
      </w:r>
    </w:p>
    <w:p>
      <w:pPr>
        <w:spacing w:after="0" w:line="175"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On June 8, 2021, the stockholders of the Company approved the 2021 Equity Incentive Plan (“2021 Plan”) and the 2021 Employee Stock Purchase Plan (“2021 ESPP”). As of June 30, 2022, 17,384,590 and 2,439,577 shares were available for grant under the 2021 Plan and 2021 ESPP, respectively.</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71" w:lineRule="exact"/>
        <w:rPr>
          <w:sz w:val="20"/>
          <w:szCs w:val="20"/>
          <w:color w:val="auto"/>
        </w:rPr>
      </w:pPr>
    </w:p>
    <w:p>
      <w:pPr>
        <w:ind w:right="140" w:firstLine="324"/>
        <w:spacing w:after="0" w:line="284" w:lineRule="auto"/>
        <w:rPr>
          <w:sz w:val="20"/>
          <w:szCs w:val="20"/>
          <w:color w:val="auto"/>
        </w:rPr>
      </w:pPr>
      <w:r>
        <w:rPr>
          <w:rFonts w:ascii="Arial" w:cs="Arial" w:eastAsia="Arial" w:hAnsi="Arial"/>
          <w:sz w:val="16"/>
          <w:szCs w:val="16"/>
          <w:color w:val="auto"/>
        </w:rPr>
        <w:t>Under the 2021 ESPP, the Company can grant stock options to employees to purchase shares of Common Stock at a purchase price which equal to 85% of the fair market value of common stock on the enrollment date or on the exercise date, whichever is lower. Participants are permitted to purchase shares of the Company’s Common Stock at 85% of the lower of the fair market value of the Company’s Common Stock on the first trading day of an offering period or on the last trading date in each purchase period. Participants may end their participation at any time during an offering and will be paid their accrued contributions that have not yet been used to purchase shares. Participation ends automatically upon termination of employment with the Company. The number of shares of common stock available for issuance under the 2021 ESPP will be increased on the first day of each fiscal year beginning on January 1, 2022, in an amount equal to the least of (i) 3,734,500 shares of common stock, (ii) a number of shares of common stock equal to one percent (1%) of the total number of shares of all classes of common stock of the Company on the last day of the immediately preceding fiscal year, or</w:t>
      </w:r>
    </w:p>
    <w:p>
      <w:pPr>
        <w:spacing w:after="0" w:line="1" w:lineRule="exact"/>
        <w:rPr>
          <w:sz w:val="20"/>
          <w:szCs w:val="20"/>
          <w:color w:val="auto"/>
        </w:rPr>
      </w:pPr>
    </w:p>
    <w:p>
      <w:pPr>
        <w:ind w:right="320" w:firstLine="8"/>
        <w:spacing w:after="0" w:line="260" w:lineRule="auto"/>
        <w:tabs>
          <w:tab w:leader="none" w:pos="3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such number of shares determined by the Administrator no later than the last day of the immediately preceding fiscal year. On January 1, 2022, the number of shares available under the ESPP increased by 1,243,030 shares pursuant to this feature.</w:t>
      </w:r>
    </w:p>
    <w:p>
      <w:pPr>
        <w:spacing w:after="0" w:line="13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first offering period was from October 1, 2021 through June 1, 2022. For subsequent offering periods, the Company will be offering a six month purchase period. As of June 30, 2022, 48,353 shares of common stock were purchased under the 2021 ESPP.</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7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Under the 2021 Plan, the Company can grant incentive stock options, nonstatutory stock options, stock appreciation rights, restricted stock, restricted stock units and performance awards to employees, directors and consultants. Options generally expire ten years after the date of grant. The number of shares available for issuance under the 2021 Plan will be increased on the first day of each fiscal year, beginning on January 1, 2022, in an amount equal to the least of (i) 18,672,200 shares, (ii) a number of shares equal to five percent (5%) of the total number of shares of all classes of common stock of the Company outstanding on the last day of the immediately preceding fiscal year, or (iii) such number of shares determined by the Administrator no later than the last day of the immediately preceding fiscal year. On January 1, 2022, the number of shares available under the 2021 Plan increased by 6,215,154 shares pursuant to this feature.</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2017 Equity Incentive Plan</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At the time of adoption of the 2021 Plan and the 2021 ESPP, no further awards will be granted under the 2017 Equity Incentive Plan (“2017 Plan”) and 7,106,767 shares of common stock were initially reserved for outstanding awards issued under the 2017 Plan.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determining the compensation cost of the option awards, the fair value for each option award has been estimated using the Black Scholes model.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assumptions used in these calculations are summarized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4120" w:type="dxa"/>
            <w:vAlign w:val="bottom"/>
            <w:gridSpan w:val="4"/>
          </w:tcPr>
          <w:p>
            <w:pPr>
              <w:ind w:left="1080"/>
              <w:spacing w:after="0"/>
              <w:rPr>
                <w:sz w:val="20"/>
                <w:szCs w:val="20"/>
                <w:color w:val="auto"/>
              </w:rPr>
            </w:pPr>
            <w:r>
              <w:rPr>
                <w:rFonts w:ascii="Arial" w:cs="Arial" w:eastAsia="Arial" w:hAnsi="Arial"/>
                <w:sz w:val="14"/>
                <w:szCs w:val="14"/>
                <w:b w:val="1"/>
                <w:bCs w:val="1"/>
                <w:color w:val="auto"/>
              </w:rPr>
              <w:t>Three Months Ended June 30,</w:t>
            </w:r>
          </w:p>
        </w:tc>
        <w:tc>
          <w:tcPr>
            <w:tcW w:w="2880" w:type="dxa"/>
            <w:vAlign w:val="bottom"/>
            <w:gridSpan w:val="3"/>
          </w:tcPr>
          <w:p>
            <w:pPr>
              <w:ind w:left="1180"/>
              <w:spacing w:after="0"/>
              <w:rPr>
                <w:sz w:val="20"/>
                <w:szCs w:val="20"/>
                <w:color w:val="auto"/>
              </w:rPr>
            </w:pPr>
            <w:r>
              <w:rPr>
                <w:rFonts w:ascii="Arial" w:cs="Arial" w:eastAsia="Arial" w:hAnsi="Arial"/>
                <w:sz w:val="14"/>
                <w:szCs w:val="14"/>
                <w:b w:val="1"/>
                <w:bCs w:val="1"/>
                <w:color w:val="auto"/>
                <w:w w:val="92"/>
              </w:rPr>
              <w:t>Six Months Ended June 30,</w:t>
            </w:r>
          </w:p>
        </w:tc>
        <w:tc>
          <w:tcPr>
            <w:tcW w:w="1160" w:type="dxa"/>
            <w:vAlign w:val="bottom"/>
          </w:tcPr>
          <w:p>
            <w:pPr>
              <w:spacing w:after="0"/>
              <w:rPr>
                <w:sz w:val="16"/>
                <w:szCs w:val="16"/>
                <w:color w:val="auto"/>
              </w:rPr>
            </w:pPr>
          </w:p>
        </w:tc>
      </w:tr>
      <w:tr>
        <w:trPr>
          <w:trHeight w:val="187"/>
        </w:trPr>
        <w:tc>
          <w:tcPr>
            <w:tcW w:w="2880" w:type="dxa"/>
            <w:vAlign w:val="bottom"/>
            <w:tcBorders>
              <w:bottom w:val="single" w:sz="8" w:color="CCEEFF"/>
            </w:tcBorders>
          </w:tcPr>
          <w:p>
            <w:pPr>
              <w:spacing w:after="0"/>
              <w:rPr>
                <w:sz w:val="16"/>
                <w:szCs w:val="16"/>
                <w:color w:val="auto"/>
              </w:rPr>
            </w:pPr>
          </w:p>
        </w:tc>
        <w:tc>
          <w:tcPr>
            <w:tcW w:w="1960" w:type="dxa"/>
            <w:vAlign w:val="bottom"/>
            <w:tcBorders>
              <w:top w:val="single" w:sz="8" w:color="auto"/>
              <w:bottom w:val="single" w:sz="8" w:color="auto"/>
            </w:tcBorders>
          </w:tcPr>
          <w:p>
            <w:pPr>
              <w:jc w:val="right"/>
              <w:ind w:right="75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1960" w:type="dxa"/>
            <w:vAlign w:val="bottom"/>
            <w:tcBorders>
              <w:top w:val="single" w:sz="8" w:color="auto"/>
              <w:bottom w:val="single" w:sz="8" w:color="auto"/>
            </w:tcBorders>
          </w:tcPr>
          <w:p>
            <w:pPr>
              <w:jc w:val="right"/>
              <w:ind w:right="7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980" w:type="dxa"/>
            <w:vAlign w:val="bottom"/>
            <w:tcBorders>
              <w:top w:val="single" w:sz="8" w:color="auto"/>
              <w:bottom w:val="single" w:sz="8" w:color="auto"/>
            </w:tcBorders>
          </w:tcPr>
          <w:p>
            <w:pPr>
              <w:jc w:val="right"/>
              <w:ind w:right="75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6"/>
                <w:szCs w:val="16"/>
                <w:color w:val="auto"/>
              </w:rPr>
            </w:pPr>
          </w:p>
        </w:tc>
        <w:tc>
          <w:tcPr>
            <w:tcW w:w="82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753"/>
              <w:spacing w:after="0"/>
              <w:rPr>
                <w:sz w:val="20"/>
                <w:szCs w:val="20"/>
                <w:color w:val="auto"/>
              </w:rPr>
            </w:pPr>
            <w:r>
              <w:rPr>
                <w:rFonts w:ascii="Arial" w:cs="Arial" w:eastAsia="Arial" w:hAnsi="Arial"/>
                <w:sz w:val="14"/>
                <w:szCs w:val="14"/>
                <w:b w:val="1"/>
                <w:bCs w:val="1"/>
                <w:color w:val="auto"/>
                <w:w w:val="96"/>
              </w:rPr>
              <w:t>2021</w:t>
            </w:r>
          </w:p>
        </w:tc>
      </w:tr>
      <w:tr>
        <w:trPr>
          <w:trHeight w:val="224"/>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5.3 - 6.1</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5.6 - 6.1</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5.3 - 6.1</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5.5 - 6.6</w:t>
            </w:r>
          </w:p>
        </w:tc>
      </w:t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960" w:type="dxa"/>
            <w:vAlign w:val="bottom"/>
          </w:tcPr>
          <w:p>
            <w:pPr>
              <w:jc w:val="right"/>
              <w:spacing w:after="0"/>
              <w:rPr>
                <w:sz w:val="20"/>
                <w:szCs w:val="20"/>
                <w:color w:val="auto"/>
              </w:rPr>
            </w:pPr>
            <w:r>
              <w:rPr>
                <w:rFonts w:ascii="Arial" w:cs="Arial" w:eastAsia="Arial" w:hAnsi="Arial"/>
                <w:sz w:val="18"/>
                <w:szCs w:val="18"/>
                <w:color w:val="auto"/>
              </w:rPr>
              <w:t>105.2% - 109.1%</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93.0% - 93.7%</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105.2% - 110.0%</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w w:val="94"/>
              </w:rPr>
              <w:t>92.0% - 94.2%</w:t>
            </w:r>
          </w:p>
        </w:tc>
      </w:tr>
      <w:tr>
        <w:trPr>
          <w:trHeight w:val="229"/>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rate</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Risk free interest rate</w:t>
            </w:r>
          </w:p>
        </w:tc>
        <w:tc>
          <w:tcPr>
            <w:tcW w:w="1960" w:type="dxa"/>
            <w:vAlign w:val="bottom"/>
          </w:tcPr>
          <w:p>
            <w:pPr>
              <w:jc w:val="right"/>
              <w:spacing w:after="0"/>
              <w:rPr>
                <w:sz w:val="20"/>
                <w:szCs w:val="20"/>
                <w:color w:val="auto"/>
              </w:rPr>
            </w:pPr>
            <w:r>
              <w:rPr>
                <w:rFonts w:ascii="Arial" w:cs="Arial" w:eastAsia="Arial" w:hAnsi="Arial"/>
                <w:sz w:val="18"/>
                <w:szCs w:val="18"/>
                <w:color w:val="auto"/>
              </w:rPr>
              <w:t>2.80% - 3.36%</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0.91% - 1.02%</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1.73% - 3.36%</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w w:val="94"/>
              </w:rPr>
              <w:t>0.53% - 1.02%</w:t>
            </w:r>
          </w:p>
        </w:tc>
      </w:tr>
      <w:tr>
        <w:trPr>
          <w:trHeight w:val="230"/>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price</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$2.70 - $4.72</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$10.10 - $11.16</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$2.70 - $4.72</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$7.56 - $11.16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20" w:name="page21"/>
    <w:bookmarkEnd w:id="20"/>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Expected term: The expected term of stock options represents the weighted-average period the stock options are expected to remain outstanding. The Company does not have sufficient historical exercise and post-vesting termination activity to provide accurate data for estimating the expected term of options and has opted to use the “simplified method,” whereby the expected term equals the arithmetic average of the vesting term and the original contractual term of the option.</w:t>
      </w:r>
    </w:p>
    <w:p>
      <w:pPr>
        <w:spacing w:after="0" w:line="133" w:lineRule="exact"/>
        <w:rPr>
          <w:sz w:val="20"/>
          <w:szCs w:val="20"/>
          <w:color w:val="auto"/>
        </w:rPr>
      </w:pPr>
    </w:p>
    <w:p>
      <w:pPr>
        <w:ind w:right="60" w:firstLine="324"/>
        <w:spacing w:after="0" w:line="220" w:lineRule="exact"/>
        <w:rPr>
          <w:sz w:val="20"/>
          <w:szCs w:val="20"/>
          <w:color w:val="auto"/>
        </w:rPr>
      </w:pPr>
      <w:r>
        <w:rPr>
          <w:rFonts w:ascii="Arial" w:cs="Arial" w:eastAsia="Arial" w:hAnsi="Arial"/>
          <w:sz w:val="16"/>
          <w:szCs w:val="16"/>
          <w:color w:val="auto"/>
        </w:rPr>
        <w:t>Expected volatility: Historically, the Company has been a private company and lacked company</w:t>
      </w:r>
      <w:r>
        <w:rPr>
          <w:rFonts w:ascii="MS PGothic" w:cs="MS PGothic" w:eastAsia="MS PGothic" w:hAnsi="MS PGothic"/>
          <w:sz w:val="16"/>
          <w:szCs w:val="16"/>
          <w:color w:val="auto"/>
        </w:rPr>
        <w:t>‑</w:t>
      </w:r>
      <w:r>
        <w:rPr>
          <w:rFonts w:ascii="Arial" w:cs="Arial" w:eastAsia="Arial" w:hAnsi="Arial"/>
          <w:sz w:val="16"/>
          <w:szCs w:val="16"/>
          <w:color w:val="auto"/>
        </w:rPr>
        <w:t>specific historical and implied volatility information for its common stock. Therefore, the expected volatility of the Company’s common stock was determined by using an average of historical volatilities of selected industry peers deemed to be comparable to the Company’s business corresponding to the expected term of the awards and the Company expects to continue to do so until such time as the Company has adequate historical data regarding the volatility of its traded common stock price.</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Expected dividend yield: The expected dividend rate is zero as the Company has no history or expectation of declaring dividends on its common stock.</w:t>
      </w:r>
    </w:p>
    <w:p>
      <w:pPr>
        <w:spacing w:after="0" w:line="194"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Risk-free interest rate: The risk-free interest rate is based on the U.S. Treasury yield curve in effect at the time of grant for zero-coupon U.S. Treasury notes with maturities corresponding to the expected term of the awards.</w:t>
      </w:r>
    </w:p>
    <w:p>
      <w:pPr>
        <w:spacing w:after="0" w:line="116"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Fair value of common stock: Prior to the Business Combination, the fair value of the shares of common stock underlying the stock options has historically been determined by the Company’s Board of Directors. Because there has been no public market for the common stock, the Board of Directors has determined the fair value of the common stock at the time of grant of the option by contemporaneous valuations performed by an unrelated third-party valuation firm as well as a number of objective and subjective factors including valuation of comparable companies, sales of convertible preferred stock to unrelated third parties, operating and financial performance, the implied equity value of the Company as contemplated by the Business Combination, the lack of liquidity of capital stock and general and industry specific economic outlook, among other factors. The fair value of common stock was determined in accordance with applicable elements of the American Institute of Certified Public Accountants Practice Aid, Valuation of Privately-Held-Company Equity Securities Issued as Compensation. Subsequent to the completion of the Business Combination (as defined in Note 1 and further described in Note 3) the fair value of the Company’s common stock is determined based on its closing market price.</w:t>
      </w:r>
    </w:p>
    <w:p>
      <w:pPr>
        <w:spacing w:after="0" w:line="112" w:lineRule="exact"/>
        <w:rPr>
          <w:sz w:val="20"/>
          <w:szCs w:val="20"/>
          <w:color w:val="auto"/>
        </w:rPr>
      </w:pPr>
    </w:p>
    <w:p>
      <w:pPr>
        <w:jc w:val="both"/>
        <w:ind w:right="400" w:firstLine="324"/>
        <w:spacing w:after="0" w:line="263" w:lineRule="auto"/>
        <w:rPr>
          <w:sz w:val="20"/>
          <w:szCs w:val="20"/>
          <w:color w:val="auto"/>
        </w:rPr>
      </w:pPr>
      <w:r>
        <w:rPr>
          <w:rFonts w:ascii="Arial" w:cs="Arial" w:eastAsia="Arial" w:hAnsi="Arial"/>
          <w:sz w:val="18"/>
          <w:szCs w:val="18"/>
          <w:color w:val="auto"/>
        </w:rPr>
        <w:t>The awards granted in late January 2021 had an exercise price equal to the grant date fair value of the Company’s common stock. The Company’s board of directors made a determination of the fair market value of the Company’s common stock which contemplated the implied equity value of the Company per the Business Combination Agreement that was executed on February 7, 2021.</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option award activity during the six months ended June 30, 2022:</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Number of Stock Option</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4"/>
                <w:szCs w:val="14"/>
                <w:color w:val="auto"/>
              </w:rPr>
            </w:pPr>
          </w:p>
        </w:tc>
        <w:tc>
          <w:tcPr>
            <w:tcW w:w="144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7"/>
              </w:rPr>
              <w:t>Aggregate Intrinsic</w:t>
            </w: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Remaining Contractual</w:t>
            </w:r>
          </w:p>
        </w:tc>
        <w:tc>
          <w:tcPr>
            <w:tcW w:w="12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700" w:type="dxa"/>
            <w:vAlign w:val="bottom"/>
          </w:tcPr>
          <w:p>
            <w:pPr>
              <w:spacing w:after="0"/>
              <w:rPr>
                <w:sz w:val="16"/>
                <w:szCs w:val="16"/>
                <w:color w:val="auto"/>
              </w:rPr>
            </w:pPr>
          </w:p>
        </w:tc>
        <w:tc>
          <w:tcPr>
            <w:tcW w:w="1560" w:type="dxa"/>
            <w:vAlign w:val="bottom"/>
          </w:tcPr>
          <w:p>
            <w:pPr>
              <w:jc w:val="right"/>
              <w:ind w:right="454"/>
              <w:spacing w:after="0"/>
              <w:rPr>
                <w:sz w:val="20"/>
                <w:szCs w:val="20"/>
                <w:color w:val="auto"/>
              </w:rPr>
            </w:pPr>
            <w:r>
              <w:rPr>
                <w:rFonts w:ascii="Arial" w:cs="Arial" w:eastAsia="Arial" w:hAnsi="Arial"/>
                <w:sz w:val="14"/>
                <w:szCs w:val="14"/>
                <w:b w:val="1"/>
                <w:bCs w:val="1"/>
                <w:color w:val="auto"/>
              </w:rPr>
              <w:t>Awards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Exercise Price</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Life (Years)</w:t>
            </w:r>
          </w:p>
        </w:tc>
        <w:tc>
          <w:tcPr>
            <w:tcW w:w="120" w:type="dxa"/>
            <w:vAlign w:val="bottom"/>
          </w:tcPr>
          <w:p>
            <w:pPr>
              <w:spacing w:after="0"/>
              <w:rPr>
                <w:sz w:val="16"/>
                <w:szCs w:val="16"/>
                <w:color w:val="auto"/>
              </w:rPr>
            </w:pPr>
          </w:p>
        </w:tc>
        <w:tc>
          <w:tcPr>
            <w:tcW w:w="1440" w:type="dxa"/>
            <w:vAlign w:val="bottom"/>
          </w:tcPr>
          <w:p>
            <w:pPr>
              <w:jc w:val="right"/>
              <w:ind w:right="79"/>
              <w:spacing w:after="0"/>
              <w:rPr>
                <w:sz w:val="20"/>
                <w:szCs w:val="20"/>
                <w:color w:val="auto"/>
              </w:rPr>
            </w:pPr>
            <w:r>
              <w:rPr>
                <w:rFonts w:ascii="Arial" w:cs="Arial" w:eastAsia="Arial" w:hAnsi="Arial"/>
                <w:sz w:val="14"/>
                <w:szCs w:val="14"/>
                <w:b w:val="1"/>
                <w:bCs w:val="1"/>
                <w:color w:val="auto"/>
                <w:w w:val="91"/>
              </w:rPr>
              <w:t>Value (in thousands)</w:t>
            </w:r>
          </w:p>
        </w:tc>
        <w:tc>
          <w:tcPr>
            <w:tcW w:w="0" w:type="dxa"/>
            <w:vAlign w:val="bottom"/>
          </w:tcPr>
          <w:p>
            <w:pPr>
              <w:spacing w:after="0"/>
              <w:rPr>
                <w:sz w:val="1"/>
                <w:szCs w:val="1"/>
                <w:color w:val="auto"/>
              </w:rPr>
            </w:pPr>
          </w:p>
        </w:tc>
      </w:tr>
      <w:tr>
        <w:trPr>
          <w:trHeight w:val="224"/>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2021</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8,550,076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4,037,863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(211,309)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(725,836)</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June 30, 2022</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11,650,794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00" w:type="dxa"/>
            <w:vAlign w:val="bottom"/>
          </w:tcPr>
          <w:p>
            <w:pPr>
              <w:ind w:left="20"/>
              <w:spacing w:after="0" w:line="203" w:lineRule="exact"/>
              <w:rPr>
                <w:sz w:val="20"/>
                <w:szCs w:val="20"/>
                <w:color w:val="auto"/>
              </w:rPr>
            </w:pPr>
            <w:r>
              <w:rPr>
                <w:rFonts w:ascii="Arial" w:cs="Arial" w:eastAsia="Arial" w:hAnsi="Arial"/>
                <w:sz w:val="18"/>
                <w:szCs w:val="18"/>
                <w:color w:val="auto"/>
              </w:rPr>
              <w:t>Options vested and expected to vest as of June 30, 2022</w:t>
            </w:r>
          </w:p>
        </w:tc>
        <w:tc>
          <w:tcPr>
            <w:tcW w:w="1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11,650,794</w:t>
            </w:r>
          </w:p>
        </w:tc>
        <w:tc>
          <w:tcPr>
            <w:tcW w:w="2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203" w:lineRule="exact"/>
              <w:rPr>
                <w:sz w:val="20"/>
                <w:szCs w:val="20"/>
                <w:color w:val="auto"/>
              </w:rPr>
            </w:pPr>
            <w:r>
              <w:rPr>
                <w:rFonts w:ascii="Arial" w:cs="Arial" w:eastAsia="Arial" w:hAnsi="Arial"/>
                <w:sz w:val="18"/>
                <w:szCs w:val="18"/>
                <w:color w:val="auto"/>
              </w:rPr>
              <w:t>4.21</w:t>
            </w: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and exercisable at June 30, 2022</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3,279,223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June 30, 2022, there was $31.0 million of total unrecognized compensation expense expected to be recognized over a weighted average-period of 2.94 years. Aggregate intrinsic value represents the difference between the fair market value of the common stock and the exercise price of outstanding, in-the-money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21" w:name="page22"/>
    <w:bookmarkEnd w:id="21"/>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71"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The following sets forth the total stock-based compensation expense for the Company’s stock options included in the Company’s condensed consolidated statement of operations: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635"/>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r>
      <w:tr>
        <w:trPr>
          <w:trHeight w:val="224"/>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w:t>
            </w: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1,154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w:t>
            </w: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3,156</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Open purchase commitments are for the purchase of goods and services related to, but not limited to, research and development, facilities, and professional services under non-cancellable contracts. They were not recorded as liabilities on the condensed consolidated balance sheet as of June 30, 2022 as the Company had not yet received the related goods or services. As of June 30, 2022, the Company had open purchase commitments for goods and services of $2.0 million, which are expected to be received through the next 12 months.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71"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From time to time, the Company may become involved in litigation relating to claims arising from the ordinary course of business. Management believes that there are currently no claims or actions pending against the Company where the ultimate disposition could have a material adverse effect on the Company’s results of operations, financial condition or cash flows.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Company is obligated under certain non-cancellable operating leases for office space and laboratory space. This space includes operating leases in Seattle, Washington, and San Carlos, California.</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Seattle Leases</w:t>
      </w:r>
    </w:p>
    <w:p>
      <w:pPr>
        <w:spacing w:after="0" w:line="171"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The operating lease in Seattle, Washington expired in April 2021 and continued to be renewed month to month until August 2021. In July 2021, the Company entered into a 7-year non-cancellable operating lease, which commenced in August 2021, for an additional office space in Seattle, Washington. Total non-cancellable payments under this lease aggregate $4.5 million through June 2028.</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San Carlos Leases</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February 2021, the Company amended its existing facility lease contract in San Carlos, California which was executed to shorten the remaining term of the lease to expire in December 2021 and reduce monthly lease payments and was accounted for as a modification. The impact of this modification reduced the operating lease right-of-use asset and lease liability balance as a $3.3 million non-cash adjustment. In September 2021, the Company further amended the facility lease contract in San Carlos, California to shorten the remaining term of the lease to expire in October 2021 and was also accounted for as a modification.</w:t>
      </w:r>
    </w:p>
    <w:p>
      <w:pPr>
        <w:spacing w:after="0" w:line="134"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In December 2020, the Company entered into a new lease in San Carlos, California for ten years which commenced in October 2021 and expiring in October 2031 with total minimum lease payments of $40.7 million.</w:t>
      </w:r>
    </w:p>
    <w:p>
      <w:pPr>
        <w:spacing w:after="0" w:line="116"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In December 2020, the Company also entered into a temporary office space lease agreement in San Carlos, California which commenced in February 2021 and expired in October 2021 with total minimum lease payments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80" w:right="379" w:bottom="1440" w:gutter="0" w:footer="0" w:header="0"/>
        </w:sectPr>
      </w:pPr>
    </w:p>
    <w:bookmarkStart w:id="22" w:name="page23"/>
    <w:bookmarkEnd w:id="22"/>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$1.2 million. The temporary office space lease agreement was recognized as a short-term lease due to the election of the short-term lease measurement and recognition exemption.</w:t>
      </w:r>
    </w:p>
    <w:p>
      <w:pPr>
        <w:spacing w:after="0" w:line="116"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In December 2021, the Company entered into another lease in San Carlos, California for nine years expected to commence in December 2022 and expiring in October 2031. The Company can terminate this lease after five years from commencement date without bearing any significant termination penalties and therefore the Company concluded that the lease term is five years with total minimum lease payments of $7.2 million. The Company may borrow funds from the landlord of up to $2.0 million with an interest rate of 7% to finance its tenant improvements. No amounts have been borrowed as of June 30, 2022.</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components of lease costs, which were included in operating expenses in condensed consolidated statements of operations,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r>
      <w:tr>
        <w:trPr>
          <w:trHeight w:val="224"/>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operating lease costs</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Variable operating lease costs</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costs</w:t>
            </w: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w:t>
            </w: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Total lease costs</w:t>
            </w: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w:t>
            </w:r>
          </w:p>
        </w:tc>
      </w:tr>
      <w:tr>
        <w:trPr>
          <w:trHeight w:val="20"/>
        </w:trPr>
        <w:tc>
          <w:tcPr>
            <w:tcW w:w="4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right="280" w:firstLine="324"/>
        <w:spacing w:after="0" w:line="277" w:lineRule="auto"/>
        <w:rPr>
          <w:sz w:val="20"/>
          <w:szCs w:val="20"/>
          <w:color w:val="auto"/>
        </w:rPr>
      </w:pPr>
      <w:r>
        <w:rPr>
          <w:rFonts w:ascii="Arial" w:cs="Arial" w:eastAsia="Arial" w:hAnsi="Arial"/>
          <w:sz w:val="18"/>
          <w:szCs w:val="18"/>
          <w:color w:val="auto"/>
        </w:rPr>
        <w:t>For the six months ended June 30, 2022 and 2021, cash paid for amounts included in the measurement of operating lease liabilities included in cash flows used in operating activities was $1.7 million and $0.8 million, respectively.</w:t>
      </w:r>
    </w:p>
    <w:p>
      <w:pPr>
        <w:spacing w:after="0" w:line="116"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As of June 30, 2022, the weighted-average remaining lease term and weighted-average discount rate for operating leases is 9.0 years and 8.9% respectively.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Company's future principal contractual obligations for operating lease commitments as of June 30, 2022:</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4"/>
              </w:rPr>
              <w:t>Lease Obligations</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Six months ending December 31, 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4,440</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4,569</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4,701</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4,837</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2027 and thereafter</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22,942</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minimum lease payments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43,301</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(13,689)</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29,612</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171"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indemnifications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23" w:name="page24"/>
    <w:bookmarkEnd w:id="23"/>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Company has also agreed to indemnify its directors and executive officers for costs associated with any fees, expenses, judgments, fines and settlement amounts incurred by them in any action or proceeding to which any of them are, or are threatened to be, made a party by reason of their service as a director or officer. The Company maintains director and officer insurance coverage that would generally enable it to recover a portion of any future amounts paid. The Company may be subject to indemnification obligation by law with respect to the actions of its employees under certain circumstances and in certain jurisdictions.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Letter of Credit</w:t>
      </w:r>
    </w:p>
    <w:p>
      <w:pPr>
        <w:spacing w:after="0" w:line="17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conjunction with the San Carlos lease agreement entered in December 2020, the Company issued a cash-collateralized letter of credit in lieu of security deposit of $0.6 million. In conjunction with the San Carlos lease agreement entered in December 2021, the Company amended the existing cash-collateralized letter of credit and increased the amount to $0.8 million. The cash amount is recorded as restricted cash under Other long-term assets on the Company’s condensed consolidated balance sheets.</w:t>
      </w:r>
    </w:p>
    <w:p>
      <w:pPr>
        <w:spacing w:after="0" w:line="129" w:lineRule="exact"/>
        <w:rPr>
          <w:sz w:val="20"/>
          <w:szCs w:val="20"/>
          <w:color w:val="auto"/>
        </w:rPr>
      </w:pPr>
    </w:p>
    <w:p>
      <w:pPr>
        <w:ind w:left="640" w:hanging="632"/>
        <w:spacing w:after="0"/>
        <w:tabs>
          <w:tab w:leader="none" w:pos="6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Basic and Diluted Net Loss per Share</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tables set forth the computation of the Company’s basic and diluted net loss per share attributable to common stockholders for the three and six months ended June 30, 2022 and 2021:</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0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800" w:type="dxa"/>
            <w:vAlign w:val="bottom"/>
            <w:gridSpan w:val="4"/>
          </w:tcPr>
          <w:p>
            <w:pPr>
              <w:jc w:val="right"/>
              <w:ind w:right="63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8"/>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32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(14,689)</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(10,713)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(30,452)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(19,122)</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124,494,036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55,070,480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124,456,518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44,130,773</w:t>
            </w:r>
          </w:p>
        </w:tc>
        <w:tc>
          <w:tcPr>
            <w:tcW w:w="0" w:type="dxa"/>
            <w:vAlign w:val="bottom"/>
          </w:tcPr>
          <w:p>
            <w:pPr>
              <w:spacing w:after="0"/>
              <w:rPr>
                <w:sz w:val="1"/>
                <w:szCs w:val="1"/>
                <w:color w:val="auto"/>
              </w:rPr>
            </w:pPr>
          </w:p>
        </w:tc>
      </w:tr>
      <w:tr>
        <w:trPr>
          <w:trHeight w:val="176"/>
        </w:trPr>
        <w:tc>
          <w:tcPr>
            <w:tcW w:w="46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w w:val="91"/>
              </w:rPr>
              <w:t xml:space="preserve">Less: </w:t>
            </w:r>
            <w:r>
              <w:rPr>
                <w:rFonts w:ascii="Arial" w:cs="Arial" w:eastAsia="Arial" w:hAnsi="Arial"/>
                <w:sz w:val="18"/>
                <w:szCs w:val="18"/>
                <w:color w:val="auto"/>
                <w:w w:val="91"/>
              </w:rPr>
              <w:t>Weighted-average unvested restricted shares and shares</w:t>
            </w:r>
          </w:p>
        </w:tc>
        <w:tc>
          <w:tcPr>
            <w:tcW w:w="3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(34,624)</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subject to repurchase</w:t>
            </w:r>
          </w:p>
        </w:tc>
        <w:tc>
          <w:tcPr>
            <w:tcW w:w="32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680" w:type="dxa"/>
            <w:vAlign w:val="bottom"/>
          </w:tcPr>
          <w:p>
            <w:pPr>
              <w:ind w:left="20"/>
              <w:spacing w:after="0" w:line="156" w:lineRule="exact"/>
              <w:rPr>
                <w:sz w:val="20"/>
                <w:szCs w:val="20"/>
                <w:color w:val="auto"/>
              </w:rPr>
            </w:pPr>
            <w:r>
              <w:rPr>
                <w:rFonts w:ascii="Arial" w:cs="Arial" w:eastAsia="Arial" w:hAnsi="Arial"/>
                <w:sz w:val="18"/>
                <w:szCs w:val="18"/>
                <w:color w:val="auto"/>
                <w:w w:val="92"/>
              </w:rPr>
              <w:t>Weighted average shares used in computing net loss per share</w:t>
            </w:r>
          </w:p>
        </w:tc>
        <w:tc>
          <w:tcPr>
            <w:tcW w:w="3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124,494,036</w:t>
            </w:r>
          </w:p>
        </w:tc>
        <w:tc>
          <w:tcPr>
            <w:tcW w:w="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55,070,480</w:t>
            </w: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124,456,518</w:t>
            </w: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44,096,149</w:t>
            </w:r>
          </w:p>
        </w:tc>
        <w:tc>
          <w:tcPr>
            <w:tcW w:w="0" w:type="dxa"/>
            <w:vAlign w:val="bottom"/>
          </w:tcPr>
          <w:p>
            <w:pPr>
              <w:spacing w:after="0"/>
              <w:rPr>
                <w:sz w:val="1"/>
                <w:szCs w:val="1"/>
                <w:color w:val="auto"/>
              </w:rPr>
            </w:pPr>
          </w:p>
        </w:tc>
      </w:tr>
      <w:tr>
        <w:trPr>
          <w:trHeight w:val="202"/>
        </w:trPr>
        <w:tc>
          <w:tcPr>
            <w:tcW w:w="4680" w:type="dxa"/>
            <w:vAlign w:val="bottom"/>
          </w:tcPr>
          <w:p>
            <w:pPr>
              <w:ind w:left="180"/>
              <w:spacing w:after="0" w:line="202" w:lineRule="exact"/>
              <w:rPr>
                <w:sz w:val="20"/>
                <w:szCs w:val="20"/>
                <w:color w:val="auto"/>
              </w:rPr>
            </w:pPr>
            <w:r>
              <w:rPr>
                <w:rFonts w:ascii="Arial" w:cs="Arial" w:eastAsia="Arial" w:hAnsi="Arial"/>
                <w:sz w:val="18"/>
                <w:szCs w:val="18"/>
                <w:color w:val="auto"/>
              </w:rPr>
              <w:t>attributable to common stockholders, basic and diluted</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Net loss per share attributable to common stockholders, basic</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8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23"/>
        </w:trPr>
        <w:tc>
          <w:tcPr>
            <w:tcW w:w="46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and diluted:</w:t>
            </w: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As a result of the Business Combination, the Company has retroactively adjusted the weighted-average number of shares of Common Stock outstanding prior to the Closing Date by multiplying them by the Exchange Ratio of 3.6281 used to determine the number of shares of New Nautilus Common Stock into which they converted (as described in Note 3). The Common Stock issued as a result of the redeemable convertible preferred stock conversion on the Closing Date was included in the basic net loss per share calculation on a prospective basis.</w:t>
      </w:r>
    </w:p>
    <w:p>
      <w:pPr>
        <w:spacing w:after="0" w:line="11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potential shares of common stock that were excluded from the computation of diluted net loss per share attributable to common stockholders for the periods presented because including them would have had an antidilutive effect were as follows:</w:t>
      </w:r>
    </w:p>
    <w:p>
      <w:pPr>
        <w:spacing w:after="0" w:line="138" w:lineRule="exact"/>
        <w:rPr>
          <w:sz w:val="20"/>
          <w:szCs w:val="20"/>
          <w:color w:val="auto"/>
        </w:rPr>
      </w:pPr>
    </w:p>
    <w:p>
      <w:pPr>
        <w:jc w:val="center"/>
        <w:ind w:left="7200"/>
        <w:spacing w:after="0"/>
        <w:rPr>
          <w:sz w:val="20"/>
          <w:szCs w:val="20"/>
          <w:color w:val="auto"/>
        </w:rPr>
      </w:pPr>
      <w:r>
        <w:rPr>
          <w:rFonts w:ascii="Arial" w:cs="Arial" w:eastAsia="Arial" w:hAnsi="Arial"/>
          <w:sz w:val="14"/>
          <w:szCs w:val="14"/>
          <w:b w:val="1"/>
          <w:bCs w:val="1"/>
          <w:color w:val="auto"/>
        </w:rPr>
        <w:t>Three and Six Months Ended</w:t>
      </w:r>
    </w:p>
    <w:p>
      <w:pPr>
        <w:jc w:val="center"/>
        <w:ind w:left="720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660" w:type="dxa"/>
            <w:vAlign w:val="bottom"/>
            <w:tcBorders>
              <w:bottom w:val="single" w:sz="8" w:color="CCEEFF"/>
            </w:tcBorders>
          </w:tcPr>
          <w:p>
            <w:pPr>
              <w:spacing w:after="0"/>
              <w:rPr>
                <w:sz w:val="16"/>
                <w:szCs w:val="16"/>
                <w:color w:val="auto"/>
              </w:rPr>
            </w:pPr>
          </w:p>
        </w:tc>
        <w:tc>
          <w:tcPr>
            <w:tcW w:w="15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6"/>
                <w:szCs w:val="16"/>
                <w:color w:val="auto"/>
              </w:rPr>
            </w:pPr>
          </w:p>
        </w:tc>
        <w:tc>
          <w:tcPr>
            <w:tcW w:w="15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r>
      <w:tr>
        <w:trPr>
          <w:trHeight w:val="224"/>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11,650,794</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8,014,879</w:t>
            </w:r>
          </w:p>
        </w:tc>
      </w:tr>
      <w:tr>
        <w:trPr>
          <w:trHeight w:val="229"/>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Employee stock purchase plan</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61,411</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potentially dilutive common share equivalents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11,712,205</w:t>
            </w:r>
          </w:p>
        </w:tc>
        <w:tc>
          <w:tcPr>
            <w:tcW w:w="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8,014,879</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80" w:right="419" w:bottom="1440" w:gutter="0" w:footer="0" w:header="0"/>
        </w:sectPr>
      </w:pPr>
    </w:p>
    <w:bookmarkStart w:id="24" w:name="page25"/>
    <w:bookmarkEnd w:id="2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i w:val="1"/>
          <w:iCs w:val="1"/>
          <w:color w:val="auto"/>
        </w:rPr>
        <w:t>The following discussion and analysis provides information that our management believes is relevant to an assessment and understanding of Nautilus Biotechnology, Inc.’s (“Nautilus” or the “Company”) condensed consolidated results of operations and financial condition. The discussion should be read together with the condensed consolidated financial statements and the accompanying notes to those statements that are included elsewhere in this Quarterly Report on Form 10-Q and the audited financial statements for the year ended December 31, 2021 and the related notes included in the Company’s Annual Report on Form 10-K filed with the SEC on February 24, 2022. This discussion may contain forward-looking statements based upon current expectations that involve risks and uncertainties. Nautilus’ actual results may differ materially from those anticipated in these forward-looking statements as a result of various factors, including those set forth in the section titled “Risk Factors” in Part II, Item 1A as set forth in this Quarterly Report on Form 10-Q.</w:t>
      </w:r>
    </w:p>
    <w:p>
      <w:pPr>
        <w:spacing w:after="0" w:line="138"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Unless otherwise indicated or the context otherwise requires, references in this “Management’s Discussion and Analysis of Financial Condition and Results of Operations” section to “Nautilus,” “we,” “us,” “our” and other similar terms refer to the business and operations of Legacy Nautilus prior to the Business Combination and to New Nautilus and its consolidated subsidiary following the Business Combination.</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are a development stage life sciences company creating a platform technology for quantifying and unlocking the complexity of the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proteomic analysis technology of extreme sensitivity and scale. To accomplish this, we have built a prototype of a proteome analysis system, an instrument to perform massively parallel single protein molecule measurements which will be further developed to deliver the speed, simplicity, accuracy, and versatility that we believe is necessary to establish a new gold standard in the field.</w:t>
      </w:r>
    </w:p>
    <w:p>
      <w:pPr>
        <w:spacing w:after="0" w:line="112"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Since our incorporation in 2016, we have devoted substantially all of our resources to research and development activities, including with respect to our proteomics platform, or Nautilus platform, business planning, establishing and maintaining our intellectual property portfolio, hiring personnel, raising capital and providing general and administrative support for these operations. We do not have any products available for commercial sale, and we have not generated any revenue from our Nautilus platform or other sources since inception. Our ability to generate revenue sufficient to achieve profitability, if ever, will depend on the successful development and eventual commercialization of our Nautilus platform, which we expect, if it ever occurs, will take a number of years. Our Nautilus platform, which includes our end-to-end solution comprised of instruments, consumables, and software analysis, is currently under development and will require significant additional research and development efforts, including extensive testing prior to commercialization. These efforts require significant amounts of additional capital and adequate personnel infrastructure. There can be no assurance that our research and development activities will be successfully completed, or that our Nautilus platform will be commercially viable.</w:t>
      </w:r>
    </w:p>
    <w:p>
      <w:pPr>
        <w:spacing w:after="0" w:line="127"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In order to commercialize our Nautilus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platform, instruments, and related consumables. Among other factors, we will need to develop reliable supply chains for the various components in the Nautilus platform, instruments, and consumables to support large-scale commercial production. In connection with our Nautilus platform, we intend to utilize over 300 complex reagents and various antibodies in order to generate deep proteomic information at the speed and scale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44"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which we expect our Nautilus platform to perform. Such reagents and antibodies are expected to be more difficult to manufacture and more expensive to procure. There is no assurance that we will be able to build manufacturing or consumable production capacity internally or find one or more suitable manufacturing or production partners, or both, to meet the volume and quality requirements necessary to be successful in the proteomics market.</w:t>
      </w:r>
    </w:p>
    <w:p>
      <w:pPr>
        <w:spacing w:after="0" w:line="95"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Given our stage of development, we have not yet established a commercial organization or distribution capabilities. We do intend to build a commercial infrastructure to support sales of our products. We expect to manage sales, marketing and distribution through both internal resources and third-party relationships. We plan to commercialize our proteomics platform using a three-phase plan that has been shown to be effective and optimal for introducing disruptive products in numerous life sciences technology markets. The first phase is expected to involve collaboration with biopharmaceutical companies and key opinion leaders to validate the performance and utility of Nautilus’ product, during which we do not expect to recognize significant revenue, if any. The second phase will include an early access limited release phase in which we expect to recognize limited revenue. Finally, the third phase is anticipated to include a broader commercial launch. We are currently in the collaboration phase during which we have entered into and are seeking to enter into collaborations with a small number of research customers, including with biopharmaceutical companies and key opinion leaders in proteomics whose assessment and validation of our products can significantly influence other researchers in their respective markets and/or fields. During the early access limited release phase, we plan to leverage our publications to drive awareness and customer demand to pre-sell instruments and reagents to select customers performing large-scale proteomics research. We do not anticipate that these activities will result in any material revenue. During the second phase, we expect to work closely with early access customers to demonstrate a unique value proposition for our Nautilus platform. During this phase, we plan to provide early access program partners with broad-scale analysis and profiling of samples analyzed in our facility and shared via a cloud platform. We anticipate meaningful early access engagements and associated revenue to begin at the start of 2024. We expect this second phase to lead into the third phase of broad commercialization and launch of the proteome analysis platform in mid-2024.</w:t>
      </w:r>
    </w:p>
    <w:p>
      <w:pPr>
        <w:spacing w:after="0" w:line="11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intend to commercialize our Nautilus platform through a direct sales channel in the United States, and through both direct and distributor sales channels in regions outside the United States. Given our stage of development, we currently have no marketing, sales, commercial product distribution or service and support capabilities. We intend to build the necessary infrastructure for these activities in the United States, European Union, the United Kingdom, and potentially other countries and regions, including Asia-Pacific, as we execute on our three phase commercial launch strategy for our Nautilus platform.</w:t>
      </w:r>
    </w:p>
    <w:p>
      <w:pPr>
        <w:spacing w:after="0" w:line="134" w:lineRule="exact"/>
        <w:rPr>
          <w:sz w:val="20"/>
          <w:szCs w:val="20"/>
          <w:color w:val="auto"/>
        </w:rPr>
      </w:pPr>
    </w:p>
    <w:p>
      <w:pPr>
        <w:ind w:right="220" w:firstLine="324"/>
        <w:spacing w:after="0" w:line="293" w:lineRule="auto"/>
        <w:rPr>
          <w:sz w:val="20"/>
          <w:szCs w:val="20"/>
          <w:color w:val="auto"/>
        </w:rPr>
      </w:pPr>
      <w:r>
        <w:rPr>
          <w:rFonts w:ascii="Arial" w:cs="Arial" w:eastAsia="Arial" w:hAnsi="Arial"/>
          <w:sz w:val="16"/>
          <w:szCs w:val="16"/>
          <w:color w:val="auto"/>
        </w:rPr>
        <w:t>Prior to the Business Combination, we financed our operations primarily through private placements of convertible preferred stock and had raised aggregate net proceeds of $108.4 million from these private placements. In connection with the consummation of the Business Combination and PIPE Financing, we received additional gross proceeds of approximately $345.5 million from PIPE Investors and the Business Combination, offset by approximately $18.2 million of transaction costs and underwriters’ fees relating to the closing of the Business Combination. As of June 30, 2022, we had cash, cash equivalents and short-term investments of $299.3 million. Based on this, we believe that our existing cash, cash equivalents, and short-term investments will enable us to fund our planned operating expenses and capital expenditures through at least the next 12 months.</w:t>
      </w:r>
    </w:p>
    <w:p>
      <w:pPr>
        <w:spacing w:after="0" w:line="110"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have incurred significant losses since the commencement of our operations. Our net loss was $30.5 million during the six months ended June 30, 2022, and we expect to continue to incur significant losses for the foreseeable future as we continue our research and development activities and planned commercialization of our proteomics platform. As of June 30, 2022, we had an accumulated deficit of $111.1 million. These losses have resulted primarily from costs incurred in connection with research and development activities and to a lesser extent from general and administrative costs associated with our operations. We expect to incur significant and increasing expenses and operating losses for the foreseeable future. Our net losses may fluctuate significantly from period to period, depending on the timing of and expenditures on our planned commercialization and research and development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expect our expenses and capital requirements will increase substantially in connection with our ongoing activities as we:</w:t>
      </w:r>
    </w:p>
    <w:p>
      <w:pPr>
        <w:spacing w:after="0" w:line="17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our research and development activities, including with respect to our Nautilus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undertake activities to establish sales, marketing and distribution capabilities for our Nautilus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 setup costs related to production tooling and required testing;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 including patents, trade secrets and know how;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implement operational, financial and management information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attract, hire and retain additional management, scientific and administrative personnel;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171" w:lineRule="exact"/>
        <w:rPr>
          <w:sz w:val="20"/>
          <w:szCs w:val="20"/>
          <w:color w:val="auto"/>
        </w:rPr>
      </w:pPr>
    </w:p>
    <w:p>
      <w:pPr>
        <w:ind w:right="40" w:firstLine="324"/>
        <w:spacing w:after="0" w:line="217" w:lineRule="exact"/>
        <w:rPr>
          <w:sz w:val="20"/>
          <w:szCs w:val="20"/>
          <w:color w:val="auto"/>
        </w:rPr>
      </w:pPr>
      <w:r>
        <w:rPr>
          <w:rFonts w:ascii="Arial" w:cs="Arial" w:eastAsia="Arial" w:hAnsi="Arial"/>
          <w:sz w:val="17"/>
          <w:szCs w:val="17"/>
          <w:color w:val="auto"/>
        </w:rPr>
        <w:t>As a result, we will require substantial additional funding to develop our products and support our continuing operations. Until such time that we can generate significant revenue from product sales, if ever, we expect to finance our operations through the sale of equity, debt financings or other capital sources, which could include income from collaborations, strategic partnerships or marketing, distribution or licensing arrangements with third parties or from grants. We may be unable to raise additional funds or to enter into such agreements or arrangements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ongoing COVID</w:t>
      </w:r>
      <w:r>
        <w:rPr>
          <w:rFonts w:ascii="MS PGothic" w:cs="MS PGothic" w:eastAsia="MS PGothic" w:hAnsi="MS PGothic"/>
          <w:sz w:val="17"/>
          <w:szCs w:val="17"/>
          <w:color w:val="auto"/>
        </w:rPr>
        <w:t>‑</w:t>
      </w:r>
      <w:r>
        <w:rPr>
          <w:rFonts w:ascii="Arial" w:cs="Arial" w:eastAsia="Arial" w:hAnsi="Arial"/>
          <w:sz w:val="17"/>
          <w:szCs w:val="17"/>
          <w:color w:val="auto"/>
        </w:rPr>
        <w:t>19 pandemic, the conflicts in Eastern Europe, and otherwise. Our failure to obtain sufficient funds on acceptable terms when needed could have a material adverse effect on our business, results of operations or financial condition, and could force us to delay, reduce or eliminate our product development or future commercialization efforts. We may also be required to grant rights to develop and market products that we would otherwise prefer to develop and market ourselves. The amount and timing of our future funding requirements will depend on many factors, including the pace and results of our development efforts. We cannot assure you that we will ever be profitable or generate positive cash flow from operating activities.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Pandemic</w:t>
      </w:r>
    </w:p>
    <w:p>
      <w:pPr>
        <w:spacing w:after="0" w:line="17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global COVID-19 pandemic continues to rapidly evolve. The extent of the impact of the COVID-19 pandemic on our business, operations and development timelines and plans remains uncertain, and will depend on certain developments, including the duration and spread of the outbreak and its impact on our development activities, third-party manufacturers, and other third parties with whom we do business, as well as its impact on regulatory authorities and our key scientific and management personnel. As the COVID-19 pandemic has developed, we have taken numerous steps to help ensure the health and safety of our employees. We are maintaining hygiene and respiratory protocols; controls for social distancing; enhanced cleaning, disinfecting, decontamination, and ventilation protocols; health policies; and usage of personal protective equipment, where appropriate. During March and April of 2020 in which stay at home orders were in place in the state of California and Washington, the volume of ongoing lab work was reduced, and only critical program work in the lab continued with staggered lab employee work shifts to minimize risk of exposure to COVID-19, which disrupted and delayed our ability to conduct development activities. While we were broadly able to resume normal operations in August 2021, if any resurgence or worsening of the COVID-19 pandemic causes us to reinstitute these measures we may experience additional disruption and/or delays in our ability to conduct development activities.</w:t>
      </w:r>
    </w:p>
    <w:p>
      <w:pPr>
        <w:spacing w:after="0" w:line="128"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have been and continue to actively monitor our supply chain during the COVID-19 pandemic, including third-party materials and suppliers. To date, we have experienced some supply disruptions due to the pandemic, including closures at certain chip manufacturers, which led to extended lead times for certain chips; diversion of certain lab materials needed to support COVID-19 relief efforts; and lower availability of certain reagents. While certain of these disruptions have been resolved since the start of the COVID-19 pandemic, we are continuing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7" w:name="page28"/>
    <w:bookmarkEnd w:id="27"/>
    <w:p>
      <w:pPr>
        <w:spacing w:after="0" w:line="14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monitor our supply chain and contingency planning is ongoing with our partners to reduce the possibility of an interruption to our development activities or the availability of necessary materials.</w:t>
      </w:r>
    </w:p>
    <w:p>
      <w:pPr>
        <w:spacing w:after="0" w:line="11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ultimate impact of the COVID-19 pandemic or a similar health epidemic is highly uncertain and subject to change. To the extent possible, we are conducting business as usual, with necessary or advisable modifications to employee travel, with masking and vaccination requirements in our offices, and with our employees working remotely fully or intermittently as able from March 2020 until August 2022. We will continue to actively monitor the rapidly evolving situation related to COVID-19 and may take further actions that alter our operations, including those that may be required by federal, state or local authorities, or that we determine are in the best interests of our employees and other third parties with whom we do business. At this point, the extent to which the COVID-19 pandemic may affect our future business, operations and development timelines and plans, including the resulting impact on our expenditures and capital needs, remains uncertain.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Recapitalization Transaction</w:t>
      </w:r>
    </w:p>
    <w:p>
      <w:pPr>
        <w:spacing w:after="0" w:line="175"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On June 9, 2021 (the “Closing Date”), Nautilus Biotechnology, Inc., a Delaware corporation (f/k/a ARYA Sciences Acquisition Corp III, a Cayman Islands exempted company and our predecessor company (“ARYA”)) (the “Company”), consummated its previously announced business combination (the “Business Combination”) pursuant to the terms of that certain Business Combination Agreement, dated as of February 7, 2021 (the “Business Combination Agreement”), by and among ARYA, Mako Merger Sub, Inc., a Delaware corporation and wholly-owned subsidiary of ARYA (“Mako Merger Sub”), and Nautilus Subsidiary, Inc., a Delaware corporation (f/k/a Nautilus Biotechnology, Inc.) (“Legacy Nautilus”).</w:t>
      </w:r>
    </w:p>
    <w:p>
      <w:pPr>
        <w:spacing w:after="0" w:line="122"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Pursuant to the terms of the Business Combination Agreement, on the Closing Date, (i) ARYA changed its jurisdiction of incorporation by deregistering as a Cayman Islands exempted company and continuing and domesticating as a corporation incorporated under the laws of the State of Delaware (the “Domestication”), upon which ARYA changed its name to “Nautilus Biotechnology, Inc.” (together with its consolidated subsidiary, “New Nautilus” or “Nautilus”) and (ii) Mako Merger Sub merged with and into Legacy Nautilus (the “Merger”), with Legacy Nautilus as the surviving company in the Merger and, after giving effect to such Merger, Legacy Nautilus becoming a wholly-owned subsidiary of New Nautilus.</w:t>
      </w:r>
    </w:p>
    <w:p>
      <w:pPr>
        <w:spacing w:after="0" w:line="122"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In accordance with the terms and subject to the conditions of the Business Combination Agreement, at the effective time of the Merger (the “Effective Time”), (i) each share of Legacy Nautilus outstanding as of immediately prior to the Effective Time was exchanged for shares of common stock of New Nautilus, par value $0.0001 per share (“Common Stock”), and (ii) all vested and unvested options to purchase shares of Legacy Nautilus were exchanged for comparable options to purchase shares of Common Stock, in each case, based on an implied Legacy Nautilus equity value of $900,000,000.</w:t>
      </w:r>
    </w:p>
    <w:p>
      <w:pPr>
        <w:spacing w:after="0" w:line="103"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As of the open of trading on June 10, 2021, the Common Stock of the Company, formerly those of ARYA, began trading on the Nasdaq Global Select Market (“Nasdaq”) under the symbol “NAUT.”</w:t>
      </w:r>
    </w:p>
    <w:p>
      <w:pPr>
        <w:spacing w:after="0" w:line="116"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color w:val="auto"/>
        </w:rPr>
        <w:t>In conjunction with the consummation of the Business Combination with ARYA, we received gross proceeds of approximately $345.5 million from PIPE Investors and the Business Combination, offset by approximately $18.2 million of transaction costs and underwriters’ fees relating to the closing of the Business Combination.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 date, we have not generated any revenue and we may not generate any revenue from the sale of products or from other sources in the near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w:t>
      </w:r>
    </w:p>
    <w:p>
      <w:pPr>
        <w:spacing w:after="0" w:line="171"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Research and development expenses account for a significant portion of our operating expenses and consist primarily of salaries, related benefits and stock-based compensation expense of product development personnel, facilities costs, laboratory supplies and equipment, depreciation and amortization, external costs of vendors engaged to conduct research and development activities, and allocated expenses for technology and facilities. We expense research and development expenses in the periods in which they are incurred.</w:t>
      </w:r>
    </w:p>
    <w:p>
      <w:pPr>
        <w:spacing w:after="0" w:line="11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plan to continue to invest in our research and development efforts and to increase our investment in research and development efforts related to our product development. As a result, we expect research and development expenses to increase in absolute dollars as we continue to advance our product development, hire additional personnel and retain existing personnel, purchase supplies and materials and allocate expense to our research and development facilities.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General and administrative expenses consist of salaries and benefits, and stock-based compensation expense for personnel in executive, operations, legal, human resources, finance, marketing, commercial, IT personnel and administrative functions, professional fees for legal, patent, consulting, accounting and audit services, and allocated expenses for technology and facilities. We expense general and administrative expenses in the periods in which they are incurred.</w:t>
      </w:r>
    </w:p>
    <w:p>
      <w:pPr>
        <w:spacing w:after="0" w:line="133"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We expect that our general and administrative expenses will increase substantially over the next several years as we hire additional personnel to support the continued research and development of our products and commercial activities supporting the growth of our business. We also anticipate that we will incur substantially higher expenses as a result of operating as a public company, including expenses related to accounting, audit, legal, regulatory, insurance, compliance with the rules and regulations of the SEC, Sarbanes-Oxley Act and those of any national securities exchange on which our securities are traded, director and officer insurance, investor and public relations, and other administrative and professional services.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7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Other income (expense), net consists primarily of interest income on our cash, cash equivalents and investments and other miscellaneous nonrecurring expenses such as loss on disposal of property and equipment.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 of the Three Months Ended June 30, 2022 to the Three Months Ended June 30, 2021</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our condensed consolidated statements of operations for the periods indicated:</w:t>
      </w:r>
    </w:p>
    <w:p>
      <w:pPr>
        <w:spacing w:after="0" w:line="271" w:lineRule="exact"/>
        <w:rPr>
          <w:sz w:val="20"/>
          <w:szCs w:val="20"/>
          <w:color w:val="auto"/>
        </w:rPr>
      </w:pPr>
    </w:p>
    <w:p>
      <w:pPr>
        <w:ind w:left="534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23495</wp:posOffset>
            </wp:positionV>
            <wp:extent cx="20142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55" w:lineRule="exact"/>
        <w:rPr>
          <w:sz w:val="20"/>
          <w:szCs w:val="20"/>
          <w:color w:val="auto"/>
        </w:rPr>
      </w:pPr>
    </w:p>
    <w:p>
      <w:pPr>
        <w:ind w:left="5340"/>
        <w:spacing w:after="0"/>
        <w:tabs>
          <w:tab w:leader="none" w:pos="6900" w:val="left"/>
        </w:tabs>
        <w:rPr>
          <w:sz w:val="20"/>
          <w:szCs w:val="20"/>
          <w:color w:val="auto"/>
        </w:rPr>
      </w:pPr>
      <w:r>
        <w:rPr>
          <w:rFonts w:ascii="Arial" w:cs="Arial" w:eastAsia="Arial" w:hAnsi="Arial"/>
          <w:sz w:val="12"/>
          <w:szCs w:val="12"/>
          <w:b w:val="1"/>
          <w:bCs w:val="1"/>
          <w:color w:val="auto"/>
        </w:rPr>
        <w:t>2022</w:t>
      </w:r>
      <w:r>
        <w:rPr>
          <w:sz w:val="20"/>
          <w:szCs w:val="20"/>
          <w:color w:val="auto"/>
        </w:rPr>
        <w:tab/>
      </w:r>
      <w:r>
        <w:rPr>
          <w:rFonts w:ascii="Arial" w:cs="Arial" w:eastAsia="Arial" w:hAnsi="Arial"/>
          <w:sz w:val="12"/>
          <w:szCs w:val="12"/>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38100</wp:posOffset>
            </wp:positionV>
            <wp:extent cx="19545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58" w:lineRule="exact"/>
        <w:rPr>
          <w:sz w:val="20"/>
          <w:szCs w:val="20"/>
          <w:color w:val="auto"/>
        </w:rPr>
      </w:pPr>
    </w:p>
    <w:p>
      <w:pPr>
        <w:ind w:left="58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tabs>
          <w:tab w:leader="none" w:pos="1600" w:val="left"/>
        </w:tabs>
        <w:rPr>
          <w:sz w:val="20"/>
          <w:szCs w:val="20"/>
          <w:color w:val="auto"/>
        </w:rPr>
      </w:pPr>
      <w:r>
        <w:rPr>
          <w:rFonts w:ascii="Arial" w:cs="Arial" w:eastAsia="Arial" w:hAnsi="Arial"/>
          <w:sz w:val="13"/>
          <w:szCs w:val="13"/>
          <w:b w:val="1"/>
          <w:bCs w:val="1"/>
          <w:color w:val="auto"/>
        </w:rPr>
        <w:t>Change</w:t>
      </w:r>
      <w:r>
        <w:rPr>
          <w:sz w:val="20"/>
          <w:szCs w:val="20"/>
          <w:color w:val="auto"/>
        </w:rPr>
        <w:tab/>
      </w:r>
      <w:r>
        <w:rPr>
          <w:rFonts w:ascii="Arial" w:cs="Arial" w:eastAsia="Arial" w:hAnsi="Arial"/>
          <w:sz w:val="13"/>
          <w:szCs w:val="13"/>
          <w:b w:val="1"/>
          <w:bCs w:val="1"/>
          <w:color w:val="auto"/>
        </w:rPr>
        <w:t>Change</w:t>
      </w:r>
    </w:p>
    <w:p>
      <w:pPr>
        <w:spacing w:after="0" w:line="2" w:lineRule="exact"/>
        <w:rPr>
          <w:sz w:val="20"/>
          <w:szCs w:val="20"/>
          <w:color w:val="auto"/>
        </w:rPr>
      </w:pPr>
    </w:p>
    <w:p>
      <w:pPr>
        <w:ind w:left="140"/>
        <w:spacing w:after="0"/>
        <w:tabs>
          <w:tab w:leader="none" w:pos="1740" w:val="left"/>
        </w:tabs>
        <w:rPr>
          <w:sz w:val="20"/>
          <w:szCs w:val="20"/>
          <w:color w:val="auto"/>
        </w:rPr>
      </w:pP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w:t>
      </w:r>
    </w:p>
    <w:p>
      <w:pPr>
        <w:spacing w:after="0" w:line="9" w:lineRule="exact"/>
        <w:rPr>
          <w:sz w:val="20"/>
          <w:szCs w:val="20"/>
          <w:color w:val="auto"/>
        </w:rPr>
      </w:pPr>
    </w:p>
    <w:p>
      <w:pPr>
        <w:sectPr>
          <w:pgSz w:w="11900" w:h="16838" w:orient="portrait"/>
          <w:cols w:equalWidth="0" w:num="2">
            <w:col w:w="7700" w:space="720"/>
            <w:col w:w="282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21"/>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4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r>
      <w:tr>
        <w:trPr>
          <w:trHeight w:val="230"/>
        </w:trPr>
        <w:tc>
          <w:tcPr>
            <w:tcW w:w="47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8,856</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6,380</w:t>
            </w:r>
          </w:p>
        </w:tc>
        <w:tc>
          <w:tcPr>
            <w:tcW w:w="8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2,476</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39 %</w:t>
            </w:r>
          </w:p>
        </w:tc>
      </w:tr>
      <w:tr>
        <w:trPr>
          <w:trHeight w:val="230"/>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4,317</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53 %</w:t>
            </w:r>
          </w:p>
        </w:tc>
      </w:tr>
      <w:tr>
        <w:trPr>
          <w:trHeight w:val="223"/>
        </w:trPr>
        <w:tc>
          <w:tcPr>
            <w:tcW w:w="47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15,472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10,697</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4,775</w:t>
            </w:r>
          </w:p>
        </w:tc>
        <w:tc>
          <w:tcPr>
            <w:tcW w:w="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45 %</w:t>
            </w:r>
          </w:p>
        </w:tc>
      </w:tr>
      <w:tr>
        <w:trPr>
          <w:trHeight w:val="22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(4994)%</w:t>
            </w:r>
          </w:p>
        </w:tc>
      </w:tr>
      <w:tr>
        <w:trPr>
          <w:trHeight w:val="223"/>
        </w:trPr>
        <w:tc>
          <w:tcPr>
            <w:tcW w:w="4740" w:type="dxa"/>
            <w:vAlign w:val="bottom"/>
          </w:tcPr>
          <w:p>
            <w:pPr>
              <w:ind w:left="680"/>
              <w:spacing w:after="0"/>
              <w:rPr>
                <w:sz w:val="20"/>
                <w:szCs w:val="20"/>
                <w:color w:val="auto"/>
              </w:rPr>
            </w:pPr>
            <w:r>
              <w:rPr>
                <w:rFonts w:ascii="Arial" w:cs="Arial" w:eastAsia="Arial" w:hAnsi="Arial"/>
                <w:sz w:val="18"/>
                <w:szCs w:val="18"/>
                <w:color w:val="auto"/>
              </w:rPr>
              <w:t>Net loss</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(14,689)</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(10,713)</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(3,976)</w:t>
            </w:r>
          </w:p>
        </w:tc>
        <w:tc>
          <w:tcPr>
            <w:tcW w:w="8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37 %</w:t>
            </w:r>
          </w:p>
        </w:tc>
      </w:tr>
      <w:tr>
        <w:trPr>
          <w:trHeight w:val="20"/>
        </w:trPr>
        <w:tc>
          <w:tcPr>
            <w:tcW w:w="47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9" w:name="page30"/>
    <w:bookmarkEnd w:id="29"/>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Expenses</w:t>
      </w:r>
    </w:p>
    <w:p>
      <w:pPr>
        <w:spacing w:after="0" w:line="17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Research and development expenses were $8.9 million for the three months ended June 30, 2022, compared to $6.4 million for the three months ended June 30, 2021, an increase of $2.5 million, or 39%. The increase was primarily due to a $1.8 million increase in salaries, related benefits, and stock-based compensation, a $0.8 million increase in costs for development services and a $0.5 million increase in facilities costs, partially offset by a $0.5 million reduction in laboratory supplies and equipment expense.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71"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General and administrative expenses were $6.6 million for the three months ended June 30, 2022, compared to $4.3 million for the three months ended June 30, 2021, an increase of $2.3 million, or 53%. The increase was primarily due to a $1.1 million increase in salaries, related benefits, and stock-based compensation, a $0.5 million increase in insurance costs and a $0.3 million increase in facilities costs.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Income (Expense), Net</w:t>
      </w:r>
    </w:p>
    <w:p>
      <w:pPr>
        <w:spacing w:after="0" w:line="17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Other income (expense), net for the three months ended June 30, 2022 as compared to the three months ended June 30, 2021 changed primarily due to income from accretion and amortization on investments and interest income.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 of the Six Months Ended June 30, 2022 to the Six Months Ended June 30, 2021</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our condensed consolidated statements of operations for the periods indicated: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5"/>
          </w:tcPr>
          <w:p>
            <w:pPr>
              <w:ind w:left="340"/>
              <w:spacing w:after="0"/>
              <w:rPr>
                <w:sz w:val="20"/>
                <w:szCs w:val="20"/>
                <w:color w:val="auto"/>
              </w:rPr>
            </w:pPr>
            <w:r>
              <w:rPr>
                <w:rFonts w:ascii="Arial" w:cs="Arial" w:eastAsia="Arial" w:hAnsi="Arial"/>
                <w:sz w:val="14"/>
                <w:szCs w:val="14"/>
                <w:b w:val="1"/>
                <w:bCs w:val="1"/>
                <w:color w:val="auto"/>
              </w:rPr>
              <w:t>Six Months Ended June 30,</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96"/>
        </w:trPr>
        <w:tc>
          <w:tcPr>
            <w:tcW w:w="484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Change</w:t>
            </w:r>
          </w:p>
        </w:tc>
        <w:tc>
          <w:tcPr>
            <w:tcW w:w="1640" w:type="dxa"/>
            <w:vAlign w:val="bottom"/>
          </w:tcPr>
          <w:p>
            <w:pPr>
              <w:jc w:val="right"/>
              <w:ind w:right="515"/>
              <w:spacing w:after="0"/>
              <w:rPr>
                <w:sz w:val="20"/>
                <w:szCs w:val="20"/>
                <w:color w:val="auto"/>
              </w:rPr>
            </w:pPr>
            <w:r>
              <w:rPr>
                <w:rFonts w:ascii="Arial" w:cs="Arial" w:eastAsia="Arial" w:hAnsi="Arial"/>
                <w:sz w:val="14"/>
                <w:szCs w:val="14"/>
                <w:b w:val="1"/>
                <w:bCs w:val="1"/>
                <w:color w:val="auto"/>
              </w:rPr>
              <w:t>Change</w:t>
            </w:r>
          </w:p>
        </w:tc>
      </w:tr>
      <w:tr>
        <w:trPr>
          <w:trHeight w:val="201"/>
        </w:trPr>
        <w:tc>
          <w:tcPr>
            <w:tcW w:w="48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w:t>
            </w:r>
          </w:p>
        </w:tc>
      </w:tr>
      <w:tr>
        <w:trPr>
          <w:trHeight w:val="211"/>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30"/>
        </w:trPr>
        <w:tc>
          <w:tcPr>
            <w:tcW w:w="48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18,514</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11,215</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7,299</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65 %</w:t>
            </w:r>
          </w:p>
        </w:tc>
      </w:tr>
      <w:tr>
        <w:trPr>
          <w:trHeight w:val="229"/>
        </w:trPr>
        <w:tc>
          <w:tcPr>
            <w:tcW w:w="4840" w:type="dxa"/>
            <w:vAlign w:val="bottom"/>
            <w:shd w:val="clear" w:color="auto" w:fill="CCEEFF"/>
          </w:tcPr>
          <w:p>
            <w:pPr>
              <w:jc w:val="right"/>
              <w:ind w:right="2610"/>
              <w:spacing w:after="0"/>
              <w:rPr>
                <w:sz w:val="20"/>
                <w:szCs w:val="20"/>
                <w:color w:val="auto"/>
              </w:rPr>
            </w:pPr>
            <w:r>
              <w:rPr>
                <w:rFonts w:ascii="Arial" w:cs="Arial" w:eastAsia="Arial" w:hAnsi="Arial"/>
                <w:sz w:val="18"/>
                <w:szCs w:val="18"/>
                <w:color w:val="auto"/>
                <w:w w:val="98"/>
              </w:rPr>
              <w:t>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5,081</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64 %</w:t>
            </w:r>
          </w:p>
        </w:tc>
      </w:tr>
      <w:tr>
        <w:trPr>
          <w:trHeight w:val="223"/>
        </w:trPr>
        <w:tc>
          <w:tcPr>
            <w:tcW w:w="4840" w:type="dxa"/>
            <w:vAlign w:val="bottom"/>
            <w:tcBorders>
              <w:bottom w:val="single" w:sz="8" w:color="CCEEFF"/>
            </w:tcBorders>
          </w:tcPr>
          <w:p>
            <w:pPr>
              <w:jc w:val="right"/>
              <w:ind w:right="261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31,494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12,380</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65 %</w:t>
            </w:r>
          </w:p>
        </w:tc>
      </w:tr>
      <w:tr>
        <w:trPr>
          <w:trHeight w:val="223"/>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(13125)%</w:t>
            </w:r>
          </w:p>
        </w:tc>
      </w:tr>
      <w:tr>
        <w:trPr>
          <w:trHeight w:val="223"/>
        </w:trPr>
        <w:tc>
          <w:tcPr>
            <w:tcW w:w="4840" w:type="dxa"/>
            <w:vAlign w:val="bottom"/>
          </w:tcPr>
          <w:p>
            <w:pPr>
              <w:ind w:left="36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(30,452)</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(11,330)</w:t>
            </w:r>
          </w:p>
        </w:tc>
        <w:tc>
          <w:tcPr>
            <w:tcW w:w="10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59 %</w:t>
            </w:r>
          </w:p>
        </w:tc>
      </w:tr>
      <w:tr>
        <w:trPr>
          <w:trHeight w:val="20"/>
        </w:trPr>
        <w:tc>
          <w:tcPr>
            <w:tcW w:w="4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71"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color w:val="auto"/>
        </w:rPr>
        <w:t>Research and development expenses were $18.5 million for the six months ended June 30, 2022, compared to $11.2 million for the six months ended June 30, 2021, an increase of $7.3 million, or 65%. The increase was primarily due to a $3.9 million increase in salaries, related benefits, and stock-based compensation, a $1.7 million increase in costs for development services, a $1.2 million increase in facilities costs and a $0.6 million increase in laboratory supplies and equipment expense.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1"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General and administrative expenses were $13.0 million for the six months ended June 30, 2022, compared to $7.9 million for the six months ended June 30, 2021, an increase of $5.1 million, or 64%. The increase was primarily due to a $2.4 million increase in salaries, related benefits, and stock-based compensation, a $1.3 million increase in insurance costs and a $0.6 million increase in facilities costs.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71"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Other income (expense), net for the six months ended June 30, 2022 as compared to the six months ended June 30, 2021 changed primarily due to income from accretion and amortization on investments and interest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7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Since our inception, we have not generated any revenue from product sales and have incurred significant operating losses and negative cash flows from our operations. Our net loss was $30.5 million for the six months ended June 30, 2022. As of June 30, 2022, we had an accumulated deficit of $111.1 million. Prior to the Business Combination, we funded our operations primarily with proceeds from the sale of convertible preferred stock. Prior to the Business Combination, we had raised net proceeds of $108.4 million from these private placements of our convertible preferred stock. In June 2021, in conjunction with the consummation of the Business Combination with ARYA, we received additional gross proceeds of approximately $345.5 million from PIPE Investors and the Business Combination, offset by approximately $18.2 million of transaction costs and underwriters’ fees relating to the closing of the Business Combination. As of June 30, 2022, we had cash, cash equivalents and short-term investments of $299.3 million.</w:t>
      </w:r>
    </w:p>
    <w:p>
      <w:pPr>
        <w:spacing w:after="0" w:line="112" w:lineRule="exact"/>
        <w:rPr>
          <w:sz w:val="20"/>
          <w:szCs w:val="20"/>
          <w:color w:val="auto"/>
        </w:rPr>
      </w:pPr>
    </w:p>
    <w:p>
      <w:pPr>
        <w:ind w:right="520" w:firstLine="324"/>
        <w:spacing w:after="0" w:line="342" w:lineRule="auto"/>
        <w:rPr>
          <w:sz w:val="20"/>
          <w:szCs w:val="20"/>
          <w:color w:val="auto"/>
        </w:rPr>
      </w:pPr>
      <w:r>
        <w:rPr>
          <w:rFonts w:ascii="Arial" w:cs="Arial" w:eastAsia="Arial" w:hAnsi="Arial"/>
          <w:sz w:val="16"/>
          <w:szCs w:val="16"/>
          <w:color w:val="auto"/>
        </w:rPr>
        <w:t>Our primary uses of cash to date have been to fund our research and development activities, business planning, establishing and maintaining our intellectual property portfolio, hiring personnel, raising capital, and providing general and administrative support for these operations.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 date, we have not generated any revenue and we may not generate any revenue from the sale of products or from other sources in the near future.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expect our expenses and capital requirements will increase substantially in connection with our ongoing activities as we:</w:t>
      </w:r>
    </w:p>
    <w:p>
      <w:pPr>
        <w:spacing w:after="0" w:line="15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our research and development activities, including with respect to our proteomics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undertake activities to establish sales, marketing and distribution capabilities for our proteomics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setup costs related to production tooling and required testing;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 including patents, trade secrets and know how;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implement operational, financial and management information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attract, hire and retain additional management, scientific and administrative personnel;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17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Based on our planned operations, we expect our current cash, cash equivalents, and short-term investments will be sufficient to fund our operating expenses and capital expenditures for at least the next 12 months. We continue to face challenges and uncertainties and, as a result, our available capital resources may be consumed more rapidly than currently expected due to: delays in execution of our development plans; the scope and timing of our investment in our sales, marketing, and distribution capabilities; changes we may make to the business that affect ongoing operating expenses; the costs of filing, prosecuting, defending and enforcing any patent claims and other intellectual property rights; changes we may make in our business or commercialization strategy; changes we may make in our research and development spending plans; our need to implement additional infrastructure and internal systems; the impact of the COVID-19 pandemic; and other items affecting our forecasted level of expenditures and use of cash resources including potential acquisitions.</w:t>
      </w:r>
    </w:p>
    <w:p>
      <w:pPr>
        <w:spacing w:after="0" w:line="138"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Until such time as we can generate significant revenue from commercialization of our products, if ever, we will continue to require substantial additional capital to develop our proteomics platform and fund operations for the foreseeable future. We intend to obtain such capital through public or private equity offerings or debt financings, credit or loan facilities or a combination of one or more of these funding sources. We may also seek additional financing opportunistically. We may be unable to raise additional funds on favorable terms or at all. Our ability to raise additional funds may be adversely impacted by potential worsening global economic conditions and the recent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44" w:lineRule="exact"/>
        <w:rPr>
          <w:sz w:val="20"/>
          <w:szCs w:val="20"/>
          <w:color w:val="auto"/>
        </w:rPr>
      </w:pPr>
    </w:p>
    <w:p>
      <w:pPr>
        <w:jc w:val="both"/>
        <w:ind w:right="200"/>
        <w:spacing w:after="0" w:line="220" w:lineRule="exact"/>
        <w:rPr>
          <w:sz w:val="20"/>
          <w:szCs w:val="20"/>
          <w:color w:val="auto"/>
        </w:rPr>
      </w:pPr>
      <w:r>
        <w:rPr>
          <w:rFonts w:ascii="Arial" w:cs="Arial" w:eastAsia="Arial" w:hAnsi="Arial"/>
          <w:sz w:val="18"/>
          <w:szCs w:val="18"/>
          <w:color w:val="auto"/>
        </w:rPr>
        <w:t>disruptions to, and volatility in, the credit and financial markets in the United States and worldwide resulting from the ongoing COVID</w:t>
      </w:r>
      <w:r>
        <w:rPr>
          <w:rFonts w:ascii="MS PGothic" w:cs="MS PGothic" w:eastAsia="MS PGothic" w:hAnsi="MS PGothic"/>
          <w:sz w:val="18"/>
          <w:szCs w:val="18"/>
          <w:color w:val="auto"/>
        </w:rPr>
        <w:t>‑</w:t>
      </w:r>
      <w:r>
        <w:rPr>
          <w:rFonts w:ascii="Arial" w:cs="Arial" w:eastAsia="Arial" w:hAnsi="Arial"/>
          <w:sz w:val="18"/>
          <w:szCs w:val="18"/>
          <w:color w:val="auto"/>
        </w:rPr>
        <w:t>19 pandemic, the conflicts in Eastern Europe, and otherwise. Our failure to raise additional capital, if needed, would have a negative impact on our financial condition and our ability to execute our business plan.</w:t>
      </w:r>
    </w:p>
    <w:p>
      <w:pPr>
        <w:spacing w:after="0" w:line="150"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Our expected future capital requirements depend on many factors including expansion of our product portfolio and the timing and extent of spending on sales and marketing and the development of our technology. If we raise additional funds by issuing equity securities, our stockholders will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Historical Cash Flows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 the Six Months Ended June 30, 2022 and 2021</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six months ended June 30, 2022 and 2021: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2021</w:t>
            </w:r>
          </w:p>
        </w:tc>
      </w:tr>
      <w:tr>
        <w:trPr>
          <w:trHeight w:val="183"/>
        </w:trPr>
        <w:tc>
          <w:tcPr>
            <w:tcW w:w="8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5"/>
                <w:szCs w:val="15"/>
                <w:color w:val="auto"/>
              </w:rPr>
            </w:pPr>
          </w:p>
        </w:tc>
      </w:tr>
      <w:tr>
        <w:trPr>
          <w:trHeight w:val="23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(25,864)</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(14,545)</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50,258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ind w:left="420"/>
              <w:spacing w:after="0"/>
              <w:rPr>
                <w:sz w:val="20"/>
                <w:szCs w:val="20"/>
                <w:color w:val="auto"/>
              </w:rPr>
            </w:pPr>
            <w:r>
              <w:rPr>
                <w:rFonts w:ascii="Arial" w:cs="Arial" w:eastAsia="Arial" w:hAnsi="Arial"/>
                <w:sz w:val="18"/>
                <w:szCs w:val="18"/>
                <w:color w:val="auto"/>
                <w:w w:val="92"/>
              </w:rPr>
              <w:t>(61,048)</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98"/>
              </w:rPr>
              <w:t>327,373</w:t>
            </w:r>
          </w:p>
        </w:tc>
      </w:tr>
      <w:tr>
        <w:trPr>
          <w:trHeight w:val="223"/>
        </w:trPr>
        <w:tc>
          <w:tcPr>
            <w:tcW w:w="8020" w:type="dxa"/>
            <w:vAlign w:val="bottom"/>
          </w:tcPr>
          <w:p>
            <w:pPr>
              <w:ind w:left="180"/>
              <w:spacing w:after="0"/>
              <w:rPr>
                <w:sz w:val="20"/>
                <w:szCs w:val="20"/>
                <w:color w:val="auto"/>
              </w:rPr>
            </w:pPr>
            <w:r>
              <w:rPr>
                <w:rFonts w:ascii="Arial" w:cs="Arial" w:eastAsia="Arial" w:hAnsi="Arial"/>
                <w:sz w:val="18"/>
                <w:szCs w:val="18"/>
                <w:color w:val="auto"/>
              </w:rPr>
              <w:t>Net increase in cash, cash equivalents and restricted cash</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24,735</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98"/>
              </w:rPr>
              <w:t>251,780</w:t>
            </w: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During the six months ended June 30, 2022, net cash used in operating activities was $25.9 million, primarily resulting from our operating loss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$30.5 million and decrease in net changes in assets and liabilities aggregating $1.6 million, primarily driven by $0.6 million decrease in accounts payable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 $0.5 million increase in prepaid expenses and other assets. Net cash used in operating activities was partially offset by non-cash charges aggregating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$6.2 million, which primarily included $4.7 million of stock-based compensation and $1.1 million amortization of operating lease right-of-use assets.</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During the six months ended June 30, 2021, net cash used in operating activities was $14.5 million, primarily resulting from our operating loss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$19.1 million, offset by non-cash charges aggregating $4.6 million, which primarily included $3.2 million of stock-based compensation and $0.8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operating lease right-of-use assets.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During the six months ended June 30, 2022, net cash provided by investing activities was $50.3 million, primarily resulting from $105.6 million in proceeds from maturities of securities, partially offset by $54.2 million in purchases of securities and $1.1 million in purchases of property and equipment.</w:t>
      </w:r>
    </w:p>
    <w:p>
      <w:pPr>
        <w:spacing w:after="0" w:line="70"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During the six months ended June 30, 2021, net cash used in investing activities was $61.0 million, primarily resulting from $100.0 million in purchases of securities, partially offset by $40.0 million in proceeds from maturities of securities.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During the six months ended June 30, 2022, net cash provided by financing activities was $0.3 million of proceeds from exercise of stock options and issuance of common stock under the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44"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During the six months ended June 30, 2021, net cash provided by financing activities was $327.4 million primarily resulting from $335.4 million in proceeds from the Business Combination and PIPE Financing, offset by $8.1 million in payments of offering costs.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For a discussion of our contractual obligations and commitments, refer to Part I, Item 1, Note 10, “Commitments and Contingencies,” in our notes to condensed consolidated financial statements in this Quarterly Report on Form 10-Q.</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condensed consolidated financial statements, which have been prepared in accordance with generally accepted accounting principles in the United States. The preparation of these condensed consolidated financial statements requires us to make estimates and assumptions that affect the reported amounts of assets, liabilities, and expenses. We evaluate our estimates and assumptions on an ongoing basis, and base our estimates on historical experience and on various other assumptions that we believe to be reasonable under the circumstances, the results of which form the basis for the judgments we make about the carrying value of assets and liabilities that are not readily apparent from other sources. Because these estimates can vary depending on the situation, actual results may differ from these estimates. Making estimates and judgments about future events is inherently unpredictable and is subject to significant uncertainties, some of which are beyond our control. Should any of these estimates and assumptions change or prove to have been incorrect, it could have a material impact on our results of operations, financial position and statement of cash flows.</w:t>
      </w:r>
    </w:p>
    <w:p>
      <w:pPr>
        <w:spacing w:after="0" w:line="127"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Other than the policies noted in Part I, Item 1, Note 2, “Significant Accounting Policies,” in our notes to condensed consolidated financial statements in this Quarterly Report on Form 10-Q, there have been no material changes to our critical accounting policies and estimates as compared to those disclosed in our audited financial statements as of and for the years ended December 31, 2021 and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For a description of recent accounting pronouncements, including the expected dates of adoption and estimated effects, if any, on our condensed consolidated financial statements, see Part I, Item 1, Note 2 “Significant Accounting Policies” in our notes to condensed consolidated financial statements in this Quarterly Report on Form 10-Q.</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Accounting Election</w:t>
      </w:r>
    </w:p>
    <w:p>
      <w:pPr>
        <w:spacing w:after="0" w:line="17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Jumpstart Our Business Startups Act of 2012, or the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pacing w:after="0" w:line="14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will cease to be an emerging growth company on the date that is the earliest of (i) the last day of the fiscal year in which we have total annual gross revenue of $1.07 billion or more, (ii) the last day of our fiscal year following the fifth anniversary of the date of the closing of ARYA’s initial public offering, (iii) the date on which we have issued more than $1.0 billion in nonconvertible debt during the previous three years or (iv) the date on which we are deemed to be a large accelerated filer under the rules of the Securities and Exchange Commission.</w:t>
      </w:r>
    </w:p>
    <w:p>
      <w:pPr>
        <w:spacing w:after="0" w:line="133"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Further, even after we no longer qualify as an emerging growth company, we may still qualify as a “smaller reporting company,” which would allow us to take advantage of many of the same exemptions from disclosure requirements, including reduced disclosure obligations regarding executive compensation in our periodic reports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 w:name="page34"/>
    <w:bookmarkEnd w:id="33"/>
    <w:p>
      <w:pPr>
        <w:spacing w:after="0" w:line="14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proxy statements. We cannot predict if investors will find our common shares less attractive because we may rely on these exemptions. If some investors find our common shares less attractive as a result, there may be a less active trading market for our common shares and our share price may be more volatile.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40" w:right="559" w:bottom="1440" w:gutter="0" w:footer="0" w:header="0"/>
        </w:sectPr>
      </w:pPr>
    </w:p>
    <w:bookmarkStart w:id="34" w:name="page35"/>
    <w:bookmarkEnd w:id="3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Qualitative and Quantitative Disclosures About Market Risk</w:t>
      </w:r>
    </w:p>
    <w:p>
      <w:pPr>
        <w:spacing w:after="0" w:line="17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Our market risk exposure is primarily a result of fluctuations in interest rates and inflation. We do not hold or issue financial instruments for trading purposes.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had cash, cash equivalents, short-term and long-term investments of $334.9 million as of June 30, 2022. The primary goals of our investment policy are liquidity and capital preservation. We do not enter into investments for trading or speculative purposes. The carrying amount of our cash equivalents reasonably approximates fair value, due to the short maturities of these instruments. Our investments are exposed to market risk due to a fluctuation in interest rates, which may affect the fair market value of our investments in marketable securities. As of June 30, 2022, the effect of a hypothetical 1.00% (100 basis point) change in interest rates would have changed the fair value of our marketable securities by $1.1 million. Such change would only be realized if we sold the marketable securities prior to maturity.</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Inflation Risk</w:t>
      </w:r>
    </w:p>
    <w:p>
      <w:pPr>
        <w:spacing w:after="0" w:line="171"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Inflation generally affects us by increasing our cost of labor and goods and services. We believe that inflation has had some effect on our financial results during the periods presented. If we experience continued or future inflationary pressure, it may impact the costs of our operations as well as the costs to manufacture, sell and distribute our products and provide our services in the future. We may not be able to fully offset those increased costs through reduced spending or price increases to our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35" w:name="page36"/>
    <w:bookmarkEnd w:id="35"/>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firstLine="324"/>
        <w:spacing w:after="0" w:line="218" w:lineRule="exact"/>
        <w:rPr>
          <w:sz w:val="20"/>
          <w:szCs w:val="20"/>
          <w:color w:val="auto"/>
        </w:rPr>
      </w:pPr>
      <w:r>
        <w:rPr>
          <w:rFonts w:ascii="Arial" w:cs="Arial" w:eastAsia="Arial" w:hAnsi="Arial"/>
          <w:sz w:val="17"/>
          <w:szCs w:val="17"/>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defined in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under the Exchange Act, as of the end of the period covered by this Quarterly Report on Form 10-Q. In designing and evaluating the disclosure controls and procedures, management recognized that any controls and procedures, no matter how well designed and operated, can provide only reasonable and not absolute assurance of achieving the desired control objectives and management necessarily applies its judgment in evaluating the cost benefit relationship of possible controls and procedures. Based on this evaluation, our Chief Executive Officer and Chief Financial Officer concluded that our disclosure controls and procedures were effective at the reasonable assurance level as of June 30, 2022.</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June 30, 2022 that has materially affected, or is reasonably likely to materially affect, our internal control over financial reporting.</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Inherent Limitations on the Effectiveness of Controls</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6" w:name="page37"/>
    <w:bookmarkEnd w:id="36"/>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 We are currently not a party to any legal proceedings the outcome of which, if determined adversely to us, would individually or in the aggregate have a material adverse effect on our business, financial condition, and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i w:val="1"/>
          <w:iCs w:val="1"/>
          <w:color w:val="auto"/>
        </w:rPr>
        <w:t>You should consider carefully the following information about the risks described below, together with the other information contained in this Quarterly Report on Form 10-Q and in our other public filings, in evaluating our business. If any of the following risks actually occurs, our business, financial condition, results of operations, and future growth prospects would likely be materially and adversely affected. In these circumstances, the market price of our common stock would likely decline.</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Summary Risk Factors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business is subject to numerous risks and uncertainties that you should consider before investing in our company, as more fully described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principal factors and uncertainties that make investing in our company risky include, among others: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Related to Our Business</w:t>
      </w:r>
    </w:p>
    <w:p>
      <w:pPr>
        <w:spacing w:after="0" w:line="175" w:lineRule="exact"/>
        <w:rPr>
          <w:sz w:val="20"/>
          <w:szCs w:val="20"/>
          <w:color w:val="auto"/>
        </w:rPr>
      </w:pPr>
    </w:p>
    <w:p>
      <w:pPr>
        <w:ind w:right="40" w:firstLine="332"/>
        <w:spacing w:after="0" w:line="277" w:lineRule="auto"/>
        <w:tabs>
          <w:tab w:leader="none" w:pos="643"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a development stage company that has incurred net losses in every period to date, has not yet commercialized any products, and expects to continue to incur significant losses as we develop our business.</w:t>
      </w:r>
    </w:p>
    <w:p>
      <w:pPr>
        <w:spacing w:after="0" w:line="116" w:lineRule="exact"/>
        <w:rPr>
          <w:rFonts w:ascii="Arial" w:cs="Arial" w:eastAsia="Arial" w:hAnsi="Arial"/>
          <w:sz w:val="18"/>
          <w:szCs w:val="18"/>
          <w:color w:val="auto"/>
        </w:rPr>
      </w:pPr>
    </w:p>
    <w:p>
      <w:pPr>
        <w:ind w:right="240" w:firstLine="332"/>
        <w:spacing w:after="0" w:line="308" w:lineRule="auto"/>
        <w:tabs>
          <w:tab w:leader="none" w:pos="643"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business is entirely dependent on the successful development and commercialization of our proteomics platform (the “Nautilus platform”), which remains in the development stage and could be subject to delays, technical challenges and market acceptance challenges.</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not compete successfully with our initial or future products in the highly competitive life sciences technology market.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dependent upon third parties for certain aspects of the development and commercialization of the Nautilus platform.</w:t>
      </w:r>
    </w:p>
    <w:p>
      <w:pPr>
        <w:spacing w:after="0" w:line="171" w:lineRule="exact"/>
        <w:rPr>
          <w:rFonts w:ascii="Arial" w:cs="Arial" w:eastAsia="Arial" w:hAnsi="Arial"/>
          <w:sz w:val="18"/>
          <w:szCs w:val="18"/>
          <w:color w:val="auto"/>
        </w:rPr>
      </w:pPr>
    </w:p>
    <w:p>
      <w:pPr>
        <w:ind w:right="160" w:firstLine="332"/>
        <w:spacing w:after="0" w:line="277" w:lineRule="auto"/>
        <w:tabs>
          <w:tab w:leader="none" w:pos="643"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business depends significantly on research and development spending by pharmaceutical companies as well as by academic institutions and other research institutions and any reduction in spending could limit demand for our products.</w:t>
      </w:r>
    </w:p>
    <w:p>
      <w:pPr>
        <w:spacing w:after="0" w:line="116" w:lineRule="exact"/>
        <w:rPr>
          <w:rFonts w:ascii="Arial" w:cs="Arial" w:eastAsia="Arial" w:hAnsi="Arial"/>
          <w:sz w:val="18"/>
          <w:szCs w:val="18"/>
          <w:color w:val="auto"/>
        </w:rPr>
      </w:pPr>
    </w:p>
    <w:p>
      <w:pPr>
        <w:ind w:right="860" w:firstLine="332"/>
        <w:spacing w:after="0" w:line="277" w:lineRule="auto"/>
        <w:tabs>
          <w:tab w:leader="none" w:pos="643"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not be able to launch our Nautilus platform successfully and even if it is successful, we may experience material delays in our commercialization program relative to current expectations.</w:t>
      </w:r>
    </w:p>
    <w:p>
      <w:pPr>
        <w:spacing w:after="0" w:line="116" w:lineRule="exact"/>
        <w:rPr>
          <w:rFonts w:ascii="Arial" w:cs="Arial" w:eastAsia="Arial" w:hAnsi="Arial"/>
          <w:sz w:val="18"/>
          <w:szCs w:val="18"/>
          <w:color w:val="auto"/>
        </w:rPr>
      </w:pPr>
    </w:p>
    <w:p>
      <w:pPr>
        <w:ind w:right="260" w:firstLine="332"/>
        <w:spacing w:after="0" w:line="277" w:lineRule="auto"/>
        <w:tabs>
          <w:tab w:leader="none" w:pos="643"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operating results may fluctuate significantly in the future, which makes our future operating results difficult to predict and could cause our operating results to fall below expectations or our guidance.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need to raise additional capital to fund our development and commercialization plans.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75" w:lineRule="exact"/>
        <w:rPr>
          <w:sz w:val="20"/>
          <w:szCs w:val="20"/>
          <w:color w:val="auto"/>
        </w:rPr>
      </w:pPr>
    </w:p>
    <w:p>
      <w:pPr>
        <w:ind w:right="480" w:firstLine="332"/>
        <w:spacing w:after="0" w:line="342" w:lineRule="auto"/>
        <w:tabs>
          <w:tab w:leader="none" w:pos="643"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may be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7" w:name="page38"/>
    <w:bookmarkEnd w:id="37"/>
    <w:p>
      <w:pPr>
        <w:spacing w:after="0" w:line="144" w:lineRule="exact"/>
        <w:rPr>
          <w:sz w:val="20"/>
          <w:szCs w:val="20"/>
          <w:color w:val="auto"/>
        </w:rPr>
      </w:pPr>
    </w:p>
    <w:p>
      <w:pPr>
        <w:ind w:left="620" w:hanging="328"/>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and proprietary rights throughout the world.</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Litigation</w:t>
      </w:r>
    </w:p>
    <w:p>
      <w:pPr>
        <w:spacing w:after="0" w:line="175" w:lineRule="exact"/>
        <w:rPr>
          <w:sz w:val="20"/>
          <w:szCs w:val="20"/>
          <w:color w:val="auto"/>
        </w:rPr>
      </w:pPr>
    </w:p>
    <w:p>
      <w:pPr>
        <w:ind w:left="-40" w:right="40" w:firstLine="332"/>
        <w:spacing w:after="0" w:line="277" w:lineRule="auto"/>
        <w:tabs>
          <w:tab w:leader="none" w:pos="603"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become involved in litigation to enforce or defend our intellectual property rights, or to defend ourselves from claims that we infringe the intellectual property rights of others.</w:t>
      </w:r>
    </w:p>
    <w:p>
      <w:pPr>
        <w:spacing w:after="0" w:line="116" w:lineRule="exact"/>
        <w:rPr>
          <w:rFonts w:ascii="Arial" w:cs="Arial" w:eastAsia="Arial" w:hAnsi="Arial"/>
          <w:sz w:val="18"/>
          <w:szCs w:val="18"/>
          <w:color w:val="auto"/>
        </w:rPr>
      </w:pPr>
    </w:p>
    <w:p>
      <w:pPr>
        <w:ind w:left="620" w:hanging="328"/>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face liability and/or negative publicity for any unknown defects or errors in our products.</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Regulatory and Legal Compliance Matters</w:t>
      </w:r>
    </w:p>
    <w:p>
      <w:pPr>
        <w:spacing w:after="0" w:line="175" w:lineRule="exact"/>
        <w:rPr>
          <w:sz w:val="20"/>
          <w:szCs w:val="20"/>
          <w:color w:val="auto"/>
        </w:rPr>
      </w:pPr>
    </w:p>
    <w:p>
      <w:pPr>
        <w:ind w:left="620" w:hanging="32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products may, in the future, be subject to regulation by the FDA or other regulatory authorities.</w:t>
      </w:r>
    </w:p>
    <w:p>
      <w:pPr>
        <w:spacing w:after="0" w:line="171" w:lineRule="exact"/>
        <w:rPr>
          <w:rFonts w:ascii="Arial" w:cs="Arial" w:eastAsia="Arial" w:hAnsi="Arial"/>
          <w:sz w:val="18"/>
          <w:szCs w:val="18"/>
          <w:color w:val="auto"/>
        </w:rPr>
      </w:pPr>
    </w:p>
    <w:p>
      <w:pPr>
        <w:ind w:left="-40" w:firstLine="332"/>
        <w:spacing w:after="0" w:line="277" w:lineRule="auto"/>
        <w:tabs>
          <w:tab w:leader="none" w:pos="603"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are currently subject to, and may in the future become subject to additional, U.S. federal and state laws and regulations, as well as the laws and regulations of other countries, relating to how we collect, store and process personal information.</w:t>
      </w:r>
    </w:p>
    <w:p>
      <w:pPr>
        <w:spacing w:after="0" w:line="116" w:lineRule="exact"/>
        <w:rPr>
          <w:rFonts w:ascii="Arial" w:cs="Arial" w:eastAsia="Arial" w:hAnsi="Arial"/>
          <w:sz w:val="18"/>
          <w:szCs w:val="18"/>
          <w:color w:val="auto"/>
        </w:rPr>
      </w:pPr>
    </w:p>
    <w:p>
      <w:pPr>
        <w:ind w:left="-40" w:right="660" w:firstLine="332"/>
        <w:spacing w:after="0" w:line="277" w:lineRule="auto"/>
        <w:tabs>
          <w:tab w:leader="none" w:pos="603"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Future expansion of our development and commercialization activities outside of the United States, may subject us to an increased risk of inadvertently conducting activities in a manner that violates the U.S. Foreign Corrupt Practices Act and similar laws.</w:t>
      </w:r>
    </w:p>
    <w:p>
      <w:pPr>
        <w:spacing w:after="0" w:line="116" w:lineRule="exact"/>
        <w:rPr>
          <w:rFonts w:ascii="Arial" w:cs="Arial" w:eastAsia="Arial" w:hAnsi="Arial"/>
          <w:sz w:val="18"/>
          <w:szCs w:val="18"/>
          <w:color w:val="auto"/>
        </w:rPr>
      </w:pPr>
    </w:p>
    <w:p>
      <w:pPr>
        <w:ind w:left="-40" w:right="240" w:firstLine="332"/>
        <w:spacing w:after="0" w:line="277" w:lineRule="auto"/>
        <w:tabs>
          <w:tab w:leader="none" w:pos="603"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Environmental and health safety laws, including any failure to comply with such laws, may result in liabilities, expenses and restrictions on our operations.</w:t>
      </w:r>
    </w:p>
    <w:p>
      <w:pPr>
        <w:spacing w:after="0" w:line="116" w:lineRule="exact"/>
        <w:rPr>
          <w:rFonts w:ascii="Arial" w:cs="Arial" w:eastAsia="Arial" w:hAnsi="Arial"/>
          <w:sz w:val="18"/>
          <w:szCs w:val="18"/>
          <w:color w:val="auto"/>
        </w:rPr>
      </w:pPr>
    </w:p>
    <w:p>
      <w:pPr>
        <w:ind w:left="-40" w:right="80" w:firstLine="332"/>
        <w:spacing w:after="0" w:line="277" w:lineRule="auto"/>
        <w:tabs>
          <w:tab w:leader="none" w:pos="603"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employees, independent contractors, consultants, commercial partners, distributors and vendors may engage in misconduct or other improper activities, including noncompliance with regulatory standards and requirements.</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our Operations</w:t>
      </w:r>
    </w:p>
    <w:p>
      <w:pPr>
        <w:spacing w:after="0" w:line="175" w:lineRule="exact"/>
        <w:rPr>
          <w:sz w:val="20"/>
          <w:szCs w:val="20"/>
          <w:color w:val="auto"/>
        </w:rPr>
      </w:pPr>
    </w:p>
    <w:p>
      <w:pPr>
        <w:ind w:left="620" w:hanging="32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experience a significant disruption in our information technology systems or breaches of data security.</w:t>
      </w:r>
    </w:p>
    <w:p>
      <w:pPr>
        <w:spacing w:after="0" w:line="171" w:lineRule="exact"/>
        <w:rPr>
          <w:rFonts w:ascii="Arial" w:cs="Arial" w:eastAsia="Arial" w:hAnsi="Arial"/>
          <w:sz w:val="18"/>
          <w:szCs w:val="18"/>
          <w:color w:val="auto"/>
        </w:rPr>
      </w:pPr>
    </w:p>
    <w:p>
      <w:pPr>
        <w:ind w:left="-40" w:right="420" w:firstLine="332"/>
        <w:spacing w:after="0" w:line="277" w:lineRule="auto"/>
        <w:tabs>
          <w:tab w:leader="none" w:pos="603"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are highly dependent on our key personnel, and if we are unable to recruit and retain key executives and scientists, we may not be able to achieve our goals.</w:t>
      </w:r>
    </w:p>
    <w:p>
      <w:pPr>
        <w:spacing w:after="0" w:line="116" w:lineRule="exact"/>
        <w:rPr>
          <w:rFonts w:ascii="Arial" w:cs="Arial" w:eastAsia="Arial" w:hAnsi="Arial"/>
          <w:sz w:val="18"/>
          <w:szCs w:val="18"/>
          <w:color w:val="auto"/>
        </w:rPr>
      </w:pPr>
    </w:p>
    <w:p>
      <w:pPr>
        <w:ind w:left="-40" w:right="380" w:firstLine="332"/>
        <w:spacing w:after="0" w:line="277" w:lineRule="auto"/>
        <w:tabs>
          <w:tab w:leader="none" w:pos="603"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operations and financial results could be adversely impacted by global and national events, such as the COVID-19 pandemic, conflicts in Eastern Europe, and general economic downturns.</w:t>
      </w:r>
    </w:p>
    <w:p>
      <w:pPr>
        <w:spacing w:after="0" w:line="116" w:lineRule="exact"/>
        <w:rPr>
          <w:rFonts w:ascii="Arial" w:cs="Arial" w:eastAsia="Arial" w:hAnsi="Arial"/>
          <w:sz w:val="18"/>
          <w:szCs w:val="18"/>
          <w:color w:val="auto"/>
        </w:rPr>
      </w:pPr>
    </w:p>
    <w:p>
      <w:pPr>
        <w:ind w:left="620" w:hanging="32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Global supply chain interruptions may negatively impact the development and commercialization of our products.</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Our Common Stock</w:t>
      </w:r>
    </w:p>
    <w:p>
      <w:pPr>
        <w:spacing w:after="0" w:line="175" w:lineRule="exact"/>
        <w:rPr>
          <w:sz w:val="20"/>
          <w:szCs w:val="20"/>
          <w:color w:val="auto"/>
        </w:rPr>
      </w:pPr>
    </w:p>
    <w:p>
      <w:pPr>
        <w:ind w:left="-40" w:right="40" w:firstLine="332"/>
        <w:spacing w:after="0" w:line="277" w:lineRule="auto"/>
        <w:tabs>
          <w:tab w:leader="none" w:pos="603"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price of and market for our Common Stock may be volatile, which could result in substantial losses for investors and/or an inability to readily trade in our Common Stock.</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 Risk Factors</w:t>
      </w:r>
    </w:p>
    <w:p>
      <w:pPr>
        <w:spacing w:after="0" w:line="175" w:lineRule="exact"/>
        <w:rPr>
          <w:sz w:val="20"/>
          <w:szCs w:val="20"/>
          <w:color w:val="auto"/>
        </w:rPr>
      </w:pPr>
    </w:p>
    <w:p>
      <w:pPr>
        <w:ind w:left="620" w:hanging="328"/>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will incur significant increased costs and management resources as a result of operating as a public company.</w:t>
      </w:r>
    </w:p>
    <w:p>
      <w:pPr>
        <w:spacing w:after="0" w:line="171" w:lineRule="exact"/>
        <w:rPr>
          <w:rFonts w:ascii="Arial" w:cs="Arial" w:eastAsia="Arial" w:hAnsi="Arial"/>
          <w:sz w:val="18"/>
          <w:szCs w:val="18"/>
          <w:color w:val="auto"/>
        </w:rPr>
      </w:pPr>
    </w:p>
    <w:p>
      <w:pPr>
        <w:ind w:left="-40" w:right="20" w:firstLine="332"/>
        <w:spacing w:after="0" w:line="277" w:lineRule="auto"/>
        <w:tabs>
          <w:tab w:leader="none" w:pos="603"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Reports published by analysts, including projections in those reports that differ from our actual results, could adversely affect the price and trading volume of our common shares.</w:t>
      </w:r>
    </w:p>
    <w:p>
      <w:pPr>
        <w:spacing w:after="0" w:line="116" w:lineRule="exact"/>
        <w:rPr>
          <w:rFonts w:ascii="Arial" w:cs="Arial" w:eastAsia="Arial" w:hAnsi="Arial"/>
          <w:sz w:val="18"/>
          <w:szCs w:val="18"/>
          <w:color w:val="auto"/>
        </w:rPr>
      </w:pPr>
    </w:p>
    <w:p>
      <w:pPr>
        <w:ind w:left="-40" w:right="160" w:firstLine="332"/>
        <w:spacing w:after="0" w:line="277" w:lineRule="auto"/>
        <w:tabs>
          <w:tab w:leader="none" w:pos="603"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timely and accurately report our financial results and projections as a public company may be impacted by the effectiveness of our internal controls, and our estimates and judgments relating to critical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173355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440" w:right="359" w:bottom="1440" w:gutter="0" w:footer="0" w:header="0"/>
        </w:sectPr>
      </w:pPr>
    </w:p>
    <w:bookmarkStart w:id="38" w:name="page39"/>
    <w:bookmarkEnd w:id="38"/>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Related to Our Business</w:t>
      </w:r>
    </w:p>
    <w:p>
      <w:pPr>
        <w:spacing w:after="0" w:line="17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b w:val="1"/>
          <w:bCs w:val="1"/>
          <w:i w:val="1"/>
          <w:iCs w:val="1"/>
          <w:color w:val="auto"/>
        </w:rPr>
        <w:t>We are a development stage company that has incurred net losses in every period to date, has not yet commercialized any products, and expects to continue to incur significant losses as we develop our business. We may never achieve profitability.</w:t>
      </w:r>
    </w:p>
    <w:p>
      <w:pPr>
        <w:spacing w:after="0" w:line="116"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We are a development stage company that has incurred net losses in each quarterly and annual period since inception and that has not yet generated any revenue. We expect to incur increasing costs as we continue to devote substantially all of our resources towards the development and anticipated future commercialization of our Nautilus platform, which includes our end-to-end solution comprised of instruments, consumables, and software analysis. We cannot be certain if we will ever generate revenue or if or when we will produce sufficient revenue from operations to support our costs. Even if profitability is achieved, we may not be able to sustain profitability. We incurred net losses of $14.7 million and $10.7 million during the three and six months ended June 30, 2022 and 2021, respectively. As of June 30, 2022, we had an accumulated deficit of $111.1 million. These losses and accumulated deficit were primarily due to the substantial investments we made in the scientific and technological development of our Nautilus platform. We expect to incur substantial losses and negative cash flows for the foreseeable future. In addition, as a public company, we will incur significant legal, accounting, and other expenses that we did not incur as a private company. These increased expenses will make it harder for us to achieve and sustain future profitability. We may incur significant losses in the future for a number of reasons, many of which are beyond our control, including the other risks described in this Quarterly Report on Form 10-Q.</w:t>
      </w:r>
    </w:p>
    <w:p>
      <w:pPr>
        <w:spacing w:after="0" w:line="12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b w:val="1"/>
          <w:bCs w:val="1"/>
          <w:i w:val="1"/>
          <w:iCs w:val="1"/>
          <w:color w:val="auto"/>
        </w:rPr>
        <w:t>Our business is entirely dependent on the success of our Nautilus platform, which remains in the development stage and subject to scientific and technical validation. If we are unable to develop and commercialize our Nautilus platform successfully and in a manner that provides currently anticipated functionality and levels of performance, we may never be able to recognize any revenue, and our business, operating results, and financial condition will suffer.</w:t>
      </w:r>
    </w:p>
    <w:p>
      <w:pPr>
        <w:spacing w:after="0" w:line="133"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Our future success is entirely dependent on our ability to successfully develop and commercialize our Nautilus platform, which is based on innovative yet complex and unproven technologies and which is anticipated to be used in demanding scientific research that requires substantial levels of accuracy and precision. We are investing substantially all of our management efforts and financial resources in the development and commercialization of our Nautilus platform. Additionally, in developing our platform technology, we may rely on co-development partners to assist us in the development of certain component technologies in our platform. We have experienced difficulties with some of these partners successfully delivering these component technologies on time and to our specifications, and these partners may not be successful in delivering these component technologies on time, to our specifications, or at all, in the future, which could have an adverse impact on our ability to meet our development timelines, and/or our products level of currently anticipated functionality and performance. While our goal is to leverage our Nautilus platform to comprehensively measure the human proteome, the human proteome is dynamic and far more complex and diverse in structure, composition and number of variants than either the genome or transcriptome. If we cannot successfully complete platform development, if we are unable to achieve our goals for mapping the proteome, if our products fail to deliver currently anticipated functionality and levels of performance, if our products are found by a court of law to infringe the intellectual property of another party, or if we are unable to obtain broad scientific and market acceptance of our products and technologies, we may never recognize material revenue and may be unable to continue our operations.</w:t>
      </w:r>
    </w:p>
    <w:p>
      <w:pPr>
        <w:spacing w:after="0" w:line="132"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b w:val="1"/>
          <w:bCs w:val="1"/>
          <w:i w:val="1"/>
          <w:iCs w:val="1"/>
          <w:color w:val="auto"/>
        </w:rPr>
        <w:t>We have not yet commercially launched our Nautilus platform. We may not be able to launch our Nautilus platform successfully and even if it is successful, we may experience material delays in our commercialization program relative to current expectations.</w:t>
      </w:r>
    </w:p>
    <w:p>
      <w:pPr>
        <w:spacing w:after="0" w:line="92"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We anticipate commercializing our Nautilus platform in three phases involving first collaboration with biopharmaceutical companies and key opinion leaders to validate the performance and utility of our product, during which we do not expect to recognize significant revenue, if any; secondly an early access limited release phase in which we expect to recognize limited revenue; and finally a broader commercial launch phase. We are currently in the collaboration phase during which we have entered into and are seeking to enter into collaborations with a small number of research customers, including with biopharmaceutical companies and key opinion leaders in proteomics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9" w:name="page40"/>
    <w:bookmarkEnd w:id="39"/>
    <w:p>
      <w:pPr>
        <w:spacing w:after="0" w:line="14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whose assessment and validation of our products can significantly influence other researchers in their respective markets and/or fields. We do not anticipate that these activities will result in any material revenue. During the second, early access phase, we expect to work closely with early access customers to demonstrate a unique value proposition for our Nautilus platform. During this phase, we plan to provide early access program partners with broad-scale analysis and profiling of samples analyzed in our facility and shared via a cloud platform. We anticipate meaningful early access engagements and associated revenue to begin at the start of 2024. We expect this second phase to lead into the third phase of broad commercialization and launch of the proteome analysis platform in mid-2024.</w:t>
      </w:r>
    </w:p>
    <w:p>
      <w:pPr>
        <w:spacing w:after="0" w:line="138"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Achieving the scientific and commercial objectives identified above within currently anticipated timelines will require substantial investments in our technologies and in the underlying science. Scientific and technological development of the nature being undertaken by us is extraordinarily complex, and there can be no assurances that any of these phases of commercial development will be successful or that they will be completed within the timelines currently anticipated. Given the scientific and technical complexity of our products, we could experience material delays in product development and commercial launch. If our research and product development efforts do not result in commercially viable products within the anticipated timelines, our business, operating results, and financial condition will be adversely affected.</w:t>
      </w:r>
    </w:p>
    <w:p>
      <w:pPr>
        <w:spacing w:after="0" w:line="124"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b w:val="1"/>
          <w:bCs w:val="1"/>
          <w:i w:val="1"/>
          <w:iCs w:val="1"/>
          <w:color w:val="auto"/>
        </w:rPr>
        <w:t>The commercialization of our products will require us to establish relationships and successfully collaborate with leading life science companies and research institutions, initially to test and validate our products and subsequently as we seek to expand the markets for our products. We may be unable to establish sufficient collaborations of this nature, and such collaborations could result in agreements that limit or otherwise impair our flexibility to pursue other strategic opportunities.</w:t>
      </w:r>
    </w:p>
    <w:p>
      <w:pPr>
        <w:spacing w:after="0" w:line="133" w:lineRule="exact"/>
        <w:rPr>
          <w:sz w:val="20"/>
          <w:szCs w:val="20"/>
          <w:color w:val="auto"/>
        </w:rPr>
      </w:pPr>
    </w:p>
    <w:p>
      <w:pPr>
        <w:ind w:right="240" w:firstLine="324"/>
        <w:spacing w:after="0" w:line="275" w:lineRule="auto"/>
        <w:rPr>
          <w:sz w:val="20"/>
          <w:szCs w:val="20"/>
          <w:color w:val="auto"/>
        </w:rPr>
      </w:pPr>
      <w:r>
        <w:rPr>
          <w:rFonts w:ascii="Arial" w:cs="Arial" w:eastAsia="Arial" w:hAnsi="Arial"/>
          <w:sz w:val="17"/>
          <w:szCs w:val="17"/>
          <w:color w:val="auto"/>
        </w:rPr>
        <w:t>As noted above, establishing collaborations and partnerships with large pharmaceutical and biotechnology companies and with major research institutions is a material element of our commercialization strategy. While early collaborations are expected to focus on the assessment and validation of our Nautilus platform with a focus in part on publication of results in peer-reviewed scientific journals, we also intend to pursue additional, potentially revenue-generating collaborations in areas of biological interest. Among other examples, we may pursue collaborations relating to the development and commercialization of therapeutic product candidates targeting proteins identified by our Nautilus platform.</w:t>
      </w:r>
    </w:p>
    <w:p>
      <w:pPr>
        <w:spacing w:after="0" w:line="122"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There can be no assurance that we will be successful in developing or maintaining collaborations or that, if established, these collaborations will achieve the desired objectives. Establishing collaborations is difficult and time-consuming. Discussions may not lead to collaborations on favorable terms, if at all, and particularly where we are negotiating against major pharmaceutical companies, we may have relatively less leverage in negotiating favorable terms. To the extent we agree to work exclusively with a party in a given field, our opportunities to collaborate with others in that field would be limited. Certain parties may seek to partner with other companies in addition to us in connection with a project. This, in turn, may limit the commercial potential of any products that are the subject of such collaborations. Potential collaborators may elect not to work with us based upon their assessment of our financial, regulatory, commercial or intellectual property position.</w:t>
      </w:r>
    </w:p>
    <w:p>
      <w:pPr>
        <w:spacing w:after="0" w:line="123"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Even if we are successful in entering into collaborations, the success of such collaborations will depend heavily on the efforts and activities of our collaborators.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Scientific collaborations of the nature we propose to pursue are subject to numerous risks, including that:</w:t>
      </w:r>
    </w:p>
    <w:p>
      <w:pPr>
        <w:spacing w:after="0" w:line="17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collaborators may have significant discretion in determining the efforts and resources that they will apply to a specific project;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products or may elect not to continue or renew development or</w:t>
      </w:r>
    </w:p>
    <w:p>
      <w:pPr>
        <w:spacing w:after="0" w:line="23" w:lineRule="exact"/>
        <w:rPr>
          <w:rFonts w:ascii="Arial" w:cs="Arial" w:eastAsia="Arial" w:hAnsi="Arial"/>
          <w:sz w:val="18"/>
          <w:szCs w:val="18"/>
          <w:color w:val="auto"/>
        </w:rPr>
      </w:pPr>
    </w:p>
    <w:p>
      <w:pPr>
        <w:ind w:right="380"/>
        <w:spacing w:after="0" w:line="260" w:lineRule="auto"/>
        <w:rPr>
          <w:rFonts w:ascii="Arial" w:cs="Arial" w:eastAsia="Arial" w:hAnsi="Arial"/>
          <w:sz w:val="18"/>
          <w:szCs w:val="18"/>
          <w:color w:val="auto"/>
        </w:rPr>
      </w:pPr>
      <w:r>
        <w:rPr>
          <w:rFonts w:ascii="Arial" w:cs="Arial" w:eastAsia="Arial" w:hAnsi="Arial"/>
          <w:sz w:val="18"/>
          <w:szCs w:val="18"/>
          <w:color w:val="auto"/>
        </w:rPr>
        <w:t>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0" w:name="page41"/>
    <w:bookmarkEnd w:id="40"/>
    <w:p>
      <w:pPr>
        <w:spacing w:after="0" w:line="144" w:lineRule="exact"/>
        <w:rPr>
          <w:sz w:val="20"/>
          <w:szCs w:val="20"/>
          <w:color w:val="auto"/>
        </w:rPr>
      </w:pPr>
    </w:p>
    <w:p>
      <w:pPr>
        <w:ind w:right="100" w:firstLine="332"/>
        <w:spacing w:after="0" w:line="277" w:lineRule="auto"/>
        <w:tabs>
          <w:tab w:leader="none" w:pos="643"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own intellectual property covering products that result from our collaboration with them, and in such cases, we would not have the right to develop or commercialize such intellectual property;</w:t>
      </w:r>
    </w:p>
    <w:p>
      <w:pPr>
        <w:spacing w:after="0" w:line="116" w:lineRule="exact"/>
        <w:rPr>
          <w:rFonts w:ascii="Arial" w:cs="Arial" w:eastAsia="Arial" w:hAnsi="Arial"/>
          <w:sz w:val="18"/>
          <w:szCs w:val="18"/>
          <w:color w:val="auto"/>
        </w:rPr>
      </w:pPr>
    </w:p>
    <w:p>
      <w:pPr>
        <w:ind w:right="240" w:firstLine="332"/>
        <w:spacing w:after="0" w:line="277" w:lineRule="auto"/>
        <w:tabs>
          <w:tab w:leader="none" w:pos="643"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co-own intellectual property covering products that result from our collaboration with them, and in such cases, we would not have the right to exclude others from developing or commercializing such intellectual property;</w:t>
      </w:r>
    </w:p>
    <w:p>
      <w:pPr>
        <w:spacing w:after="0" w:line="116" w:lineRule="exact"/>
        <w:rPr>
          <w:rFonts w:ascii="Arial" w:cs="Arial" w:eastAsia="Arial" w:hAnsi="Arial"/>
          <w:sz w:val="18"/>
          <w:szCs w:val="18"/>
          <w:color w:val="auto"/>
        </w:rPr>
      </w:pPr>
    </w:p>
    <w:p>
      <w:pPr>
        <w:ind w:right="100" w:firstLine="332"/>
        <w:spacing w:after="0" w:line="277" w:lineRule="auto"/>
        <w:tabs>
          <w:tab w:leader="none" w:pos="643"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product candidates that are being developed under the collaboration with us;</w:t>
      </w:r>
    </w:p>
    <w:p>
      <w:pPr>
        <w:spacing w:after="0" w:line="116" w:lineRule="exact"/>
        <w:rPr>
          <w:rFonts w:ascii="Arial" w:cs="Arial" w:eastAsia="Arial" w:hAnsi="Arial"/>
          <w:sz w:val="18"/>
          <w:szCs w:val="18"/>
          <w:color w:val="auto"/>
        </w:rPr>
      </w:pPr>
    </w:p>
    <w:p>
      <w:pPr>
        <w:ind w:right="60" w:firstLine="332"/>
        <w:spacing w:after="0" w:line="277" w:lineRule="auto"/>
        <w:tabs>
          <w:tab w:leader="none" w:pos="643"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71" w:lineRule="exact"/>
        <w:rPr>
          <w:rFonts w:ascii="Arial" w:cs="Arial" w:eastAsia="Arial" w:hAnsi="Arial"/>
          <w:sz w:val="18"/>
          <w:szCs w:val="18"/>
          <w:color w:val="auto"/>
        </w:rPr>
      </w:pPr>
    </w:p>
    <w:p>
      <w:pPr>
        <w:ind w:right="60" w:firstLine="332"/>
        <w:spacing w:after="0" w:line="263" w:lineRule="auto"/>
        <w:tabs>
          <w:tab w:leader="none" w:pos="643"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29" w:lineRule="exact"/>
        <w:rPr>
          <w:rFonts w:ascii="Arial" w:cs="Arial" w:eastAsia="Arial" w:hAnsi="Arial"/>
          <w:sz w:val="18"/>
          <w:szCs w:val="18"/>
          <w:color w:val="auto"/>
        </w:rPr>
      </w:pPr>
    </w:p>
    <w:p>
      <w:pPr>
        <w:ind w:right="580" w:firstLine="332"/>
        <w:spacing w:after="0" w:line="277" w:lineRule="auto"/>
        <w:tabs>
          <w:tab w:leader="none" w:pos="643"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disputes may arise between us and a collaborator that cause the delay or termination of the research, development, or commercialization of products or that result in costly litigation or arbitration that diverts management attention and resources;</w:t>
      </w:r>
    </w:p>
    <w:p>
      <w:pPr>
        <w:spacing w:after="0" w:line="116" w:lineRule="exact"/>
        <w:rPr>
          <w:rFonts w:ascii="Arial" w:cs="Arial" w:eastAsia="Arial" w:hAnsi="Arial"/>
          <w:sz w:val="18"/>
          <w:szCs w:val="18"/>
          <w:color w:val="auto"/>
        </w:rPr>
      </w:pPr>
    </w:p>
    <w:p>
      <w:pPr>
        <w:ind w:right="140" w:firstLine="332"/>
        <w:spacing w:after="0" w:line="277" w:lineRule="auto"/>
        <w:tabs>
          <w:tab w:leader="none" w:pos="643"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in addition to reducing our revenue, may reduce exposure to research and clinical trials that facilitate the collection and incorporation of new information into our platform; and</w:t>
      </w:r>
    </w:p>
    <w:p>
      <w:pPr>
        <w:spacing w:after="0" w:line="116" w:lineRule="exact"/>
        <w:rPr>
          <w:rFonts w:ascii="Arial" w:cs="Arial" w:eastAsia="Arial" w:hAnsi="Arial"/>
          <w:sz w:val="18"/>
          <w:szCs w:val="18"/>
          <w:color w:val="auto"/>
        </w:rPr>
      </w:pPr>
    </w:p>
    <w:p>
      <w:pPr>
        <w:ind w:right="380" w:firstLine="332"/>
        <w:spacing w:after="0" w:line="277" w:lineRule="auto"/>
        <w:tabs>
          <w:tab w:leader="none" w:pos="643"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116"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In addition, before obtaining marketing approval from regulatory authorities for the sale of product candidates subject to future collaborations, our collaborators must conduct extensive clinical trials to demonstrate the safety and efficacy of the product candidates. If clinical trials of product candidates resulting from collaborations are prolonged or delayed, collaborators may be unable to obtain required regulatory approvals and therefore be unable to commercialize product candidates on a timely basis or at all, which may have a material impact on the revenue recognized from such collaborations.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Even if we are able to complete development of our Nautilus platform, we may not achieve or maintain significant commercial market acceptance.</w:t>
      </w:r>
    </w:p>
    <w:p>
      <w:pPr>
        <w:spacing w:after="0" w:line="206" w:lineRule="exact"/>
        <w:rPr>
          <w:sz w:val="20"/>
          <w:szCs w:val="20"/>
          <w:color w:val="auto"/>
        </w:rPr>
      </w:pPr>
    </w:p>
    <w:p>
      <w:pPr>
        <w:ind w:right="200" w:firstLine="324"/>
        <w:spacing w:after="0" w:line="271" w:lineRule="auto"/>
        <w:rPr>
          <w:sz w:val="20"/>
          <w:szCs w:val="20"/>
          <w:color w:val="auto"/>
        </w:rPr>
      </w:pPr>
      <w:r>
        <w:rPr>
          <w:rFonts w:ascii="Arial" w:cs="Arial" w:eastAsia="Arial" w:hAnsi="Arial"/>
          <w:sz w:val="17"/>
          <w:szCs w:val="17"/>
          <w:color w:val="auto"/>
        </w:rPr>
        <w:t>Even if we are able to complete development of our Nautilus platform, the platform will be subject to market forces and adoption curves common to new technologies. The market for novel proteomics technologies and products like those being developed by us is in the early stages of development. While these technologies present the potential to displace legacy products, changing long-standing scientific workflows with new instruments requiring substantial capital expenditures will require us to invest substantial financial and management resources to educate potential customers on the benefits of our Nautilus platform relative to existing technologies and to validate our Nautilus platform’s ability to meet customer requirements. In that regard, we anticipate that our initial market focus will be pharmaceutical development and associated research, which are characterized by demanding and exacting requirements for product performance and accuracy. If widespread adoption of our Nautilus platform takes longer than anticipated or does not occur, our business will be materially and adversely affected.</w:t>
      </w:r>
    </w:p>
    <w:p>
      <w:pPr>
        <w:spacing w:after="0" w:line="12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More specifically, the successful introduction of new technologies in life science markets requires substantial engagement with the scientific community in order to encourage community acceptance of the utility, performance, and cost of the technology relative to its benefits in the applicable field or fields of research. The life sciences scientific community is often led by a small number of early adopters and key opinion leaders who significantly influence the larger community through publications in peer-reviewed journals. In these journal publications, the researchers describe not only their discoveries but also the methods and typically the products used to fuel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1" w:name="page42"/>
    <w:bookmarkEnd w:id="41"/>
    <w:p>
      <w:pPr>
        <w:spacing w:after="0" w:line="14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discoveries. We expect that references to the use of our Nautilus platform in peer-reviewed journal publications will be critical to our ability to obtain widespread acceptance within the scientific community. In addition, continuing collaborative relationships with key opinion leaders will be vital to maintaining any market acceptance we achieve. If too few researchers describe the use of our products, too many researchers shift to a competing product and publish research outlining their use of that product, or too many researchers negatively describe the use of our products in publications, customers may be less willing to engage with us concerning our products, which could materially delay our commercialization plan and/or substantially extend our sales cycles. Moreover, these customers may ultimately be less willing to purchase our products, which would adversely affect our business and future revenue.</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Specific, material factors that will influence our ability to achieve market acceptance include the following:</w:t>
      </w:r>
    </w:p>
    <w:p>
      <w:pPr>
        <w:spacing w:after="0" w:line="171"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of our marketing and engagement initiatives to increase awareness of the capabilities of our Nautilus platform;</w:t>
      </w:r>
    </w:p>
    <w:p>
      <w:pPr>
        <w:spacing w:after="0" w:line="171" w:lineRule="exact"/>
        <w:rPr>
          <w:rFonts w:ascii="Arial" w:cs="Arial" w:eastAsia="Arial" w:hAnsi="Arial"/>
          <w:sz w:val="18"/>
          <w:szCs w:val="18"/>
          <w:color w:val="auto"/>
        </w:rPr>
      </w:pPr>
    </w:p>
    <w:p>
      <w:pPr>
        <w:ind w:right="220" w:firstLine="332"/>
        <w:spacing w:after="0" w:line="277" w:lineRule="auto"/>
        <w:tabs>
          <w:tab w:leader="none" w:pos="64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of our Nautilus platform to demonstrate reliable performance in intended use applications, in particular, when the platform is used by customers in their own research;</w:t>
      </w:r>
    </w:p>
    <w:p>
      <w:pPr>
        <w:spacing w:after="0" w:line="116" w:lineRule="exact"/>
        <w:rPr>
          <w:rFonts w:ascii="Arial" w:cs="Arial" w:eastAsia="Arial" w:hAnsi="Arial"/>
          <w:sz w:val="18"/>
          <w:szCs w:val="18"/>
          <w:color w:val="auto"/>
        </w:rPr>
      </w:pPr>
    </w:p>
    <w:p>
      <w:pPr>
        <w:ind w:firstLine="332"/>
        <w:spacing w:after="0" w:line="277" w:lineRule="auto"/>
        <w:tabs>
          <w:tab w:leader="none" w:pos="643"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demonstrate that the functionality and performance of our Nautilus platform relative to alternative products and technologies justifies the substantial anticipated cost of the platform;</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willingness of prospective customers to adopt new products and workflows;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ease of use of our Nautilus platform and whether it reliably provides significant advantages over alternative products and technologies;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rate of adoption of our Nautilus platform by biopharmaceutical companies, laboratories, academic institutions and others;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develop new products, workflows, and solutions that meet customer requirements;</w:t>
      </w:r>
    </w:p>
    <w:p>
      <w:pPr>
        <w:spacing w:after="0" w:line="171" w:lineRule="exact"/>
        <w:rPr>
          <w:rFonts w:ascii="Arial" w:cs="Arial" w:eastAsia="Arial" w:hAnsi="Arial"/>
          <w:sz w:val="18"/>
          <w:szCs w:val="18"/>
          <w:color w:val="auto"/>
        </w:rPr>
      </w:pPr>
    </w:p>
    <w:p>
      <w:pPr>
        <w:ind w:right="200" w:firstLine="332"/>
        <w:spacing w:after="0" w:line="277" w:lineRule="auto"/>
        <w:tabs>
          <w:tab w:leader="none" w:pos="64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introduction or development and commercialization by competitors of new products or enhancements to existing products with functionality and/or performance similar to our Nautilus platform;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of our investments in product innovation and commercial growth.</w:t>
      </w:r>
    </w:p>
    <w:p>
      <w:pPr>
        <w:spacing w:after="0" w:line="171"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We cannot assure you that we will be successful in addressing any of these criteria or any additional criteria that might affect the market acceptance of our products. If we are unsuccessful in achieving and maintaining market acceptance of our Nautilus platform, our business, financial condition and results of operations would be adversely affected.</w:t>
      </w:r>
    </w:p>
    <w:p>
      <w:pPr>
        <w:spacing w:after="0" w:line="130"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b w:val="1"/>
          <w:bCs w:val="1"/>
          <w:i w:val="1"/>
          <w:iCs w:val="1"/>
          <w:color w:val="auto"/>
        </w:rPr>
        <w:t>We have no experience in manufacturing our products at commercial scale. If we are unable to establish manufacturing capacity by ourselves or with partners in a timely manner after completing development, commercialization of our Nautilus platform would be delayed, which would result in lost revenue and harm our business.</w:t>
      </w:r>
    </w:p>
    <w:p>
      <w:pPr>
        <w:spacing w:after="0" w:line="130"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order for us to commercialize our Nautilus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platform, including our proteome analysis system and related consumables. Among other factors, we will need to develop reliable supply chains for the various components in our platform and consumables to support large-scale commercial production. In connection with our Nautilus platform, we intend to utilize over 300 complex reagents and various antibodies in order to generate deep proteomic information at the speed and scale which we expect our Nautilus platform to perform. Such reagents and antibodies are expected to be more difficult to manufacture and more expensive to procure. There are no assurances that we will be able to build manufacturing or consumable production capacity internally or find one or more suitable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2" w:name="page43"/>
    <w:bookmarkEnd w:id="42"/>
    <w:p>
      <w:pPr>
        <w:spacing w:after="0" w:line="14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manufacturing or production partners, or both, to meet the volume and quality requirements necessary to be successful in the proteomics market. In addition, in connection with establishing third party relationships or sourcing component supplies, including with respect to reagents and antibodies, we may incur costs that are higher than currently expected and that may adversely affect our gross margins and operating results following commercialization. Assuming we complete development of our Nautilus platform, we may experience manufacturing and product quality issues as we increase the scale of our production. Any delay or inability in establishing or expanding our manufacturing capacity could diminish our ability to develop or sell our products, result in increased or unanticipated costs, result in lost revenue, and seriously harm our business, results of operations and financial condition.</w:t>
      </w:r>
    </w:p>
    <w:p>
      <w:pPr>
        <w:spacing w:after="0" w:line="110"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b w:val="1"/>
          <w:bCs w:val="1"/>
          <w:i w:val="1"/>
          <w:iCs w:val="1"/>
          <w:color w:val="auto"/>
        </w:rPr>
        <w:t>If we are unable to establish an effective commercial organization, including effective distribution channels and sales and marketing functions, we may not be successful in commercializing our Nautilus platform.</w:t>
      </w:r>
    </w:p>
    <w:p>
      <w:pPr>
        <w:spacing w:after="0" w:line="116"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are only beginning to establish an internal organization focused specifically on the commercialization of our Nautilus platform. Our initial hiring has focused on senior commercial leadership, and although this leadership has considerable industry experience, in order to achieve substantial revenue growth and profitability, we will be required to develop sales, marketing, distribution, customer service, and customer support capabilities. Staffing of these functions will frequently require individuals with the requisite technical and scientific expertise to establish and support sales of a sophisticated and complex platform for life sciences experimentation. We will be required to expend substantial financial resources to hire personnel and develop our commercial operations prior to commercial launch of our Nautilus platform. Accordingly, these initiatives will adversely affect our operating expenses prior to us having material off-setting revenue, if any.</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develop these functions successfully, we will face a number of additional risks, including:</w:t>
      </w:r>
    </w:p>
    <w:p>
      <w:pPr>
        <w:spacing w:after="0" w:line="171" w:lineRule="exact"/>
        <w:rPr>
          <w:sz w:val="20"/>
          <w:szCs w:val="20"/>
          <w:color w:val="auto"/>
        </w:rPr>
      </w:pPr>
    </w:p>
    <w:p>
      <w:pPr>
        <w:ind w:right="40" w:firstLine="332"/>
        <w:spacing w:after="0" w:line="263" w:lineRule="auto"/>
        <w:tabs>
          <w:tab w:leader="none" w:pos="643"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attract, retain, and manage the sales, marketing, customer service, and customer support force necessary to commercialize and gain market acceptance for our technology, with the additional challenge that many of these new hires will require specific scientific and technological expertise that may be more difficult to find;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time and cost of establishing a specialized sales, marketing and customer service and support force.</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addition to our internal organization, we may seek to enlist one or more third parties to assist with sales, distribution, and customer service and support globally or in certain regions of the world. In certain markets, we could seek to establish partnerships with larger market participants to provide access to their distribution channels and which could also involve scientific or technological collaboration. There is no guarantee, if we do seek to enter into any of these arrangements, that we will be successful in attracting desirable partners or that we will be able to enter into such arrangements on commercially favorable terms. If our commercialization efforts, or those of any third-party partners, are not successful, our Nautilus platform may not gain market acceptance, which could materially impact our business and results of operations.</w:t>
      </w:r>
    </w:p>
    <w:p>
      <w:pPr>
        <w:spacing w:after="0" w:line="124"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b w:val="1"/>
          <w:bCs w:val="1"/>
          <w:i w:val="1"/>
          <w:iCs w:val="1"/>
          <w:color w:val="auto"/>
        </w:rPr>
        <w:t>The size of the markets for our Nautilus platform may be smaller than estimated, and new market opportunities may not develop as quickly as we expect, or at all, limiting our ability to successfully sell our products.</w:t>
      </w:r>
    </w:p>
    <w:p>
      <w:pPr>
        <w:spacing w:after="0" w:line="116"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market for proteomics technologies and products is evolving, making it difficult to predict with any accuracy the size of the markets for our current and future products, including our Nautilus platform. Our estimates of the total addressable market for our current and future products, including with respect to the proteomics market, the diagnostic market, and the mass spectrometry market,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4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products and that researchers have sufficient samples and an unmet need for performing proteomics studies at scale across thousands of samples. In addition, sales of new products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are even more difficult to predict. Our product is an innovative new product, and while we draw comparisons between the evolution and growth of the genomics market, the proteomics market may develop more slowly or differently. In addition, our Nautilus platform 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w:t>
      </w:r>
    </w:p>
    <w:p>
      <w:pPr>
        <w:spacing w:after="0" w:line="114"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spacing w:after="0" w:line="103"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b w:val="1"/>
          <w:bCs w:val="1"/>
          <w:i w:val="1"/>
          <w:iCs w:val="1"/>
          <w:color w:val="auto"/>
        </w:rPr>
        <w:t>We are dependent on single source suppliers for some of the components and materials used in our Nautilus platform, and the loss of any of these suppliers could harm our business.</w:t>
      </w:r>
    </w:p>
    <w:p>
      <w:pPr>
        <w:spacing w:after="0" w:line="11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rely on single source suppliers for certain components and materials used in our Nautilus platform, including our click-reagent modified oligos, glass or silicon that is nano-fabricated into our biochips and high-speed stage used in the instrument. The loss of any of these single source suppliers would require us to expend significant time and effort to locate and qualify an alternative source of supply for these components. Though we do not currently have contracts for third parties to provide manufacturing capabilities for our Nautilus platform, if we are successful in reaching the point of manufacturing our products for commercialization, we may rely on a single company for such manufacturing. Any contractual disputes between us and such manufacturer or loss of manufacturing ability by such manufacturer could similarly require significant time, effort and expense to locate and qualify an alternative source of manufacturing, which could materially harm our business.</w:t>
      </w:r>
    </w:p>
    <w:p>
      <w:pPr>
        <w:spacing w:after="0" w:line="123"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We also rely, and expect to continue to rely, on third-party manufacturers and, in many cases, single third-party manufacturers for the production of certain reagents and antibodies needed to generate the deep proteomic information at the speed and scale which we expect our Nautilus platform to perform. With respect to any antibodies or reagents that are single sourced, the loss of any suppliers would require significant time and effort to locate and qualify an alternative source of supply. Such reagents and antibodies may also become scarce, more expensive to procure, or not meet quality standards, and we may not be able to obtain favorable terms in agreements with suppliers. Given their complexity, our suppliers may not be able to provide these reagents and antibodies in a cost-effective manner or in a time frame that is consistent with our expected future needs. If our suppliers cease or interrupt production or if suppliers fail to supply materials, products or services to us for any reason, such interruption could delay development, or interrupt the commercial supply, with the potential for additional costs and lost revenue. If this were to occur, we might also need to seek alternative means to fulfill our manufacturing needs. Any such transition would require significant efforts in testing and validation and could result in delays or other issues, which could materially harm our business.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The life sciences technology market is highly competitive. If we fail to compete effectively, our business and results of operation will suffer.</w:t>
      </w:r>
    </w:p>
    <w:p>
      <w:pPr>
        <w:spacing w:after="0" w:line="194"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We face significant competition in the life sciences technology market. We currently compete with technology and diagnostic companies that supply components, products, and services to customers engaged in proteomics analysis. These companies include Agilent Technologies; Becton, Dickinson and Company; Bruker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spacing w:after="0" w:line="14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Danaher; Luminex; Olink Proteomics; Quanterix; SomaLogic; Quantum-Si; and Thermo Fisher Scientific. We also compete with a number of emerging companies that are developing proteomic products and solutions.</w:t>
      </w:r>
    </w:p>
    <w:p>
      <w:pPr>
        <w:spacing w:after="0" w:line="116"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Some of our current competitors are large publicly-traded companies, or are divisions of large publicly-traded companies, and enjoy a number of competitive advantages over us, including:</w:t>
      </w:r>
    </w:p>
    <w:p>
      <w:pPr>
        <w:spacing w:after="0" w:line="116"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greater name and brand recognition;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greater financial and human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broader product lines;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larger sales forces and more established distributor networks;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substantial intellectual property portfolios;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larger and more established customer bases and relationships;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better established, larger scale and lower cost manufacturing capabilities.</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cannot assure investors that our products will compete favorably or that we will be successful in the face of increasing competition from products and technologies introduced by our existing or future competitors or by companies entering our markets or that are developed by our customers internally. In addition, we cannot assure investors that our competitors do not have or will not develop products or technologies that currently or in the future will enable them to produce competitive products with superior functionality or performance or at lower costs than ours or that are able to run comparable experiments at a lower total experiment cost. Any failure to compete effectively could materially and adversely affect our business, financial condition and operating results.</w:t>
      </w:r>
    </w:p>
    <w:p>
      <w:pPr>
        <w:spacing w:after="0" w:line="138"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b w:val="1"/>
          <w:bCs w:val="1"/>
          <w:i w:val="1"/>
          <w:iCs w:val="1"/>
          <w:color w:val="auto"/>
        </w:rPr>
        <w:t>Even if our Nautilus platform is commercialized and achieves broad scientific and market acceptance, if we fail to improve it or introduce compelling new products, our revenue and our prospects could be harmed.</w:t>
      </w:r>
    </w:p>
    <w:p>
      <w:pPr>
        <w:spacing w:after="0" w:line="116"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life sciences industry is characterized by rapid and significant technological changes, frequent new product introductions and enhancements and evolving industry standards. Even if we are able to commercialize our Nautilus platform and achieve broad scientific and market acceptance, our ability to attract new customers and increase revenue from existing customers will depend in large part on our ability to enhance and improve our Nautilus platform and to introduce compelling new products. The success of any enhancement to our Nautilus platform or introduction of new products depends on several factors, including timely completion and delivery, competitive pricing, adequate quality testing, integration with existing technologies, freedom from intellectual property encumbrance, appropriately timed and staged introduction and overall market acceptance. Any new product or enhancement to our Nautilus platform that we develop may not be introduced in a timely or cost-effective manner, may contain defects, errors, vulnerabilities or bugs, or may not achieve the market acceptance necessary to generate significant revenue.</w:t>
      </w:r>
    </w:p>
    <w:p>
      <w:pPr>
        <w:spacing w:after="0" w:line="12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 we are unable to successfully develop new products, enhance our proteomics product platform to meet customer requirements, compete with alternative products, or otherwise gain and maintain market acceptance, our business, results of operations and financial condition could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5" w:name="page46"/>
    <w:bookmarkEnd w:id="45"/>
    <w:p>
      <w:pPr>
        <w:spacing w:after="0" w:line="144" w:lineRule="exact"/>
        <w:rPr>
          <w:sz w:val="20"/>
          <w:szCs w:val="20"/>
          <w:color w:val="auto"/>
        </w:rPr>
      </w:pPr>
    </w:p>
    <w:p>
      <w:pPr>
        <w:ind w:right="740" w:firstLine="324"/>
        <w:spacing w:after="0" w:line="381" w:lineRule="auto"/>
        <w:rPr>
          <w:sz w:val="20"/>
          <w:szCs w:val="20"/>
          <w:color w:val="auto"/>
        </w:rPr>
      </w:pPr>
      <w:r>
        <w:rPr>
          <w:rFonts w:ascii="Arial" w:cs="Arial" w:eastAsia="Arial" w:hAnsi="Arial"/>
          <w:sz w:val="15"/>
          <w:szCs w:val="15"/>
          <w:b w:val="1"/>
          <w:bCs w:val="1"/>
          <w:i w:val="1"/>
          <w:iCs w:val="1"/>
          <w:color w:val="auto"/>
        </w:rPr>
        <w:t>We rely on third parties for development of certain aspects of the Nautilus platform, and any failure of these third parties to perform their respective obligations in a timely manner or to our specifications could negatively impact our timelines, costs or product performance.</w:t>
      </w:r>
    </w:p>
    <w:p>
      <w:pPr>
        <w:spacing w:after="0" w:line="46"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We are engaged with a number of third party collaborators who assist us in co-development of certain aspects of the Nautilus platform, including, for example, certain affinity reagents and array chip substrates. Our agreements with these third party collaborators include obligations for these third parties to deliver certain aspects of technology to be used in the Nautilus platform in accordance with certain defined timelines, in accordance with defined specifications, and in accordance with certain cost limitations. We have also sought to include redundancy and contingency planning with respect to the efforts of our third party collaborators where practicable. Despite our contractual assurances and contingency planning, it is possible that one or more of our third party collaborators may fail to deliver their respective technologies to us on time or in accordance with our specifications, and such failure could negatively impact the timing of the commercialization of the Nautilus platform, its performance, or its cost.</w:t>
      </w:r>
    </w:p>
    <w:p>
      <w:pPr>
        <w:spacing w:after="0" w:line="123"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b w:val="1"/>
          <w:bCs w:val="1"/>
          <w:i w:val="1"/>
          <w:iCs w:val="1"/>
          <w:color w:val="auto"/>
        </w:rPr>
        <w:t>Our business will depend significantly on research and development spending by pharmaceutical companies as well as by academic institutions and other research institutions. Any reduction in spending could limit demand for our products and adversely affect our business, results of operations, financial condition and prospects.</w:t>
      </w:r>
    </w:p>
    <w:p>
      <w:pPr>
        <w:spacing w:after="0" w:line="130"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We expect that our revenue in the foreseeable future will be derived primarily from sales of our Nautilus platform to biotechnology companies and life science laboratories worldwide, and to a lesser extent, academic institutions and non-profit organizations. Our success will depend upon demand for and use of our products. Accordingly, the spending policies of these customers could have a significant effect on the demand for our technology. These policies may be based on a wide variety of factors, including the resources available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 expenditures by these customers may result in lower than expected system sales and, similarly, reductions in operating expenditures by these customers could result in lower than expected sales of our Nautilus platform. These reductions and delays may result from factors that are not within our control, such as:</w:t>
      </w:r>
    </w:p>
    <w:p>
      <w:pPr>
        <w:spacing w:after="0" w:line="114"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economic conditions;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government programs that provide funding to research institutions and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regulatory environment affecting life science and Ag-Bio companies engaged in research and commercial activities;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differences in budget cycles across various geographies and industries;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market-driven pressures on companies to consolidate operations and reduce costs;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mergers and acquisitions in the life science and Ag-Bio industries;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factors affecting research and development spending.</w:t>
      </w:r>
    </w:p>
    <w:p>
      <w:pPr>
        <w:spacing w:after="0" w:line="171" w:lineRule="exact"/>
        <w:rPr>
          <w:sz w:val="20"/>
          <w:szCs w:val="20"/>
          <w:color w:val="auto"/>
        </w:rPr>
      </w:pPr>
    </w:p>
    <w:p>
      <w:pPr>
        <w:ind w:right="620" w:firstLine="324"/>
        <w:spacing w:after="0" w:line="342" w:lineRule="auto"/>
        <w:rPr>
          <w:sz w:val="20"/>
          <w:szCs w:val="20"/>
          <w:color w:val="auto"/>
        </w:rPr>
      </w:pPr>
      <w:r>
        <w:rPr>
          <w:rFonts w:ascii="Arial" w:cs="Arial" w:eastAsia="Arial" w:hAnsi="Arial"/>
          <w:sz w:val="16"/>
          <w:szCs w:val="16"/>
          <w:color w:val="auto"/>
        </w:rPr>
        <w:t>Any decrease in our customers’ budgets or expenditures or in the size, scope or frequency of capital or operating expenditures as a result of the foregoing or other factors could materially and adversely affect our business, results of operations,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44"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16"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 In the near term, as we devote substantially all of our resources towards the development and anticipated future commercialization of our Nautilus platform, specific factors that may result in fluctuations include, without limitation:</w:t>
      </w:r>
    </w:p>
    <w:p>
      <w:pPr>
        <w:spacing w:after="0" w:line="130"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timing and cost of, and level of investment in, research and development and commercialization activities relating to, our Nautilus platform;</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ability to successfully establish and successfully maintain appropriate collaborations and derive revenue from those collaborations;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successfully develop and commercialize our Nautilus platform on our anticipated timeline.</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we transition from a company with a focus on research and development to a company capable of supporting manufacturing, these fluctuations may also occur due to a variety of other factors, many of which are outside of our control, including, but not limited to:</w:t>
      </w:r>
    </w:p>
    <w:p>
      <w:pPr>
        <w:spacing w:after="0" w:line="116" w:lineRule="exact"/>
        <w:rPr>
          <w:sz w:val="20"/>
          <w:szCs w:val="20"/>
          <w:color w:val="auto"/>
        </w:rPr>
      </w:pPr>
    </w:p>
    <w:p>
      <w:pPr>
        <w:ind w:right="160" w:firstLine="332"/>
        <w:spacing w:after="0" w:line="277" w:lineRule="auto"/>
        <w:tabs>
          <w:tab w:leader="none" w:pos="64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level of demand for any products we are able to commercialize, particularly our Nautilus platform, which may vary significantly from period to period;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drive adoption of our Nautilus platform in our target markets and our ability to expand into any future target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 that economic inflation may have on our costs for manufacturing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prices at which we will be able to sell our Nautilus platform;</w:t>
      </w:r>
    </w:p>
    <w:p>
      <w:pPr>
        <w:spacing w:after="0" w:line="171" w:lineRule="exact"/>
        <w:rPr>
          <w:rFonts w:ascii="Arial" w:cs="Arial" w:eastAsia="Arial" w:hAnsi="Arial"/>
          <w:sz w:val="18"/>
          <w:szCs w:val="18"/>
          <w:color w:val="auto"/>
        </w:rPr>
      </w:pPr>
    </w:p>
    <w:p>
      <w:pPr>
        <w:ind w:right="340" w:firstLine="332"/>
        <w:spacing w:after="0" w:line="277" w:lineRule="auto"/>
        <w:tabs>
          <w:tab w:leader="none" w:pos="64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volume and mix of our sales between consumables, instruments and software, or changes in the manufacturing or sales costs related to our products;</w:t>
      </w:r>
    </w:p>
    <w:p>
      <w:pPr>
        <w:spacing w:after="0" w:line="116" w:lineRule="exact"/>
        <w:rPr>
          <w:rFonts w:ascii="Arial" w:cs="Arial" w:eastAsia="Arial" w:hAnsi="Arial"/>
          <w:sz w:val="18"/>
          <w:szCs w:val="18"/>
          <w:color w:val="auto"/>
        </w:rPr>
      </w:pPr>
    </w:p>
    <w:p>
      <w:pPr>
        <w:ind w:right="180" w:firstLine="332"/>
        <w:spacing w:after="0" w:line="277" w:lineRule="auto"/>
        <w:tabs>
          <w:tab w:leader="none" w:pos="64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timing and amount of expenditures that we may incur to develop, commercialize or acquire additional products and technologies or for other purposes, such as the expansion of our facilities;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governmental funding of life sciences research and development or changes that impact budgets and budget cycles;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seasonal spending patterns of our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timing of when we recognize any revenue;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outcome of any future litigation or governmental investigations involving us, our industry or both;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higher than anticipated service, replacement and warranty costs;</w:t>
      </w:r>
    </w:p>
    <w:p>
      <w:pPr>
        <w:spacing w:after="0" w:line="171" w:lineRule="exact"/>
        <w:rPr>
          <w:rFonts w:ascii="Arial" w:cs="Arial" w:eastAsia="Arial" w:hAnsi="Arial"/>
          <w:sz w:val="18"/>
          <w:szCs w:val="18"/>
          <w:color w:val="auto"/>
        </w:rPr>
      </w:pPr>
    </w:p>
    <w:p>
      <w:pPr>
        <w:ind w:right="220" w:firstLine="332"/>
        <w:spacing w:after="0" w:line="308" w:lineRule="auto"/>
        <w:tabs>
          <w:tab w:leader="none" w:pos="643"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impact of the COVID-19 pandemic, the conflicts in Eastern Europe, and other national and global events on the economy, investment in life sciences and research industries, our business operations, and resources and operations of our customers, suppliers, and distributors; and</w:t>
      </w:r>
    </w:p>
    <w:p>
      <w:pPr>
        <w:spacing w:after="0" w:line="92" w:lineRule="exact"/>
        <w:rPr>
          <w:rFonts w:ascii="Arial" w:cs="Arial" w:eastAsia="Arial" w:hAnsi="Arial"/>
          <w:sz w:val="17"/>
          <w:szCs w:val="17"/>
          <w:color w:val="auto"/>
        </w:rPr>
      </w:pPr>
    </w:p>
    <w:p>
      <w:pPr>
        <w:ind w:right="380" w:firstLine="332"/>
        <w:spacing w:after="0" w:line="277" w:lineRule="auto"/>
        <w:tabs>
          <w:tab w:leader="none" w:pos="643"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industry, economic and market conditions and other factors, including factors unrelated to our operating performance or the operating performance of our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 w:name="page48"/>
    <w:bookmarkEnd w:id="47"/>
    <w:p>
      <w:pPr>
        <w:spacing w:after="0" w:line="144"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30"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This variability and unpredictability could also result in us failing to meet the expectations of industry or financial analysts or investors for any period. If we are unable to commercialize products or generate revenue, or if our operating results fall below the expectations of analysts or investors or below any guidance we may provide, or if the guidance we provide is below the expectations of analysts or investors, it could cause the market price of our Common Stock to decline.</w:t>
      </w:r>
    </w:p>
    <w:p>
      <w:pPr>
        <w:spacing w:after="0" w:line="133"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which may make it difficult to evaluate our current business and the prospects for our future viability, and to predict our future performance.</w:t>
      </w:r>
    </w:p>
    <w:p>
      <w:pPr>
        <w:spacing w:after="0" w:line="116"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6"/>
          <w:szCs w:val="16"/>
          <w:color w:val="auto"/>
        </w:rPr>
        <w:t>We are a life sciences technology company with a limited operating history. We have not completed development of our Nautilus platform or any other products and have not generated any revenue to date. Our operations to date have been limited to developing our Nautilus platform. Our prospects must be considered in light of the uncertainties, risks, expenses, and difficulties frequently encountered by companies in their early stages of operations.</w:t>
      </w:r>
    </w:p>
    <w:p>
      <w:pPr>
        <w:spacing w:after="0" w:line="2" w:lineRule="exact"/>
        <w:rPr>
          <w:sz w:val="20"/>
          <w:szCs w:val="20"/>
          <w:color w:val="auto"/>
        </w:rPr>
      </w:pPr>
    </w:p>
    <w:p>
      <w:pPr>
        <w:ind w:right="700"/>
        <w:spacing w:after="0" w:line="260" w:lineRule="auto"/>
        <w:rPr>
          <w:sz w:val="20"/>
          <w:szCs w:val="20"/>
          <w:color w:val="auto"/>
        </w:rPr>
      </w:pPr>
      <w:r>
        <w:rPr>
          <w:rFonts w:ascii="Arial" w:cs="Arial" w:eastAsia="Arial" w:hAnsi="Arial"/>
          <w:sz w:val="18"/>
          <w:szCs w:val="18"/>
          <w:color w:val="auto"/>
        </w:rPr>
        <w:t>Consequently, predictions about our future success or viability are highly uncertain and may not be as accurate as they could be if we had a longer operating history or a company history of successfully developing and commercializing products.</w:t>
      </w:r>
    </w:p>
    <w:p>
      <w:pPr>
        <w:spacing w:after="0" w:line="13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addition, as a business with a limited operating history, we may encounter unforeseen expenses, difficulties, complications, delays and other known and unknown obstacles. We will eventually need to transition from a company with a focus on research and development to a company capable of supporting manufacturing and commercial activities as well, and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need to raise additional capital to fund our development and commercialization plans.</w:t>
      </w:r>
    </w:p>
    <w:p>
      <w:pPr>
        <w:spacing w:after="0" w:line="171"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Based on our current plans, we believe that our available resources and existing cash, cash equivalents and short-term investments, will be sufficient to meet our anticipated cash requirements for at least 12 months from the date of this Quarterly Report on Form 10-Q. If our available resources and existing cash and cash equivalents and short-term investments are insufficient to satisfy our liquidity requirements, including because of the realization of other risks described in this Quarterly Report on Form 10-Q, we may be required to raise additional capital prior to such time through issuances of equity or convertible debt securities, enter into a credit facility or another form of third-party funding or seek other debt financing.</w:t>
      </w:r>
    </w:p>
    <w:p>
      <w:pPr>
        <w:spacing w:after="0" w:line="107"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We may consider raising additional capital in the future to expand our business, to pursue strategic investments, to take advantage of financing or acquisition opportunities or for other reasons, including:</w:t>
      </w:r>
    </w:p>
    <w:p>
      <w:pPr>
        <w:spacing w:after="0" w:line="116"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funding development and marketing efforts of our Nautilus platform or any other future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increasing our sales and marketing and other commercialization efforts to drive market adoption of our Nautilus platform, once commercialized;</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expanding our technologies into additional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preparing, filing, prosecuting, defending and enforcing any patent claims and other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acquiring, licensing or defending against third party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acquiring or investing in complementary technologies, businesses or assets;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8" w:name="page49"/>
    <w:bookmarkEnd w:id="48"/>
    <w:p>
      <w:pPr>
        <w:spacing w:after="0" w:line="144"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financing capital expenditures and general and administrative expenses.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present and future funding requirements will depend on many factors, including:</w:t>
      </w:r>
    </w:p>
    <w:p>
      <w:pPr>
        <w:spacing w:after="0" w:line="171"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delays in execution of our development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scope and timing of our investment in our sales, marketing, and distribution capabilities;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we may make to our business that affect ongoing operating expenses;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we may make in our business or commercialization strategy;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we may make in our research and development spending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need to implement additional infrastructure and internal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impact of the COVID-19 pandemic;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items affecting our forecasted level of expenditures and use of cash resources including potential acquisitions.</w:t>
      </w:r>
    </w:p>
    <w:p>
      <w:pPr>
        <w:spacing w:after="0" w:line="17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various ways we could raise additional capital carry potential risks. If we raise funds by issuing equity securities, dilution to our stockholders could result. If we raise funds by issuing debt securities, those debt securities could have rights, preferences and privileges senior to those of holders of our Common Stock. The terms of debt securities issued or borrowings pursuant to a credit agreement could impose significant restrictions on our operations. If we raise funds through collaborations or licensing arrangements, we might be required to relinquish significant rights to our technologies or products or grant licenses on terms that are not favorable to us.</w:t>
      </w:r>
    </w:p>
    <w:p>
      <w:pPr>
        <w:spacing w:after="0" w:line="134" w:lineRule="exact"/>
        <w:rPr>
          <w:sz w:val="20"/>
          <w:szCs w:val="20"/>
          <w:color w:val="auto"/>
        </w:rPr>
      </w:pPr>
    </w:p>
    <w:p>
      <w:pPr>
        <w:ind w:firstLine="324"/>
        <w:spacing w:after="0" w:line="219" w:lineRule="exact"/>
        <w:rPr>
          <w:sz w:val="20"/>
          <w:szCs w:val="20"/>
          <w:color w:val="auto"/>
        </w:rPr>
      </w:pPr>
      <w:r>
        <w:rPr>
          <w:rFonts w:ascii="Arial" w:cs="Arial" w:eastAsia="Arial" w:hAnsi="Arial"/>
          <w:sz w:val="17"/>
          <w:szCs w:val="17"/>
          <w:color w:val="auto"/>
        </w:rPr>
        <w:t>We may be unable to raise additional funds or to enter into such agreements or arrangements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ongoing COVID</w:t>
      </w:r>
      <w:r>
        <w:rPr>
          <w:rFonts w:ascii="MS PGothic" w:cs="MS PGothic" w:eastAsia="MS PGothic" w:hAnsi="MS PGothic"/>
          <w:sz w:val="17"/>
          <w:szCs w:val="17"/>
          <w:color w:val="auto"/>
        </w:rPr>
        <w:t>‑</w:t>
      </w:r>
      <w:r>
        <w:rPr>
          <w:rFonts w:ascii="Arial" w:cs="Arial" w:eastAsia="Arial" w:hAnsi="Arial"/>
          <w:sz w:val="17"/>
          <w:szCs w:val="17"/>
          <w:color w:val="auto"/>
        </w:rPr>
        <w:t>19 pandemic, the conflicts in Eastern Europe, and otherwise. 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75"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b w:val="1"/>
          <w:bCs w:val="1"/>
          <w:i w:val="1"/>
          <w:iCs w:val="1"/>
          <w:color w:val="auto"/>
        </w:rPr>
        <w:t>If we are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 and our ability to successfully commercialize our products may be impaired.</w:t>
      </w:r>
    </w:p>
    <w:p>
      <w:pPr>
        <w:spacing w:after="0" w:line="13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If we fail to obtain, maintain and protect our intellectual property, third parties may be able to compete more effectively against us. In addition, we may incur substantial costs related to litigation or other patent proceedings in our attempts to recover or restrict use of our intellectual property.</w:t>
      </w:r>
    </w:p>
    <w:p>
      <w:pPr>
        <w:spacing w:after="0" w:line="13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To the extent our intellectual property offers inadequate protection, or is found to be invalid or unenforceable, we would be exposed to a greater risk of direct competition. If our intellectual property does not provide adequate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4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coverage of our competitors’ products, our competitive position could be adversely affected, as could our business, financial condition, results of operations and prospects. Both the patent application process and the process of managing patent and other intellectual property disputes are generally unpredictable, time-consuming and expensive.</w:t>
      </w:r>
    </w:p>
    <w:p>
      <w:pPr>
        <w:spacing w:after="0" w:line="130"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Our success depends in large part on our and any future licensor’s ability to obtain and maintain protection of the intellectual property we may own or license, whether solely or jointly, particularly patents, in the United States and other countries with respect to our products and technologies. We apply for patents to protect our products, technologies and commercial activities, as we deem appropriate. However, obtaining and enforcing patents is costly, time-consuming and complex, and we may fail to apply for patents on important products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methods and technologies that are patentable. We may not have the right to control the preparation, filing and prosecution of patent applications, or to maintain the rights to patents which may be licensed from or to third parties. In connection with any future licensing arrangements with third parties, these patents and applications may not be prosecuted and enforced by such third parties in a manner consistent with the best interests of our business.</w:t>
      </w:r>
    </w:p>
    <w:p>
      <w:pPr>
        <w:spacing w:after="0" w:line="128"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jurisdictions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issued, the patents may not provide a basis for intellectual property protection of commercially viable products or services, may not provide us with any competitive advantages, or may be challenged, narrowed or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to compete with us. Some of our owned or any future licensed patents or patent applications may be challenged at a future point in time and we may not be successful in defending any such challenges made against our patents or patent applications. Any successful third-party challenge to our patents could result in diminished or lost rights, for example, due to narrowing, unenforceability or invalidity of such patents and increased competition to our business. The outcome of patent litigation or other proceedings is generally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spacing w:after="0" w:line="117"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b w:val="1"/>
          <w:bCs w:val="1"/>
          <w:i w:val="1"/>
          <w:iCs w:val="1"/>
          <w:color w:val="auto"/>
        </w:rPr>
        <w:t>The U.S. law relating to the patentability of certain inventions in the life sciences technology industry is uncertain and rapidly changing, which may adversely impact our existing patents or our ability to obtain patents in the future.</w:t>
      </w:r>
    </w:p>
    <w:p>
      <w:pPr>
        <w:spacing w:after="0" w:line="116"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Changes in either the patent laws or interpretation of the patent laws in the United States or in other jurisdictions could increase the uncertainties and costs surrounding the prosecution of patent applications and the enforcement or defense of issued patents. In the last decade, the US Congress made sweeping changes to patent law in passing the America Invents Act (AIA). These changes include, among others, allowing third-party submission of prior art to the United States Patent and Trademark Office (USPTO) during patent prosecution and additional procedures to challenge the validity of a patent by USPTO administered post-grant proceedings, including post-grant review, inter partes review and derivation proceedings. The changes brought about by the AIA have not been extensively tested, and therefore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44" w:lineRule="exact"/>
        <w:rPr>
          <w:sz w:val="20"/>
          <w:szCs w:val="20"/>
          <w:color w:val="auto"/>
        </w:rPr>
      </w:pPr>
    </w:p>
    <w:p>
      <w:pPr>
        <w:ind w:right="260" w:firstLine="324"/>
        <w:spacing w:after="0" w:line="273" w:lineRule="auto"/>
        <w:rPr>
          <w:sz w:val="20"/>
          <w:szCs w:val="20"/>
          <w:color w:val="auto"/>
        </w:rPr>
      </w:pPr>
      <w:r>
        <w:rPr>
          <w:rFonts w:ascii="Arial" w:cs="Arial" w:eastAsia="Arial" w:hAnsi="Arial"/>
          <w:sz w:val="17"/>
          <w:szCs w:val="17"/>
          <w:color w:val="auto"/>
        </w:rPr>
        <w:t>Various courts, including the U.S. Supreme Court, have recently rendered decisions that impact the scope of patentability of certain inventions or discoveries relating to our technology and commercial goals. Specifically, these decisions have substantially increased the probability that patent claims will be ruled patent ineligible for reciting a natural phenomenon, law of nature or abstract idea. Furthermore, in view of these decisions, since December 2014, the USPTO has published and continues to publish revised guidelines for patent examiners to apply when examining claims for patent eligibility. Patent claims relating to software algorithms, biologically-derived reagents, methods for analyzing biological systems and other subject matters that underlies our technology and commercial goals are impacted by these changes.</w:t>
      </w:r>
    </w:p>
    <w:p>
      <w:pPr>
        <w:spacing w:after="0" w:line="124"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Actions taken by the U.S. Congress, federal courts and USPTO have from time to time narrowed the scope of patent protection available in certain circumstances and weakened the rights of patent owners in certain situations. Similar changes have been made by authorities in other jurisdictions. In addition to increasing uncertainty with regard to our ability to obtain patents in the future, such changes create uncertainty with respect to the value of patents, once obtained. Depending on decisions by authorities in various jurisdictions, the laws and regulations governing patents could change in unpredictable ways that may have a material adverse effect on our ability to obtain new patents and to defend and enforce our existing patents and patents that we might obtain in the future.</w:t>
      </w:r>
    </w:p>
    <w:p>
      <w:pPr>
        <w:spacing w:after="0" w:line="13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cannot assure you that our patent portfolio will not be negatively impacted by the current uncertain state of the law, new court rulings or changes in guidance or procedures issued by governments or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negative impact on our business, financial condition, prospects and results of operations.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71" w:lineRule="exact"/>
        <w:rPr>
          <w:sz w:val="20"/>
          <w:szCs w:val="20"/>
          <w:color w:val="auto"/>
        </w:rPr>
      </w:pPr>
    </w:p>
    <w:p>
      <w:pPr>
        <w:ind w:right="340" w:firstLine="324"/>
        <w:spacing w:after="0" w:line="308" w:lineRule="auto"/>
        <w:rPr>
          <w:sz w:val="20"/>
          <w:szCs w:val="20"/>
          <w:color w:val="auto"/>
        </w:rPr>
      </w:pPr>
      <w:r>
        <w:rPr>
          <w:rFonts w:ascii="Arial" w:cs="Arial" w:eastAsia="Arial" w:hAnsi="Arial"/>
          <w:sz w:val="17"/>
          <w:szCs w:val="17"/>
          <w:color w:val="auto"/>
        </w:rPr>
        <w:t>Filing, prosecuting and defending patents on our Nautilus platform in all countries throughout the world would be prohibitively expensive, and our intellectual property rights in some countries outside the United States can be less extensive than those in the United States.</w:t>
      </w:r>
    </w:p>
    <w:p>
      <w:pPr>
        <w:spacing w:after="0" w:line="92"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The laws of some foreign countries do not protect intellectual property rights to the same extent as the laws of the United States, and we and any future licensor may encounter difficulties in protecting and defending such rights in foreign jurisdictions. Consequently, we and any future licensor may not be able to prevent third parties from practicing our inventions in some or all countries outside the United States, or from selling or importing products made using our or any future licensor’s inventions in and into the United States or other jurisdictions. Competitors and other third parties may be able to use our technologies in jurisdictions where we have not obtained patent protection to develop our own products and technologies and may also export infringing products to territories where we have patent protection, but enforcement is not as strong as that in the United States. These products may compete with our products. We and any future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114"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companies or companies headquartered in particular jurisdictions over our patents and other intellectual property protection. The absence of harmonized intellectual property 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44"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Proceedings to enforce our or any future licensor’s patent rights in foreign jurisdictions could result in substantial cost and divert our efforts and attention from other aspects of our business, could put our and any future licensor’s patents at risk of being invalidated or interpreted narrowly and our and any future licensor’s patent applications at risk of not issuing, and could provoke third parties to assert claims against us. We and any future licensor may not prevail in any lawsuits that we and any future licensor initiates, or that are initiated against us or any future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spacing w:after="0" w:line="127" w:lineRule="exact"/>
        <w:rPr>
          <w:sz w:val="20"/>
          <w:szCs w:val="20"/>
          <w:color w:val="auto"/>
        </w:rPr>
      </w:pPr>
    </w:p>
    <w:p>
      <w:pPr>
        <w:jc w:val="both"/>
        <w:ind w:right="400" w:firstLine="324"/>
        <w:spacing w:after="0" w:line="263" w:lineRule="auto"/>
        <w:rPr>
          <w:sz w:val="20"/>
          <w:szCs w:val="20"/>
          <w:color w:val="auto"/>
        </w:rPr>
      </w:pPr>
      <w:r>
        <w:rPr>
          <w:rFonts w:ascii="Arial" w:cs="Arial" w:eastAsia="Arial" w:hAnsi="Arial"/>
          <w:sz w:val="18"/>
          <w:szCs w:val="18"/>
          <w:b w:val="1"/>
          <w:bCs w:val="1"/>
          <w:i w:val="1"/>
          <w:iCs w:val="1"/>
          <w:color w:val="auto"/>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spacing w:after="0" w:line="130"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Litigation may be necessary for us to enforce our patent and proprietary rights and/or to determine the scope, coverage and validity of others’ proprietary rights. Litigation on these matters has been prevalent in our industry and we expect that this will continue. To determine the priority of inventions, we may have to initiate and participate in interference proceedings declared by the USPTO that could result in substantial legal fees and could substantially affect the scope of our patent protection. Also, our intellectual property may be subject to significant administrative and litigation proceedings such as invalidity, unenforceability, re-examination and opposition proceedings against our patents. The outcome of any litigation or other proceeding is inherently uncertain and might not be favorable to us, and we might not be able to obtain licenses to technology that we require or a competitor may have already obtained an exclusive license to such technology in all fields. Even if such licenses are obtainable, they may not be available at a reasonable cost. We could therefore incur substantial costs related to royalty payments for licenses obtained from third parties, which could negatively affect our gross margins. In some cases, the outcome of litigation may be to enjoin us from commercializing a patent protected technology. We could encounter delays in product introductions, or interruptions in product sales, as we develop alternative methods or products.</w:t>
      </w:r>
    </w:p>
    <w:p>
      <w:pPr>
        <w:spacing w:after="0" w:line="114" w:lineRule="exact"/>
        <w:rPr>
          <w:sz w:val="20"/>
          <w:szCs w:val="20"/>
          <w:color w:val="auto"/>
        </w:rPr>
      </w:pPr>
    </w:p>
    <w:p>
      <w:pPr>
        <w:ind w:right="760" w:firstLine="324"/>
        <w:spacing w:after="0" w:line="342" w:lineRule="auto"/>
        <w:rPr>
          <w:sz w:val="20"/>
          <w:szCs w:val="20"/>
          <w:color w:val="auto"/>
        </w:rPr>
      </w:pPr>
      <w:r>
        <w:rPr>
          <w:rFonts w:ascii="Arial" w:cs="Arial" w:eastAsia="Arial" w:hAnsi="Arial"/>
          <w:sz w:val="16"/>
          <w:szCs w:val="16"/>
          <w:color w:val="auto"/>
        </w:rPr>
        <w:t>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w:t>
      </w:r>
    </w:p>
    <w:p>
      <w:pPr>
        <w:spacing w:after="0" w:line="70"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Our commercial success may depend in part on our non-infringement of the patents or proprietary rights of third parties. Numerous significant intellectual property issues have been litigated, and will likely continue to be litigated, between existing and new participants in the life sciences market and competitors may assert that our products infringe their intellectual property rights as part of a business strategy to impede our successful entry into those markets. Third parties may assert that we are employing our proprietary technology without authorization. We are aware that there are issued third party patents that are in the general proteomics field. Specifically, we are aware of various U.S. patents and U.S. non-provisional applications assigned to Washington University and the National Institute of Health, with claims directed to characterizing and identifying a polypeptide strand.</w:t>
      </w:r>
    </w:p>
    <w:p>
      <w:pPr>
        <w:spacing w:after="0" w:line="110"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In addition, our competitors and others may have patents or may in the future obtain patents and may claim that use of our products infringes these patents. As we move into new markets and applications for our products, incumbent participants in such markets may assert their patents and other proprietary rights against us as a means of slowing or preventing our entry into such markets, or as a means to extract substantial license and royalty payments from us.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Issued patents covering our products could be found invalid or unenforceable if challenged.</w:t>
      </w:r>
    </w:p>
    <w:p>
      <w:pPr>
        <w:spacing w:after="0" w:line="17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Our owned and any future licensed patents and patent applications may be subject to validity, enforceability and priority disputes. The issuance of a patent is not conclusive as to its inventorship, scope, validity or enforceability.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4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Some of our patents or patent applications may be challenged at a future point in time in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any future licensor initiates legal proceedings against a third party to enforce a patent covering our products, the defendant could counterclaim that such patent covering our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but not limited to, lack of novelty, obviousness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ex parte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derivation and equivalent proceedings in non-U.S. jurisdictions, such as opposition proceedings. Such proceedings could result in revocation of or amendment to our patents in such a way that they no longer cover and protect our products. With respect to the validity of our patents, for example, we cannot be certain that there is no invalidating prior art of which us, any future licensor, our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for our products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spacing w:after="0" w:line="11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may not be aware of all third-party intellectual property rights potentially relating to our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in the last decade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spacing w:after="0" w:line="118"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the value of our technology could be materially adversely affected, and our business could be harmed.</w:t>
      </w:r>
    </w:p>
    <w:p>
      <w:pPr>
        <w:spacing w:after="0" w:line="116"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rely heavily on trade secrets and confidentiality agreements to protect our unpatented know-how, technology and other proprietary information, including parts of our Nautilus platform,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between academic and industry scientific positions.</w:t>
      </w:r>
    </w:p>
    <w:p>
      <w:pPr>
        <w:spacing w:after="0" w:line="134" w:lineRule="exact"/>
        <w:rPr>
          <w:sz w:val="20"/>
          <w:szCs w:val="20"/>
          <w:color w:val="auto"/>
        </w:rPr>
      </w:pPr>
    </w:p>
    <w:p>
      <w:pPr>
        <w:jc w:val="both"/>
        <w:ind w:right="600" w:firstLine="324"/>
        <w:spacing w:after="0" w:line="263" w:lineRule="auto"/>
        <w:rPr>
          <w:sz w:val="20"/>
          <w:szCs w:val="20"/>
          <w:color w:val="auto"/>
        </w:rPr>
      </w:pPr>
      <w:r>
        <w:rPr>
          <w:rFonts w:ascii="Arial" w:cs="Arial" w:eastAsia="Arial" w:hAnsi="Arial"/>
          <w:sz w:val="18"/>
          <w:szCs w:val="18"/>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4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adversely impact our ability to establish or maintain a competitive advantage in the market, business, financial condition, results of operations and prospects.</w:t>
      </w:r>
    </w:p>
    <w:p>
      <w:pPr>
        <w:spacing w:after="0" w:line="124"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spacing w:after="0" w:line="133"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purchase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7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or any future licensor may be subject to claims that former employees, collaborators or other third parties have an interest in our patents, trade secrets or other intellectual property. For example, us or any future licensor may have inventorship disputes arise from conflicting obligations of employees, consultants or others who are involved in developing our products. In addition, counterparties to our consulting, software development, and other agreements may assert that they have an ownership interest in intellectual property developed under such arrangements. Litigation may be necessary to defend against claims challenging ownership or inventorship of our or any future licensor’s ownership of our patents, trade secrets or other intellectual property. If we or any future licensor fails in defending any such claims, in addition to paying monetary damages, we may lose valuable intellectual property rights, such as exclusive ownership of, or right to use, intellectual property that is important to our Nautilus platform, including our software, workflows, consumables and reagent kits.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or commercialization of our products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spacing w:after="0" w:line="132"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b w:val="1"/>
          <w:bCs w:val="1"/>
          <w:i w:val="1"/>
          <w:iCs w:val="1"/>
          <w:color w:val="auto"/>
        </w:rPr>
        <w:t>We may not be able to protect and enforce our trademarks and trade names or build name recognition in our markets of interest thereby harming our competitive position.</w:t>
      </w:r>
    </w:p>
    <w:p>
      <w:pPr>
        <w:spacing w:after="0" w:line="116"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4" w:name="page55"/>
    <w:bookmarkEnd w:id="54"/>
    <w:p>
      <w:pPr>
        <w:spacing w:after="0" w:line="144"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addition, third parties have filed, and may in the future file, for registration of trademarks similar or identical to our trademarks,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Further, we have and may in the future enter into agreements with owners of such third-party trade names or trademarks to avoid potential trademark litigation which may limit our ability to use our trade names or trademarks in certain fields of business. Over the long term, if we are unable to establish name recognition based on our trademarks and trade names, then we may not be able to compete effectively, and our business, financial condition, results of operations and prospects may be adversely affected. Our efforts to enforce or protect our proprietary rights related to trademarks,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Nautilus platform for an adequate amount of time.</w:t>
      </w:r>
    </w:p>
    <w:p>
      <w:pPr>
        <w:spacing w:after="0" w:line="17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 which could have a material adverse effect on our business, financial condition and results of operations.</w:t>
      </w:r>
    </w:p>
    <w:p>
      <w:pPr>
        <w:spacing w:after="0" w:line="127"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130"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may rely on any future licensor to pay these fees due to the U.S. and non-U.S. patent agencies and to take the necessary action to comply with these requirements with respect to any future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spacing w:after="0" w:line="112" w:lineRule="exact"/>
        <w:rPr>
          <w:sz w:val="20"/>
          <w:szCs w:val="20"/>
          <w:color w:val="auto"/>
        </w:rPr>
      </w:pPr>
    </w:p>
    <w:p>
      <w:pPr>
        <w:ind w:right="920" w:firstLine="324"/>
        <w:spacing w:after="0" w:line="381" w:lineRule="auto"/>
        <w:rPr>
          <w:sz w:val="20"/>
          <w:szCs w:val="20"/>
          <w:color w:val="auto"/>
        </w:rPr>
      </w:pPr>
      <w:r>
        <w:rPr>
          <w:rFonts w:ascii="Arial" w:cs="Arial" w:eastAsia="Arial" w:hAnsi="Arial"/>
          <w:sz w:val="15"/>
          <w:szCs w:val="15"/>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trade secrets of our former employers.</w:t>
      </w:r>
    </w:p>
    <w:p>
      <w:pPr>
        <w:spacing w:after="0" w:line="46"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We have employed and expect to employ individuals who were previously employed at universities or other companies, including, for example, our competitors or potential competitors. Although we try to ensure that our employees, consultants, advisors and independent contractors do not use the proprietary information or know-how of others in their work for us, we may be subject to claims that our employees, advisors, consultants or independent contractors have inadvertently or otherwise used or disclosed intellectual property, including trade secrets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4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proprietary information of their former employers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spacing w:after="0" w:line="124"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spacing w:after="0" w:line="138"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Furthermore, we or any future licensor may in the future be subject to claims by former or current employees, consultants or other third parties asserting an ownership right or inventorship in our owned, or any future licensed, patents or patent applications. For example, our Founder and Chief Scientist is employed by Stanford University and a member of the Stanford Cancer Institute. Stanford University and the Stanford Cancer Institute may assert an ownership right in any of our owned patents or patent applications. We may have other consultants that are or have been employed by third parties, which may assert an ownership right in any of our owned patents or patent applications. In addition, we are aware that we might not be able to obtain ownership of or seek a license to any intellectual property developed during a research collaboration with a third party.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 manufacture or commercialize our products without infringing third-party patent rights. Any of the foregoing could harm our business, financial condition, results of operations and prospects.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If we cannot license rights to use technologies on reasonable terms, we may not be able to commercialize new products in the future.</w:t>
      </w:r>
    </w:p>
    <w:p>
      <w:pPr>
        <w:spacing w:after="0" w:line="18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may identify third-party technology that we may need to license or acquire in order to develop or commercialize our products or technologies, including our Nautilus platform. However, we may be unable to secure such licenses or acquisitions.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or greater development and commercialization capabilities. In addition, companies that perceive us to be a competitor may be unwilling to assign or license rights to us.</w:t>
      </w:r>
    </w:p>
    <w:p>
      <w:pPr>
        <w:spacing w:after="0" w:line="13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4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abide by the terms of the license or fails to prevent infringement by third parties, or if the licensed intellectual property rights are found to be invalid or unenforceable.</w:t>
      </w:r>
    </w:p>
    <w:p>
      <w:pPr>
        <w:spacing w:after="0" w:line="116"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b w:val="1"/>
          <w:bCs w:val="1"/>
          <w:i w:val="1"/>
          <w:iCs w:val="1"/>
          <w:color w:val="auto"/>
        </w:rPr>
        <w:t>Our use of open source software and failure to comply with the terms of the underlying open source software licenses could impose limitations on our ability to commercialize our products and provide third parties to our proprietary software.</w:t>
      </w:r>
    </w:p>
    <w:p>
      <w:pPr>
        <w:spacing w:after="0" w:line="116"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Our products utilize open source software that contain modules licensed for use from third-party authors under open source licenses. In particular, some of the software may be provided under license arrangements that allow use of the software for research or other noncommercial purposes.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spacing w:after="0" w:line="117"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Although we review and monitors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financial condition, results of operations and prospects.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7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16" w:lineRule="exact"/>
        <w:rPr>
          <w:sz w:val="20"/>
          <w:szCs w:val="20"/>
          <w:color w:val="auto"/>
        </w:rPr>
      </w:pPr>
    </w:p>
    <w:p>
      <w:pPr>
        <w:ind w:right="200" w:firstLine="332"/>
        <w:spacing w:after="0" w:line="277" w:lineRule="auto"/>
        <w:tabs>
          <w:tab w:leader="none" w:pos="643"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products and technologies we may develop or may be able to utilize similar technologies that are not covered by the claims of the patents that we own or licenses now or in the future;</w:t>
      </w:r>
    </w:p>
    <w:p>
      <w:pPr>
        <w:spacing w:after="0" w:line="116" w:lineRule="exact"/>
        <w:rPr>
          <w:rFonts w:ascii="Arial" w:cs="Arial" w:eastAsia="Arial" w:hAnsi="Arial"/>
          <w:sz w:val="18"/>
          <w:szCs w:val="18"/>
          <w:color w:val="auto"/>
        </w:rPr>
      </w:pPr>
    </w:p>
    <w:p>
      <w:pPr>
        <w:ind w:right="180" w:firstLine="332"/>
        <w:spacing w:after="0" w:line="277" w:lineRule="auto"/>
        <w:tabs>
          <w:tab w:leader="none" w:pos="643"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or any future licensor(s), might not have been the first to make the inventions covered by the issued patent or pending patent application that we license or may own in the future;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or any future licensor(s), might not have been the first to file patent applications covering certain of our or their inventions;</w:t>
      </w:r>
    </w:p>
    <w:p>
      <w:pPr>
        <w:spacing w:after="0" w:line="171" w:lineRule="exact"/>
        <w:rPr>
          <w:rFonts w:ascii="Arial" w:cs="Arial" w:eastAsia="Arial" w:hAnsi="Arial"/>
          <w:sz w:val="18"/>
          <w:szCs w:val="18"/>
          <w:color w:val="auto"/>
        </w:rPr>
      </w:pPr>
    </w:p>
    <w:p>
      <w:pPr>
        <w:ind w:right="100" w:firstLine="332"/>
        <w:spacing w:after="0" w:line="277" w:lineRule="auto"/>
        <w:tabs>
          <w:tab w:leader="none" w:pos="643"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our owned or future licensed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44"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or those that we may license or own in the future will not lead to issued patents;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182" w:lineRule="exact"/>
        <w:rPr>
          <w:rFonts w:ascii="Arial" w:cs="Arial" w:eastAsia="Arial" w:hAnsi="Arial"/>
          <w:sz w:val="17"/>
          <w:szCs w:val="17"/>
          <w:color w:val="auto"/>
        </w:rPr>
      </w:pPr>
    </w:p>
    <w:p>
      <w:pPr>
        <w:ind w:right="140" w:firstLine="332"/>
        <w:spacing w:after="0" w:line="277" w:lineRule="auto"/>
        <w:tabs>
          <w:tab w:leader="none" w:pos="643"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71" w:lineRule="exact"/>
        <w:rPr>
          <w:rFonts w:ascii="Arial" w:cs="Arial" w:eastAsia="Arial" w:hAnsi="Arial"/>
          <w:sz w:val="18"/>
          <w:szCs w:val="18"/>
          <w:color w:val="auto"/>
        </w:rPr>
      </w:pPr>
    </w:p>
    <w:p>
      <w:pPr>
        <w:ind w:right="60" w:firstLine="332"/>
        <w:spacing w:after="0" w:line="277" w:lineRule="auto"/>
        <w:tabs>
          <w:tab w:leader="none" w:pos="643"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choose not to file a patent for certain trade secrets or know-how, and a third party may independently derive, use, commercialize, publish or patent such intellectual property.</w:t>
      </w:r>
    </w:p>
    <w:p>
      <w:pPr>
        <w:spacing w:after="0" w:line="116" w:lineRule="exact"/>
        <w:rPr>
          <w:sz w:val="20"/>
          <w:szCs w:val="20"/>
          <w:color w:val="auto"/>
        </w:rPr>
      </w:pPr>
    </w:p>
    <w:p>
      <w:pPr>
        <w:ind w:left="340" w:right="720"/>
        <w:spacing w:after="0" w:line="438" w:lineRule="auto"/>
        <w:rPr>
          <w:sz w:val="20"/>
          <w:szCs w:val="20"/>
          <w:color w:val="auto"/>
        </w:rPr>
      </w:pPr>
      <w:r>
        <w:rPr>
          <w:rFonts w:ascii="Arial" w:cs="Arial" w:eastAsia="Arial" w:hAnsi="Arial"/>
          <w:sz w:val="18"/>
          <w:szCs w:val="18"/>
          <w:color w:val="auto"/>
        </w:rPr>
        <w:t xml:space="preserve">Should any of these events occur, they could materially adversely affect our business, financial condition, results of operations and prospects. </w:t>
      </w:r>
      <w:r>
        <w:rPr>
          <w:rFonts w:ascii="Arial" w:cs="Arial" w:eastAsia="Arial" w:hAnsi="Arial"/>
          <w:sz w:val="18"/>
          <w:szCs w:val="18"/>
          <w:b w:val="1"/>
          <w:bCs w:val="1"/>
          <w:color w:val="auto"/>
        </w:rPr>
        <w:t>Risks Related to Litigation</w:t>
      </w:r>
    </w:p>
    <w:p>
      <w:pPr>
        <w:spacing w:after="0" w:line="1" w:lineRule="exact"/>
        <w:rPr>
          <w:sz w:val="20"/>
          <w:szCs w:val="20"/>
          <w:color w:val="auto"/>
        </w:rPr>
      </w:pPr>
    </w:p>
    <w:p>
      <w:pPr>
        <w:ind w:right="20" w:firstLine="324"/>
        <w:spacing w:after="0" w:line="340" w:lineRule="auto"/>
        <w:rPr>
          <w:sz w:val="20"/>
          <w:szCs w:val="20"/>
          <w:color w:val="auto"/>
        </w:rPr>
      </w:pPr>
      <w:r>
        <w:rPr>
          <w:rFonts w:ascii="Arial" w:cs="Arial" w:eastAsia="Arial" w:hAnsi="Arial"/>
          <w:sz w:val="15"/>
          <w:szCs w:val="15"/>
          <w:b w:val="1"/>
          <w:bCs w:val="1"/>
          <w:i w:val="1"/>
          <w:iCs w:val="1"/>
          <w:color w:val="auto"/>
        </w:rPr>
        <w:t>We may become involved in litigation to enforce or defend our intellectual property rights, or defend ourselves from claims that we infringe the intellectual property rights of others, which litigation could consume significant resources and management time, and in which an adverse result could result in loss of our intellectual property rights, a requirement that we pay significant damages, and could prevent us from selling our products.</w:t>
      </w:r>
    </w:p>
    <w:p>
      <w:pPr>
        <w:spacing w:after="0" w:line="77"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life sciences industry is highly competitive, and companies in this industry routinely engage in litigation and governmental proceedings to enforce and defend the intellectual property rights that they believe they possess. We may become involved in litigation or governmental and/or administrative proceedings to enforce or defend our intellectual property rights. Additionally, we may become involved in litigation and/or governmental or administrative proceedings to defend ourselves from claims that our products or services infringe the intellectual property rights of others, or to challenge the claimed intellectual property rights of others where we believe they may not be entitled to such rights. Such litigation and governmental proceedings are inherently unpredictable and costly, and can require significant time and attention of management. In addition to the costs and distraction of litigation, if we are unsuccessful in enforcing our intellectual property rights, or in defending our intellectual property rights from challenges of others, wit could result in our loss of our ability to exclude others from practicing aspects of our technology which could lead to greater competition for our products and services. Additionally, if we are unable to successfully defend ourselves from claims that we infringe the intellectual property rights of others and are unable to develop non-infringing alternative approaches for our products and services, we may be required to pay significant damages and ongoing royalties, or we may be prohibited from selling our products and services. Our success depends upon our ability to successfully enforce and defend our own intellectual property rights, and to defend ourselves from claims that we infringe the intellectual property rights of others.</w:t>
      </w:r>
    </w:p>
    <w:p>
      <w:pPr>
        <w:spacing w:after="0" w:line="11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b w:val="1"/>
          <w:bCs w:val="1"/>
          <w:i w:val="1"/>
          <w:iCs w:val="1"/>
          <w:color w:val="auto"/>
        </w:rPr>
        <w:t>Our products could have unknown defects or errors, which may give rise to claims against us and adversely affect market adoption of our Nautilus platform.</w:t>
      </w:r>
    </w:p>
    <w:p>
      <w:pPr>
        <w:spacing w:after="0" w:line="116"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Our Nautilus platform utilizes novel and complex technology applied on a microscopic scale, using key components that are not amenable to full characterization or quality assessment using conventional techniques or instrumentation, and such systems may develop or contain undetected defects or errors. We cannot assure you that material performance problems, defects or errors will not arise, and as we increase the density and integration of our Nautilus platform, these risks may increase. We expect to provide warranties that our Nautilus platform will meet performance expectations or be free from defects. The costs incurred in correcting any defects or errors may be substantial and could adversely affect our operating margins.</w:t>
      </w:r>
    </w:p>
    <w:p>
      <w:pPr>
        <w:spacing w:after="0" w:line="107"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In manufacturing our Nautilus platform, we depend upon third parties for the supply of various components. Many of these components require a significant degree of technical expertise to produce. If our suppliers fail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8" w:name="page59"/>
    <w:bookmarkEnd w:id="58"/>
    <w:p>
      <w:pPr>
        <w:spacing w:after="0" w:line="14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produce components to specification, or if the suppliers, or we, use defective materials or workmanship in the manufacturing process, the reliability and performance of our products will be compromised.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our products contain defects, we may experience:</w:t>
      </w:r>
    </w:p>
    <w:p>
      <w:pPr>
        <w:spacing w:after="0" w:line="171"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failure to achieve market acceptance or expansion of our product sales;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departments into our service department; and</w:t>
      </w:r>
    </w:p>
    <w:p>
      <w:pPr>
        <w:spacing w:after="0" w:line="171" w:lineRule="exact"/>
        <w:rPr>
          <w:rFonts w:ascii="Arial" w:cs="Arial" w:eastAsia="Arial" w:hAnsi="Arial"/>
          <w:sz w:val="18"/>
          <w:szCs w:val="18"/>
          <w:color w:val="auto"/>
        </w:rPr>
      </w:pPr>
    </w:p>
    <w:p>
      <w:pPr>
        <w:ind w:left="340" w:right="40" w:hanging="8"/>
        <w:spacing w:after="0" w:line="493" w:lineRule="auto"/>
        <w:tabs>
          <w:tab w:leader="none" w:pos="659" w:val="left"/>
        </w:tabs>
        <w:numPr>
          <w:ilvl w:val="0"/>
          <w:numId w:val="39"/>
        </w:numPr>
        <w:rPr>
          <w:rFonts w:ascii="Arial" w:cs="Arial" w:eastAsia="Arial" w:hAnsi="Arial"/>
          <w:sz w:val="16"/>
          <w:szCs w:val="16"/>
          <w:color w:val="auto"/>
        </w:rPr>
      </w:pPr>
      <w:r>
        <w:rPr>
          <w:rFonts w:ascii="Arial" w:cs="Arial" w:eastAsia="Arial" w:hAnsi="Arial"/>
          <w:sz w:val="16"/>
          <w:szCs w:val="16"/>
          <w:color w:val="auto"/>
        </w:rPr>
        <w:t>legal claims against us, including product liability claims, which could be costly and time consuming to defend and result in substantial damages. The occurrence of any one or more of the foregoing could negatively affect our business, financial condition and results of operations.</w:t>
      </w:r>
    </w:p>
    <w:p>
      <w:pPr>
        <w:ind w:left="340"/>
        <w:spacing w:after="0"/>
        <w:rPr>
          <w:sz w:val="20"/>
          <w:szCs w:val="20"/>
          <w:color w:val="auto"/>
        </w:rPr>
      </w:pPr>
      <w:r>
        <w:rPr>
          <w:rFonts w:ascii="Arial" w:cs="Arial" w:eastAsia="Arial" w:hAnsi="Arial"/>
          <w:sz w:val="18"/>
          <w:szCs w:val="18"/>
          <w:b w:val="1"/>
          <w:bCs w:val="1"/>
          <w:i w:val="1"/>
          <w:iCs w:val="1"/>
          <w:color w:val="auto"/>
        </w:rPr>
        <w:t>If we are sued for product liability, we could face substantial liabilities that exceed our resources.</w:t>
      </w:r>
    </w:p>
    <w:p>
      <w:pPr>
        <w:spacing w:after="0" w:line="171" w:lineRule="exact"/>
        <w:rPr>
          <w:sz w:val="20"/>
          <w:szCs w:val="20"/>
          <w:color w:val="auto"/>
        </w:rPr>
      </w:pPr>
    </w:p>
    <w:p>
      <w:pPr>
        <w:ind w:right="140" w:firstLine="324"/>
        <w:spacing w:after="0" w:line="271" w:lineRule="auto"/>
        <w:rPr>
          <w:sz w:val="20"/>
          <w:szCs w:val="20"/>
          <w:color w:val="auto"/>
        </w:rPr>
      </w:pPr>
      <w:r>
        <w:rPr>
          <w:rFonts w:ascii="Arial" w:cs="Arial" w:eastAsia="Arial" w:hAnsi="Arial"/>
          <w:sz w:val="17"/>
          <w:szCs w:val="17"/>
          <w:color w:val="auto"/>
        </w:rPr>
        <w:t>The marketing, sale and use of our products could lead to the filing of product liability claims were someone to allege that our products identified inaccurate or incomplete information regarding the proteins analyzed or otherwise failed to perform as designed. We may also be subject to liability for errors in, a misunderstanding of or inappropriate reliance upon, the information we provide in the ordinary course of our business activities. A product liability claim could result in substantial damages and be costly and time-consuming for us to defend. We maintain product liability insurance, but this insurance may not fully protect us from the financial impact of defending against product liability claims. Any product liability claim brought against us, with or without merit, could increase our insurance rates or prevent us from securing insurance coverage in the future. Additionally, any product liability lawsuit could damage our reputation, or cause current customers to terminate existing agreements and potential partners to seek other partners, any of which could adversely impact our business, financial condition and results of operations.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Related to Regulatory and Legal Compliance Matters</w:t>
      </w:r>
    </w:p>
    <w:p>
      <w:pPr>
        <w:spacing w:after="0" w:line="175"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b w:val="1"/>
          <w:bCs w:val="1"/>
          <w:i w:val="1"/>
          <w:iCs w:val="1"/>
          <w:color w:val="auto"/>
        </w:rPr>
        <w:t>Although our products currently are not labeled or intended for any use which would subject us to regulation by the FDA or other regulatory authorities, if we elect to label and promote any of our products as clinical or medical device products, we would be subject to regulation in the future and would be required to obtain prior approval or clearance by the FDA or other regulatory authorities, which could take significant time and expense and could fail to result in FDA clearance or approval for the intended uses we believe are commercially attractive.</w:t>
      </w:r>
    </w:p>
    <w:p>
      <w:pPr>
        <w:spacing w:after="0" w:line="10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products are currently labeled and promoted, and are, and in the near-future will be, sold primarily to research companies and academic and research institutions as research use only (“RUO”) products, and are not currently intended to be used, for clinical diagnostic tests or as medical devices. 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w:t>
      </w:r>
    </w:p>
    <w:p>
      <w:pPr>
        <w:spacing w:after="0" w:line="134"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may in the future register with the FDA as a medical device manufacturer and list some of our products with the FDA pursuant to an FDA Class I listing for general purpose laboratory equipment. While this 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59" w:name="page60"/>
    <w:bookmarkEnd w:id="59"/>
    <w:p>
      <w:pPr>
        <w:spacing w:after="0" w:line="144" w:lineRule="exact"/>
        <w:rPr>
          <w:sz w:val="20"/>
          <w:szCs w:val="20"/>
          <w:color w:val="auto"/>
        </w:rPr>
      </w:pPr>
    </w:p>
    <w:p>
      <w:pPr>
        <w:jc w:val="both"/>
        <w:ind w:right="40"/>
        <w:spacing w:after="0" w:line="301" w:lineRule="auto"/>
        <w:rPr>
          <w:sz w:val="20"/>
          <w:szCs w:val="20"/>
          <w:color w:val="auto"/>
        </w:rPr>
      </w:pPr>
      <w:r>
        <w:rPr>
          <w:rFonts w:ascii="Arial" w:cs="Arial" w:eastAsia="Arial" w:hAnsi="Arial"/>
          <w:sz w:val="16"/>
          <w:szCs w:val="16"/>
          <w:color w:val="auto"/>
        </w:rPr>
        <w:t>classification is exempt from certain FDA requirements, such as the need to submit a premarket notification commonly known as a 510(k) application, and some of the requirements of the FDA’s Quality System Regulations (the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spacing w:after="0" w:line="103"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addition, we may in the future submit 510(k) premarket notification applications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de novo application is required for some of our products. If such applications were required, greater time and investment would be required to obtain FDA approval. Even if the FDA agreed that a 510(k) was appropriate, FDA clearance can be expensive and time consuming. It can take a significant amount of time to prepare and submit a 510(k) application,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cleared or approved by the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11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may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38"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Once the Brexit transition period ends, for medical device products we intend to market in the U.K., we will be subject to regulatory requirements of the Medicines and Healthcare products Regulatory Agency (the “MHRA”). These foreign regulations and any future requirements that may be implemented by regulatory authorities will increase the difficulty of obtaining and maintaining regulatory approvals and compliance in Europe in the future. In addition, the FDA regulates exports of medical devices. Failure to comply with these regulatory requirements or obtain and maintain required approvals, clearances or certifications could impair our ability to commercialize our products for diagnostic use outside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44" w:lineRule="exact"/>
        <w:rPr>
          <w:sz w:val="20"/>
          <w:szCs w:val="20"/>
          <w:color w:val="auto"/>
        </w:rPr>
      </w:pPr>
    </w:p>
    <w:p>
      <w:pPr>
        <w:ind w:right="60" w:firstLine="324"/>
        <w:spacing w:after="0" w:line="327" w:lineRule="auto"/>
        <w:rPr>
          <w:sz w:val="20"/>
          <w:szCs w:val="20"/>
          <w:color w:val="auto"/>
        </w:rPr>
      </w:pPr>
      <w:r>
        <w:rPr>
          <w:rFonts w:ascii="Arial" w:cs="Arial" w:eastAsia="Arial" w:hAnsi="Arial"/>
          <w:sz w:val="15"/>
          <w:szCs w:val="15"/>
          <w:b w:val="1"/>
          <w:bCs w:val="1"/>
          <w:i w:val="1"/>
          <w:iCs w:val="1"/>
          <w:color w:val="auto"/>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p>
    <w:p>
      <w:pPr>
        <w:spacing w:after="0" w:line="86"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do not currently expect our Nautilus platform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While the FDA has traditionally exercised enforcement discretion with LDTs, the FDA could take the view that our sale of our RUO labeled products were made with the knowledge that the products will be used as medical devices, and could therefore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spacing w:after="0" w:line="132"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FDA has historically exercised enforcement discretion in not enforcing the medical device regulations against laboratories offering LDTs. In August 2020, as part of the Trump Administration’s efforts to combat COVID-19 and consistent with the President’s direction in Executive Orders 13771 and 13924, the Department of Health and Human Services (the “HHS”) announced rescission of guidance and other informal issuances of the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Emergency Use Authorization request, respectively, but are not required to do so. In November 2021, HHS under the Biden administration issued a statement that withdrew the August 2020 policy announcement stating that HHS does not have a policy on LDTs that is separate from FDA’s longstanding approach. Legislative and administrative proposals to amend the FDA’s oversight of LDTs have been introduced in recent years, including the Verifying Accurate Leading-edge IVCT Development Act of 2021 (VALID Act). It is unclear how such action as well as future legislation by federal and state governments and changes in FDA regulation will impact the industry, including our business and that of our customers. Any restrictions on LDTs by the FDA, HHS, Congress, or state regulatory authorities may decrease the demand for our products. The adoption of new restrictions on RUO products, whether by the FDA or Congress, could adversely affect demand for our specialized reagents and instruments. Further, we could be required to obtain premarket clearance or approval before we can sell our products to certain customers.</w:t>
      </w:r>
    </w:p>
    <w:p>
      <w:pPr>
        <w:spacing w:after="0" w:line="132"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the Physician Payments Sunshine Act and related transparency and manufacturer reporting laws, and other laws and regulations applicable to medical device manufacturers. If our operations are found to be in violation of any applicable FDA or healthcare laws and regulations, we may be subject to penalties, monetary damages, disgorgement, imprisonment, the curtailment or restructuring of our operations, loss of eligibility to obtain clearance or approvals from the FDA, fees from regulators, fines, significant settlements or judgments, or exclusion from participation in government contracting, healthcare reimbursement or other government programs, including Medicare and Medicaid, or other restrictions on our operations, any of which could adversely impact our financial results. Any action against us for an alleged or suspected violation by a private party or governmental agency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1" w:name="page62"/>
    <w:bookmarkEnd w:id="61"/>
    <w:p>
      <w:pPr>
        <w:spacing w:after="0" w:line="144"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cause us to incur significant legal expenses, adversely impact our reputation,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13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Additionally, on November 25, 2013, the FDA issued Final Guidance “Distribution of In Vitro Diagnostic Products Labeled for Research Use Only.” This guidance emphasizes that the FDA will review the totality of the circumstances when it comes to evaluating whether equipment and testing components are properly labeled as RUO. This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23" w:lineRule="exact"/>
        <w:rPr>
          <w:sz w:val="20"/>
          <w:szCs w:val="20"/>
          <w:color w:val="auto"/>
        </w:rPr>
      </w:pPr>
    </w:p>
    <w:p>
      <w:pPr>
        <w:ind w:right="500" w:firstLine="324"/>
        <w:spacing w:after="0" w:line="257" w:lineRule="auto"/>
        <w:rPr>
          <w:sz w:val="20"/>
          <w:szCs w:val="20"/>
          <w:color w:val="auto"/>
        </w:rPr>
      </w:pPr>
      <w:r>
        <w:rPr>
          <w:rFonts w:ascii="Arial" w:cs="Arial" w:eastAsia="Arial" w:hAnsi="Arial"/>
          <w:sz w:val="18"/>
          <w:szCs w:val="18"/>
          <w:color w:val="auto"/>
        </w:rPr>
        <w:t>Even if the FDA does not modify its policy of enforcement discretion, whether due to changes in FDA policy or legislative action, the FDA may disagree with the marketing of our current products in the United States. We may also be required to conduct clinical studies to support our currently marketed products or planned product launches. If we are required to conduct such clinical trials or to obtain regulatory authorization, delays in the commencement of our product launches or our changes to our current marketing strategy could significantly increase our costs and delay our commercialization plans, which could harm our financial prospects.</w:t>
      </w:r>
    </w:p>
    <w:p>
      <w:pPr>
        <w:spacing w:after="0" w:line="13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b w:val="1"/>
          <w:bCs w:val="1"/>
          <w:i w:val="1"/>
          <w:iCs w:val="1"/>
          <w:color w:val="auto"/>
        </w:rPr>
        <w:t>We are currently subject to, and may in the future become subject to additional, U.S. federal and state laws and regulations imposing obligations on how we collect, store and processes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133"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us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24"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(the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passed the California Privacy Rights Act (the “CPRA”), which amends and expands the CCPA. While most of the substantive provisions in CPRA will not take effect until 2023 and although the CCPA includes exemptions for certain clinical trial data, the law may increase our compliance costs and potential liability with respect to other personal information we collect about California customers. It is possible that these consumer, health-related and data protection laws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4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interpreted and applied in a manner that is inconsistent with our practices. If so, this could result in government-imposed fines or orders requiring that we change our practices, which could adversely affect our business. In addition to the CCPA, numerous other states’ legislatures are considering or have enacted similar data privacy laws that will require ongoing compliance efforts and investment, including Virginia and Colorado.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spacing w:after="0" w:line="138"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Furthermore, regulations promulgated pursuant to the Health Insurance Portability and Accountability Act of 1996 (the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(the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132" w:lineRule="exact"/>
        <w:rPr>
          <w:sz w:val="20"/>
          <w:szCs w:val="20"/>
          <w:color w:val="auto"/>
        </w:rPr>
      </w:pPr>
    </w:p>
    <w:p>
      <w:pPr>
        <w:ind w:right="140" w:firstLine="324"/>
        <w:spacing w:after="0" w:line="269" w:lineRule="auto"/>
        <w:rPr>
          <w:sz w:val="20"/>
          <w:szCs w:val="20"/>
          <w:color w:val="auto"/>
        </w:rPr>
      </w:pPr>
      <w:r>
        <w:rPr>
          <w:rFonts w:ascii="Arial" w:cs="Arial" w:eastAsia="Arial" w:hAnsi="Arial"/>
          <w:sz w:val="17"/>
          <w:szCs w:val="17"/>
          <w:color w:val="auto"/>
        </w:rPr>
        <w:t>We are in the process of evaluating compliance needs but do not currently have in place formal policies and procedures related to the storage, collection and processing of information, and has not conducted any internal or external data privacy audits,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or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spacing w:after="0" w:line="125" w:lineRule="exact"/>
        <w:rPr>
          <w:sz w:val="20"/>
          <w:szCs w:val="20"/>
          <w:color w:val="auto"/>
        </w:rPr>
      </w:pPr>
    </w:p>
    <w:p>
      <w:pPr>
        <w:ind w:right="660" w:firstLine="324"/>
        <w:spacing w:after="0" w:line="342" w:lineRule="auto"/>
        <w:rPr>
          <w:sz w:val="20"/>
          <w:szCs w:val="20"/>
          <w:color w:val="auto"/>
        </w:rPr>
      </w:pPr>
      <w:r>
        <w:rPr>
          <w:rFonts w:ascii="Arial" w:cs="Arial" w:eastAsia="Arial" w:hAnsi="Arial"/>
          <w:sz w:val="16"/>
          <w:szCs w:val="16"/>
          <w:b w:val="1"/>
          <w:bCs w:val="1"/>
          <w:i w:val="1"/>
          <w:iCs w:val="1"/>
          <w:color w:val="auto"/>
        </w:rPr>
        <w:t>If we commercialize our Nautilus platform outside of the United States, our international business could expose us to business, regulatory, political, operational, financial, and economic risks associated with doing business outside of the United States.</w:t>
      </w:r>
    </w:p>
    <w:p>
      <w:pPr>
        <w:spacing w:after="0" w:line="70"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If we commercialize our Nautilus platform outside of the United States, our international business may be adversely affected by changing economic, political and regulatory conditions in foreign countries. Engaging in international business inherently involves a number of difficulties and risks, including:</w:t>
      </w:r>
    </w:p>
    <w:p>
      <w:pPr>
        <w:spacing w:after="0" w:line="70"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required compliance with existing and changing foreign regulatory requirements and laws;</w:t>
      </w:r>
    </w:p>
    <w:p>
      <w:pPr>
        <w:spacing w:after="0" w:line="171" w:lineRule="exact"/>
        <w:rPr>
          <w:rFonts w:ascii="Arial" w:cs="Arial" w:eastAsia="Arial" w:hAnsi="Arial"/>
          <w:sz w:val="18"/>
          <w:szCs w:val="18"/>
          <w:color w:val="auto"/>
        </w:rPr>
      </w:pPr>
    </w:p>
    <w:p>
      <w:pPr>
        <w:ind w:right="440" w:firstLine="332"/>
        <w:spacing w:after="0" w:line="277" w:lineRule="auto"/>
        <w:tabs>
          <w:tab w:leader="none" w:pos="643"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required compliance with U.S. laws such as the Foreign Corrupt Practices Act, and other U.S. federal laws and regulations established by the office of Foreign Asset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44"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export or import restrictions;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foreign currency exchange, longer payment cycles and difficulties in enforcing agreements and collecting receivables through certain foreign legal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systems;</w:t>
      </w:r>
    </w:p>
    <w:p>
      <w:pPr>
        <w:spacing w:after="0" w:line="156" w:lineRule="exact"/>
        <w:rPr>
          <w:rFonts w:ascii="Arial" w:cs="Arial" w:eastAsia="Arial" w:hAnsi="Arial"/>
          <w:sz w:val="16"/>
          <w:szCs w:val="16"/>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171" w:lineRule="exact"/>
        <w:rPr>
          <w:rFonts w:ascii="Arial" w:cs="Arial" w:eastAsia="Arial" w:hAnsi="Arial"/>
          <w:sz w:val="18"/>
          <w:szCs w:val="18"/>
          <w:color w:val="auto"/>
        </w:rPr>
      </w:pPr>
    </w:p>
    <w:p>
      <w:pPr>
        <w:ind w:right="20" w:firstLine="332"/>
        <w:spacing w:after="0" w:line="286" w:lineRule="auto"/>
        <w:tabs>
          <w:tab w:leader="none" w:pos="643" w:val="left"/>
        </w:tabs>
        <w:numPr>
          <w:ilvl w:val="0"/>
          <w:numId w:val="41"/>
        </w:numPr>
        <w:rPr>
          <w:rFonts w:ascii="Arial" w:cs="Arial" w:eastAsia="Arial" w:hAnsi="Arial"/>
          <w:sz w:val="17"/>
          <w:szCs w:val="17"/>
          <w:color w:val="auto"/>
        </w:rPr>
      </w:pPr>
      <w:r>
        <w:rPr>
          <w:rFonts w:ascii="Arial" w:cs="Arial" w:eastAsia="Arial" w:hAnsi="Arial"/>
          <w:sz w:val="17"/>
          <w:szCs w:val="17"/>
          <w:color w:val="auto"/>
        </w:rPr>
        <w:t>changes in social, economic, and political conditions or in laws, regulations and policies governing foreign trade, intellectual property, manufacturing, research and development, and investment both domestically as well as in the other countries and jurisdictions in which we operate and into which we may sell our products including as a result of the separation of the United Kingdom from the European Union (Brexit);</w:t>
      </w:r>
    </w:p>
    <w:p>
      <w:pPr>
        <w:spacing w:after="0" w:line="111" w:lineRule="exact"/>
        <w:rPr>
          <w:rFonts w:ascii="Arial" w:cs="Arial" w:eastAsia="Arial" w:hAnsi="Arial"/>
          <w:sz w:val="17"/>
          <w:szCs w:val="17"/>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difficulties protecting, maintaining, enforcing or procuring intellectual property rights.</w:t>
      </w:r>
    </w:p>
    <w:p>
      <w:pPr>
        <w:spacing w:after="0" w:line="171"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such occurrence, and if we are unsuccessful in finding a solution, our financial results will suffer.</w:t>
      </w:r>
    </w:p>
    <w:p>
      <w:pPr>
        <w:spacing w:after="0" w:line="11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addition, if we commercialize our Nautilus platform outside of the United States, we may rely on distributors for sales of our Nautilus platform and related products. To do so we must attract distributors and maintain distributors to maximize the commercial opportunity for our platform. There is no guarantee that we will be successful in attracting or retaining desirable sales and distribution partners or that we will be able to enter into such arrangements on favorable terms. Distributors may not commit the necessary resources to market and sell our Nautilus platform and related products to the level of our expectations or may choose to favor marketing the products of our competitors. If current or future distributors do not perform adequately, or we are unable to enter into effective arrangements with distributors in particular geographic areas, we may not realize long-term international revenue growth and our financial results will suffer.</w:t>
      </w:r>
    </w:p>
    <w:p>
      <w:pPr>
        <w:spacing w:after="0" w:line="141" w:lineRule="exact"/>
        <w:rPr>
          <w:sz w:val="20"/>
          <w:szCs w:val="20"/>
          <w:color w:val="auto"/>
        </w:rPr>
      </w:pPr>
    </w:p>
    <w:p>
      <w:pPr>
        <w:ind w:right="60" w:firstLine="324"/>
        <w:spacing w:after="0" w:line="340" w:lineRule="auto"/>
        <w:rPr>
          <w:sz w:val="20"/>
          <w:szCs w:val="20"/>
          <w:color w:val="auto"/>
        </w:rPr>
      </w:pPr>
      <w:r>
        <w:rPr>
          <w:rFonts w:ascii="Arial" w:cs="Arial" w:eastAsia="Arial" w:hAnsi="Arial"/>
          <w:sz w:val="15"/>
          <w:szCs w:val="15"/>
          <w:b w:val="1"/>
          <w:bCs w:val="1"/>
          <w:i w:val="1"/>
          <w:iCs w:val="1"/>
          <w:color w:val="auto"/>
        </w:rPr>
        <w:t>If we expand our development and commercialization activities outside of the United States, we will be subject to an increased risk of inadvertently conducting activities in a manner that violates the U.S. Foreign Corrupt Practices Act and similar laws. If that occurs, we may be subject to civil or criminal penalties which could have a material adverse effect on our business, financial condition, results of operations and growth prospects.</w:t>
      </w:r>
    </w:p>
    <w:p>
      <w:pPr>
        <w:spacing w:after="0" w:line="77"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We are subject to the U.S. Foreign Corrupt Practices Act, or the FCPA, which prohibits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 We are also subject to the UK Anti-Bribery Act, which prohibits both domestic and international bribery, as well as bribery across both public and private sectors.</w:t>
      </w:r>
    </w:p>
    <w:p>
      <w:pPr>
        <w:spacing w:after="0" w:line="117"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If we choose to establish and expand our commercial operations outside of the United States we will need to comply with non-U.S. regulatory requirements, will need to establish and expand business relationships with various third parties, and we will interact more frequently with foreign officials, including regulatory authorities. Expanded programs to maintain compliance with such laws will be costly and may not be effective. Any interactions with any such parties or individuals where compensation is provided that are found to be in violation of such laws could result in substantial fines and penalties and could materially harm our business. Furthermore, any finding of a violation under one country’s laws may increase the likelihood that we will be prosecuted and be found to have violated another country’s laws. If our business practices outside the United States are found to be in violation of the FCPA, UK Anti-Bribery Act or other similar laws, we may be subject to significant civil and criminal penalties which could have a material adverse effect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44"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b w:val="1"/>
          <w:bCs w:val="1"/>
          <w:i w:val="1"/>
          <w:iCs w:val="1"/>
          <w:color w:val="auto"/>
        </w:rPr>
        <w:t>Environmental and health safety laws may result in liabilities, expenses and restrictions on our operations. Failure to comply with environmental laws and regulations could subject us to significant liability.</w:t>
      </w:r>
    </w:p>
    <w:p>
      <w:pPr>
        <w:spacing w:after="0" w:line="116"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Federal, state, local and foreign laws regarding environmental protection, hazardous substances and human health and safety may adversely affect our business. Our research and development operations involve the use of hazardous substances and are subject to a variety of federal, state, local and foreign environmental laws and regulations relating to the storage, use, discharge, disposal, remediation of, and human exposure to, hazardous substances and the sale, labeling, collection, recycling, treatment and disposal of products containing hazardous substances. These operations are permitted by regulatory authorities, and the resultant waste materials are disposed of in material compliance with environmental laws and regulations. Using hazardous substances in our operations exposes us to the risk of accidental injury, contamination or other liability from the use, storage, importation, handling or disposal of hazardous materials. If we or our suppliers’ operations result in the contamination of the environment or expose individuals to hazardous substances, we could be liable for damages and fines, and any liability could significantly exceed our insurance coverage and have a material adverse effect on our business, financial condition and results of operations.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harm our financial condition and operating results.</w:t>
      </w:r>
    </w:p>
    <w:p>
      <w:pPr>
        <w:spacing w:after="0" w:line="128"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distributors and vendors may engage in misconduct or other improper activities, including noncompliance with regulatory standards and requirements.</w:t>
      </w:r>
    </w:p>
    <w:p>
      <w:pPr>
        <w:spacing w:after="0" w:line="11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are exposed to the risk that our employees, independent contractors, consultants, commercial collaborators, distributors, suppliers and vendors may engage in misconduct or other improper activities. Misconduct by these parties could include failures to comply with applicable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such misconduct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 self or asserting our rights, those actions could have a significant impact on our business, including the imposition of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117"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b w:val="1"/>
          <w:bCs w:val="1"/>
          <w:i w:val="1"/>
          <w:iCs w:val="1"/>
          <w:color w:val="auto"/>
        </w:rPr>
        <w:t>Demand for our technology could be reduced by legal, social and ethical concerns surrounding the use of genetic information and biological materials.</w:t>
      </w:r>
    </w:p>
    <w:p>
      <w:pPr>
        <w:spacing w:after="0" w:line="116"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Our products may be used to provide genetic information or analyze biological materials from humans and other living organisms. The information obtained from our products could be used in a variety of applications, which may have underlying legal, social and ethical concerns, including the genetic engineering or modification of agricultural products, testing for genetic predisposition for certain medical conditions and stem cell research.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5" w:name="page66"/>
    <w:bookmarkEnd w:id="65"/>
    <w:p>
      <w:pPr>
        <w:spacing w:after="0" w:line="14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Governmental authorities could, for safety, social or other purposes, call for limits on or impose regulations on the use of genetic testing or the use of certain biological materials. Such concerns or governmental restrictions could limit the use of our products, which could have a material adverse effect on our business, financial condition and results of operations.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Related to our Operations</w:t>
      </w:r>
    </w:p>
    <w:p>
      <w:pPr>
        <w:spacing w:after="0" w:line="175"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b w:val="1"/>
          <w:bCs w:val="1"/>
          <w:i w:val="1"/>
          <w:iCs w:val="1"/>
          <w:color w:val="auto"/>
        </w:rPr>
        <w:t>If we experience a significant disruption in our information technology systems or breaches of data security, our business could be adversely affected.</w:t>
      </w:r>
    </w:p>
    <w:p>
      <w:pPr>
        <w:spacing w:after="0" w:line="116"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We rely, or will rely, on information technology systems to keep financial records, facilitate our research and development initiatives, manage our manufacturing operations, maintain quality control, fulfill customer orders, maintain corporate records, communicate with staff and external parties and operate other critical functions. Our information technology systems and those of our vendors and partners are potentially vulnerable to disruption due to breakdown, malicious intrusion and computer viruses or other disruptive events, including, but not limited to, natural disasters and catastrophes. Cyberattacks and other malicious internet-based activity continue to increase and cloud-based platform providers of services have been and are expected to continue to be targeted. Furthermore, there may be a heightened risk of potential cyberattacks by state actors or others since the escalation of the conflicts in Eastern Europe. Methods of attacks on information technology systems and data security breaches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In addition, we have not finalized our information technology and data security procedures and therefore, our information technology systems may be more susceptible to cybersecurity attacks than if such security procedures were finalized. Despite any of our current or future efforts to protect against cybersecurity attacks and data security breaches, there is no guarantee that our efforts are adequate to safeguard against all such attacks and breaches. Moreover, it is possible that we may not be able to anticipate, detect, appropriately react and respond to, or implement effective preventative measures against, all cybersecurity incidents.</w:t>
      </w:r>
    </w:p>
    <w:p>
      <w:pPr>
        <w:spacing w:after="0" w:line="11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If our security measures, or those of our vendors and partners, are compromised due to any cybersecurity attacks or data security breaches, including as a result of third-party action, employee or customer error, malfeasance, stolen or fraudulently obtained log-in credentials or otherwise, our reputation could be damaged, our business and reputation may be harmed, we could become subject to litigation and we could incur significant liability. If we were to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if we are not capable of restoring functionality on an acceptable timeframe. In addition, our information technology systems, and those of our vendors and partners, are potentially vulnerable to data security breaches, whether by internal bad actors, such as employees or other third parties with legitimate access to our or our third-party providers’ systems, or external bad actors, which could lead to the exposure of personal data, sensitive data and confidential information to unauthorized persons. Any such data security breaches could lead to the loss of trade secrets or other intellectual property, or could lead to the exposure of personal information, including sensitive personal information, of our employees, customers and others, any of which could have a material adverse effect on our business, reputation, financial condition and results of operations.</w:t>
      </w:r>
    </w:p>
    <w:p>
      <w:pPr>
        <w:spacing w:after="0" w:line="125"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Additionally, a new privacy law, the California Privacy Rights Act (CPRA), was approved by California voters in the election on November 3, 2020. The CPRA will modify the California Consumer Privacy Act significantly, potentially resulting in further uncertainty and requiring us to incur additional costs and expenses in an effort to comply. In addition, U.S. and international laws and regulations that have been applied to protect user privacy (including laws regarding unfair and deceptive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4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practices in the U.S. and GDPR in the E.U.) may be subject to evolving interpretations or applications. Furthermore, defending a suit, regardless of its merit, could be costly, divert management’s attention and harm our reputation. In addition, although we seek to detect and investigate data security incidents, security breaches and other incidents of unauthorized access to our information technology systems and data can be difficult to detect and any delay in identifying such breaches or incidents may lead to increased harm and legal exposure of the type described above. Moreover, there could be public announcements regarding any cybersecurity incidents and any steps we take to respond to or remediate such incidents, and if securities analysts or investors perceive these announcements to be negative, it could, among other things, have a material adverse effect on the price of our Common Stock.</w:t>
      </w:r>
    </w:p>
    <w:p>
      <w:pPr>
        <w:spacing w:after="0" w:line="110"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The cost of protecting against, investigating, mitigating and responding to potential breaches of our information technology systems and data security breaches and complying with applicable breach notification obligations to individuals, regulators, partners and others can be significant. As cybersecurity incidents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 financial condition, results of operations and prospects.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be unable to manage our anticipated growth effectively.</w:t>
      </w:r>
    </w:p>
    <w:p>
      <w:pPr>
        <w:spacing w:after="0" w:line="171"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Our anticipated growth will place significant strains on our management, operational and manufacturing systems and processes, sales and marketing team, financial systems and internal controls and other aspects of our business. We must upgrade our internal business processes and capabilities to create the scalability that a growing business demands. As of June 30, 2022, we had 124 employees. To execute our anticipated growth successfully, we must continue to attract and retain qualified personnel and manage and train them effectively. Developing and commercializing our Nautilus platform will require us to hire and retain scientific, sales and marketing, software, manufacturing, customer service, distribution and quality assurance personnel. In addition, we expect that we will need to hire additional accounting, finance and other personnel as a public company. As a public company, our management and other personnel will need to devote a substantial amount of time towards maintaining compliance with these requirements and effectively manage these growth activities. We may face challenges integrating, developing and motivating our rapidly growing employee base.</w:t>
      </w:r>
    </w:p>
    <w:p>
      <w:pPr>
        <w:spacing w:after="0" w:line="111" w:lineRule="exact"/>
        <w:rPr>
          <w:sz w:val="20"/>
          <w:szCs w:val="20"/>
          <w:color w:val="auto"/>
        </w:rPr>
      </w:pPr>
    </w:p>
    <w:p>
      <w:pPr>
        <w:ind w:right="560" w:firstLine="324"/>
        <w:spacing w:after="0" w:line="263" w:lineRule="auto"/>
        <w:rPr>
          <w:sz w:val="20"/>
          <w:szCs w:val="20"/>
          <w:color w:val="auto"/>
        </w:rPr>
      </w:pPr>
      <w:r>
        <w:rPr>
          <w:rFonts w:ascii="Arial" w:cs="Arial" w:eastAsia="Arial" w:hAnsi="Arial"/>
          <w:sz w:val="18"/>
          <w:szCs w:val="18"/>
          <w:color w:val="auto"/>
        </w:rPr>
        <w:t>Further, our anticipated growth will place additional strain on our suppliers and manufacturing facilities, resulting in an increased need for us to carefully monitor quality assurance. Any failure by us to manage our growth effectively could have an adverse effect on our ability to achieve our development and commercialization goals.</w:t>
      </w:r>
    </w:p>
    <w:p>
      <w:pPr>
        <w:spacing w:after="0" w:line="130"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Our ability to successfully manage our expected growth is uncertain given the fact that we have been in operation only since 2016. As we continue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anticipated growth, our business, results of operations, financial condition and prospects will be harmed.</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If we are unable to recruit and retain key executives and scientists, we may be unable to achieve our goals.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performance is substantially dependent on the performance of our senior management and key scientific and technical personnel, particularly Sujal Patel, one of our founders and our Chief Executive Officer, and Parag Mallick, one of our founders and our Chief Scientist.</w:t>
      </w:r>
    </w:p>
    <w:p>
      <w:pPr>
        <w:spacing w:after="0" w:line="116"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The loss of the services of any member of our senior management or our scientific or technical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We do not maintain fixed term employment contracts with any of our employees and do not maintain key man life insurance on any of our employees.</w:t>
      </w:r>
    </w:p>
    <w:p>
      <w:pPr>
        <w:spacing w:after="0" w:line="133"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In addition, our research and product development efforts could be delayed or curtailed if we are unable to attract, train and retain highly skilled employees, particularly, senior scientists and engineers. To expand our research and product development efforts, we need additional people skilled in areas such as molecular and cellular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4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biology, biochemistry, surface chemistry, software, bioinformatics, assay development, mechanical engineering, electrical engineering, optics, fluidics and manufacturing. Competition for these people is intense. Because of the complex and technical nature of our system and the dynamic market in which we compete, any failure to attract and retain a sufficient number of qualified employees could materially harm our ability to develop and commercialize our technology. This competition has become exacerbated by the increase in employee resignations in 2021 reported by employers nationwide and continued high rates of employee turnover continuing into 2022. As part of our retention and incentive efforts, in addition to salary and cash incentives, we have issued stock options that vest over time. The value to employees of stock options that vest over time may be significantly affected by decreases in our stock price (whether or not related to or proportional to our operating performance) and may at any time be insufficient to counteract more lucrative offers from other companies. We may face challenges in retaining and recruiting such individuals due to sustained declines in our stock price that could reduce the retention value of equity awards.</w:t>
      </w:r>
    </w:p>
    <w:p>
      <w:pPr>
        <w:spacing w:after="0" w:line="127"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116"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may in the future seek to acquire or invest in businesses, applications or technologies that we believe could complement or expand our Nautilus platform or future products, enhance our technical capabilities or otherwise offer growth opportunities. The pursuit of potential acquisitions may divert the attention of our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3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13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b w:val="1"/>
          <w:bCs w:val="1"/>
          <w:i w:val="1"/>
          <w:iCs w:val="1"/>
          <w:color w:val="auto"/>
        </w:rPr>
        <w:t>The COVID-19 pandemic and efforts to reduce its spread have adversely impacted and are expected to continue to materially and adversely impact, our business and operations.</w:t>
      </w:r>
    </w:p>
    <w:p>
      <w:pPr>
        <w:spacing w:after="0" w:line="116"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The COVID-19 pandemic has had, and is expected to continue to have, an adverse impact on our operations, particularly as a result of preventive and precautionary measures that we, other businesses, and governments are taking. Governmental mandates related to COVID-19 or other infectious diseases, or public health crises, have impacted, and we expect them to continue to impact, our personnel and personnel at our suppliers in the United States and other countries, and the availability or cost of materials, which would disrupt or delay our receipt of instruments, components and supplies from the third parties we rely on. For instance, “stay-at-home” orders were imposed in California, where our primary research and development facility is located, and in Washington state, where our primary corporate facility is located, that required reductions in capacity or shutdowns of businesses as well as the implementation of social distancing protocols and other plans and measures. During March and April of 2020, the volume of ongoing lab work was reduced, and only critical program work in the lab continued with staggered lab employee work shifts to minimize risk of exposure to COVID-19, which has and may continue to disrupt or delay our ability to conduct development activities. Additionally, our suppliers have also been impacted by the COVID-19 pandemic. For example, we have experienced some supply disruptions due to the pandemic, including closures at certain chip manufacturers, which led to extended lead times for certain chips; diversion of certain lab materials needed to support COVID-19 relief efforts; and lower availability of certain reagents.</w:t>
      </w:r>
    </w:p>
    <w:p>
      <w:pPr>
        <w:spacing w:after="0" w:line="12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To the extent that any governmental authority imposes additional regulatory requirements or changes existing laws, regulations, and policies that apply to our business and operations, such as workplace safety measures, our product development may be delayed, and we may incur further costs in bringing our business and operations into compliance with changing or new laws, regulations, and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8" w:name="page69"/>
    <w:bookmarkEnd w:id="68"/>
    <w:p>
      <w:pPr>
        <w:spacing w:after="0" w:line="144" w:lineRule="exact"/>
        <w:rPr>
          <w:sz w:val="20"/>
          <w:szCs w:val="20"/>
          <w:color w:val="auto"/>
        </w:rPr>
      </w:pPr>
    </w:p>
    <w:p>
      <w:pPr>
        <w:jc w:val="both"/>
        <w:ind w:right="120" w:firstLine="324"/>
        <w:spacing w:after="0" w:line="255" w:lineRule="auto"/>
        <w:rPr>
          <w:sz w:val="20"/>
          <w:szCs w:val="20"/>
          <w:color w:val="auto"/>
        </w:rPr>
      </w:pPr>
      <w:r>
        <w:rPr>
          <w:rFonts w:ascii="Arial" w:cs="Arial" w:eastAsia="Arial" w:hAnsi="Arial"/>
          <w:sz w:val="18"/>
          <w:szCs w:val="18"/>
          <w:color w:val="auto"/>
        </w:rPr>
        <w:t>While we are currently in the development stage, we expect that substantially all of our revenue will be derived from sales of our Nautilus platform, including our instruments and consumables, to biopharmaceutical companies and academic and research institutions. As we leave the development stage and enter the next stage of our commercialization plan, the research and development budgets of these customers, the ability of such customers to receive funding for research, and the ability of such customers to receive instrument installations and visitors to their facilities and to travel to our facilities, other laboratories and industry events, will become increasingly important to the adoption of our Nautilus platform. All of these considerations are impacted by factors beyond our control, such as:</w:t>
      </w:r>
    </w:p>
    <w:p>
      <w:pPr>
        <w:spacing w:after="0" w:line="138"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disruptions in the supply chains of entities providing important services and products to our Nautilus platform;</w:t>
      </w:r>
    </w:p>
    <w:p>
      <w:pPr>
        <w:spacing w:after="0" w:line="171" w:lineRule="exact"/>
        <w:rPr>
          <w:rFonts w:ascii="Arial" w:cs="Arial" w:eastAsia="Arial" w:hAnsi="Arial"/>
          <w:sz w:val="18"/>
          <w:szCs w:val="18"/>
          <w:color w:val="auto"/>
        </w:rPr>
      </w:pPr>
    </w:p>
    <w:p>
      <w:pPr>
        <w:ind w:right="100" w:firstLine="332"/>
        <w:spacing w:after="0" w:line="286" w:lineRule="auto"/>
        <w:tabs>
          <w:tab w:leader="none" w:pos="643"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reductions in capacity or shutdowns of laboratories and other institutions as well as other impacts stemming from the COVID-19 pandemic, such as reduced or delayed spending on instruments or consumables as a result of such shutdowns and delays before re-opened laboratories and institutions resume previous levels of research activities that require new purchases of our instruments or consumables;</w:t>
      </w:r>
    </w:p>
    <w:p>
      <w:pPr>
        <w:spacing w:after="0" w:line="111" w:lineRule="exact"/>
        <w:rPr>
          <w:rFonts w:ascii="Arial" w:cs="Arial" w:eastAsia="Arial" w:hAnsi="Arial"/>
          <w:sz w:val="17"/>
          <w:szCs w:val="17"/>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decreases in government funding of research and development; and</w:t>
      </w:r>
    </w:p>
    <w:p>
      <w:pPr>
        <w:spacing w:after="0" w:line="171" w:lineRule="exact"/>
        <w:rPr>
          <w:rFonts w:ascii="Arial" w:cs="Arial" w:eastAsia="Arial" w:hAnsi="Arial"/>
          <w:sz w:val="18"/>
          <w:szCs w:val="18"/>
          <w:color w:val="auto"/>
        </w:rPr>
      </w:pPr>
    </w:p>
    <w:p>
      <w:pPr>
        <w:ind w:right="60" w:firstLine="332"/>
        <w:spacing w:after="0" w:line="263" w:lineRule="auto"/>
        <w:tabs>
          <w:tab w:leader="none" w:pos="643"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to programs that provide funding to research laboratories and institutions, including changes in the amount of funds allocated to different areas of research, changes that have the effect of increasing the length of the funding process or the impact of the COVID-19 pandemic on our customers and potential customers and their funding sources.</w:t>
      </w:r>
    </w:p>
    <w:p>
      <w:pPr>
        <w:spacing w:after="0" w:line="130"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 ultimate impact of the COVID-19 pandemic is highly uncertain and subject to sudden change. This impact could have a material, adverse impact on our liquidity, capital resources, operations and business and those of the third parties on which we rely and could worsen over time. The extent to which the COVID-19 pandemic impacts our results will depend on future developments, which are highly uncertain and cannot be predicted, including new information which may emerge concerning the severity of COVID-19 and the actions to contain COVID-19 or treat its impact, the emergence or further spread of additional variants, and the risk of waning immunity among persons already vaccinated among others. While we do not yet know the full extent of potential impacts on our business, any of these occurrences could significantly harm our business, results of operations and financial condition.</w:t>
      </w:r>
    </w:p>
    <w:p>
      <w:pPr>
        <w:spacing w:after="0" w:line="110"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b w:val="1"/>
          <w:bCs w:val="1"/>
          <w:i w:val="1"/>
          <w:iCs w:val="1"/>
          <w:color w:val="auto"/>
        </w:rPr>
        <w:t>Unfavorable U.S. or global economic conditions as a result of multiple global events, including the COVID-19 pandemic, the conflict in Eastern Europe, increasing interest rates and general economic downturns, could adversely affect our ability to raise capital and our business, results of operations and financial condition.</w:t>
      </w:r>
    </w:p>
    <w:p>
      <w:pPr>
        <w:spacing w:after="0" w:line="13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While the potential economic impact brought by multiple adverse global circumstances, such as the COVID-19 pandemic conflicts in Eastern Europe, increasing interest rates and general economic downturns are difficult to assess or predict, both as to magnitude and duration, these events have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our Nautilus platform and our ability to raise additional capital when needed on favorable terms, if at all. A weak or declining economy could strain our customers’ budgets or cause delays in their payments to us. As a result of such events, we or our contractors, partners and/or suppliers could experience shortages, business disruptions or delays for materials sourced or manufactured in countries affected by such events, and their ability to supply us with services or components may be adversely affected. In addition, our contractors and suppliers have raised and may continue to raise prices for goods and services we employ in our research and development efforts and for components or materials used in our Nautilus platform. Any of the foregoing could harm our business, financial condition and results of operations, and we cannot anticipate all of the ways in which the current economic climate and financial market conditions could adversely impact our ability to raise capital,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9" w:name="page70"/>
    <w:bookmarkEnd w:id="69"/>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Global supply chain interruptions could adversely affect our ability to develop and commercialize our products</w:t>
      </w:r>
      <w:r>
        <w:rPr>
          <w:rFonts w:ascii="Arial" w:cs="Arial" w:eastAsia="Arial" w:hAnsi="Arial"/>
          <w:sz w:val="18"/>
          <w:szCs w:val="18"/>
          <w:b w:val="1"/>
          <w:bCs w:val="1"/>
          <w:color w:val="auto"/>
        </w:rPr>
        <w:t>.</w:t>
      </w:r>
    </w:p>
    <w:p>
      <w:pPr>
        <w:spacing w:after="0" w:line="17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may be subject to supply chain interruptions. Current or future supply chain interruptions that could be exacerbated by global political tensions, such as the situation in Ukraine, could negatively impact our ability to further develop our products or to manufacture and deliver our products or services, which could negatively impact our timelines and business results. For example, as discussed in the risk factor above entitled “</w:t>
      </w:r>
      <w:r>
        <w:rPr>
          <w:rFonts w:ascii="Arial" w:cs="Arial" w:eastAsia="Arial" w:hAnsi="Arial"/>
          <w:sz w:val="16"/>
          <w:szCs w:val="16"/>
          <w:b w:val="1"/>
          <w:bCs w:val="1"/>
          <w:i w:val="1"/>
          <w:iCs w:val="1"/>
          <w:color w:val="auto"/>
        </w:rPr>
        <w:t>The COVID-19 pandemic</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and efforts to reduce its spread have adversely impacted and are expected to continue to materially and adversely impact, our business and operations</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experienced some supply disruptions due to the COVID-19 pandemic, including closures at certain chip manufacturers, which led to extended lead times for certain chips; diversion of certain lab materials needed to support COVID-19 relief efforts; and lower availability of certain reagents, and similar delays could impact us if they recur or are exacerbated due to the situation in Ukraine.</w:t>
      </w:r>
    </w:p>
    <w:p>
      <w:pPr>
        <w:spacing w:after="0" w:line="112"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b w:val="1"/>
          <w:bCs w:val="1"/>
          <w:i w:val="1"/>
          <w:iCs w:val="1"/>
          <w:color w:val="auto"/>
        </w:rPr>
        <w:t>If our facilities become unavailable or inoperable, our research and development program and commercialization launch plan could be adversely impacted and manufacturing of our instruments and consumables could be interrupted.</w:t>
      </w:r>
    </w:p>
    <w:p>
      <w:pPr>
        <w:spacing w:after="0" w:line="116"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Our Seattle, Washington, facility houses our corporate executive team and our software development operations, while our San Carlos, California facility houses our research and development team.</w:t>
      </w:r>
    </w:p>
    <w:p>
      <w:pPr>
        <w:spacing w:after="0" w:line="116"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Our facilities in Seattle and San Carlos are vulnerable to natural disasters, public health crises, including the impact of the COVID-19 pandemic, and catastrophic events. For example, our San Carlos facilities are located near earthquake fault zones and are vulnerable to damage from earthquakes as well as other types of disasters, including fires, floods, power loss, communications failures and similar events. If any disaster, public health crisis or catastrophic event were to occur, our ability to operate our business would be seriously, or potentially completely, impaired. If our facilities become unavailable for any reason, we cannot provide assurances that we will be able to secure alternative facilities with the necessary capabilities and equipment on acceptable terms, if at all. We may encounter particular difficulties in replacing our San Carlos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w:t>
      </w:r>
    </w:p>
    <w:p>
      <w:pPr>
        <w:spacing w:after="0" w:line="111"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If our research and development program or planned commercialization program were disrupted by a disaster or catastrophe, the launch of new products, including our Nautilus platform, and the timing of improvements to our products could be significantly delayed and could adversely impact our ability to compete with other available products and solutions. If our capabilities are impaired, we may not be able to manufacture and ship our products in a timely manner, which would adversely impact our business. Although we possess insurance for damage to our property and the disruption of our business, this insurance may not be sufficient to cover all of our potential losses and may not continue to be available to us on acceptable terms, or at all.</w:t>
      </w:r>
    </w:p>
    <w:p>
      <w:pPr>
        <w:spacing w:after="0" w:line="107"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b w:val="1"/>
          <w:bCs w:val="1"/>
          <w:i w:val="1"/>
          <w:iCs w:val="1"/>
          <w:color w:val="auto"/>
        </w:rPr>
        <w:t>We use hazardous chemicals and biological materials in our business. Any claims relating to improper handling, storage or disposal of these materials could be time consuming and costly.</w:t>
      </w:r>
    </w:p>
    <w:p>
      <w:pPr>
        <w:spacing w:after="0" w:line="116"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Our research and development processes involve the controlled use of hazardous materials, including select chemicals that may be flammables, toxic or corrosives, as well as potential biohazard materials. We cannot eliminate the risk of accidental contamination or discharge and any resultant injury from these materials. In addition, our Nautilus platform involves the use of a high-powered laser system, which could result in injury. We may be sued for any injury or contamination that results from our use or the use by third parties of these materials. We do not currently maintain separate environmental liability coverage and any such contamination or discharge could result in significant cost to us in penalties, damages and suspension of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0" w:name="page71"/>
    <w:bookmarkEnd w:id="70"/>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Related to Our Common Stock</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 active trading market for our Common Stock may never develop or be sustained.</w:t>
      </w:r>
    </w:p>
    <w:p>
      <w:pPr>
        <w:spacing w:after="0" w:line="17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Prior to the Business Combination, there was no public trading market for Legacy Nautilus’ Common Stock. Although our Common Stock is listed on the Nasdaq Global Select Market, the market for our shares has demonstrated varying levels of trading activity. If an active trading market does not develop, or develops but is not maintained, you may have difficulty selling any of our Common Stock due to the limited public float. We cannot predict the prices at which our Common Stock will trade. It is possible that in one or more future periods our results of operations and progression of our product pipeline may not meet the expectations of public market analysts and investors, and, as a result of these and other factors, the price of our Common Stock may fall. Accordingly, we cannot assure you of your ability to sell your shares of our Common Stock when desired or at prices at or above the price you paid for your shares or at all.</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market price of our Common Stock may be volatile, which could result in substantial losses for investors.</w:t>
      </w:r>
    </w:p>
    <w:p>
      <w:pPr>
        <w:spacing w:after="0" w:line="171"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 trading price of our Common Stock has been and may continue to be highly volatile and could be subject to wide fluctuations in response to various factors, some of which are beyond our control.</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market price of our Common Stock may fluctuate due to a variety of factors, including:</w:t>
      </w:r>
    </w:p>
    <w:p>
      <w:pPr>
        <w:spacing w:after="0" w:line="171" w:lineRule="exact"/>
        <w:rPr>
          <w:sz w:val="20"/>
          <w:szCs w:val="20"/>
          <w:color w:val="auto"/>
        </w:rPr>
      </w:pPr>
    </w:p>
    <w:p>
      <w:pPr>
        <w:ind w:right="40" w:firstLine="332"/>
        <w:spacing w:after="0" w:line="277" w:lineRule="auto"/>
        <w:tabs>
          <w:tab w:leader="none" w:pos="643"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timing of the launch and commercialization of our products and degree to which such launch and commercialization meets the expectations of securities analysts and investors;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including fluctuations in our quarterly and annual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operating expenses being more than anticipated;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failure or discontinuation of any of our product development and research programs;</w:t>
      </w:r>
    </w:p>
    <w:p>
      <w:pPr>
        <w:spacing w:after="0" w:line="171" w:lineRule="exact"/>
        <w:rPr>
          <w:rFonts w:ascii="Arial" w:cs="Arial" w:eastAsia="Arial" w:hAnsi="Arial"/>
          <w:sz w:val="18"/>
          <w:szCs w:val="18"/>
          <w:color w:val="auto"/>
        </w:rPr>
      </w:pPr>
    </w:p>
    <w:p>
      <w:pPr>
        <w:ind w:right="280" w:firstLine="332"/>
        <w:spacing w:after="0" w:line="277" w:lineRule="auto"/>
        <w:tabs>
          <w:tab w:leader="none" w:pos="643"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structure or funding of research at academic and research laboratories and institutions, including changes that would affect their ability to purchase our instruments or consumables;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success of existing or new competitive businesses or technologies;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announcements about new research programs or products of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litigation and governmental investigations involving us, our industry or both;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volatility and variations in market conditions in the life sciences technology sector generally, or the proteomics or genomics sectors specifically;</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investor perceptions of us or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level of expenses related to any of our research and development programs or products;</w:t>
      </w:r>
    </w:p>
    <w:p>
      <w:pPr>
        <w:spacing w:after="0" w:line="171" w:lineRule="exact"/>
        <w:rPr>
          <w:rFonts w:ascii="Arial" w:cs="Arial" w:eastAsia="Arial" w:hAnsi="Arial"/>
          <w:sz w:val="18"/>
          <w:szCs w:val="18"/>
          <w:color w:val="auto"/>
        </w:rPr>
      </w:pPr>
    </w:p>
    <w:p>
      <w:pPr>
        <w:ind w:firstLine="332"/>
        <w:spacing w:after="0" w:line="263" w:lineRule="auto"/>
        <w:tabs>
          <w:tab w:leader="none" w:pos="643"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Common Stock or companies that are perceived to be similar to us;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whether our financial results meet the expectations of securities analysts or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1" w:name="page72"/>
    <w:bookmarkEnd w:id="71"/>
    <w:p>
      <w:pPr>
        <w:spacing w:after="0" w:line="144"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announcement or expectation of additional financing efforts;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sales of our Common Stock by us or by our insiders or other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expiration of market standoff or lock-up agreements;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COVID-19 pandemic, natural disasters or major catastrophic events.</w:t>
      </w:r>
    </w:p>
    <w:p>
      <w:pPr>
        <w:spacing w:after="0" w:line="17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Recently, stock markets in general, and the market for life sciences technology companies in particular, have experienced significant price and volume fluctuations that have often been unrelated or disproportionate to changes in the operating performance of the companies whose stock is experiencing those price and volume fluctuations, particularly in light of the current COVID-19 pandemic. Broad market and industry factors may seriously affect the market price of our Common Stock, regardless of our actual operating performance. These fluctuations may be even more pronounced in the trading market for our Common Stock. Following periods of such volatility in the market price of a company’s securities, securities class action litigation has often been brought against that company. Because of the potential volatility of our Common Stock price, we may become the target of securities litigation in the future. Securities litigation could result in substantial costs and divert management’s attention and resources from our business.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There can be no assurance that we will be able to comply with the continued listing standards of Nasdaq.</w:t>
      </w:r>
    </w:p>
    <w:p>
      <w:pPr>
        <w:spacing w:after="0" w:line="171"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If Nasdaq delists our shares of Common Stock from trading on its exchange for failure to meet Nasdaq’s listing standards, we and our stockholders could face significant material adverse consequences including:</w:t>
      </w:r>
    </w:p>
    <w:p>
      <w:pPr>
        <w:spacing w:after="0" w:line="116"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171" w:lineRule="exact"/>
        <w:rPr>
          <w:rFonts w:ascii="Arial" w:cs="Arial" w:eastAsia="Arial" w:hAnsi="Arial"/>
          <w:sz w:val="18"/>
          <w:szCs w:val="18"/>
          <w:color w:val="auto"/>
        </w:rPr>
      </w:pPr>
    </w:p>
    <w:p>
      <w:pPr>
        <w:ind w:right="200" w:firstLine="332"/>
        <w:spacing w:after="0" w:line="277" w:lineRule="auto"/>
        <w:tabs>
          <w:tab w:leader="none" w:pos="643"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limited amount of new and analyst coverage;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7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Common Stock and will be able to exercise significant influence over matters subject to stockholder approval.</w:t>
      </w:r>
    </w:p>
    <w:p>
      <w:pPr>
        <w:spacing w:after="0" w:line="116"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As of June 30, 2022, our directors, executive officers, holders of more than 5% of our outstanding shares of Common Stock and their respective affiliates beneficially owned, collectively, approximately 68.3% of the outstanding shares of Common Stock. As a result, these stockholders, if they act together, may significantly influence all matters requiring stockholder approval, including the election of directors and approval of significant corporate transactions. This concentration of ownership may have the effect of delaying or preventing a change in control of our company that our other stockholders may believe is in their best interests. This in turn could have a material adverse effect on our stock price and may prevent attempts by our stockholders to replace or remove the board of directors or management.</w:t>
      </w:r>
    </w:p>
    <w:p>
      <w:pPr>
        <w:spacing w:after="0" w:line="138"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b w:val="1"/>
          <w:bCs w:val="1"/>
          <w:i w:val="1"/>
          <w:iCs w:val="1"/>
          <w:color w:val="auto"/>
        </w:rPr>
        <w:t>The sale or the perception of future sales of a substantial number of shares of our Common Stock could cause the market price of our Common Stock to drop significantly, even if our business is doing well.</w:t>
      </w:r>
    </w:p>
    <w:p>
      <w:pPr>
        <w:spacing w:after="0" w:line="116"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44"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Pursuant to the Amended and Restated Registration Rights and Lock-Up Agreement (the “Registration Rights and Lock-Up Agreement”) and the Subscription Agreements entered into in connection with the PIPE Financing, we have filed resale registration statements to provide for the resale of the shares issued in the PIPE Financing and the shares of our Common Stock held by the parties to the Registration Rights and Lock-Up Agreement. The market price of our Common Stock could decline if the holders whose shares are registered under such registration statements sell their shares or are perceived by the market as intending to sell their shares.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do not expect to pay any dividends for the foreseeable future. Investors may never obtain a return on their investment.</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You should not rely on an investment in our Common Stock to provide dividend income. We do not anticipate that we will pay any dividends to holders of our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Common Stock. Accordingly, investors must rely on sales of our Common Stock after price appreciation, which may never occur, as the only way to realize any return on their investment. As a result, investors seeking cash dividends should not purchase our Common Stock.</w:t>
      </w:r>
    </w:p>
    <w:p>
      <w:pPr>
        <w:spacing w:after="0" w:line="138"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b w:val="1"/>
          <w:bCs w:val="1"/>
          <w:i w:val="1"/>
          <w:iCs w:val="1"/>
          <w:color w:val="auto"/>
        </w:rPr>
        <w:t>Our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spacing w:after="0" w:line="117"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Our Bylaws provide that, unless we consent in writing to the selection of an alternative forum (an “Alternative Forum Consent”),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our behalf, (ii) any action asserting a claim of breach of a fiduciary duty owed by any of our directors, officers, stockholders or other employees to us or our stockholders, (iii) any action arising pursuant to any provision of the Delaware General Corporation Law or our Certificate of Incorporation or bylaws (each, as may be amended from time to time), or (iv) any action asserting a claim governed by the internal affairs doctrine of the State of Delaware, except for any claim as to which the court does not have jurisdiction over an indispensable party to that claim. The foregoing shall not apply to any claims under the Exchange Act or the Securities Act of 1933, as amended (the “Securities Act”). In addition, unless we give an Alternative Forum Consent, the federal district courts of the United States shall be the sole and exclusive forum for resolving any action asserting a claim arising under the Securities Act.</w:t>
      </w:r>
    </w:p>
    <w:p>
      <w:pPr>
        <w:spacing w:after="0" w:line="11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bylaws also provide that, unless we consent in writing to the selection of an alternative forum, the federal district courts of the United States of America will be the exclusive forum for resolving any complaint asserting a cause of action arising under the Securities Act.</w:t>
      </w:r>
    </w:p>
    <w:p>
      <w:pPr>
        <w:spacing w:after="0" w:line="134"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officers, stockholders, or other employees, which may discourage lawsuits with respect to such claims against us and our current and former directors, officers, stockholders, or other employees. In addition, a stockholder that is unable to bring a claim in the judicial forum of its choosing may be required to incur additional costs in the pursuit of actions which are subject to the exclusive forum provisions described above.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3" w:name="page74"/>
    <w:bookmarkEnd w:id="73"/>
    <w:p>
      <w:pPr>
        <w:spacing w:after="0" w:line="144"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stockholders will not be deemed to have waived our compliance with the federal securities laws and the rules and regulations thereunder as a result of our exclusive forum provisions. Further, in the event a court finds either exclusive forum provision contained in our bylaws to be unenforceable or inapplicable in an action, we may incur additional costs associated with resolving such action in other jurisdictions, which could harm our results of operations.</w:t>
      </w:r>
    </w:p>
    <w:p>
      <w:pPr>
        <w:spacing w:after="0" w:line="9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b w:val="1"/>
          <w:bCs w:val="1"/>
          <w:i w:val="1"/>
          <w:iCs w:val="1"/>
          <w:color w:val="auto"/>
        </w:rPr>
        <w:t>Delaware law and provisions in our certificate of incorporation and bylaws might discourage, delay or prevent a change in control of our company or changes in our management and, therefore, depress the trading price of our Common Stock.</w:t>
      </w:r>
    </w:p>
    <w:p>
      <w:pPr>
        <w:spacing w:after="0" w:line="11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without the approval of holders of 66 2/3% of the voting power of our stockholders other than the interested stockholder, even if a change of control would be beneficial to our existing stockholders. In addition, our certificate of incorporation and bylaws contain provisions that may make the acquisition of our company more difficult, including the following:</w:t>
      </w:r>
    </w:p>
    <w:p>
      <w:pPr>
        <w:spacing w:after="0" w:line="134" w:lineRule="exact"/>
        <w:rPr>
          <w:sz w:val="20"/>
          <w:szCs w:val="20"/>
          <w:color w:val="auto"/>
        </w:rPr>
      </w:pPr>
    </w:p>
    <w:p>
      <w:pPr>
        <w:ind w:right="260" w:firstLine="332"/>
        <w:spacing w:after="0" w:line="308" w:lineRule="auto"/>
        <w:tabs>
          <w:tab w:leader="none" w:pos="643"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board of directors is classified into three classes of directors with staggered three-year terms and directors are only able to be removed from office for cause by the affirmative vote of holders of at least two-thirds of the voting power of our then outstanding capital stock;</w:t>
      </w:r>
    </w:p>
    <w:p>
      <w:pPr>
        <w:spacing w:after="0" w:line="92" w:lineRule="exact"/>
        <w:rPr>
          <w:rFonts w:ascii="Arial" w:cs="Arial" w:eastAsia="Arial" w:hAnsi="Arial"/>
          <w:sz w:val="17"/>
          <w:szCs w:val="17"/>
          <w:color w:val="auto"/>
        </w:rPr>
      </w:pPr>
    </w:p>
    <w:p>
      <w:pPr>
        <w:ind w:right="380" w:firstLine="332"/>
        <w:spacing w:after="0" w:line="277" w:lineRule="auto"/>
        <w:tabs>
          <w:tab w:leader="none" w:pos="643" w:val="left"/>
        </w:tabs>
        <w:numPr>
          <w:ilvl w:val="0"/>
          <w:numId w:val="46"/>
        </w:numPr>
        <w:rPr>
          <w:rFonts w:ascii="Arial" w:cs="Arial" w:eastAsia="Arial" w:hAnsi="Arial"/>
          <w:sz w:val="18"/>
          <w:szCs w:val="18"/>
          <w:color w:val="auto"/>
        </w:rPr>
      </w:pPr>
      <w:r>
        <w:rPr>
          <w:rFonts w:ascii="Arial" w:cs="Arial" w:eastAsia="Arial" w:hAnsi="Arial"/>
          <w:sz w:val="18"/>
          <w:szCs w:val="18"/>
          <w:color w:val="auto"/>
        </w:rPr>
        <w:t>certain amendments to our certificate of incorporation require the approval of stockholders holding two-thirds of the voting power of our then outstanding capital stock;</w:t>
      </w:r>
    </w:p>
    <w:p>
      <w:pPr>
        <w:spacing w:after="0" w:line="116" w:lineRule="exact"/>
        <w:rPr>
          <w:rFonts w:ascii="Arial" w:cs="Arial" w:eastAsia="Arial" w:hAnsi="Arial"/>
          <w:sz w:val="18"/>
          <w:szCs w:val="18"/>
          <w:color w:val="auto"/>
        </w:rPr>
      </w:pPr>
    </w:p>
    <w:p>
      <w:pPr>
        <w:ind w:right="300" w:firstLine="332"/>
        <w:spacing w:after="0" w:line="277" w:lineRule="auto"/>
        <w:tabs>
          <w:tab w:leader="none" w:pos="643"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stockholder-proposed amendment to certain provisions of our bylaws require the approval of stockholders holding two-thirds of the voting power of our then outstanding capital stock;</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stockholders are only able to take action at a meeting of stockholders and are not able to take action by written consent for any matter;</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vacancies on our board of directors are able to be filled only by our board of directors and not by stockholders;</w:t>
      </w:r>
    </w:p>
    <w:p>
      <w:pPr>
        <w:spacing w:after="0" w:line="171" w:lineRule="exact"/>
        <w:rPr>
          <w:rFonts w:ascii="Arial" w:cs="Arial" w:eastAsia="Arial" w:hAnsi="Arial"/>
          <w:sz w:val="18"/>
          <w:szCs w:val="18"/>
          <w:color w:val="auto"/>
        </w:rPr>
      </w:pPr>
    </w:p>
    <w:p>
      <w:pPr>
        <w:ind w:right="320" w:firstLine="332"/>
        <w:spacing w:after="0" w:line="277" w:lineRule="auto"/>
        <w:tabs>
          <w:tab w:leader="none" w:pos="643"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only the chair of our board of directors, our chief executive officer, our president or a majority of our board of directors are authorized to call a special meeting of stockholders;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certain litigation against us can only be brought in Delaware;</w:t>
      </w:r>
    </w:p>
    <w:p>
      <w:pPr>
        <w:spacing w:after="0" w:line="171" w:lineRule="exact"/>
        <w:rPr>
          <w:rFonts w:ascii="Arial" w:cs="Arial" w:eastAsia="Arial" w:hAnsi="Arial"/>
          <w:sz w:val="18"/>
          <w:szCs w:val="18"/>
          <w:color w:val="auto"/>
        </w:rPr>
      </w:pPr>
    </w:p>
    <w:p>
      <w:pPr>
        <w:ind w:right="140" w:firstLine="332"/>
        <w:spacing w:after="0" w:line="277" w:lineRule="auto"/>
        <w:tabs>
          <w:tab w:leader="none" w:pos="643"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certificate of incorporation authorizes undesignated preferred stock, the terms of which may be established by our Board and shares of which may be issued, without the approval of the holders of our capital stock; and</w:t>
      </w:r>
    </w:p>
    <w:p>
      <w:pPr>
        <w:spacing w:after="0" w:line="116" w:lineRule="exact"/>
        <w:rPr>
          <w:rFonts w:ascii="Arial" w:cs="Arial" w:eastAsia="Arial" w:hAnsi="Arial"/>
          <w:sz w:val="18"/>
          <w:szCs w:val="18"/>
          <w:color w:val="auto"/>
        </w:rPr>
      </w:pPr>
    </w:p>
    <w:p>
      <w:pPr>
        <w:ind w:right="140" w:firstLine="332"/>
        <w:spacing w:after="0" w:line="277" w:lineRule="auto"/>
        <w:tabs>
          <w:tab w:leader="none" w:pos="643"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advance notice procedures apply for stockholders to nominate candidates for election as directors or to bring matters before an annual meeting of stockholders.</w:t>
      </w:r>
    </w:p>
    <w:p>
      <w:pPr>
        <w:spacing w:after="0" w:line="1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These anti-takeover defenses could discourage, delay, or prevent a transaction involving our change in control.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 Risk Factors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will incur significant increased costs and management resources as a result of operating as a public company.</w:t>
      </w:r>
    </w:p>
    <w:p>
      <w:pPr>
        <w:spacing w:after="0" w:line="171"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As a public company, we will incur significant legal, accounting, compliance and other expenses that we did not incur as a private company and these expenses may increase even more after we are no longer an “emerging growth company.” Our management and other personnel will need to devote a substantial amount of time and incur significant expense in connection with compliance initiatives. As a public company, we will bear all of the internal and external costs of preparing and distributing periodic public reports in compliance with our obligations under the securities laws.</w:t>
      </w:r>
    </w:p>
    <w:p>
      <w:pPr>
        <w:spacing w:after="0" w:line="117"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In addition, regulations and standards relating to corporate governance and public disclosure, including the SOX, and the related rules and regulations implemented by the SEC and The Nasdaq Stock Market LLC, have increased legal and financial compliance costs and will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for our board of directors, particularly to serve on our audit committee and compensation committee, and qualified executive officers.</w:t>
      </w:r>
    </w:p>
    <w:p>
      <w:pPr>
        <w:spacing w:after="0" w:line="127" w:lineRule="exact"/>
        <w:rPr>
          <w:sz w:val="20"/>
          <w:szCs w:val="20"/>
          <w:color w:val="auto"/>
        </w:rPr>
      </w:pPr>
    </w:p>
    <w:p>
      <w:pPr>
        <w:ind w:left="340" w:right="40"/>
        <w:spacing w:after="0" w:line="423" w:lineRule="auto"/>
        <w:rPr>
          <w:sz w:val="20"/>
          <w:szCs w:val="20"/>
          <w:color w:val="auto"/>
        </w:rPr>
      </w:pPr>
      <w:r>
        <w:rPr>
          <w:rFonts w:ascii="Arial" w:cs="Arial" w:eastAsia="Arial" w:hAnsi="Arial"/>
          <w:sz w:val="15"/>
          <w:szCs w:val="15"/>
          <w:b w:val="1"/>
          <w:bCs w:val="1"/>
          <w:i w:val="1"/>
          <w:iCs w:val="1"/>
          <w:color w:val="auto"/>
        </w:rPr>
        <w:t xml:space="preserve">We have broad discretion in the use of the net proceeds from the Business Combination and the PIPE Financing and may not use them effectively. </w:t>
      </w:r>
      <w:r>
        <w:rPr>
          <w:rFonts w:ascii="Arial" w:cs="Arial" w:eastAsia="Arial" w:hAnsi="Arial"/>
          <w:sz w:val="15"/>
          <w:szCs w:val="15"/>
          <w:color w:val="auto"/>
        </w:rPr>
        <w:t>We cannot specify with certainty the particular uses of the net proceeds we received from the Business Combination and the PIPE Financing. Our</w:t>
      </w:r>
    </w:p>
    <w:p>
      <w:pPr>
        <w:spacing w:after="0" w:line="253" w:lineRule="auto"/>
        <w:rPr>
          <w:sz w:val="20"/>
          <w:szCs w:val="20"/>
          <w:color w:val="auto"/>
        </w:rPr>
      </w:pPr>
      <w:r>
        <w:rPr>
          <w:rFonts w:ascii="Arial" w:cs="Arial" w:eastAsia="Arial" w:hAnsi="Arial"/>
          <w:sz w:val="18"/>
          <w:szCs w:val="18"/>
          <w:color w:val="auto"/>
        </w:rPr>
        <w:t>management will have broad discretion in the application of the net proceeds. Our management may spend a portion or all of the net proceeds in ways that our stockholders may not desire or that may not yield a favorable return. The failure by our management to apply these funds effectively could harm our business, financial condition, results of operations and prospects. Pending their use, we may invest the net proceeds from the Business Combination and the PIPE Financing in a manner that does not produce income or that loses value.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17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As of December 31, 2021, we had U.S. federal and state net operating loss carryforwards, or NOLs, of $0.5 million for federal and $9.1 million for state, which if not utilized will expire in 2037. Federal net operating loss carryforwards of $31.6 million that arose after the 2017 tax year will carryforward indefinitely. We may use these NOLs to offset against taxable income for U.S. federal and state income tax purposes. However, Section 382 of the Internal Revenue Code of 1986, as amended, may limit the NOLs we may use in any year for U.S. federal income tax purposes in the event of certain changes in our ownership. A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conducted a 382 study to determine whether the use of our NOLs is impaired. We may have previously undergone an “ownership change.” In addition, the future issuances or sales of our stock, including certain transactions involving our stock that are outside of our control, could result in future “ownership changes.” “Ownership changes” that have occurred in the past or that may occur in the future could result in the imposition of an annual limit on the amount of pre-ownership change NOLs and other tax attributes we can use to reduce our taxable income, potentially increasing and accelerating our liability for income taxes, and also potentially causing those tax attributes to expire unused. States may impose other limitations on the use of our NOLs. Any limitation on using NOLs could, depending on the extent of such limitation and the NOLs previously used, result in our retaining less cash after payment of U.S. federal and state income taxes during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5" w:name="page76"/>
    <w:bookmarkEnd w:id="75"/>
    <w:p>
      <w:pPr>
        <w:spacing w:after="0" w:line="14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any year in which we have taxable income, rather than losses, than we would be entitled to retain if such NOLs were available as an offset against such income for U.S. federal and state income tax reporting purposes, which could adversely impact our operating results.</w:t>
      </w:r>
    </w:p>
    <w:p>
      <w:pPr>
        <w:spacing w:after="0" w:line="11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in a timely manner or prevent fraud, which would harm our business.</w:t>
      </w:r>
    </w:p>
    <w:p>
      <w:pPr>
        <w:spacing w:after="0" w:line="116"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 manner, or at all. In addition, any testing by us conducted in connection with Section 404(a) of the Sarbanes-Oxley Act of 2002 (“SOX”) or any subsequent testing by our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financial statements or identify other areas for further attention or improvement. Ineffective internal controls could also cause investors to lose confidence in our reported financial information, which could have a negative effect on the trading price of our Common Stock.</w:t>
      </w:r>
    </w:p>
    <w:p>
      <w:pPr>
        <w:spacing w:after="0" w:line="124"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We will be required to disclose material changes made in our internal controls over financing reporting and procedures on a quarterly basis and our management will be required to assess the effectiveness of these controls annually. We will be required to make a formal assessment of the effectiveness of our internal control over financial reporting, and once we cease to be an “emerging growth company” under the Jumpstart Our Business Startups Act of 2012 (the “JOBS Act”), we will be required to include an attestation report on internal control over financial reporting issued by our independent registered public accounting firm. However, for as long as we are an “emerging growth company,” our independent registered public accounting firm will not be required to attest to the effectiveness of our internal controls over financial reporting pursuant to Section 404(b) of SOX.</w:t>
      </w:r>
    </w:p>
    <w:p>
      <w:pPr>
        <w:spacing w:after="0" w:line="11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To achieve compliance with Section 404(a) of SOX within the prescribed period, we have engaged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 independent assessment of the effectiveness of our internal controls could detect problems that our management’s assessment might not identify.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Undetected material weaknesses in our internal controls could lead to financial statement restatements and require us to incur the expense of remediation.</w:t>
      </w:r>
    </w:p>
    <w:p>
      <w:pPr>
        <w:spacing w:after="0" w:line="180"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Common Stock.</w:t>
      </w:r>
    </w:p>
    <w:p>
      <w:pPr>
        <w:spacing w:after="0" w:line="13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and expenses that are not readily apparent from other sources. For example, in connection with the implementation of the new revenue accounting standard if and when we have product sales, management makes judgments and assumptions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judgements relating to our critical accounting policies change or if actual circumstances differ from our assumptions, estimates or judgements, our operating results may be adversely affected and could fall below our publicly announced guidance or the expectations of securities analysts and investors, resulting in a decline in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44" w:lineRule="exact"/>
        <w:rPr>
          <w:sz w:val="20"/>
          <w:szCs w:val="20"/>
          <w:color w:val="auto"/>
        </w:rPr>
      </w:pPr>
    </w:p>
    <w:p>
      <w:pPr>
        <w:ind w:right="460" w:firstLine="324"/>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92"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are an “emerging growth company,” as defined in the JOBS Act. For so long as we remain an emerging growth company, we are permitted by SEC rules and plan to rely on exemptions from certain disclosure requirements that are applicable to other SEC registered public companies that are not emerging growth companies. These exemptions include not being required to comply with the auditor attestation requirements of Section 404 of SOX,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that are not emerging growth companies. To the extent that we continue to qualify as a “smaller reporting company,” as such term is defined in Rule 12b-2 under the Securities Exchange Act of 1934, as amended (the “Exchange Act”), after we cease to qualify as an emerging growth company, we will continue to be permitted to make certain reduced disclosures in our periodic reports and other documents that we file with the SEC.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32"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13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b w:val="1"/>
          <w:bCs w:val="1"/>
          <w:i w:val="1"/>
          <w:iCs w:val="1"/>
          <w:color w:val="auto"/>
        </w:rPr>
        <w:t>Reports published by analysts, including projections in those reports that differ from our actual results, could adversely affect the price and trading volume of our common shares.</w:t>
      </w:r>
    </w:p>
    <w:p>
      <w:pPr>
        <w:spacing w:after="0" w:line="116"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Securities research analysts may establish and publish their own periodic projections for us. These projections may vary widely and may not accurately predict the results we actually achieve. The share price of our Common Stock may decline if our actual results do not match the projections of these securities research analysts. Similarly, if one or more of the analysts who write reports on us downgrades our stock or publishes inaccurate or unfavorable research about our business, the share price of our Common Stock could decline. If one or more of these analysts ceases coverage of us or fails to publish reports on us regularly, the share price or trading volume of our Common Stock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7" w:name="page78"/>
    <w:bookmarkEnd w:id="77"/>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78" w:name="page79"/>
    <w:bookmarkEnd w:id="78"/>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gridSpan w:val="2"/>
          </w:tcPr>
          <w:p>
            <w:pPr>
              <w:ind w:left="26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660" w:type="dxa"/>
            <w:vAlign w:val="bottom"/>
            <w:gridSpan w:val="8"/>
            <w:vMerge w:val="restart"/>
          </w:tcPr>
          <w:p>
            <w:pPr>
              <w:ind w:left="32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660" w:type="dxa"/>
            <w:vAlign w:val="bottom"/>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9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10.1*+</w:t>
            </w:r>
          </w:p>
        </w:tc>
        <w:tc>
          <w:tcPr>
            <w:tcW w:w="2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20" w:type="dxa"/>
            <w:vAlign w:val="bottom"/>
            <w:tcBorders>
              <w:top w:val="single" w:sz="8" w:color="auto"/>
            </w:tcBorders>
            <w:gridSpan w:val="9"/>
          </w:tcPr>
          <w:p>
            <w:pPr>
              <w:spacing w:after="0" w:line="184" w:lineRule="exact"/>
              <w:rPr>
                <w:rFonts w:ascii="Arial" w:cs="Arial" w:eastAsia="Arial" w:hAnsi="Arial"/>
                <w:sz w:val="18"/>
                <w:szCs w:val="18"/>
                <w:color w:val="0000FF"/>
              </w:rPr>
            </w:pPr>
            <w:hyperlink w:anchor="page81">
              <w:r>
                <w:rPr>
                  <w:rFonts w:ascii="Arial" w:cs="Arial" w:eastAsia="Arial" w:hAnsi="Arial"/>
                  <w:sz w:val="18"/>
                  <w:szCs w:val="18"/>
                  <w:color w:val="0000FF"/>
                </w:rPr>
                <w:t>Offer Letter between Nautilus Biotechnology, Inc. and Mary Godwin dated July 26, 2022</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ind w:left="20"/>
              <w:spacing w:after="0"/>
              <w:rPr>
                <w:sz w:val="20"/>
                <w:szCs w:val="20"/>
                <w:color w:val="auto"/>
              </w:rPr>
            </w:pPr>
            <w:r>
              <w:rPr>
                <w:rFonts w:ascii="Arial" w:cs="Arial" w:eastAsia="Arial" w:hAnsi="Arial"/>
                <w:sz w:val="16"/>
                <w:szCs w:val="16"/>
                <w:color w:val="auto"/>
              </w:rPr>
              <w:t>10.2*+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80" w:type="dxa"/>
            <w:vAlign w:val="bottom"/>
            <w:tcBorders>
              <w:bottom w:val="single" w:sz="8" w:color="0000FF"/>
            </w:tcBorders>
            <w:gridSpan w:val="4"/>
          </w:tcPr>
          <w:p>
            <w:pPr>
              <w:spacing w:after="0"/>
              <w:rPr>
                <w:rFonts w:ascii="Arial" w:cs="Arial" w:eastAsia="Arial" w:hAnsi="Arial"/>
                <w:sz w:val="18"/>
                <w:szCs w:val="18"/>
                <w:color w:val="0000FF"/>
                <w:w w:val="90"/>
              </w:rPr>
            </w:pPr>
            <w:hyperlink w:anchor="page85">
              <w:r>
                <w:rPr>
                  <w:rFonts w:ascii="Arial" w:cs="Arial" w:eastAsia="Arial" w:hAnsi="Arial"/>
                  <w:sz w:val="18"/>
                  <w:szCs w:val="18"/>
                  <w:color w:val="0000FF"/>
                  <w:w w:val="90"/>
                </w:rPr>
                <w:t xml:space="preserve">Change in Control and Severance Agreement between Nautilus Biotechnology, Inc. and Mary Godwin dated June </w:t>
              </w:r>
            </w:hyperlink>
            <w:r>
              <w:rPr>
                <w:rFonts w:ascii="Arial" w:cs="Arial" w:eastAsia="Arial" w:hAnsi="Arial"/>
                <w:sz w:val="18"/>
                <w:szCs w:val="18"/>
                <w:color w:val="0000FF"/>
                <w:w w:val="90"/>
              </w:rPr>
              <w:t xml:space="preserve">27, </w:t>
            </w:r>
            <w:hyperlink w:anchor="page85">
              <w:r>
                <w:rPr>
                  <w:rFonts w:ascii="Arial" w:cs="Arial" w:eastAsia="Arial" w:hAnsi="Arial"/>
                  <w:sz w:val="18"/>
                  <w:szCs w:val="18"/>
                  <w:color w:val="0000FF"/>
                  <w:w w:val="90"/>
                </w:rPr>
                <w:t>2022</w:t>
              </w:r>
            </w:hyperlink>
          </w:p>
        </w:tc>
        <w:tc>
          <w:tcPr>
            <w:tcW w:w="114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60" w:type="dxa"/>
            <w:vAlign w:val="bottom"/>
          </w:tcPr>
          <w:p>
            <w:pPr>
              <w:ind w:left="20"/>
              <w:spacing w:after="0"/>
              <w:rPr>
                <w:sz w:val="20"/>
                <w:szCs w:val="20"/>
                <w:color w:val="auto"/>
              </w:rPr>
            </w:pPr>
            <w:r>
              <w:rPr>
                <w:rFonts w:ascii="Arial" w:cs="Arial" w:eastAsia="Arial" w:hAnsi="Arial"/>
                <w:sz w:val="16"/>
                <w:szCs w:val="16"/>
                <w:color w:val="auto"/>
              </w:rPr>
              <w:t>31.1*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gridSpan w:val="9"/>
          </w:tcPr>
          <w:p>
            <w:pPr>
              <w:spacing w:after="0"/>
              <w:rPr>
                <w:rFonts w:ascii="Arial" w:cs="Arial" w:eastAsia="Arial" w:hAnsi="Arial"/>
                <w:sz w:val="18"/>
                <w:szCs w:val="18"/>
                <w:color w:val="0000FF"/>
                <w:w w:val="94"/>
              </w:rPr>
            </w:pPr>
            <w:hyperlink w:anchor="page96">
              <w:r>
                <w:rPr>
                  <w:rFonts w:ascii="Arial" w:cs="Arial" w:eastAsia="Arial" w:hAnsi="Arial"/>
                  <w:sz w:val="18"/>
                  <w:szCs w:val="18"/>
                  <w:color w:val="0000FF"/>
                  <w:w w:val="94"/>
                </w:rPr>
                <w:t>Certification of Principal Executive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w:anchor="page96">
              <w:r>
                <w:rPr>
                  <w:rFonts w:ascii="Arial" w:cs="Arial" w:eastAsia="Arial" w:hAnsi="Arial"/>
                  <w:sz w:val="18"/>
                  <w:szCs w:val="18"/>
                  <w:color w:val="0000FF"/>
                </w:rPr>
                <w:t>Adopted Pursuant to Section 302 of the Sarbanes-Oxley Act of 2002</w:t>
              </w:r>
            </w:hyperlink>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4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ind w:left="20"/>
              <w:spacing w:after="0"/>
              <w:rPr>
                <w:sz w:val="20"/>
                <w:szCs w:val="20"/>
                <w:color w:val="auto"/>
              </w:rPr>
            </w:pPr>
            <w:r>
              <w:rPr>
                <w:rFonts w:ascii="Arial" w:cs="Arial" w:eastAsia="Arial" w:hAnsi="Arial"/>
                <w:sz w:val="16"/>
                <w:szCs w:val="16"/>
                <w:color w:val="auto"/>
              </w:rPr>
              <w:t>31.2*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gridSpan w:val="9"/>
          </w:tcPr>
          <w:p>
            <w:pPr>
              <w:spacing w:after="0"/>
              <w:rPr>
                <w:rFonts w:ascii="Arial" w:cs="Arial" w:eastAsia="Arial" w:hAnsi="Arial"/>
                <w:sz w:val="18"/>
                <w:szCs w:val="18"/>
                <w:color w:val="0000FF"/>
                <w:w w:val="95"/>
              </w:rPr>
            </w:pPr>
            <w:hyperlink w:anchor="page97">
              <w:r>
                <w:rPr>
                  <w:rFonts w:ascii="Arial" w:cs="Arial" w:eastAsia="Arial" w:hAnsi="Arial"/>
                  <w:sz w:val="18"/>
                  <w:szCs w:val="18"/>
                  <w:color w:val="0000FF"/>
                  <w:w w:val="95"/>
                </w:rPr>
                <w:t>Certification of Principal Financial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w:anchor="page97">
              <w:r>
                <w:rPr>
                  <w:rFonts w:ascii="Arial" w:cs="Arial" w:eastAsia="Arial" w:hAnsi="Arial"/>
                  <w:sz w:val="18"/>
                  <w:szCs w:val="18"/>
                  <w:color w:val="0000FF"/>
                </w:rPr>
                <w:t>Adopted Pursuant to Section 302 of the Sarbanes-Oxley Act of 2002</w:t>
              </w:r>
            </w:hyperlink>
          </w:p>
        </w:tc>
        <w:tc>
          <w:tcPr>
            <w:tcW w:w="40" w:type="dxa"/>
            <w:vAlign w:val="bottom"/>
          </w:tcPr>
          <w:p>
            <w:pPr>
              <w:spacing w:after="0"/>
              <w:rPr>
                <w:sz w:val="13"/>
                <w:szCs w:val="13"/>
                <w:color w:val="auto"/>
              </w:rPr>
            </w:pPr>
          </w:p>
        </w:tc>
        <w:tc>
          <w:tcPr>
            <w:tcW w:w="4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46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gridSpan w:val="2"/>
          </w:tcPr>
          <w:p>
            <w:pPr>
              <w:ind w:left="20"/>
              <w:spacing w:after="0"/>
              <w:rPr>
                <w:sz w:val="20"/>
                <w:szCs w:val="20"/>
                <w:color w:val="auto"/>
              </w:rPr>
            </w:pPr>
            <w:r>
              <w:rPr>
                <w:rFonts w:ascii="Arial" w:cs="Arial" w:eastAsia="Arial" w:hAnsi="Arial"/>
                <w:sz w:val="16"/>
                <w:szCs w:val="16"/>
                <w:color w:val="auto"/>
              </w:rPr>
              <w:t>32.1*</w:t>
            </w: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0020" w:type="dxa"/>
            <w:vAlign w:val="bottom"/>
            <w:gridSpan w:val="9"/>
          </w:tcPr>
          <w:p>
            <w:pPr>
              <w:spacing w:after="0"/>
              <w:rPr>
                <w:rFonts w:ascii="Arial" w:cs="Arial" w:eastAsia="Arial" w:hAnsi="Arial"/>
                <w:sz w:val="18"/>
                <w:szCs w:val="18"/>
                <w:color w:val="0000FF"/>
                <w:w w:val="94"/>
              </w:rPr>
            </w:pPr>
            <w:hyperlink w:anchor="page98">
              <w:r>
                <w:rPr>
                  <w:rFonts w:ascii="Arial" w:cs="Arial" w:eastAsia="Arial" w:hAnsi="Arial"/>
                  <w:sz w:val="18"/>
                  <w:szCs w:val="18"/>
                  <w:color w:val="0000FF"/>
                  <w:w w:val="94"/>
                </w:rPr>
                <w:t>Certification of Principal Executive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4"/>
              </w:rPr>
            </w:pPr>
            <w:hyperlink w:anchor="page98">
              <w:r>
                <w:rPr>
                  <w:rFonts w:ascii="Arial" w:cs="Arial" w:eastAsia="Arial" w:hAnsi="Arial"/>
                  <w:sz w:val="18"/>
                  <w:szCs w:val="18"/>
                  <w:color w:val="0000FF"/>
                  <w:w w:val="94"/>
                </w:rPr>
                <w:t>Oxley Act of 2002</w:t>
              </w:r>
            </w:hyperlink>
          </w:p>
        </w:tc>
        <w:tc>
          <w:tcPr>
            <w:tcW w:w="8260" w:type="dxa"/>
            <w:vAlign w:val="bottom"/>
            <w:tcBorders>
              <w:top w:val="single" w:sz="8" w:color="0000FF"/>
            </w:tcBorders>
            <w:gridSpan w:val="6"/>
          </w:tcPr>
          <w:p>
            <w:pPr>
              <w:spacing w:after="0"/>
              <w:rPr>
                <w:sz w:val="13"/>
                <w:szCs w:val="13"/>
                <w:color w:val="auto"/>
              </w:rPr>
            </w:pPr>
          </w:p>
        </w:tc>
        <w:tc>
          <w:tcPr>
            <w:tcW w:w="4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00" w:type="dxa"/>
            <w:vAlign w:val="bottom"/>
            <w:gridSpan w:val="2"/>
          </w:tcPr>
          <w:p>
            <w:pPr>
              <w:ind w:left="20"/>
              <w:spacing w:after="0"/>
              <w:rPr>
                <w:sz w:val="20"/>
                <w:szCs w:val="20"/>
                <w:color w:val="auto"/>
              </w:rPr>
            </w:pPr>
            <w:r>
              <w:rPr>
                <w:rFonts w:ascii="Arial" w:cs="Arial" w:eastAsia="Arial" w:hAnsi="Arial"/>
                <w:sz w:val="16"/>
                <w:szCs w:val="16"/>
                <w:color w:val="auto"/>
              </w:rPr>
              <w:t>32.2*</w:t>
            </w: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0020" w:type="dxa"/>
            <w:vAlign w:val="bottom"/>
            <w:gridSpan w:val="9"/>
          </w:tcPr>
          <w:p>
            <w:pPr>
              <w:spacing w:after="0"/>
              <w:rPr>
                <w:rFonts w:ascii="Arial" w:cs="Arial" w:eastAsia="Arial" w:hAnsi="Arial"/>
                <w:sz w:val="18"/>
                <w:szCs w:val="18"/>
                <w:color w:val="0000FF"/>
                <w:w w:val="95"/>
              </w:rPr>
            </w:pPr>
            <w:hyperlink w:anchor="page99">
              <w:r>
                <w:rPr>
                  <w:rFonts w:ascii="Arial" w:cs="Arial" w:eastAsia="Arial" w:hAnsi="Arial"/>
                  <w:sz w:val="18"/>
                  <w:szCs w:val="18"/>
                  <w:color w:val="0000FF"/>
                  <w:w w:val="95"/>
                </w:rPr>
                <w:t>Certification of Principal Financial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4"/>
              </w:rPr>
            </w:pPr>
            <w:hyperlink w:anchor="page99">
              <w:r>
                <w:rPr>
                  <w:rFonts w:ascii="Arial" w:cs="Arial" w:eastAsia="Arial" w:hAnsi="Arial"/>
                  <w:sz w:val="18"/>
                  <w:szCs w:val="18"/>
                  <w:color w:val="0000FF"/>
                  <w:w w:val="94"/>
                </w:rPr>
                <w:t>Oxley Act of 2002</w:t>
              </w:r>
            </w:hyperlink>
          </w:p>
        </w:tc>
        <w:tc>
          <w:tcPr>
            <w:tcW w:w="8200" w:type="dxa"/>
            <w:vAlign w:val="bottom"/>
            <w:tcBorders>
              <w:top w:val="single" w:sz="8" w:color="0000FF"/>
            </w:tcBorders>
            <w:gridSpan w:val="4"/>
          </w:tcPr>
          <w:p>
            <w:pPr>
              <w:spacing w:after="0"/>
              <w:rPr>
                <w:sz w:val="13"/>
                <w:szCs w:val="13"/>
                <w:color w:val="auto"/>
              </w:rPr>
            </w:pPr>
          </w:p>
        </w:tc>
        <w:tc>
          <w:tcPr>
            <w:tcW w:w="46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ind w:left="20"/>
              <w:spacing w:after="0"/>
              <w:rPr>
                <w:sz w:val="20"/>
                <w:szCs w:val="20"/>
                <w:color w:val="auto"/>
              </w:rPr>
            </w:pPr>
            <w:r>
              <w:rPr>
                <w:rFonts w:ascii="Arial" w:cs="Arial" w:eastAsia="Arial" w:hAnsi="Arial"/>
                <w:sz w:val="16"/>
                <w:szCs w:val="16"/>
                <w:color w:val="auto"/>
              </w:rPr>
              <w:t>101.INS</w:t>
            </w:r>
          </w:p>
        </w:tc>
        <w:tc>
          <w:tcPr>
            <w:tcW w:w="20" w:type="dxa"/>
            <w:vAlign w:val="bottom"/>
          </w:tcPr>
          <w:p>
            <w:pPr>
              <w:spacing w:after="0"/>
              <w:rPr>
                <w:sz w:val="17"/>
                <w:szCs w:val="17"/>
                <w:color w:val="auto"/>
              </w:rPr>
            </w:pPr>
          </w:p>
        </w:tc>
        <w:tc>
          <w:tcPr>
            <w:tcW w:w="10020" w:type="dxa"/>
            <w:vAlign w:val="bottom"/>
            <w:gridSpan w:val="9"/>
          </w:tcPr>
          <w:p>
            <w:pPr>
              <w:spacing w:after="0" w:line="196" w:lineRule="exact"/>
              <w:rPr>
                <w:sz w:val="20"/>
                <w:szCs w:val="20"/>
                <w:color w:val="auto"/>
              </w:rPr>
            </w:pPr>
            <w:r>
              <w:rPr>
                <w:rFonts w:ascii="Arial" w:cs="Arial" w:eastAsia="Arial" w:hAnsi="Arial"/>
                <w:sz w:val="18"/>
                <w:szCs w:val="18"/>
                <w:color w:val="auto"/>
                <w:w w:val="91"/>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20" w:type="dxa"/>
            <w:vAlign w:val="bottom"/>
            <w:gridSpan w:val="9"/>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229"/>
        </w:trPr>
        <w:tc>
          <w:tcPr>
            <w:tcW w:w="1200" w:type="dxa"/>
            <w:vAlign w:val="bottom"/>
            <w:gridSpan w:val="2"/>
          </w:tcPr>
          <w:p>
            <w:pPr>
              <w:ind w:left="20"/>
              <w:spacing w:after="0"/>
              <w:rPr>
                <w:sz w:val="20"/>
                <w:szCs w:val="20"/>
                <w:color w:val="auto"/>
              </w:rPr>
            </w:pPr>
            <w:r>
              <w:rPr>
                <w:rFonts w:ascii="Arial" w:cs="Arial" w:eastAsia="Arial" w:hAnsi="Arial"/>
                <w:sz w:val="16"/>
                <w:szCs w:val="16"/>
                <w:color w:val="auto"/>
              </w:rPr>
              <w:t>101.SCH</w:t>
            </w:r>
          </w:p>
        </w:tc>
        <w:tc>
          <w:tcPr>
            <w:tcW w:w="20" w:type="dxa"/>
            <w:vAlign w:val="bottom"/>
          </w:tcPr>
          <w:p>
            <w:pPr>
              <w:spacing w:after="0"/>
              <w:rPr>
                <w:sz w:val="19"/>
                <w:szCs w:val="19"/>
                <w:color w:val="auto"/>
              </w:rPr>
            </w:pPr>
          </w:p>
        </w:tc>
        <w:tc>
          <w:tcPr>
            <w:tcW w:w="1002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29"/>
        </w:trPr>
        <w:tc>
          <w:tcPr>
            <w:tcW w:w="1200" w:type="dxa"/>
            <w:vAlign w:val="bottom"/>
            <w:gridSpan w:val="2"/>
          </w:tcPr>
          <w:p>
            <w:pPr>
              <w:ind w:left="20"/>
              <w:spacing w:after="0"/>
              <w:rPr>
                <w:sz w:val="20"/>
                <w:szCs w:val="20"/>
                <w:color w:val="auto"/>
              </w:rPr>
            </w:pPr>
            <w:r>
              <w:rPr>
                <w:rFonts w:ascii="Arial" w:cs="Arial" w:eastAsia="Arial" w:hAnsi="Arial"/>
                <w:sz w:val="16"/>
                <w:szCs w:val="16"/>
                <w:color w:val="auto"/>
              </w:rPr>
              <w:t>101.CAL</w:t>
            </w:r>
          </w:p>
        </w:tc>
        <w:tc>
          <w:tcPr>
            <w:tcW w:w="20" w:type="dxa"/>
            <w:vAlign w:val="bottom"/>
          </w:tcPr>
          <w:p>
            <w:pPr>
              <w:spacing w:after="0"/>
              <w:rPr>
                <w:sz w:val="19"/>
                <w:szCs w:val="19"/>
                <w:color w:val="auto"/>
              </w:rPr>
            </w:pPr>
          </w:p>
        </w:tc>
        <w:tc>
          <w:tcPr>
            <w:tcW w:w="1002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30"/>
        </w:trPr>
        <w:tc>
          <w:tcPr>
            <w:tcW w:w="1200" w:type="dxa"/>
            <w:vAlign w:val="bottom"/>
            <w:gridSpan w:val="2"/>
          </w:tcPr>
          <w:p>
            <w:pPr>
              <w:ind w:left="20"/>
              <w:spacing w:after="0"/>
              <w:rPr>
                <w:sz w:val="20"/>
                <w:szCs w:val="20"/>
                <w:color w:val="auto"/>
              </w:rPr>
            </w:pPr>
            <w:r>
              <w:rPr>
                <w:rFonts w:ascii="Arial" w:cs="Arial" w:eastAsia="Arial" w:hAnsi="Arial"/>
                <w:sz w:val="16"/>
                <w:szCs w:val="16"/>
                <w:color w:val="auto"/>
              </w:rPr>
              <w:t>101.DEF</w:t>
            </w:r>
          </w:p>
        </w:tc>
        <w:tc>
          <w:tcPr>
            <w:tcW w:w="20" w:type="dxa"/>
            <w:vAlign w:val="bottom"/>
          </w:tcPr>
          <w:p>
            <w:pPr>
              <w:spacing w:after="0"/>
              <w:rPr>
                <w:sz w:val="19"/>
                <w:szCs w:val="19"/>
                <w:color w:val="auto"/>
              </w:rPr>
            </w:pPr>
          </w:p>
        </w:tc>
        <w:tc>
          <w:tcPr>
            <w:tcW w:w="1002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9"/>
        </w:trPr>
        <w:tc>
          <w:tcPr>
            <w:tcW w:w="1200" w:type="dxa"/>
            <w:vAlign w:val="bottom"/>
            <w:gridSpan w:val="2"/>
          </w:tcPr>
          <w:p>
            <w:pPr>
              <w:ind w:left="20"/>
              <w:spacing w:after="0"/>
              <w:rPr>
                <w:sz w:val="20"/>
                <w:szCs w:val="20"/>
                <w:color w:val="auto"/>
              </w:rPr>
            </w:pPr>
            <w:r>
              <w:rPr>
                <w:rFonts w:ascii="Arial" w:cs="Arial" w:eastAsia="Arial" w:hAnsi="Arial"/>
                <w:sz w:val="16"/>
                <w:szCs w:val="16"/>
                <w:color w:val="auto"/>
              </w:rPr>
              <w:t>101.LAB</w:t>
            </w:r>
          </w:p>
        </w:tc>
        <w:tc>
          <w:tcPr>
            <w:tcW w:w="20" w:type="dxa"/>
            <w:vAlign w:val="bottom"/>
          </w:tcPr>
          <w:p>
            <w:pPr>
              <w:spacing w:after="0"/>
              <w:rPr>
                <w:sz w:val="19"/>
                <w:szCs w:val="19"/>
                <w:color w:val="auto"/>
              </w:rPr>
            </w:pPr>
          </w:p>
        </w:tc>
        <w:tc>
          <w:tcPr>
            <w:tcW w:w="10020" w:type="dxa"/>
            <w:vAlign w:val="bottom"/>
            <w:gridSpan w:val="9"/>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30"/>
        </w:trPr>
        <w:tc>
          <w:tcPr>
            <w:tcW w:w="1200" w:type="dxa"/>
            <w:vAlign w:val="bottom"/>
            <w:gridSpan w:val="2"/>
          </w:tcPr>
          <w:p>
            <w:pPr>
              <w:ind w:left="20"/>
              <w:spacing w:after="0"/>
              <w:rPr>
                <w:sz w:val="20"/>
                <w:szCs w:val="20"/>
                <w:color w:val="auto"/>
              </w:rPr>
            </w:pPr>
            <w:r>
              <w:rPr>
                <w:rFonts w:ascii="Arial" w:cs="Arial" w:eastAsia="Arial" w:hAnsi="Arial"/>
                <w:sz w:val="16"/>
                <w:szCs w:val="16"/>
                <w:color w:val="auto"/>
              </w:rPr>
              <w:t>101.PRE</w:t>
            </w:r>
          </w:p>
        </w:tc>
        <w:tc>
          <w:tcPr>
            <w:tcW w:w="20" w:type="dxa"/>
            <w:vAlign w:val="bottom"/>
          </w:tcPr>
          <w:p>
            <w:pPr>
              <w:spacing w:after="0"/>
              <w:rPr>
                <w:sz w:val="20"/>
                <w:szCs w:val="20"/>
                <w:color w:val="auto"/>
              </w:rPr>
            </w:pPr>
          </w:p>
        </w:tc>
        <w:tc>
          <w:tcPr>
            <w:tcW w:w="1002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left="1220" w:hanging="1194"/>
        <w:spacing w:after="0"/>
        <w:tabs>
          <w:tab w:leader="none" w:pos="1220" w:val="left"/>
        </w:tabs>
        <w:numPr>
          <w:ilvl w:val="0"/>
          <w:numId w:val="47"/>
        </w:numPr>
        <w:rPr>
          <w:rFonts w:ascii="Arial" w:cs="Arial" w:eastAsia="Arial" w:hAnsi="Arial"/>
          <w:sz w:val="16"/>
          <w:szCs w:val="16"/>
          <w:color w:val="auto"/>
        </w:rPr>
      </w:pPr>
      <w:r>
        <w:rPr>
          <w:rFonts w:ascii="Arial" w:cs="Arial" w:eastAsia="Arial" w:hAnsi="Arial"/>
          <w:sz w:val="18"/>
          <w:szCs w:val="18"/>
          <w:color w:val="auto"/>
        </w:rPr>
        <w:t>Cover page Interactive Data File (embedded with the Inline XBRL document)</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Indicates management contract or compensatory plan.</w:t>
      </w:r>
    </w:p>
    <w:p>
      <w:pPr>
        <w:spacing w:after="0" w:line="1" w:lineRule="exact"/>
        <w:rPr>
          <w:sz w:val="20"/>
          <w:szCs w:val="20"/>
          <w:color w:val="auto"/>
        </w:rPr>
      </w:pPr>
    </w:p>
    <w:p>
      <w:pPr>
        <w:ind w:left="340" w:right="100" w:hanging="332"/>
        <w:spacing w:after="0" w:line="276" w:lineRule="auto"/>
        <w:tabs>
          <w:tab w:leader="none" w:pos="124"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certifications attached as Exhibit 32.1 and 32.2 that accompany this Quarterly Report on Form 10-Q are deemed furnished and not filed with the Securities and Exchange Commission and are not to be incorporated by reference into any filing of Nautilus Biotechnology,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740" w:type="dxa"/>
            <w:vAlign w:val="bottom"/>
            <w:gridSpan w:val="2"/>
          </w:tcPr>
          <w:p>
            <w:pPr>
              <w:ind w:left="1920"/>
              <w:spacing w:after="0"/>
              <w:rPr>
                <w:sz w:val="20"/>
                <w:szCs w:val="20"/>
                <w:color w:val="auto"/>
              </w:rPr>
            </w:pPr>
            <w:r>
              <w:rPr>
                <w:rFonts w:ascii="Arial" w:cs="Arial" w:eastAsia="Arial" w:hAnsi="Arial"/>
                <w:sz w:val="18"/>
                <w:szCs w:val="18"/>
                <w:b w:val="1"/>
                <w:bCs w:val="1"/>
                <w:color w:val="auto"/>
              </w:rPr>
              <w:t>NAUTILUS BIOTECHNOLOGY, INC.</w:t>
            </w:r>
          </w:p>
        </w:tc>
      </w:tr>
      <w:tr>
        <w:trPr>
          <w:trHeight w:val="499"/>
        </w:trPr>
        <w:tc>
          <w:tcPr>
            <w:tcW w:w="3480" w:type="dxa"/>
            <w:vAlign w:val="bottom"/>
          </w:tcPr>
          <w:p>
            <w:pPr>
              <w:spacing w:after="0"/>
              <w:rPr>
                <w:sz w:val="20"/>
                <w:szCs w:val="20"/>
                <w:color w:val="auto"/>
              </w:rPr>
            </w:pPr>
            <w:r>
              <w:rPr>
                <w:rFonts w:ascii="Arial" w:cs="Arial" w:eastAsia="Arial" w:hAnsi="Arial"/>
                <w:sz w:val="18"/>
                <w:szCs w:val="18"/>
                <w:color w:val="auto"/>
              </w:rPr>
              <w:t>Date: August 2, 2022</w:t>
            </w:r>
          </w:p>
        </w:tc>
        <w:tc>
          <w:tcPr>
            <w:tcW w:w="7740" w:type="dxa"/>
            <w:vAlign w:val="bottom"/>
            <w:gridSpan w:val="2"/>
          </w:tcPr>
          <w:p>
            <w:pPr>
              <w:ind w:left="1920"/>
              <w:spacing w:after="0"/>
              <w:rPr>
                <w:sz w:val="20"/>
                <w:szCs w:val="20"/>
                <w:color w:val="auto"/>
              </w:rPr>
            </w:pPr>
            <w:r>
              <w:rPr>
                <w:rFonts w:ascii="Arial" w:cs="Arial" w:eastAsia="Arial" w:hAnsi="Arial"/>
                <w:sz w:val="18"/>
                <w:szCs w:val="18"/>
                <w:color w:val="auto"/>
              </w:rPr>
              <w:t>By:  /s/ Sujal Patel</w:t>
            </w:r>
          </w:p>
        </w:tc>
      </w:tr>
      <w:tr>
        <w:trPr>
          <w:trHeight w:val="222"/>
        </w:trPr>
        <w:tc>
          <w:tcPr>
            <w:tcW w:w="34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Sujal Patel</w:t>
            </w:r>
          </w:p>
        </w:tc>
      </w:tr>
      <w:tr>
        <w:trPr>
          <w:trHeight w:val="230"/>
        </w:trPr>
        <w:tc>
          <w:tcPr>
            <w:tcW w:w="34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Date: August 2, 2022</w:t>
            </w:r>
          </w:p>
        </w:tc>
        <w:tc>
          <w:tcPr>
            <w:tcW w:w="7740" w:type="dxa"/>
            <w:vAlign w:val="bottom"/>
            <w:gridSpan w:val="2"/>
          </w:tcPr>
          <w:p>
            <w:pPr>
              <w:ind w:left="1920"/>
              <w:spacing w:after="0"/>
              <w:rPr>
                <w:sz w:val="20"/>
                <w:szCs w:val="20"/>
                <w:color w:val="auto"/>
              </w:rPr>
            </w:pPr>
            <w:r>
              <w:rPr>
                <w:rFonts w:ascii="Arial" w:cs="Arial" w:eastAsia="Arial" w:hAnsi="Arial"/>
                <w:sz w:val="18"/>
                <w:szCs w:val="18"/>
                <w:color w:val="auto"/>
              </w:rPr>
              <w:t>By:  /s/ Anna Mowry</w:t>
            </w:r>
          </w:p>
        </w:tc>
      </w:tr>
      <w:tr>
        <w:trPr>
          <w:trHeight w:val="222"/>
        </w:trPr>
        <w:tc>
          <w:tcPr>
            <w:tcW w:w="34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Anna Mowry</w:t>
            </w:r>
          </w:p>
        </w:tc>
      </w:tr>
      <w:tr>
        <w:trPr>
          <w:trHeight w:val="230"/>
        </w:trPr>
        <w:tc>
          <w:tcPr>
            <w:tcW w:w="34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440"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1"/>
          <w:szCs w:val="21"/>
          <w:color w:val="auto"/>
        </w:rPr>
        <w:t>July 26, 2022</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1"/>
          <w:szCs w:val="21"/>
          <w:color w:val="auto"/>
        </w:rPr>
        <w:t>Mary Godwin</w:t>
      </w:r>
    </w:p>
    <w:p>
      <w:pPr>
        <w:spacing w:after="0"/>
        <w:rPr>
          <w:sz w:val="20"/>
          <w:szCs w:val="20"/>
          <w:color w:val="auto"/>
        </w:rPr>
      </w:pPr>
      <w:r>
        <w:rPr>
          <w:rFonts w:ascii="Arial" w:cs="Arial" w:eastAsia="Arial" w:hAnsi="Arial"/>
          <w:sz w:val="21"/>
          <w:szCs w:val="21"/>
          <w:color w:val="auto"/>
        </w:rPr>
        <w:t>Via email</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 Offer of Employment</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color w:val="auto"/>
        </w:rPr>
        <w:t>Dear Mary:</w:t>
      </w:r>
    </w:p>
    <w:p>
      <w:pPr>
        <w:spacing w:after="0" w:line="171"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1"/>
          <w:szCs w:val="21"/>
          <w:color w:val="auto"/>
        </w:rPr>
        <w:t>This confirmatory employment letter agreement (the “</w:t>
      </w:r>
      <w:r>
        <w:rPr>
          <w:rFonts w:ascii="Arial" w:cs="Arial" w:eastAsia="Arial" w:hAnsi="Arial"/>
          <w:sz w:val="21"/>
          <w:szCs w:val="21"/>
          <w:b w:val="1"/>
          <w:bCs w:val="1"/>
          <w:color w:val="auto"/>
        </w:rPr>
        <w:t>Agreement</w:t>
      </w:r>
      <w:r>
        <w:rPr>
          <w:rFonts w:ascii="Arial" w:cs="Arial" w:eastAsia="Arial" w:hAnsi="Arial"/>
          <w:sz w:val="21"/>
          <w:szCs w:val="21"/>
          <w:color w:val="auto"/>
        </w:rPr>
        <w:t>”) is entered into between Mary Godwin (“</w:t>
      </w:r>
      <w:r>
        <w:rPr>
          <w:rFonts w:ascii="Arial" w:cs="Arial" w:eastAsia="Arial" w:hAnsi="Arial"/>
          <w:sz w:val="21"/>
          <w:szCs w:val="21"/>
          <w:b w:val="1"/>
          <w:bCs w:val="1"/>
          <w:color w:val="auto"/>
        </w:rPr>
        <w:t>you</w:t>
      </w:r>
      <w:r>
        <w:rPr>
          <w:rFonts w:ascii="Arial" w:cs="Arial" w:eastAsia="Arial" w:hAnsi="Arial"/>
          <w:sz w:val="21"/>
          <w:szCs w:val="21"/>
          <w:color w:val="auto"/>
        </w:rPr>
        <w:t>”) and Nautilus Biotechnology, Inc. (the “</w:t>
      </w:r>
      <w:r>
        <w:rPr>
          <w:rFonts w:ascii="Arial" w:cs="Arial" w:eastAsia="Arial" w:hAnsi="Arial"/>
          <w:sz w:val="21"/>
          <w:szCs w:val="21"/>
          <w:b w:val="1"/>
          <w:bCs w:val="1"/>
          <w:color w:val="auto"/>
        </w:rPr>
        <w:t>Company</w:t>
      </w:r>
      <w:r>
        <w:rPr>
          <w:rFonts w:ascii="Arial" w:cs="Arial" w:eastAsia="Arial" w:hAnsi="Arial"/>
          <w:sz w:val="21"/>
          <w:szCs w:val="21"/>
          <w:color w:val="auto"/>
        </w:rPr>
        <w:t>” or “</w:t>
      </w:r>
      <w:r>
        <w:rPr>
          <w:rFonts w:ascii="Arial" w:cs="Arial" w:eastAsia="Arial" w:hAnsi="Arial"/>
          <w:sz w:val="21"/>
          <w:szCs w:val="21"/>
          <w:b w:val="1"/>
          <w:bCs w:val="1"/>
          <w:color w:val="auto"/>
        </w:rPr>
        <w:t>we</w:t>
      </w:r>
      <w:r>
        <w:rPr>
          <w:rFonts w:ascii="Arial" w:cs="Arial" w:eastAsia="Arial" w:hAnsi="Arial"/>
          <w:sz w:val="21"/>
          <w:szCs w:val="21"/>
          <w:color w:val="auto"/>
        </w:rPr>
        <w:t>”), effective as of July 1, 2022 (the “</w:t>
      </w:r>
      <w:r>
        <w:rPr>
          <w:rFonts w:ascii="Arial" w:cs="Arial" w:eastAsia="Arial" w:hAnsi="Arial"/>
          <w:sz w:val="21"/>
          <w:szCs w:val="21"/>
          <w:b w:val="1"/>
          <w:bCs w:val="1"/>
          <w:color w:val="auto"/>
        </w:rPr>
        <w:t>Effective Date</w:t>
      </w:r>
      <w:r>
        <w:rPr>
          <w:rFonts w:ascii="Arial" w:cs="Arial" w:eastAsia="Arial" w:hAnsi="Arial"/>
          <w:sz w:val="21"/>
          <w:szCs w:val="21"/>
          <w:color w:val="auto"/>
        </w:rPr>
        <w:t>”), to confirm the terms and conditions of your employment with the Company in connection with your promotion to Senior Vice President of Operations as of the Effective Date.</w:t>
      </w:r>
    </w:p>
    <w:p>
      <w:pPr>
        <w:spacing w:after="0" w:line="149" w:lineRule="exact"/>
        <w:rPr>
          <w:sz w:val="20"/>
          <w:szCs w:val="20"/>
          <w:color w:val="auto"/>
        </w:rPr>
      </w:pPr>
    </w:p>
    <w:p>
      <w:pPr>
        <w:jc w:val="both"/>
        <w:ind w:firstLine="656"/>
        <w:spacing w:after="0" w:line="234" w:lineRule="auto"/>
        <w:tabs>
          <w:tab w:leader="none" w:pos="1289" w:val="left"/>
        </w:tabs>
        <w:numPr>
          <w:ilvl w:val="0"/>
          <w:numId w:val="49"/>
        </w:numPr>
        <w:rPr>
          <w:rFonts w:ascii="Arial" w:cs="Arial" w:eastAsia="Arial" w:hAnsi="Arial"/>
          <w:sz w:val="19"/>
          <w:szCs w:val="19"/>
          <w:color w:val="auto"/>
        </w:rPr>
      </w:pPr>
      <w:r>
        <w:rPr>
          <w:rFonts w:ascii="Arial" w:cs="Arial" w:eastAsia="Arial" w:hAnsi="Arial"/>
          <w:sz w:val="19"/>
          <w:szCs w:val="19"/>
          <w:b w:val="1"/>
          <w:bCs w:val="1"/>
          <w:color w:val="auto"/>
        </w:rPr>
        <w:t>Title; Position; Location</w:t>
      </w:r>
      <w:r>
        <w:rPr>
          <w:rFonts w:ascii="Arial" w:cs="Arial" w:eastAsia="Arial" w:hAnsi="Arial"/>
          <w:sz w:val="19"/>
          <w:szCs w:val="19"/>
          <w:color w:val="auto"/>
        </w:rPr>
        <w:t>. You will serve as the Company’s Senior Vice President of Operations. You will continue to</w:t>
      </w:r>
      <w:r>
        <w:rPr>
          <w:rFonts w:ascii="Arial" w:cs="Arial" w:eastAsia="Arial" w:hAnsi="Arial"/>
          <w:sz w:val="19"/>
          <w:szCs w:val="19"/>
          <w:b w:val="1"/>
          <w:bCs w:val="1"/>
          <w:color w:val="auto"/>
        </w:rPr>
        <w:t xml:space="preserve"> </w:t>
      </w:r>
      <w:r>
        <w:rPr>
          <w:rFonts w:ascii="Arial" w:cs="Arial" w:eastAsia="Arial" w:hAnsi="Arial"/>
          <w:sz w:val="19"/>
          <w:szCs w:val="19"/>
          <w:color w:val="auto"/>
        </w:rPr>
        <w:t>report to the Company’s Chief Executive Officer and will perform the duties and responsibilities customary for such position and such other related duties as are reasonably assigned by the Chief Executive Officer. You will perform your duties from the Company’s corporate offices located in San Carlos, California (with the exception of the period during which any shelter-in-place order, quarantine order, or similar work-from-home requirement affecting your ability to work at the Company’s corporate offices remains in effect), subject to customary travel as reasonably required by the Company and necessary to perform your job duties.</w:t>
      </w:r>
    </w:p>
    <w:p>
      <w:pPr>
        <w:spacing w:after="0" w:line="152" w:lineRule="exact"/>
        <w:rPr>
          <w:rFonts w:ascii="Arial" w:cs="Arial" w:eastAsia="Arial" w:hAnsi="Arial"/>
          <w:sz w:val="19"/>
          <w:szCs w:val="19"/>
          <w:color w:val="auto"/>
        </w:rPr>
      </w:pPr>
    </w:p>
    <w:p>
      <w:pPr>
        <w:jc w:val="both"/>
        <w:ind w:firstLine="656"/>
        <w:spacing w:after="0" w:line="218" w:lineRule="auto"/>
        <w:tabs>
          <w:tab w:leader="none" w:pos="1289" w:val="left"/>
        </w:tabs>
        <w:numPr>
          <w:ilvl w:val="0"/>
          <w:numId w:val="49"/>
        </w:numPr>
        <w:rPr>
          <w:rFonts w:ascii="Arial" w:cs="Arial" w:eastAsia="Arial" w:hAnsi="Arial"/>
          <w:sz w:val="21"/>
          <w:szCs w:val="21"/>
          <w:color w:val="auto"/>
        </w:rPr>
      </w:pPr>
      <w:r>
        <w:rPr>
          <w:rFonts w:ascii="Arial" w:cs="Arial" w:eastAsia="Arial" w:hAnsi="Arial"/>
          <w:sz w:val="21"/>
          <w:szCs w:val="21"/>
          <w:b w:val="1"/>
          <w:bCs w:val="1"/>
          <w:color w:val="auto"/>
        </w:rPr>
        <w:t>Base Salary</w:t>
      </w:r>
      <w:r>
        <w:rPr>
          <w:rFonts w:ascii="Arial" w:cs="Arial" w:eastAsia="Arial" w:hAnsi="Arial"/>
          <w:sz w:val="21"/>
          <w:szCs w:val="21"/>
          <w:color w:val="auto"/>
        </w:rPr>
        <w:t>. Your annual base salary as of the Effective Date will be $320,000, which will be payable, less any</w:t>
      </w:r>
      <w:r>
        <w:rPr>
          <w:rFonts w:ascii="Arial" w:cs="Arial" w:eastAsia="Arial" w:hAnsi="Arial"/>
          <w:sz w:val="21"/>
          <w:szCs w:val="21"/>
          <w:b w:val="1"/>
          <w:bCs w:val="1"/>
          <w:color w:val="auto"/>
        </w:rPr>
        <w:t xml:space="preserve"> </w:t>
      </w:r>
      <w:r>
        <w:rPr>
          <w:rFonts w:ascii="Arial" w:cs="Arial" w:eastAsia="Arial" w:hAnsi="Arial"/>
          <w:sz w:val="21"/>
          <w:szCs w:val="21"/>
          <w:color w:val="auto"/>
        </w:rPr>
        <w:t>applicable withholdings, in accordance with the Company’s normal payroll practices. Your base salary will be subject to review and adjustment from time to time by our Board of Directors (the “</w:t>
      </w:r>
      <w:r>
        <w:rPr>
          <w:rFonts w:ascii="Arial" w:cs="Arial" w:eastAsia="Arial" w:hAnsi="Arial"/>
          <w:sz w:val="21"/>
          <w:szCs w:val="21"/>
          <w:b w:val="1"/>
          <w:bCs w:val="1"/>
          <w:color w:val="auto"/>
        </w:rPr>
        <w:t>Board</w:t>
      </w:r>
      <w:r>
        <w:rPr>
          <w:rFonts w:ascii="Arial" w:cs="Arial" w:eastAsia="Arial" w:hAnsi="Arial"/>
          <w:sz w:val="21"/>
          <w:szCs w:val="21"/>
          <w:color w:val="auto"/>
        </w:rPr>
        <w:t>”) or its Compensation Committee (the “</w:t>
      </w:r>
      <w:r>
        <w:rPr>
          <w:rFonts w:ascii="Arial" w:cs="Arial" w:eastAsia="Arial" w:hAnsi="Arial"/>
          <w:sz w:val="21"/>
          <w:szCs w:val="21"/>
          <w:b w:val="1"/>
          <w:bCs w:val="1"/>
          <w:color w:val="auto"/>
        </w:rPr>
        <w:t>Committee</w:t>
      </w:r>
      <w:r>
        <w:rPr>
          <w:rFonts w:ascii="Arial" w:cs="Arial" w:eastAsia="Arial" w:hAnsi="Arial"/>
          <w:sz w:val="21"/>
          <w:szCs w:val="21"/>
          <w:color w:val="auto"/>
        </w:rPr>
        <w:t>”) as applicable, in its sole discretion.</w:t>
      </w:r>
    </w:p>
    <w:p>
      <w:pPr>
        <w:spacing w:after="0" w:line="148" w:lineRule="exact"/>
        <w:rPr>
          <w:rFonts w:ascii="Arial" w:cs="Arial" w:eastAsia="Arial" w:hAnsi="Arial"/>
          <w:sz w:val="21"/>
          <w:szCs w:val="21"/>
          <w:color w:val="auto"/>
        </w:rPr>
      </w:pPr>
    </w:p>
    <w:p>
      <w:pPr>
        <w:jc w:val="both"/>
        <w:ind w:firstLine="656"/>
        <w:spacing w:after="0" w:line="210" w:lineRule="auto"/>
        <w:tabs>
          <w:tab w:leader="none" w:pos="1289" w:val="left"/>
        </w:tabs>
        <w:numPr>
          <w:ilvl w:val="0"/>
          <w:numId w:val="49"/>
        </w:numPr>
        <w:rPr>
          <w:rFonts w:ascii="Arial" w:cs="Arial" w:eastAsia="Arial" w:hAnsi="Arial"/>
          <w:sz w:val="21"/>
          <w:szCs w:val="21"/>
          <w:color w:val="auto"/>
        </w:rPr>
      </w:pPr>
      <w:r>
        <w:rPr>
          <w:rFonts w:ascii="Arial" w:cs="Arial" w:eastAsia="Arial" w:hAnsi="Arial"/>
          <w:sz w:val="21"/>
          <w:szCs w:val="21"/>
          <w:b w:val="1"/>
          <w:bCs w:val="1"/>
          <w:color w:val="auto"/>
        </w:rPr>
        <w:t>Annual Bonus</w:t>
      </w:r>
      <w:r>
        <w:rPr>
          <w:rFonts w:ascii="Arial" w:cs="Arial" w:eastAsia="Arial" w:hAnsi="Arial"/>
          <w:sz w:val="21"/>
          <w:szCs w:val="21"/>
          <w:color w:val="auto"/>
        </w:rPr>
        <w:t>. For the Company’s 2022 fiscal year, you will be eligible for a target annual cash bonus opportunity</w:t>
      </w:r>
      <w:r>
        <w:rPr>
          <w:rFonts w:ascii="Arial" w:cs="Arial" w:eastAsia="Arial" w:hAnsi="Arial"/>
          <w:sz w:val="21"/>
          <w:szCs w:val="21"/>
          <w:b w:val="1"/>
          <w:bCs w:val="1"/>
          <w:color w:val="auto"/>
        </w:rPr>
        <w:t xml:space="preserve"> </w:t>
      </w:r>
      <w:r>
        <w:rPr>
          <w:rFonts w:ascii="Arial" w:cs="Arial" w:eastAsia="Arial" w:hAnsi="Arial"/>
          <w:sz w:val="21"/>
          <w:szCs w:val="21"/>
          <w:color w:val="auto"/>
        </w:rPr>
        <w:t>equal to forty percent (40%) of your annual base salary. Any annual bonus will be subject to performance and other criteria established by the Board or the Committee, as applicable, in its sole discretion, and subject to your continued employment through the date that the bonus is paid to you. Your annual bonus opportunity and the applicable terms and conditions may be adjusted from time to time by our Board or the Committee, as applicable, in its sole discretion, and no amount of any annual bonus is guaranteed. In addition, the Board or the Committee, as applicable and in its sole discretion, may approve that the Company grant additional discretionary bonus amounts to you.</w:t>
      </w:r>
    </w:p>
    <w:p>
      <w:pPr>
        <w:spacing w:after="0" w:line="154" w:lineRule="exact"/>
        <w:rPr>
          <w:rFonts w:ascii="Arial" w:cs="Arial" w:eastAsia="Arial" w:hAnsi="Arial"/>
          <w:sz w:val="21"/>
          <w:szCs w:val="21"/>
          <w:color w:val="auto"/>
        </w:rPr>
      </w:pPr>
    </w:p>
    <w:p>
      <w:pPr>
        <w:jc w:val="both"/>
        <w:ind w:firstLine="656"/>
        <w:spacing w:after="0" w:line="218" w:lineRule="auto"/>
        <w:tabs>
          <w:tab w:leader="none" w:pos="1289" w:val="left"/>
        </w:tabs>
        <w:numPr>
          <w:ilvl w:val="0"/>
          <w:numId w:val="49"/>
        </w:numPr>
        <w:rPr>
          <w:rFonts w:ascii="Arial" w:cs="Arial" w:eastAsia="Arial" w:hAnsi="Arial"/>
          <w:sz w:val="21"/>
          <w:szCs w:val="21"/>
          <w:color w:val="auto"/>
        </w:rPr>
      </w:pPr>
      <w:r>
        <w:rPr>
          <w:rFonts w:ascii="Arial" w:cs="Arial" w:eastAsia="Arial" w:hAnsi="Arial"/>
          <w:sz w:val="21"/>
          <w:szCs w:val="21"/>
          <w:b w:val="1"/>
          <w:bCs w:val="1"/>
          <w:color w:val="auto"/>
        </w:rPr>
        <w:t>Equity Awards</w:t>
      </w:r>
      <w:r>
        <w:rPr>
          <w:rFonts w:ascii="Arial" w:cs="Arial" w:eastAsia="Arial" w:hAnsi="Arial"/>
          <w:sz w:val="21"/>
          <w:szCs w:val="21"/>
          <w:color w:val="auto"/>
        </w:rPr>
        <w:t>. You will be eligible to receive awards of stock options or other equity awards pursuant to any plans or</w:t>
      </w:r>
      <w:r>
        <w:rPr>
          <w:rFonts w:ascii="Arial" w:cs="Arial" w:eastAsia="Arial" w:hAnsi="Arial"/>
          <w:sz w:val="21"/>
          <w:szCs w:val="21"/>
          <w:b w:val="1"/>
          <w:bCs w:val="1"/>
          <w:color w:val="auto"/>
        </w:rPr>
        <w:t xml:space="preserve"> </w:t>
      </w:r>
      <w:r>
        <w:rPr>
          <w:rFonts w:ascii="Arial" w:cs="Arial" w:eastAsia="Arial" w:hAnsi="Arial"/>
          <w:sz w:val="21"/>
          <w:szCs w:val="21"/>
          <w:color w:val="auto"/>
        </w:rPr>
        <w:t>arrangements the Company may have in effect from time to time. The Board or Committee, as applicable, will determine in its sole discretion whether you will be granted any such equity awards and the terms of any such award in accordance with the terms of any applicable plan or arrangement that may be in effect from time to time.</w:t>
      </w:r>
    </w:p>
    <w:p>
      <w:pPr>
        <w:spacing w:after="0" w:line="148" w:lineRule="exact"/>
        <w:rPr>
          <w:rFonts w:ascii="Arial" w:cs="Arial" w:eastAsia="Arial" w:hAnsi="Arial"/>
          <w:sz w:val="21"/>
          <w:szCs w:val="21"/>
          <w:color w:val="auto"/>
        </w:rPr>
      </w:pPr>
    </w:p>
    <w:p>
      <w:pPr>
        <w:jc w:val="both"/>
        <w:ind w:firstLine="656"/>
        <w:spacing w:after="0" w:line="223" w:lineRule="auto"/>
        <w:tabs>
          <w:tab w:leader="none" w:pos="1289" w:val="left"/>
        </w:tabs>
        <w:numPr>
          <w:ilvl w:val="0"/>
          <w:numId w:val="49"/>
        </w:numPr>
        <w:rPr>
          <w:rFonts w:ascii="Arial" w:cs="Arial" w:eastAsia="Arial" w:hAnsi="Arial"/>
          <w:sz w:val="20"/>
          <w:szCs w:val="20"/>
          <w:color w:val="auto"/>
        </w:rPr>
      </w:pPr>
      <w:r>
        <w:rPr>
          <w:rFonts w:ascii="Arial" w:cs="Arial" w:eastAsia="Arial" w:hAnsi="Arial"/>
          <w:sz w:val="20"/>
          <w:szCs w:val="20"/>
          <w:b w:val="1"/>
          <w:bCs w:val="1"/>
          <w:color w:val="auto"/>
        </w:rPr>
        <w:t>Employee Benefits</w:t>
      </w:r>
      <w:r>
        <w:rPr>
          <w:rFonts w:ascii="Arial" w:cs="Arial" w:eastAsia="Arial" w:hAnsi="Arial"/>
          <w:sz w:val="20"/>
          <w:szCs w:val="20"/>
          <w:color w:val="auto"/>
        </w:rPr>
        <w:t>. You will be eligible to participate in the benefit plans and programs established by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for its employees from time to time, subject to their applicable terms and conditions, including without limitation any eligibility requirements. The Company will reimburse you for reasonable travel or other expenses incurred by you in the furtherance of or in connection with the performance of your duties under this Agreement, pursuant to the terms of the Company’s expense reimbursement policy as may be in effect from time to time. The Company reserves the right to modify, amend, suspend or terminate the benefit plans, programs, and arrangements it offers to its employees at any time.</w:t>
      </w:r>
    </w:p>
    <w:p>
      <w:pPr>
        <w:sectPr>
          <w:pgSz w:w="11900" w:h="16838" w:orient="portrait"/>
          <w:cols w:equalWidth="0" w:num="1">
            <w:col w:w="11240"/>
          </w:cols>
          <w:pgMar w:left="320" w:top="108" w:right="339" w:bottom="1440" w:gutter="0" w:footer="0" w:header="0"/>
        </w:sectPr>
      </w:pPr>
    </w:p>
    <w:bookmarkStart w:id="81" w:name="page82"/>
    <w:bookmarkEnd w:id="81"/>
    <w:p>
      <w:pPr>
        <w:jc w:val="both"/>
        <w:ind w:left="-656" w:firstLine="656"/>
        <w:spacing w:after="0" w:line="253" w:lineRule="auto"/>
        <w:tabs>
          <w:tab w:leader="none" w:pos="633"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Confidentiality Agreement</w:t>
      </w:r>
      <w:r>
        <w:rPr>
          <w:rFonts w:ascii="Arial" w:cs="Arial" w:eastAsia="Arial" w:hAnsi="Arial"/>
          <w:sz w:val="18"/>
          <w:szCs w:val="18"/>
          <w:color w:val="auto"/>
        </w:rPr>
        <w:t>. As an employee of the Company, you will continue to have access to certain confidential</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of the Company and, during the course of your employment, you may develop certain information or inventions that will be the property of the Company. To protect the interests of the Company, your acceptance of this Agreement confirms that the terms of the At-Will Employment, Confidential Information, Invention Assignment, and Arbitration Agreement between you and the Company dated January 14, 2020, as may be amended or amended and restated from time to time (the “</w:t>
      </w:r>
      <w:r>
        <w:rPr>
          <w:rFonts w:ascii="Arial" w:cs="Arial" w:eastAsia="Arial" w:hAnsi="Arial"/>
          <w:sz w:val="18"/>
          <w:szCs w:val="18"/>
          <w:b w:val="1"/>
          <w:bCs w:val="1"/>
          <w:color w:val="auto"/>
        </w:rPr>
        <w:t>Confidentiality Agreement</w:t>
      </w:r>
      <w:r>
        <w:rPr>
          <w:rFonts w:ascii="Arial" w:cs="Arial" w:eastAsia="Arial" w:hAnsi="Arial"/>
          <w:sz w:val="18"/>
          <w:szCs w:val="18"/>
          <w:color w:val="auto"/>
        </w:rPr>
        <w:t>”) still apply.</w:t>
      </w:r>
    </w:p>
    <w:p>
      <w:pPr>
        <w:spacing w:after="0" w:line="137" w:lineRule="exact"/>
        <w:rPr>
          <w:rFonts w:ascii="Arial" w:cs="Arial" w:eastAsia="Arial" w:hAnsi="Arial"/>
          <w:sz w:val="18"/>
          <w:szCs w:val="18"/>
          <w:color w:val="auto"/>
        </w:rPr>
      </w:pPr>
    </w:p>
    <w:p>
      <w:pPr>
        <w:jc w:val="both"/>
        <w:ind w:left="-656" w:firstLine="656"/>
        <w:spacing w:after="0" w:line="237" w:lineRule="auto"/>
        <w:tabs>
          <w:tab w:leader="none" w:pos="633" w:val="left"/>
        </w:tabs>
        <w:numPr>
          <w:ilvl w:val="0"/>
          <w:numId w:val="50"/>
        </w:numPr>
        <w:rPr>
          <w:rFonts w:ascii="Arial" w:cs="Arial" w:eastAsia="Arial" w:hAnsi="Arial"/>
          <w:sz w:val="19"/>
          <w:szCs w:val="19"/>
          <w:color w:val="auto"/>
        </w:rPr>
      </w:pPr>
      <w:r>
        <w:rPr>
          <w:rFonts w:ascii="Arial" w:cs="Arial" w:eastAsia="Arial" w:hAnsi="Arial"/>
          <w:sz w:val="19"/>
          <w:szCs w:val="19"/>
          <w:b w:val="1"/>
          <w:bCs w:val="1"/>
          <w:color w:val="auto"/>
        </w:rPr>
        <w:t>At-Will Employment</w:t>
      </w:r>
      <w:r>
        <w:rPr>
          <w:rFonts w:ascii="Arial" w:cs="Arial" w:eastAsia="Arial" w:hAnsi="Arial"/>
          <w:sz w:val="19"/>
          <w:szCs w:val="19"/>
          <w:color w:val="auto"/>
        </w:rPr>
        <w:t>. This Agreement does not imply any right to your continued employment for any period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or any parent, subsidiary, or other affiliate of the Company. Your employment with the Company is for no specified period and will continue to constitute at-will employment. As a result, you are free to resign at any time, for any reason or for no reason. Similarly, the Company is free to conclude its employment relationship with you at any time, with or without cause, and with or without notice. We request that, in the event of resignation, you give the Company at least two weeks’ notice.</w:t>
      </w:r>
    </w:p>
    <w:p>
      <w:pPr>
        <w:spacing w:after="0" w:line="149" w:lineRule="exact"/>
        <w:rPr>
          <w:rFonts w:ascii="Arial" w:cs="Arial" w:eastAsia="Arial" w:hAnsi="Arial"/>
          <w:sz w:val="19"/>
          <w:szCs w:val="19"/>
          <w:color w:val="auto"/>
        </w:rPr>
      </w:pPr>
    </w:p>
    <w:p>
      <w:pPr>
        <w:jc w:val="both"/>
        <w:ind w:left="-656" w:firstLine="656"/>
        <w:spacing w:after="0" w:line="226" w:lineRule="auto"/>
        <w:tabs>
          <w:tab w:leader="none" w:pos="633" w:val="left"/>
        </w:tabs>
        <w:numPr>
          <w:ilvl w:val="0"/>
          <w:numId w:val="50"/>
        </w:numPr>
        <w:rPr>
          <w:rFonts w:ascii="Arial" w:cs="Arial" w:eastAsia="Arial" w:hAnsi="Arial"/>
          <w:sz w:val="19"/>
          <w:szCs w:val="19"/>
          <w:color w:val="auto"/>
        </w:rPr>
      </w:pPr>
      <w:r>
        <w:rPr>
          <w:rFonts w:ascii="Arial" w:cs="Arial" w:eastAsia="Arial" w:hAnsi="Arial"/>
          <w:sz w:val="19"/>
          <w:szCs w:val="19"/>
          <w:b w:val="1"/>
          <w:bCs w:val="1"/>
          <w:color w:val="auto"/>
        </w:rPr>
        <w:t>Taxes</w:t>
      </w:r>
      <w:r>
        <w:rPr>
          <w:rFonts w:ascii="Arial" w:cs="Arial" w:eastAsia="Arial" w:hAnsi="Arial"/>
          <w:sz w:val="19"/>
          <w:szCs w:val="19"/>
          <w:color w:val="auto"/>
        </w:rPr>
        <w:t>. The Company (or its affiliate, as applicable) will have the right and authority to deduct from any payments or</w:t>
      </w:r>
      <w:r>
        <w:rPr>
          <w:rFonts w:ascii="Arial" w:cs="Arial" w:eastAsia="Arial" w:hAnsi="Arial"/>
          <w:sz w:val="19"/>
          <w:szCs w:val="19"/>
          <w:b w:val="1"/>
          <w:bCs w:val="1"/>
          <w:color w:val="auto"/>
        </w:rPr>
        <w:t xml:space="preserve"> </w:t>
      </w:r>
      <w:r>
        <w:rPr>
          <w:rFonts w:ascii="Arial" w:cs="Arial" w:eastAsia="Arial" w:hAnsi="Arial"/>
          <w:sz w:val="19"/>
          <w:szCs w:val="19"/>
          <w:color w:val="auto"/>
        </w:rPr>
        <w:t>benefits under this Agreement all applicable federal, state, and local taxes or other required withholdings and payroll deductions (“</w:t>
      </w:r>
      <w:r>
        <w:rPr>
          <w:rFonts w:ascii="Arial" w:cs="Arial" w:eastAsia="Arial" w:hAnsi="Arial"/>
          <w:sz w:val="19"/>
          <w:szCs w:val="19"/>
          <w:b w:val="1"/>
          <w:bCs w:val="1"/>
          <w:color w:val="auto"/>
        </w:rPr>
        <w:t>Withholdings</w:t>
      </w:r>
      <w:r>
        <w:rPr>
          <w:rFonts w:ascii="Arial" w:cs="Arial" w:eastAsia="Arial" w:hAnsi="Arial"/>
          <w:sz w:val="19"/>
          <w:szCs w:val="19"/>
          <w:color w:val="auto"/>
        </w:rPr>
        <w:t>”). Prior to the payment of any amounts or provision of any benefits under this Agreement, the Company (and its affiliate, as applicable) is permitted to deduct or withhold, or require you to remit to the Company, an amount sufficient to satisfy any applicable Withholdings with respect to such payments and benefits. The payments and benefits under this Agreement are intended to be exempt from, or otherwise to comply with, Section 409A of the Internal Revenue Code of 1986, as amended, and any regulations and other formal guidance promulgated thereunder (“</w:t>
      </w:r>
      <w:r>
        <w:rPr>
          <w:rFonts w:ascii="Arial" w:cs="Arial" w:eastAsia="Arial" w:hAnsi="Arial"/>
          <w:sz w:val="19"/>
          <w:szCs w:val="19"/>
          <w:b w:val="1"/>
          <w:bCs w:val="1"/>
          <w:color w:val="auto"/>
        </w:rPr>
        <w:t>Section 409A</w:t>
      </w:r>
      <w:r>
        <w:rPr>
          <w:rFonts w:ascii="Arial" w:cs="Arial" w:eastAsia="Arial" w:hAnsi="Arial"/>
          <w:sz w:val="19"/>
          <w:szCs w:val="19"/>
          <w:color w:val="auto"/>
        </w:rPr>
        <w:t>”) so that none of the payments and benefits under this Agreement will be subject to the additional tax imposed under Section 409A, and any ambiguities and ambiguous terms herein will be interpreted to be exempt or to so comply. Any taxable reimbursements payable to you under this Agreement will be paid, less applicable withholdings, only with respect to expenses incurred while you are employed with the Company, no later than the last day of your taxable year immediately following your taxable year in which the expense was incurred by you. No such amounts reimbursable to you in one taxable year of yours will affect the amounts reimbursable to you in another taxable year of yours. Notwithstanding any contrary Agreement provision, the Company reserves the right to amend the Agreement as it deems necessary or advisable, in its sole discretion and without your consent or the consent of any other person or entity, to comply with Section 409A or to avoid income recognition under Section 409A or to otherwise avoid the imposition of additional tax under Section 409A prior to the actual payment or provision of any payments or benefits under this Agreement. In no event will you have any discretion to choose your taxable year in which any payments or benefits are provided under this Agreement. In no event will the Company, or any parent, subsidiary or other affiliate of the Company have any responsibility, liability or obligation to reimburse or indemnify you or hold you harmless for any taxes imposed, or other costs incurred, as a result of Section 409A.</w:t>
      </w:r>
    </w:p>
    <w:p>
      <w:pPr>
        <w:spacing w:after="0" w:line="154" w:lineRule="exact"/>
        <w:rPr>
          <w:rFonts w:ascii="Arial" w:cs="Arial" w:eastAsia="Arial" w:hAnsi="Arial"/>
          <w:sz w:val="19"/>
          <w:szCs w:val="19"/>
          <w:color w:val="auto"/>
        </w:rPr>
      </w:pPr>
    </w:p>
    <w:p>
      <w:pPr>
        <w:jc w:val="both"/>
        <w:ind w:left="-656" w:firstLine="656"/>
        <w:spacing w:after="0" w:line="217" w:lineRule="auto"/>
        <w:tabs>
          <w:tab w:leader="none" w:pos="633" w:val="left"/>
        </w:tabs>
        <w:numPr>
          <w:ilvl w:val="0"/>
          <w:numId w:val="50"/>
        </w:numPr>
        <w:rPr>
          <w:rFonts w:ascii="Arial" w:cs="Arial" w:eastAsia="Arial" w:hAnsi="Arial"/>
          <w:sz w:val="20"/>
          <w:szCs w:val="20"/>
          <w:color w:val="auto"/>
        </w:rPr>
      </w:pPr>
      <w:r>
        <w:rPr>
          <w:rFonts w:ascii="Arial" w:cs="Arial" w:eastAsia="Arial" w:hAnsi="Arial"/>
          <w:sz w:val="20"/>
          <w:szCs w:val="20"/>
          <w:b w:val="1"/>
          <w:bCs w:val="1"/>
          <w:color w:val="auto"/>
        </w:rPr>
        <w:t>Additional Employment Provisions</w:t>
      </w:r>
      <w:r>
        <w:rPr>
          <w:rFonts w:ascii="Arial" w:cs="Arial" w:eastAsia="Arial" w:hAnsi="Arial"/>
          <w:sz w:val="20"/>
          <w:szCs w:val="20"/>
          <w:color w:val="auto"/>
        </w:rPr>
        <w:t>. During the term of your employment with the Company, you agree to perform</w:t>
      </w:r>
      <w:r>
        <w:rPr>
          <w:rFonts w:ascii="Arial" w:cs="Arial" w:eastAsia="Arial" w:hAnsi="Arial"/>
          <w:sz w:val="20"/>
          <w:szCs w:val="20"/>
          <w:b w:val="1"/>
          <w:bCs w:val="1"/>
          <w:color w:val="auto"/>
        </w:rPr>
        <w:t xml:space="preserve"> </w:t>
      </w:r>
      <w:r>
        <w:rPr>
          <w:rFonts w:ascii="Arial" w:cs="Arial" w:eastAsia="Arial" w:hAnsi="Arial"/>
          <w:sz w:val="20"/>
          <w:szCs w:val="20"/>
          <w:color w:val="auto"/>
        </w:rPr>
        <w:t>your duties faithfully and to the best of your abilities and will devote your full business efforts and time to rendering services to the Company hereunder. Moreover, you agree that, during the term of your employment with the Company, you will not engage in any other employment, occupation, consulting or other business activity directly related to the business in which the Company is now involved or becomes involved during the term of your employment, nor will you engage in any other activities that conflict with your obligations to the Company. Nothing in this Agreement shall prohibit you from (a) making and managing passive investments, or (b) participating in professional and charitable organizations in an unpaid capacity, in a manner, and to an extent, that will not interfere with your duties or obligations to the Company, including under the Confidentiality Agreement. You agree not to bring any third party confidential information to the Company, including that of your former employer, and that in performing your duties for the Company you will not in any way utilize any such information. As a Company employee, you will be expected to abide by the Company’s rules and standards. You agree that in the rendering of all services to the Company and in all aspects of employment with the Company, you will comply in all</w:t>
      </w:r>
    </w:p>
    <w:p>
      <w:pPr>
        <w:sectPr>
          <w:pgSz w:w="11900" w:h="16838" w:orient="portrait"/>
          <w:cols w:equalWidth="0" w:num="1">
            <w:col w:w="10584"/>
          </w:cols>
          <w:pgMar w:left="976" w:top="1214" w:right="339" w:bottom="1440" w:gutter="0" w:footer="0" w:header="0"/>
        </w:sectPr>
      </w:pPr>
    </w:p>
    <w:bookmarkStart w:id="82" w:name="page83"/>
    <w:bookmarkEnd w:id="82"/>
    <w:p>
      <w:pPr>
        <w:spacing w:after="0"/>
        <w:rPr>
          <w:sz w:val="20"/>
          <w:szCs w:val="20"/>
          <w:color w:val="auto"/>
        </w:rPr>
      </w:pPr>
      <w:r>
        <w:rPr>
          <w:rFonts w:ascii="Arial" w:cs="Arial" w:eastAsia="Arial" w:hAnsi="Arial"/>
          <w:sz w:val="20"/>
          <w:szCs w:val="20"/>
          <w:color w:val="auto"/>
        </w:rPr>
        <w:t>material respects with all lawful directives, policies, standards and regulations from time to time established by the Company.</w:t>
      </w:r>
    </w:p>
    <w:p>
      <w:pPr>
        <w:spacing w:after="0" w:line="183" w:lineRule="exact"/>
        <w:rPr>
          <w:sz w:val="20"/>
          <w:szCs w:val="20"/>
          <w:color w:val="auto"/>
        </w:rPr>
      </w:pPr>
    </w:p>
    <w:p>
      <w:pPr>
        <w:jc w:val="both"/>
        <w:ind w:firstLine="656"/>
        <w:spacing w:after="0" w:line="225" w:lineRule="auto"/>
        <w:tabs>
          <w:tab w:leader="none" w:pos="1285" w:val="left"/>
        </w:tabs>
        <w:numPr>
          <w:ilvl w:val="0"/>
          <w:numId w:val="51"/>
        </w:numPr>
        <w:rPr>
          <w:rFonts w:ascii="Arial" w:cs="Arial" w:eastAsia="Arial" w:hAnsi="Arial"/>
          <w:sz w:val="19"/>
          <w:szCs w:val="19"/>
          <w:color w:val="auto"/>
        </w:rPr>
      </w:pPr>
      <w:r>
        <w:rPr>
          <w:rFonts w:ascii="Arial" w:cs="Arial" w:eastAsia="Arial" w:hAnsi="Arial"/>
          <w:sz w:val="19"/>
          <w:szCs w:val="19"/>
          <w:b w:val="1"/>
          <w:bCs w:val="1"/>
          <w:color w:val="auto"/>
        </w:rPr>
        <w:t>Protected Activity Not Prohibited</w:t>
      </w:r>
      <w:r>
        <w:rPr>
          <w:rFonts w:ascii="Arial" w:cs="Arial" w:eastAsia="Arial" w:hAnsi="Arial"/>
          <w:sz w:val="19"/>
          <w:szCs w:val="19"/>
          <w:color w:val="auto"/>
        </w:rPr>
        <w:t>. Notwithstanding any contrary provision of the Agreement or the Confidentiality</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nothing in this Agreement, or the Confidentiality Agreement will prohibit or impede you from engaging in any Protected Activity. For purposes of this Agreement, “</w:t>
      </w:r>
      <w:r>
        <w:rPr>
          <w:rFonts w:ascii="Arial" w:cs="Arial" w:eastAsia="Arial" w:hAnsi="Arial"/>
          <w:sz w:val="19"/>
          <w:szCs w:val="19"/>
          <w:b w:val="1"/>
          <w:bCs w:val="1"/>
          <w:color w:val="auto"/>
        </w:rPr>
        <w:t>Protected Activity</w:t>
      </w:r>
      <w:r>
        <w:rPr>
          <w:rFonts w:ascii="Arial" w:cs="Arial" w:eastAsia="Arial" w:hAnsi="Arial"/>
          <w:sz w:val="19"/>
          <w:szCs w:val="19"/>
          <w:color w:val="auto"/>
        </w:rPr>
        <w:t>” will mean (i) communicating, cooperating or filing a complaint with any U.S. federal, state or local governmental or law enforcement branch, agency or entity, including, but not limited to, the Securities and Exchange Commission, the Equal Employment Opportunity Commission, the Occupational Safety and Health Administration, and the National Labor Relations Board (collectively, a “</w:t>
      </w:r>
      <w:r>
        <w:rPr>
          <w:rFonts w:ascii="Arial" w:cs="Arial" w:eastAsia="Arial" w:hAnsi="Arial"/>
          <w:sz w:val="19"/>
          <w:szCs w:val="19"/>
          <w:b w:val="1"/>
          <w:bCs w:val="1"/>
          <w:color w:val="auto"/>
        </w:rPr>
        <w:t>Governmental Entity</w:t>
      </w:r>
      <w:r>
        <w:rPr>
          <w:rFonts w:ascii="Arial" w:cs="Arial" w:eastAsia="Arial" w:hAnsi="Arial"/>
          <w:sz w:val="19"/>
          <w:szCs w:val="19"/>
          <w:color w:val="auto"/>
        </w:rPr>
        <w:t>”) with respect to possible violations of any U.S. federal, state or local law or regulation, or otherwise making disclosures to any Governmental Entity and (ii) discussing or disclosing information about unlawful acts in the workplace, such as harassment or discrimination or any other conduct that you have reason to believe is unlawful. Notwithstanding the foregoing, you agree to take all reasonable precautions to prevent any unauthorized use or disclosure of any Company trade secrets, proprietary information, or confidential information that does not involve unlawful acts in the workplace or the activity otherwise protected herein. You further understand that Protected Activity does not include disclosure of any Company attorney-client privileged communications or attorney work product. Any language in the Confidentiality Agreement or any other confidential information agreement between you and the Company or any parent, subsidiary, or other affiliate of the Company that conflicts with, or is contrary to, this paragraph is superseded by this Agreement. You understand and acknowledge that pursuant to the Defend Trade Secrets Act of 2016 (a) an individual will not be held criminally or civilly liable under any Federal or State trade secret law for the disclosure of a trade secret that is made (i) in confidence to a Federal, state, or local government official or to an attorney solely for the purpose of reporting or investigating a suspected violation of law, or (ii) in a complaint or other document filed in a lawsuit or other proceeding, if such filing is made under seal and (b)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167" w:lineRule="exact"/>
        <w:rPr>
          <w:rFonts w:ascii="Arial" w:cs="Arial" w:eastAsia="Arial" w:hAnsi="Arial"/>
          <w:sz w:val="19"/>
          <w:szCs w:val="19"/>
          <w:color w:val="auto"/>
        </w:rPr>
      </w:pPr>
    </w:p>
    <w:p>
      <w:pPr>
        <w:jc w:val="both"/>
        <w:ind w:firstLine="656"/>
        <w:spacing w:after="0" w:line="210" w:lineRule="auto"/>
        <w:tabs>
          <w:tab w:leader="none" w:pos="1277" w:val="left"/>
        </w:tabs>
        <w:numPr>
          <w:ilvl w:val="0"/>
          <w:numId w:val="51"/>
        </w:numPr>
        <w:rPr>
          <w:rFonts w:ascii="Arial" w:cs="Arial" w:eastAsia="Arial" w:hAnsi="Arial"/>
          <w:sz w:val="21"/>
          <w:szCs w:val="21"/>
          <w:color w:val="auto"/>
        </w:rPr>
      </w:pPr>
      <w:r>
        <w:rPr>
          <w:rFonts w:ascii="Arial" w:cs="Arial" w:eastAsia="Arial" w:hAnsi="Arial"/>
          <w:sz w:val="21"/>
          <w:szCs w:val="21"/>
          <w:b w:val="1"/>
          <w:bCs w:val="1"/>
          <w:color w:val="auto"/>
        </w:rPr>
        <w:t>Representation by Counsel</w:t>
      </w:r>
      <w:r>
        <w:rPr>
          <w:rFonts w:ascii="Arial" w:cs="Arial" w:eastAsia="Arial" w:hAnsi="Arial"/>
          <w:sz w:val="21"/>
          <w:szCs w:val="21"/>
          <w:color w:val="auto"/>
        </w:rPr>
        <w:t>. You acknowledge that Wilson Sonsini Goodrich &amp; Rosati, Professional Corporation, is</w:t>
      </w:r>
      <w:r>
        <w:rPr>
          <w:rFonts w:ascii="Arial" w:cs="Arial" w:eastAsia="Arial" w:hAnsi="Arial"/>
          <w:sz w:val="21"/>
          <w:szCs w:val="21"/>
          <w:b w:val="1"/>
          <w:bCs w:val="1"/>
          <w:color w:val="auto"/>
        </w:rPr>
        <w:t xml:space="preserve"> </w:t>
      </w:r>
      <w:r>
        <w:rPr>
          <w:rFonts w:ascii="Arial" w:cs="Arial" w:eastAsia="Arial" w:hAnsi="Arial"/>
          <w:sz w:val="21"/>
          <w:szCs w:val="21"/>
          <w:color w:val="auto"/>
        </w:rPr>
        <w:t>representing only the Company in the negotiation of this Agreement. You acknowledge that you have had the opportunity to review this Agreement and the transactions contemplated by this Agreement with your own legal counsel, tax advisors and other advisors. You are relying solely on your own counsel and advisors and not on any statements or representations of the Company or its agents for legal or other advice with respect to the transactions contemplated by this Agreement. If an ambiguity exists with respect to any provision of this Agreement, such provision shall not be construed against any party because such party or such party’s representatives drafted such provision.</w:t>
      </w:r>
    </w:p>
    <w:p>
      <w:pPr>
        <w:spacing w:after="0" w:line="154" w:lineRule="exact"/>
        <w:rPr>
          <w:rFonts w:ascii="Arial" w:cs="Arial" w:eastAsia="Arial" w:hAnsi="Arial"/>
          <w:sz w:val="21"/>
          <w:szCs w:val="21"/>
          <w:color w:val="auto"/>
        </w:rPr>
      </w:pPr>
    </w:p>
    <w:p>
      <w:pPr>
        <w:jc w:val="both"/>
        <w:ind w:firstLine="656"/>
        <w:spacing w:after="0" w:line="221" w:lineRule="auto"/>
        <w:tabs>
          <w:tab w:leader="none" w:pos="1285" w:val="left"/>
        </w:tabs>
        <w:numPr>
          <w:ilvl w:val="0"/>
          <w:numId w:val="51"/>
        </w:numPr>
        <w:rPr>
          <w:rFonts w:ascii="Arial" w:cs="Arial" w:eastAsia="Arial" w:hAnsi="Arial"/>
          <w:sz w:val="20"/>
          <w:szCs w:val="20"/>
          <w:color w:val="auto"/>
        </w:rPr>
      </w:pPr>
      <w:r>
        <w:rPr>
          <w:rFonts w:ascii="Arial" w:cs="Arial" w:eastAsia="Arial" w:hAnsi="Arial"/>
          <w:sz w:val="20"/>
          <w:szCs w:val="20"/>
          <w:b w:val="1"/>
          <w:bCs w:val="1"/>
          <w:color w:val="auto"/>
        </w:rPr>
        <w:t>Miscellaneous</w:t>
      </w:r>
      <w:r>
        <w:rPr>
          <w:rFonts w:ascii="Arial" w:cs="Arial" w:eastAsia="Arial" w:hAnsi="Arial"/>
          <w:sz w:val="20"/>
          <w:szCs w:val="20"/>
          <w:color w:val="auto"/>
        </w:rPr>
        <w:t>. This Agreement, together with the Confidentiality Agreement, the Change in Control and Severance</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between you and the Company dated June 27, 2022, and the equity awards granted to you by the Company under its equity plans and the applicable award agreements thereunder, constitute the entire agreement between you and the Company regarding the material terms and conditions of your employment, and they supersede and replace all prior negotiations, representations or agreements between you and the Company. This Agreement will be governed by the laws of the State of California but without regard to the conflicts of law provision. This Agreement may be modified only by a written agreement signed by a duly authorized officer of the Company (other than yourself) and you.</w:t>
      </w:r>
    </w:p>
    <w:p>
      <w:pPr>
        <w:sectPr>
          <w:pgSz w:w="11900" w:h="16838" w:orient="portrait"/>
          <w:cols w:equalWidth="0" w:num="1">
            <w:col w:w="11240"/>
          </w:cols>
          <w:pgMar w:left="320" w:top="1220" w:right="339" w:bottom="1440" w:gutter="0" w:footer="0" w:header="0"/>
        </w:sectPr>
      </w:pPr>
    </w:p>
    <w:bookmarkStart w:id="83" w:name="page84"/>
    <w:bookmarkEnd w:id="83"/>
    <w:p>
      <w:pPr>
        <w:spacing w:after="0" w:line="23" w:lineRule="exact"/>
        <w:rPr>
          <w:sz w:val="20"/>
          <w:szCs w:val="20"/>
          <w:color w:val="auto"/>
        </w:rPr>
      </w:pPr>
    </w:p>
    <w:p>
      <w:pPr>
        <w:ind w:firstLine="648"/>
        <w:spacing w:after="0" w:line="232" w:lineRule="auto"/>
        <w:rPr>
          <w:sz w:val="20"/>
          <w:szCs w:val="20"/>
          <w:color w:val="auto"/>
        </w:rPr>
      </w:pPr>
      <w:r>
        <w:rPr>
          <w:rFonts w:ascii="Arial" w:cs="Arial" w:eastAsia="Arial" w:hAnsi="Arial"/>
          <w:sz w:val="21"/>
          <w:szCs w:val="21"/>
          <w:color w:val="auto"/>
        </w:rPr>
        <w:t>To confirm the terms and conditions of your employment with the Company, please sign and date in the spaces indicated and return this Agreement to me.</w:t>
      </w:r>
    </w:p>
    <w:p>
      <w:pPr>
        <w:spacing w:after="0" w:line="154" w:lineRule="exact"/>
        <w:rPr>
          <w:sz w:val="20"/>
          <w:szCs w:val="20"/>
          <w:color w:val="auto"/>
        </w:rPr>
      </w:pPr>
    </w:p>
    <w:p>
      <w:pPr>
        <w:ind w:left="4540"/>
        <w:spacing w:after="0"/>
        <w:rPr>
          <w:sz w:val="20"/>
          <w:szCs w:val="20"/>
          <w:color w:val="auto"/>
        </w:rPr>
      </w:pPr>
      <w:r>
        <w:rPr>
          <w:rFonts w:ascii="Arial" w:cs="Arial" w:eastAsia="Arial" w:hAnsi="Arial"/>
          <w:sz w:val="21"/>
          <w:szCs w:val="21"/>
          <w:color w:val="auto"/>
        </w:rPr>
        <w:t>Sincerely,</w:t>
      </w:r>
    </w:p>
    <w:p>
      <w:pPr>
        <w:spacing w:after="0" w:line="177" w:lineRule="exact"/>
        <w:rPr>
          <w:sz w:val="20"/>
          <w:szCs w:val="20"/>
          <w:color w:val="auto"/>
        </w:rPr>
      </w:pPr>
    </w:p>
    <w:p>
      <w:pPr>
        <w:ind w:left="4540"/>
        <w:spacing w:after="0"/>
        <w:rPr>
          <w:sz w:val="20"/>
          <w:szCs w:val="20"/>
          <w:color w:val="auto"/>
        </w:rPr>
      </w:pPr>
      <w:r>
        <w:rPr>
          <w:rFonts w:ascii="Arial" w:cs="Arial" w:eastAsia="Arial" w:hAnsi="Arial"/>
          <w:sz w:val="21"/>
          <w:szCs w:val="21"/>
          <w:color w:val="auto"/>
        </w:rPr>
        <w:t>NAUTILUS BIOTECHNOLOGY, INC.</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540"/>
        <w:spacing w:after="0"/>
        <w:rPr>
          <w:sz w:val="20"/>
          <w:szCs w:val="20"/>
          <w:color w:val="auto"/>
        </w:rPr>
      </w:pPr>
      <w:r>
        <w:rPr>
          <w:rFonts w:ascii="Arial" w:cs="Arial" w:eastAsia="Arial" w:hAnsi="Arial"/>
          <w:sz w:val="21"/>
          <w:szCs w:val="21"/>
          <w:color w:val="auto"/>
        </w:rPr>
        <w:t>By: /s/ Sujal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-2540</wp:posOffset>
            </wp:positionV>
            <wp:extent cx="124841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48410" cy="8255"/>
                    </a:xfrm>
                    <a:prstGeom prst="rect">
                      <a:avLst/>
                    </a:prstGeom>
                    <a:noFill/>
                  </pic:spPr>
                </pic:pic>
              </a:graphicData>
            </a:graphic>
          </wp:anchor>
        </w:drawing>
      </w:r>
    </w:p>
    <w:p>
      <w:pPr>
        <w:ind w:left="4860"/>
        <w:spacing w:after="0" w:line="201" w:lineRule="auto"/>
        <w:rPr>
          <w:sz w:val="20"/>
          <w:szCs w:val="20"/>
          <w:color w:val="auto"/>
        </w:rPr>
      </w:pPr>
      <w:r>
        <w:rPr>
          <w:rFonts w:ascii="Arial" w:cs="Arial" w:eastAsia="Arial" w:hAnsi="Arial"/>
          <w:sz w:val="21"/>
          <w:szCs w:val="21"/>
          <w:color w:val="auto"/>
        </w:rPr>
        <w:t>Sujal Patel</w:t>
      </w:r>
    </w:p>
    <w:p>
      <w:pPr>
        <w:ind w:left="4860"/>
        <w:spacing w:after="0"/>
        <w:rPr>
          <w:sz w:val="20"/>
          <w:szCs w:val="20"/>
          <w:color w:val="auto"/>
        </w:rPr>
      </w:pPr>
      <w:r>
        <w:rPr>
          <w:rFonts w:ascii="Arial" w:cs="Arial" w:eastAsia="Arial" w:hAnsi="Arial"/>
          <w:sz w:val="21"/>
          <w:szCs w:val="21"/>
          <w:color w:val="auto"/>
        </w:rPr>
        <w:t>Chief Executive Officer</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color w:val="auto"/>
        </w:rPr>
        <w:t>Agreed to and accepted:</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color w:val="auto"/>
        </w:rPr>
        <w:t>/s/ Mary Godwin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10293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029335" cy="825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rPr>
        <w:t>Mary Godwin</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color w:val="auto"/>
        </w:rPr>
        <w:t>Dated: 7/26/2022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-15875</wp:posOffset>
            </wp:positionV>
            <wp:extent cx="66421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64210" cy="8255"/>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Arial" w:cs="Arial" w:eastAsia="Arial" w:hAnsi="Arial"/>
          <w:sz w:val="21"/>
          <w:szCs w:val="21"/>
          <w:color w:val="auto"/>
        </w:rPr>
        <w:t>Enclosures:</w:t>
      </w:r>
    </w:p>
    <w:p>
      <w:pPr>
        <w:spacing w:after="0" w:line="201" w:lineRule="auto"/>
        <w:rPr>
          <w:sz w:val="20"/>
          <w:szCs w:val="20"/>
          <w:color w:val="auto"/>
        </w:rPr>
      </w:pPr>
      <w:r>
        <w:rPr>
          <w:rFonts w:ascii="Arial" w:cs="Arial" w:eastAsia="Arial" w:hAnsi="Arial"/>
          <w:sz w:val="21"/>
          <w:szCs w:val="21"/>
          <w:color w:val="auto"/>
        </w:rPr>
        <w:t>At-Will Employment, Confidential Information, Invention Assignment and Arbitration Agreement</w:t>
      </w:r>
    </w:p>
    <w:p>
      <w:pPr>
        <w:spacing w:after="0"/>
        <w:rPr>
          <w:sz w:val="20"/>
          <w:szCs w:val="20"/>
          <w:color w:val="auto"/>
        </w:rPr>
      </w:pPr>
      <w:r>
        <w:rPr>
          <w:rFonts w:ascii="Arial" w:cs="Arial" w:eastAsia="Arial" w:hAnsi="Arial"/>
          <w:sz w:val="21"/>
          <w:szCs w:val="21"/>
          <w:color w:val="auto"/>
        </w:rPr>
        <w:t>Change in Control and Severance Agreement</w:t>
      </w:r>
    </w:p>
    <w:p>
      <w:pPr>
        <w:sectPr>
          <w:pgSz w:w="11900" w:h="16838" w:orient="portrait"/>
          <w:cols w:equalWidth="0" w:num="1">
            <w:col w:w="11240"/>
          </w:cols>
          <w:pgMar w:left="320" w:top="1440"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NAUTILUS BIOTECHNOLOGY,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CHANGE IN CONTROL AND SEVERANCE AGREEMENT</w:t>
      </w:r>
    </w:p>
    <w:p>
      <w:pPr>
        <w:spacing w:after="0" w:line="206"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This Change in Control and Severance Agreement (the “</w:t>
      </w:r>
      <w:r>
        <w:rPr>
          <w:rFonts w:ascii="Arial" w:cs="Arial" w:eastAsia="Arial" w:hAnsi="Arial"/>
          <w:sz w:val="22"/>
          <w:szCs w:val="22"/>
          <w:b w:val="1"/>
          <w:bCs w:val="1"/>
          <w:color w:val="auto"/>
        </w:rPr>
        <w:t>Agreement</w:t>
      </w:r>
      <w:r>
        <w:rPr>
          <w:rFonts w:ascii="Arial" w:cs="Arial" w:eastAsia="Arial" w:hAnsi="Arial"/>
          <w:sz w:val="22"/>
          <w:szCs w:val="22"/>
          <w:color w:val="auto"/>
        </w:rPr>
        <w:t>”) is made by and between Nautilus Biotechnology Inc.,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and Mary Godwin (“</w:t>
      </w:r>
      <w:r>
        <w:rPr>
          <w:rFonts w:ascii="Arial" w:cs="Arial" w:eastAsia="Arial" w:hAnsi="Arial"/>
          <w:sz w:val="22"/>
          <w:szCs w:val="22"/>
          <w:b w:val="1"/>
          <w:bCs w:val="1"/>
          <w:color w:val="auto"/>
        </w:rPr>
        <w:t>Executive</w:t>
      </w:r>
      <w:r>
        <w:rPr>
          <w:rFonts w:ascii="Arial" w:cs="Arial" w:eastAsia="Arial" w:hAnsi="Arial"/>
          <w:sz w:val="22"/>
          <w:szCs w:val="22"/>
          <w:color w:val="auto"/>
        </w:rPr>
        <w:t>”), effective as of the date this Agreement is executed by both the Company and Executive (the “</w:t>
      </w:r>
      <w:r>
        <w:rPr>
          <w:rFonts w:ascii="Arial" w:cs="Arial" w:eastAsia="Arial" w:hAnsi="Arial"/>
          <w:sz w:val="22"/>
          <w:szCs w:val="22"/>
          <w:b w:val="1"/>
          <w:bCs w:val="1"/>
          <w:color w:val="auto"/>
        </w:rPr>
        <w:t>Effective Date</w:t>
      </w:r>
      <w:r>
        <w:rPr>
          <w:rFonts w:ascii="Arial" w:cs="Arial" w:eastAsia="Arial" w:hAnsi="Arial"/>
          <w:sz w:val="22"/>
          <w:szCs w:val="22"/>
          <w:color w:val="auto"/>
        </w:rPr>
        <w:t>”).</w:t>
      </w:r>
    </w:p>
    <w:p>
      <w:pPr>
        <w:spacing w:after="0" w:line="18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This Agreement provides certain protections to Executive in connection with an involuntary termination of Executive’s employment with the Company under the circumstances described in this Agreement, including in connection with a change in control of the Company. Certain capitalized terms used in this Agreement are defined in Section 7 below.</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 and Executive agree as follows:</w:t>
      </w:r>
    </w:p>
    <w:p>
      <w:pPr>
        <w:spacing w:after="0" w:line="200" w:lineRule="exact"/>
        <w:rPr>
          <w:sz w:val="20"/>
          <w:szCs w:val="20"/>
          <w:color w:val="auto"/>
        </w:rPr>
      </w:pPr>
    </w:p>
    <w:p>
      <w:pPr>
        <w:jc w:val="both"/>
        <w:ind w:firstLine="656"/>
        <w:spacing w:after="0" w:line="246" w:lineRule="auto"/>
        <w:tabs>
          <w:tab w:leader="none" w:pos="1296" w:val="left"/>
        </w:tabs>
        <w:numPr>
          <w:ilvl w:val="0"/>
          <w:numId w:val="52"/>
        </w:numPr>
        <w:rPr>
          <w:rFonts w:ascii="Arial" w:cs="Arial" w:eastAsia="Arial" w:hAnsi="Arial"/>
          <w:sz w:val="19"/>
          <w:szCs w:val="19"/>
          <w:color w:val="auto"/>
        </w:rPr>
      </w:pPr>
      <w:r>
        <w:rPr>
          <w:rFonts w:ascii="Arial" w:cs="Arial" w:eastAsia="Arial" w:hAnsi="Arial"/>
          <w:sz w:val="19"/>
          <w:szCs w:val="19"/>
          <w:b w:val="1"/>
          <w:bCs w:val="1"/>
          <w:color w:val="auto"/>
        </w:rPr>
        <w:t>Term of Agreement</w:t>
      </w:r>
      <w:r>
        <w:rPr>
          <w:rFonts w:ascii="Arial" w:cs="Arial" w:eastAsia="Arial" w:hAnsi="Arial"/>
          <w:sz w:val="19"/>
          <w:szCs w:val="19"/>
          <w:color w:val="auto"/>
        </w:rPr>
        <w:t>. This Agreement will have an initial term of three (3) years commencing on the Effective</w:t>
      </w:r>
      <w:r>
        <w:rPr>
          <w:rFonts w:ascii="Arial" w:cs="Arial" w:eastAsia="Arial" w:hAnsi="Arial"/>
          <w:sz w:val="19"/>
          <w:szCs w:val="19"/>
          <w:b w:val="1"/>
          <w:bCs w:val="1"/>
          <w:color w:val="auto"/>
        </w:rPr>
        <w:t xml:space="preserve"> </w:t>
      </w:r>
      <w:r>
        <w:rPr>
          <w:rFonts w:ascii="Arial" w:cs="Arial" w:eastAsia="Arial" w:hAnsi="Arial"/>
          <w:sz w:val="19"/>
          <w:szCs w:val="19"/>
          <w:color w:val="auto"/>
        </w:rPr>
        <w:t>Date (the “</w:t>
      </w:r>
      <w:r>
        <w:rPr>
          <w:rFonts w:ascii="Arial" w:cs="Arial" w:eastAsia="Arial" w:hAnsi="Arial"/>
          <w:sz w:val="19"/>
          <w:szCs w:val="19"/>
          <w:b w:val="1"/>
          <w:bCs w:val="1"/>
          <w:color w:val="auto"/>
        </w:rPr>
        <w:t>Initial Term</w:t>
      </w:r>
      <w:r>
        <w:rPr>
          <w:rFonts w:ascii="Arial" w:cs="Arial" w:eastAsia="Arial" w:hAnsi="Arial"/>
          <w:sz w:val="19"/>
          <w:szCs w:val="19"/>
          <w:color w:val="auto"/>
        </w:rPr>
        <w:t>”). On the three (3) year anniversary of the Effective Date, this Agreement will renew automatically for additional, one (1) year terms (each, an “</w:t>
      </w:r>
      <w:r>
        <w:rPr>
          <w:rFonts w:ascii="Arial" w:cs="Arial" w:eastAsia="Arial" w:hAnsi="Arial"/>
          <w:sz w:val="19"/>
          <w:szCs w:val="19"/>
          <w:b w:val="1"/>
          <w:bCs w:val="1"/>
          <w:color w:val="auto"/>
        </w:rPr>
        <w:t>Additional Term</w:t>
      </w:r>
      <w:r>
        <w:rPr>
          <w:rFonts w:ascii="Arial" w:cs="Arial" w:eastAsia="Arial" w:hAnsi="Arial"/>
          <w:sz w:val="19"/>
          <w:szCs w:val="19"/>
          <w:color w:val="auto"/>
        </w:rPr>
        <w:t>”) unless either party provides the other party with written notice of nonrenewal at least ninety (90) days prior to the date of automatic renewal. Notwithstanding the foregoing, if a Change in Control occurs (a) when there are fewer than twelve (12) months remaining during the Initial Term or (b) during an Additional Term, then the term of this Agreement will extend automatically through the date that is twelve (12) months following the date of the Change in Control. If Executive becomes entitled to the benefits under Section 3 of this Agreement, then the Agreement will not terminate until all of the obligations of the parties hereto with respect to this Agreement have been satisfied.</w:t>
      </w:r>
    </w:p>
    <w:p>
      <w:pPr>
        <w:spacing w:after="0" w:line="152" w:lineRule="exact"/>
        <w:rPr>
          <w:rFonts w:ascii="Arial" w:cs="Arial" w:eastAsia="Arial" w:hAnsi="Arial"/>
          <w:sz w:val="19"/>
          <w:szCs w:val="19"/>
          <w:color w:val="auto"/>
        </w:rPr>
      </w:pPr>
    </w:p>
    <w:p>
      <w:pPr>
        <w:jc w:val="both"/>
        <w:ind w:firstLine="656"/>
        <w:spacing w:after="0" w:line="217" w:lineRule="auto"/>
        <w:tabs>
          <w:tab w:leader="none" w:pos="1296" w:val="left"/>
        </w:tabs>
        <w:numPr>
          <w:ilvl w:val="0"/>
          <w:numId w:val="52"/>
        </w:numPr>
        <w:rPr>
          <w:rFonts w:ascii="Arial" w:cs="Arial" w:eastAsia="Arial" w:hAnsi="Arial"/>
          <w:sz w:val="22"/>
          <w:szCs w:val="22"/>
          <w:color w:val="auto"/>
        </w:rPr>
      </w:pPr>
      <w:r>
        <w:rPr>
          <w:rFonts w:ascii="Arial" w:cs="Arial" w:eastAsia="Arial" w:hAnsi="Arial"/>
          <w:sz w:val="22"/>
          <w:szCs w:val="22"/>
          <w:b w:val="1"/>
          <w:bCs w:val="1"/>
          <w:color w:val="auto"/>
        </w:rPr>
        <w:t>At-Will Employment</w:t>
      </w:r>
      <w:r>
        <w:rPr>
          <w:rFonts w:ascii="Arial" w:cs="Arial" w:eastAsia="Arial" w:hAnsi="Arial"/>
          <w:sz w:val="22"/>
          <w:szCs w:val="22"/>
          <w:color w:val="auto"/>
        </w:rPr>
        <w:t>. The Company and Executive acknowledge that Executive’s employment is and will</w:t>
      </w:r>
      <w:r>
        <w:rPr>
          <w:rFonts w:ascii="Arial" w:cs="Arial" w:eastAsia="Arial" w:hAnsi="Arial"/>
          <w:sz w:val="22"/>
          <w:szCs w:val="22"/>
          <w:b w:val="1"/>
          <w:bCs w:val="1"/>
          <w:color w:val="auto"/>
        </w:rPr>
        <w:t xml:space="preserve"> </w:t>
      </w:r>
      <w:r>
        <w:rPr>
          <w:rFonts w:ascii="Arial" w:cs="Arial" w:eastAsia="Arial" w:hAnsi="Arial"/>
          <w:sz w:val="22"/>
          <w:szCs w:val="22"/>
          <w:color w:val="auto"/>
        </w:rPr>
        <w:t>continue to be at-will, as defined under applicable law. No payments, benefits, or provisions under this Agreement will confer upon Executive any right to continue Executive’s employment with the Company, nor will they interfere with or limit in any way the right of the Company or Executive to terminate such relationship at any time, with or without cause, to the extent permitted by applicable laws.</w:t>
      </w:r>
    </w:p>
    <w:p>
      <w:pPr>
        <w:spacing w:after="0" w:line="152" w:lineRule="exact"/>
        <w:rPr>
          <w:rFonts w:ascii="Arial" w:cs="Arial" w:eastAsia="Arial" w:hAnsi="Arial"/>
          <w:sz w:val="22"/>
          <w:szCs w:val="22"/>
          <w:color w:val="auto"/>
        </w:rPr>
      </w:pPr>
    </w:p>
    <w:p>
      <w:pPr>
        <w:ind w:left="1300" w:hanging="644"/>
        <w:spacing w:after="0"/>
        <w:tabs>
          <w:tab w:leader="none" w:pos="1300" w:val="left"/>
        </w:tabs>
        <w:numPr>
          <w:ilvl w:val="0"/>
          <w:numId w:val="52"/>
        </w:numPr>
        <w:rPr>
          <w:rFonts w:ascii="Arial" w:cs="Arial" w:eastAsia="Arial" w:hAnsi="Arial"/>
          <w:sz w:val="22"/>
          <w:szCs w:val="22"/>
          <w:color w:val="auto"/>
        </w:rPr>
      </w:pPr>
      <w:r>
        <w:rPr>
          <w:rFonts w:ascii="Arial" w:cs="Arial" w:eastAsia="Arial" w:hAnsi="Arial"/>
          <w:sz w:val="22"/>
          <w:szCs w:val="22"/>
          <w:b w:val="1"/>
          <w:bCs w:val="1"/>
          <w:color w:val="auto"/>
        </w:rPr>
        <w:t>Severance Benefits</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2"/>
          <w:szCs w:val="22"/>
          <w:color w:val="auto"/>
        </w:rPr>
        <w:t xml:space="preserve">3.a. </w:t>
      </w:r>
      <w:r>
        <w:rPr>
          <w:rFonts w:ascii="Arial" w:cs="Arial" w:eastAsia="Arial" w:hAnsi="Arial"/>
          <w:sz w:val="22"/>
          <w:szCs w:val="22"/>
          <w:b w:val="1"/>
          <w:bCs w:val="1"/>
          <w:color w:val="auto"/>
        </w:rPr>
        <w:t>Qualifying Termination Outside of the Change in Control Period</w:t>
      </w:r>
      <w:r>
        <w:rPr>
          <w:rFonts w:ascii="Arial" w:cs="Arial" w:eastAsia="Arial" w:hAnsi="Arial"/>
          <w:sz w:val="22"/>
          <w:szCs w:val="22"/>
          <w:color w:val="auto"/>
        </w:rPr>
        <w:t>. In the event of a Qualifying Termination that occurs other than during the Change in Control Period, Executive will receive the following payments and benefits from the Company, subject to the requirements of this Agreement:</w:t>
      </w:r>
    </w:p>
    <w:p>
      <w:pPr>
        <w:spacing w:after="0" w:line="153" w:lineRule="exact"/>
        <w:rPr>
          <w:sz w:val="20"/>
          <w:szCs w:val="20"/>
          <w:color w:val="auto"/>
        </w:rPr>
      </w:pPr>
    </w:p>
    <w:p>
      <w:pPr>
        <w:ind w:left="1520"/>
        <w:spacing w:after="0"/>
        <w:rPr>
          <w:sz w:val="20"/>
          <w:szCs w:val="20"/>
          <w:color w:val="auto"/>
        </w:rPr>
      </w:pPr>
      <w:r>
        <w:rPr>
          <w:rFonts w:ascii="Arial" w:cs="Arial" w:eastAsia="Arial" w:hAnsi="Arial"/>
          <w:sz w:val="19"/>
          <w:szCs w:val="19"/>
          <w:color w:val="auto"/>
        </w:rPr>
        <w:t>3.1.i.</w:t>
      </w:r>
      <w:r>
        <w:rPr>
          <w:rFonts w:ascii="Arial" w:cs="Arial" w:eastAsia="Arial" w:hAnsi="Arial"/>
          <w:sz w:val="19"/>
          <w:szCs w:val="19"/>
          <w:b w:val="1"/>
          <w:bCs w:val="1"/>
          <w:color w:val="auto"/>
        </w:rPr>
        <w:t>Salary Severance</w:t>
      </w:r>
      <w:r>
        <w:rPr>
          <w:rFonts w:ascii="Arial" w:cs="Arial" w:eastAsia="Arial" w:hAnsi="Arial"/>
          <w:sz w:val="19"/>
          <w:szCs w:val="19"/>
          <w:color w:val="auto"/>
        </w:rPr>
        <w:t>. A single, lump sum, cash payment equal to fifty percent (50%) of Executive’s Salary.</w:t>
      </w:r>
    </w:p>
    <w:p>
      <w:pPr>
        <w:spacing w:after="0" w:line="214" w:lineRule="exact"/>
        <w:rPr>
          <w:sz w:val="20"/>
          <w:szCs w:val="20"/>
          <w:color w:val="auto"/>
        </w:rPr>
      </w:pPr>
    </w:p>
    <w:p>
      <w:pPr>
        <w:jc w:val="both"/>
        <w:ind w:firstLine="1446"/>
        <w:spacing w:after="0" w:line="225" w:lineRule="auto"/>
        <w:rPr>
          <w:sz w:val="20"/>
          <w:szCs w:val="20"/>
          <w:color w:val="auto"/>
        </w:rPr>
      </w:pPr>
      <w:r>
        <w:rPr>
          <w:rFonts w:ascii="Arial" w:cs="Arial" w:eastAsia="Arial" w:hAnsi="Arial"/>
          <w:sz w:val="21"/>
          <w:szCs w:val="21"/>
          <w:color w:val="auto"/>
        </w:rPr>
        <w:t>3.1.ii.</w:t>
      </w:r>
      <w:r>
        <w:rPr>
          <w:rFonts w:ascii="Arial" w:cs="Arial" w:eastAsia="Arial" w:hAnsi="Arial"/>
          <w:sz w:val="21"/>
          <w:szCs w:val="21"/>
          <w:b w:val="1"/>
          <w:bCs w:val="1"/>
          <w:color w:val="auto"/>
        </w:rPr>
        <w:t>COBRA Severance</w:t>
      </w:r>
      <w:r>
        <w:rPr>
          <w:rFonts w:ascii="Arial" w:cs="Arial" w:eastAsia="Arial" w:hAnsi="Arial"/>
          <w:sz w:val="21"/>
          <w:szCs w:val="21"/>
          <w:color w:val="auto"/>
        </w:rPr>
        <w:t>. Subject to Executive timely electing continuation coverage under the Consolidated Omnibus Budget Reconciliation Act of 1985, as amended (“</w:t>
      </w:r>
      <w:r>
        <w:rPr>
          <w:rFonts w:ascii="Arial" w:cs="Arial" w:eastAsia="Arial" w:hAnsi="Arial"/>
          <w:sz w:val="21"/>
          <w:szCs w:val="21"/>
          <w:b w:val="1"/>
          <w:bCs w:val="1"/>
          <w:color w:val="auto"/>
        </w:rPr>
        <w:t>COBRA</w:t>
      </w:r>
      <w:r>
        <w:rPr>
          <w:rFonts w:ascii="Arial" w:cs="Arial" w:eastAsia="Arial" w:hAnsi="Arial"/>
          <w:sz w:val="21"/>
          <w:szCs w:val="21"/>
          <w:color w:val="auto"/>
        </w:rPr>
        <w:t>”) and further subject to Section 5.3, the Company will pay the employer portion of the premiums required for continued coverage pursuant to COBRA under the Company’s group health, dental and vision care plans for Executive and any of Executive’s eligible dependents, as applicable, following the Qualifying Termination until the earliest of: (a) six (6) months following the date of the Qualifying Termination, (b) the date on which Executive and Executive’s eligible dependents (as applicable) become covered</w:t>
      </w:r>
    </w:p>
    <w:p>
      <w:pPr>
        <w:sectPr>
          <w:pgSz w:w="11900" w:h="16838" w:orient="portrait"/>
          <w:cols w:equalWidth="0" w:num="1">
            <w:col w:w="11240"/>
          </w:cols>
          <w:pgMar w:left="320" w:top="108" w:right="339" w:bottom="1440" w:gutter="0" w:footer="0" w:header="0"/>
        </w:sectPr>
      </w:pPr>
    </w:p>
    <w:bookmarkStart w:id="85" w:name="page86"/>
    <w:bookmarkEnd w:id="85"/>
    <w:p>
      <w:pPr>
        <w:spacing w:after="0" w:line="200" w:lineRule="exact"/>
        <w:rPr>
          <w:sz w:val="20"/>
          <w:szCs w:val="20"/>
          <w:color w:val="auto"/>
        </w:rPr>
      </w:pPr>
    </w:p>
    <w:p>
      <w:pPr>
        <w:spacing w:after="0" w:line="234" w:lineRule="exact"/>
        <w:rPr>
          <w:sz w:val="20"/>
          <w:szCs w:val="20"/>
          <w:color w:val="auto"/>
        </w:rPr>
      </w:pPr>
    </w:p>
    <w:p>
      <w:pPr>
        <w:jc w:val="both"/>
        <w:ind w:right="20"/>
        <w:spacing w:after="0" w:line="232" w:lineRule="auto"/>
        <w:rPr>
          <w:sz w:val="20"/>
          <w:szCs w:val="20"/>
          <w:color w:val="auto"/>
        </w:rPr>
      </w:pPr>
      <w:r>
        <w:rPr>
          <w:rFonts w:ascii="Arial" w:cs="Arial" w:eastAsia="Arial" w:hAnsi="Arial"/>
          <w:sz w:val="22"/>
          <w:szCs w:val="22"/>
          <w:color w:val="auto"/>
        </w:rPr>
        <w:t>under similar plans, or (c) the expiration of Executive’s (and any of Executive’s eligible dependents’, as applicable) eligibility for continuation coverage under COBRA.</w:t>
      </w:r>
    </w:p>
    <w:p>
      <w:pPr>
        <w:spacing w:after="0" w:line="153"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2"/>
          <w:szCs w:val="22"/>
          <w:color w:val="auto"/>
        </w:rPr>
        <w:t xml:space="preserve">3.b. </w:t>
      </w:r>
      <w:r>
        <w:rPr>
          <w:rFonts w:ascii="Arial" w:cs="Arial" w:eastAsia="Arial" w:hAnsi="Arial"/>
          <w:sz w:val="22"/>
          <w:szCs w:val="22"/>
          <w:b w:val="1"/>
          <w:bCs w:val="1"/>
          <w:color w:val="auto"/>
        </w:rPr>
        <w:t>Qualifying Termination During the Change in Control Period</w:t>
      </w:r>
      <w:r>
        <w:rPr>
          <w:rFonts w:ascii="Arial" w:cs="Arial" w:eastAsia="Arial" w:hAnsi="Arial"/>
          <w:sz w:val="22"/>
          <w:szCs w:val="22"/>
          <w:color w:val="auto"/>
        </w:rPr>
        <w:t>. In the event of a Qualifying Termination that occurs during the Change in Control Period, Executive will receive the following payments and benefits from the Company, subject to the requirements of this Agreement:</w:t>
      </w:r>
    </w:p>
    <w:p>
      <w:pPr>
        <w:spacing w:after="0" w:line="153" w:lineRule="exact"/>
        <w:rPr>
          <w:sz w:val="20"/>
          <w:szCs w:val="20"/>
          <w:color w:val="auto"/>
        </w:rPr>
      </w:pPr>
    </w:p>
    <w:p>
      <w:pPr>
        <w:ind w:left="1520"/>
        <w:spacing w:after="0"/>
        <w:rPr>
          <w:sz w:val="20"/>
          <w:szCs w:val="20"/>
          <w:color w:val="auto"/>
        </w:rPr>
      </w:pPr>
      <w:r>
        <w:rPr>
          <w:rFonts w:ascii="Arial" w:cs="Arial" w:eastAsia="Arial" w:hAnsi="Arial"/>
          <w:sz w:val="19"/>
          <w:szCs w:val="19"/>
          <w:color w:val="auto"/>
        </w:rPr>
        <w:t>3.2.i.</w:t>
      </w:r>
      <w:r>
        <w:rPr>
          <w:rFonts w:ascii="Arial" w:cs="Arial" w:eastAsia="Arial" w:hAnsi="Arial"/>
          <w:sz w:val="19"/>
          <w:szCs w:val="19"/>
          <w:b w:val="1"/>
          <w:bCs w:val="1"/>
          <w:color w:val="auto"/>
        </w:rPr>
        <w:t>Salary Severance</w:t>
      </w:r>
      <w:r>
        <w:rPr>
          <w:rFonts w:ascii="Arial" w:cs="Arial" w:eastAsia="Arial" w:hAnsi="Arial"/>
          <w:sz w:val="19"/>
          <w:szCs w:val="19"/>
          <w:color w:val="auto"/>
        </w:rPr>
        <w:t>. A single, lump sum, cash payment equal to one hundred percent (100%) of Executive’s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Salary.</w:t>
      </w:r>
    </w:p>
    <w:p>
      <w:pPr>
        <w:spacing w:after="0" w:line="155" w:lineRule="exact"/>
        <w:rPr>
          <w:sz w:val="20"/>
          <w:szCs w:val="20"/>
          <w:color w:val="auto"/>
        </w:rPr>
      </w:pPr>
    </w:p>
    <w:p>
      <w:pPr>
        <w:jc w:val="both"/>
        <w:ind w:firstLine="1446"/>
        <w:spacing w:after="0" w:line="235" w:lineRule="auto"/>
        <w:rPr>
          <w:sz w:val="20"/>
          <w:szCs w:val="20"/>
          <w:color w:val="auto"/>
        </w:rPr>
      </w:pPr>
      <w:r>
        <w:rPr>
          <w:rFonts w:ascii="Arial" w:cs="Arial" w:eastAsia="Arial" w:hAnsi="Arial"/>
          <w:sz w:val="22"/>
          <w:szCs w:val="22"/>
          <w:color w:val="auto"/>
        </w:rPr>
        <w:t>3.2.ii.</w:t>
      </w:r>
      <w:r>
        <w:rPr>
          <w:rFonts w:ascii="Arial" w:cs="Arial" w:eastAsia="Arial" w:hAnsi="Arial"/>
          <w:sz w:val="22"/>
          <w:szCs w:val="22"/>
          <w:b w:val="1"/>
          <w:bCs w:val="1"/>
          <w:color w:val="auto"/>
        </w:rPr>
        <w:t>Target Bonus Severance</w:t>
      </w:r>
      <w:r>
        <w:rPr>
          <w:rFonts w:ascii="Arial" w:cs="Arial" w:eastAsia="Arial" w:hAnsi="Arial"/>
          <w:sz w:val="22"/>
          <w:szCs w:val="22"/>
          <w:color w:val="auto"/>
        </w:rPr>
        <w:t>. A single, lump sum, cash payment equal to one hundred percent (100%) of Executive’s Target Bonus.</w:t>
      </w:r>
    </w:p>
    <w:p>
      <w:pPr>
        <w:spacing w:after="0" w:line="153" w:lineRule="exact"/>
        <w:rPr>
          <w:sz w:val="20"/>
          <w:szCs w:val="20"/>
          <w:color w:val="auto"/>
        </w:rPr>
      </w:pPr>
    </w:p>
    <w:p>
      <w:pPr>
        <w:jc w:val="both"/>
        <w:ind w:firstLine="1386"/>
        <w:spacing w:after="0" w:line="213" w:lineRule="auto"/>
        <w:rPr>
          <w:sz w:val="20"/>
          <w:szCs w:val="20"/>
          <w:color w:val="auto"/>
        </w:rPr>
      </w:pPr>
      <w:r>
        <w:rPr>
          <w:rFonts w:ascii="Arial" w:cs="Arial" w:eastAsia="Arial" w:hAnsi="Arial"/>
          <w:sz w:val="22"/>
          <w:szCs w:val="22"/>
          <w:color w:val="auto"/>
        </w:rPr>
        <w:t>3.2.iii.</w:t>
      </w:r>
      <w:r>
        <w:rPr>
          <w:rFonts w:ascii="Arial" w:cs="Arial" w:eastAsia="Arial" w:hAnsi="Arial"/>
          <w:sz w:val="22"/>
          <w:szCs w:val="22"/>
          <w:b w:val="1"/>
          <w:bCs w:val="1"/>
          <w:color w:val="auto"/>
        </w:rPr>
        <w:t>COBRA Severance</w:t>
      </w:r>
      <w:r>
        <w:rPr>
          <w:rFonts w:ascii="Arial" w:cs="Arial" w:eastAsia="Arial" w:hAnsi="Arial"/>
          <w:sz w:val="22"/>
          <w:szCs w:val="22"/>
          <w:color w:val="auto"/>
        </w:rPr>
        <w:t>. Subject to Executive timely electing continuation coverage under COBRA and further subject to Section 5.3, the Company will pay the premiums required for continued coverage pursuant to COBRA under the Company’s group health, dental and vision care plans for Executive and any of Executive’s eligible dependents, as applicable, following the Qualifying Termination until the earliest of: (a) twelve (12) months following the date of the Qualifying Termination, (b) the date on which Executive and Executive’s eligible dependents (as applicable) become covered under similar plans, or (c) the expiration of Executive’s (and any of Executive’s eligible dependents, as applicable) eligibility for continuation coverage under COBRA.</w:t>
      </w:r>
    </w:p>
    <w:p>
      <w:pPr>
        <w:spacing w:after="0" w:line="156" w:lineRule="exact"/>
        <w:rPr>
          <w:sz w:val="20"/>
          <w:szCs w:val="20"/>
          <w:color w:val="auto"/>
        </w:rPr>
      </w:pPr>
    </w:p>
    <w:p>
      <w:pPr>
        <w:jc w:val="both"/>
        <w:ind w:firstLine="1398"/>
        <w:spacing w:after="0" w:line="244" w:lineRule="auto"/>
        <w:rPr>
          <w:sz w:val="20"/>
          <w:szCs w:val="20"/>
          <w:color w:val="auto"/>
        </w:rPr>
      </w:pPr>
      <w:r>
        <w:rPr>
          <w:rFonts w:ascii="Arial" w:cs="Arial" w:eastAsia="Arial" w:hAnsi="Arial"/>
          <w:sz w:val="19"/>
          <w:szCs w:val="19"/>
          <w:color w:val="auto"/>
        </w:rPr>
        <w:t>3.2.iv.</w:t>
      </w:r>
      <w:r>
        <w:rPr>
          <w:rFonts w:ascii="Arial" w:cs="Arial" w:eastAsia="Arial" w:hAnsi="Arial"/>
          <w:sz w:val="19"/>
          <w:szCs w:val="19"/>
          <w:b w:val="1"/>
          <w:bCs w:val="1"/>
          <w:color w:val="auto"/>
        </w:rPr>
        <w:t>Vesting Acceleration of Time-Based Awards</w:t>
      </w:r>
      <w:r>
        <w:rPr>
          <w:rFonts w:ascii="Arial" w:cs="Arial" w:eastAsia="Arial" w:hAnsi="Arial"/>
          <w:sz w:val="19"/>
          <w:szCs w:val="19"/>
          <w:color w:val="auto"/>
        </w:rPr>
        <w:t>. Vesting acceleration of one hundred percent (100%) of any Time-Based Awards that are outstanding and unvested as of the date of the Qualifying Termination. For the avoidance of doubt, in the event of Executive’s Qualifying Termination that occurs prior to a Change in Control, any then outstanding and unvested portion of Executive’s Awards will remain outstanding (and unvested) until the earlier of (x) three (3) months following the Qualifying Termination, or (y) a Change in Control that occurs within three (3) months following the Qualifying Termination, solely so that any benefits due on a Qualifying Termination can be provided if the Qualifying Termination occurs during the Change in Control Period (provided that in no event will Executive’s stock option Awards or similar Awards remain outstanding beyond the Award’s maximum term to expiration). If no Change in Control occurs within three (3) months following a Qualifying Termination, any unvested portion of Executive’s Awards automatically and permanently will be forfeited on the date three (3) months following the date of the Qualifying Termination without having vested.</w:t>
      </w:r>
    </w:p>
    <w:p>
      <w:pPr>
        <w:spacing w:after="0" w:line="155" w:lineRule="exact"/>
        <w:rPr>
          <w:sz w:val="20"/>
          <w:szCs w:val="20"/>
          <w:color w:val="auto"/>
        </w:rPr>
      </w:pPr>
    </w:p>
    <w:p>
      <w:pPr>
        <w:jc w:val="both"/>
        <w:ind w:firstLine="1296"/>
        <w:spacing w:after="0" w:line="220" w:lineRule="auto"/>
        <w:rPr>
          <w:sz w:val="20"/>
          <w:szCs w:val="20"/>
          <w:color w:val="auto"/>
        </w:rPr>
      </w:pPr>
      <w:r>
        <w:rPr>
          <w:rFonts w:ascii="Arial" w:cs="Arial" w:eastAsia="Arial" w:hAnsi="Arial"/>
          <w:sz w:val="22"/>
          <w:szCs w:val="22"/>
          <w:color w:val="auto"/>
        </w:rPr>
        <w:t xml:space="preserve">3.c. </w:t>
      </w:r>
      <w:r>
        <w:rPr>
          <w:rFonts w:ascii="Arial" w:cs="Arial" w:eastAsia="Arial" w:hAnsi="Arial"/>
          <w:sz w:val="22"/>
          <w:szCs w:val="22"/>
          <w:b w:val="1"/>
          <w:bCs w:val="1"/>
          <w:color w:val="auto"/>
        </w:rPr>
        <w:t>Termination Other Than a Qualifying Termination</w:t>
      </w:r>
      <w:r>
        <w:rPr>
          <w:rFonts w:ascii="Arial" w:cs="Arial" w:eastAsia="Arial" w:hAnsi="Arial"/>
          <w:sz w:val="22"/>
          <w:szCs w:val="22"/>
          <w:color w:val="auto"/>
        </w:rPr>
        <w:t>. If the termination of Executive’s employment does not constitute a Qualifying Termination, then Executive will not be entitled to receive any severance or other benefits in connection with such termination except for those, if any, as may then be established under the Company’s then existing severance and benefits plans or programs.</w:t>
      </w:r>
    </w:p>
    <w:p>
      <w:pPr>
        <w:spacing w:after="0" w:line="152"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1"/>
          <w:szCs w:val="21"/>
          <w:color w:val="auto"/>
        </w:rPr>
        <w:t xml:space="preserve">3.d. </w:t>
      </w:r>
      <w:r>
        <w:rPr>
          <w:rFonts w:ascii="Arial" w:cs="Arial" w:eastAsia="Arial" w:hAnsi="Arial"/>
          <w:sz w:val="21"/>
          <w:szCs w:val="21"/>
          <w:b w:val="1"/>
          <w:bCs w:val="1"/>
          <w:color w:val="auto"/>
        </w:rPr>
        <w:t>Non-duplication of Payment or Benefits</w:t>
      </w:r>
      <w:r>
        <w:rPr>
          <w:rFonts w:ascii="Arial" w:cs="Arial" w:eastAsia="Arial" w:hAnsi="Arial"/>
          <w:sz w:val="21"/>
          <w:szCs w:val="21"/>
          <w:color w:val="auto"/>
        </w:rPr>
        <w:t>. For purposes of clarity, in the event of a Qualifying Termination that occurs during the period within three (3) months prior to a Change in Control, any severance payments and benefits to be provided to Executive under Section 3.2 will be reduced by any amounts that already were provided to Executive under Section 3.1. Notwithstanding any provision of this Agreement to the contrary, if Executive is entitled to any cash severance, continued health coverage benefits, vesting acceleration of any Awards, or other severance or separation benefits similar to those provided under this Agreement, by operation of applicable law or under a plan, policy, contract, or arrangement sponsored by the Company or to which the Company is a party other than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86" w:name="page87"/>
    <w:bookmarkEnd w:id="86"/>
    <w:p>
      <w:pPr>
        <w:spacing w:after="0" w:line="200" w:lineRule="exact"/>
        <w:rPr>
          <w:sz w:val="20"/>
          <w:szCs w:val="20"/>
          <w:color w:val="auto"/>
        </w:rPr>
      </w:pPr>
    </w:p>
    <w:p>
      <w:pPr>
        <w:spacing w:after="0" w:line="228"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Agreement (“</w:t>
      </w:r>
      <w:r>
        <w:rPr>
          <w:rFonts w:ascii="Arial" w:cs="Arial" w:eastAsia="Arial" w:hAnsi="Arial"/>
          <w:sz w:val="22"/>
          <w:szCs w:val="22"/>
          <w:b w:val="1"/>
          <w:bCs w:val="1"/>
          <w:color w:val="auto"/>
        </w:rPr>
        <w:t>Other Benefits</w:t>
      </w:r>
      <w:r>
        <w:rPr>
          <w:rFonts w:ascii="Arial" w:cs="Arial" w:eastAsia="Arial" w:hAnsi="Arial"/>
          <w:sz w:val="22"/>
          <w:szCs w:val="22"/>
          <w:color w:val="auto"/>
        </w:rPr>
        <w:t>”), then the corresponding severance payments and benefits under this Agreement will be reduced by the amount of Other Benefits paid or provided to Executive.</w:t>
      </w:r>
    </w:p>
    <w:p>
      <w:pPr>
        <w:spacing w:after="0" w:line="153"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9"/>
          <w:szCs w:val="19"/>
          <w:color w:val="auto"/>
        </w:rPr>
        <w:t xml:space="preserve">3.e. </w:t>
      </w:r>
      <w:r>
        <w:rPr>
          <w:rFonts w:ascii="Arial" w:cs="Arial" w:eastAsia="Arial" w:hAnsi="Arial"/>
          <w:sz w:val="19"/>
          <w:szCs w:val="19"/>
          <w:b w:val="1"/>
          <w:bCs w:val="1"/>
          <w:color w:val="auto"/>
        </w:rPr>
        <w:t>Death of Executive</w:t>
      </w:r>
      <w:r>
        <w:rPr>
          <w:rFonts w:ascii="Arial" w:cs="Arial" w:eastAsia="Arial" w:hAnsi="Arial"/>
          <w:sz w:val="19"/>
          <w:szCs w:val="19"/>
          <w:color w:val="auto"/>
        </w:rPr>
        <w:t>. In the event of Executive’s death before all payments or benefits Executive is entitled to receive under this Agreement have been provided, the unpaid amounts will be provided to Executive’s designated beneficiary, if living, or otherwise to Executive’s personal representative in accordance with the terms of this Agreement.</w:t>
      </w:r>
    </w:p>
    <w:p>
      <w:pPr>
        <w:spacing w:after="0" w:line="124" w:lineRule="exact"/>
        <w:rPr>
          <w:sz w:val="20"/>
          <w:szCs w:val="20"/>
          <w:color w:val="auto"/>
        </w:rPr>
      </w:pPr>
    </w:p>
    <w:p>
      <w:pPr>
        <w:jc w:val="both"/>
        <w:ind w:firstLine="656"/>
        <w:spacing w:after="0" w:line="225" w:lineRule="auto"/>
        <w:tabs>
          <w:tab w:leader="none" w:pos="1296" w:val="left"/>
        </w:tabs>
        <w:numPr>
          <w:ilvl w:val="0"/>
          <w:numId w:val="53"/>
        </w:numPr>
        <w:rPr>
          <w:rFonts w:ascii="Arial" w:cs="Arial" w:eastAsia="Arial" w:hAnsi="Arial"/>
          <w:sz w:val="22"/>
          <w:szCs w:val="22"/>
          <w:color w:val="auto"/>
        </w:rPr>
      </w:pPr>
      <w:r>
        <w:rPr>
          <w:rFonts w:ascii="Arial" w:cs="Arial" w:eastAsia="Arial" w:hAnsi="Arial"/>
          <w:sz w:val="22"/>
          <w:szCs w:val="22"/>
          <w:b w:val="1"/>
          <w:bCs w:val="1"/>
          <w:color w:val="auto"/>
        </w:rPr>
        <w:t>Accrued Compensation</w:t>
      </w:r>
      <w:r>
        <w:rPr>
          <w:rFonts w:ascii="Arial" w:cs="Arial" w:eastAsia="Arial" w:hAnsi="Arial"/>
          <w:sz w:val="22"/>
          <w:szCs w:val="22"/>
          <w:color w:val="auto"/>
        </w:rPr>
        <w:t>. On any termination of Executive’s employment with the Company, Executive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entitled to receive all accrued but unpaid vacation, expense reimbursements, wages, and other benefits due to Executive under any Company-provided plans, policies, and arrangements.</w:t>
      </w:r>
    </w:p>
    <w:p>
      <w:pPr>
        <w:spacing w:after="0" w:line="152" w:lineRule="exact"/>
        <w:rPr>
          <w:rFonts w:ascii="Arial" w:cs="Arial" w:eastAsia="Arial" w:hAnsi="Arial"/>
          <w:sz w:val="22"/>
          <w:szCs w:val="22"/>
          <w:color w:val="auto"/>
        </w:rPr>
      </w:pPr>
    </w:p>
    <w:p>
      <w:pPr>
        <w:ind w:left="1300" w:hanging="644"/>
        <w:spacing w:after="0"/>
        <w:tabs>
          <w:tab w:leader="none" w:pos="1300" w:val="left"/>
        </w:tabs>
        <w:numPr>
          <w:ilvl w:val="0"/>
          <w:numId w:val="53"/>
        </w:numPr>
        <w:rPr>
          <w:rFonts w:ascii="Arial" w:cs="Arial" w:eastAsia="Arial" w:hAnsi="Arial"/>
          <w:sz w:val="22"/>
          <w:szCs w:val="22"/>
          <w:color w:val="auto"/>
        </w:rPr>
      </w:pPr>
      <w:r>
        <w:rPr>
          <w:rFonts w:ascii="Arial" w:cs="Arial" w:eastAsia="Arial" w:hAnsi="Arial"/>
          <w:sz w:val="22"/>
          <w:szCs w:val="22"/>
          <w:b w:val="1"/>
          <w:bCs w:val="1"/>
          <w:color w:val="auto"/>
        </w:rPr>
        <w:t>Conditions to Receipt of Severance</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15" w:lineRule="auto"/>
        <w:rPr>
          <w:sz w:val="20"/>
          <w:szCs w:val="20"/>
          <w:color w:val="auto"/>
        </w:rPr>
      </w:pPr>
      <w:r>
        <w:rPr>
          <w:rFonts w:ascii="Arial" w:cs="Arial" w:eastAsia="Arial" w:hAnsi="Arial"/>
          <w:sz w:val="22"/>
          <w:szCs w:val="22"/>
          <w:color w:val="auto"/>
        </w:rPr>
        <w:t xml:space="preserve">5.a. </w:t>
      </w:r>
      <w:r>
        <w:rPr>
          <w:rFonts w:ascii="Arial" w:cs="Arial" w:eastAsia="Arial" w:hAnsi="Arial"/>
          <w:sz w:val="22"/>
          <w:szCs w:val="22"/>
          <w:b w:val="1"/>
          <w:bCs w:val="1"/>
          <w:color w:val="auto"/>
        </w:rPr>
        <w:t>Separation Agreement and Release of Claims</w:t>
      </w:r>
      <w:r>
        <w:rPr>
          <w:rFonts w:ascii="Arial" w:cs="Arial" w:eastAsia="Arial" w:hAnsi="Arial"/>
          <w:sz w:val="22"/>
          <w:szCs w:val="22"/>
          <w:color w:val="auto"/>
        </w:rPr>
        <w:t>. Executive’s receipt of any severance payments or benefits upon a Qualifying Termination under Section 3 is subject to Executive signing and not revoking the Company’s then standard separation agreement and release of claims with the Company (the “</w:t>
      </w:r>
      <w:r>
        <w:rPr>
          <w:rFonts w:ascii="Arial" w:cs="Arial" w:eastAsia="Arial" w:hAnsi="Arial"/>
          <w:sz w:val="22"/>
          <w:szCs w:val="22"/>
          <w:b w:val="1"/>
          <w:bCs w:val="1"/>
          <w:color w:val="auto"/>
        </w:rPr>
        <w:t>Release</w:t>
      </w:r>
      <w:r>
        <w:rPr>
          <w:rFonts w:ascii="Arial" w:cs="Arial" w:eastAsia="Arial" w:hAnsi="Arial"/>
          <w:sz w:val="22"/>
          <w:szCs w:val="22"/>
          <w:color w:val="auto"/>
        </w:rPr>
        <w:t>”), which must become effective and irrevocable no later than the sixtieth (60th) day following the date of the Qualifying Termination (the “</w:t>
      </w:r>
      <w:r>
        <w:rPr>
          <w:rFonts w:ascii="Arial" w:cs="Arial" w:eastAsia="Arial" w:hAnsi="Arial"/>
          <w:sz w:val="22"/>
          <w:szCs w:val="22"/>
          <w:b w:val="1"/>
          <w:bCs w:val="1"/>
          <w:color w:val="auto"/>
        </w:rPr>
        <w:t>Release Deadline Date</w:t>
      </w:r>
      <w:r>
        <w:rPr>
          <w:rFonts w:ascii="Arial" w:cs="Arial" w:eastAsia="Arial" w:hAnsi="Arial"/>
          <w:sz w:val="22"/>
          <w:szCs w:val="22"/>
          <w:color w:val="auto"/>
        </w:rPr>
        <w:t>”). If the Release does not become effective and irrevocable by the Release Deadline Date, Executive will forfeit any right to the severance payments or benefits under Section 3.</w:t>
      </w:r>
    </w:p>
    <w:p>
      <w:pPr>
        <w:spacing w:after="0" w:line="152" w:lineRule="exact"/>
        <w:rPr>
          <w:sz w:val="20"/>
          <w:szCs w:val="20"/>
          <w:color w:val="auto"/>
        </w:rPr>
      </w:pPr>
    </w:p>
    <w:p>
      <w:pPr>
        <w:jc w:val="both"/>
        <w:ind w:firstLine="1296"/>
        <w:spacing w:after="0" w:line="220" w:lineRule="auto"/>
        <w:rPr>
          <w:sz w:val="20"/>
          <w:szCs w:val="20"/>
          <w:color w:val="auto"/>
        </w:rPr>
      </w:pPr>
      <w:r>
        <w:rPr>
          <w:rFonts w:ascii="Arial" w:cs="Arial" w:eastAsia="Arial" w:hAnsi="Arial"/>
          <w:sz w:val="21"/>
          <w:szCs w:val="21"/>
          <w:color w:val="auto"/>
        </w:rPr>
        <w:t xml:space="preserve">5.b. </w:t>
      </w:r>
      <w:r>
        <w:rPr>
          <w:rFonts w:ascii="Arial" w:cs="Arial" w:eastAsia="Arial" w:hAnsi="Arial"/>
          <w:sz w:val="21"/>
          <w:szCs w:val="21"/>
          <w:b w:val="1"/>
          <w:bCs w:val="1"/>
          <w:color w:val="auto"/>
        </w:rPr>
        <w:t>Payment Timing</w:t>
      </w:r>
      <w:r>
        <w:rPr>
          <w:rFonts w:ascii="Arial" w:cs="Arial" w:eastAsia="Arial" w:hAnsi="Arial"/>
          <w:sz w:val="21"/>
          <w:szCs w:val="21"/>
          <w:color w:val="auto"/>
        </w:rPr>
        <w:t>. Any lump sum cash severance payments under Section 3 relating to salary severance and any bonus severance will be provided to Executive on the first regularly scheduled payroll date of the Company following the date the Release becomes effective and irrevocable (or with respect to such payments under Section 3.2, if later, on the date of the Change in Control), subject to any delay required by Section 5.4 below. Any Time-Based Awards that are restricted stock units, performance shares, performance units, and/or similar full value awards (“</w:t>
      </w:r>
      <w:r>
        <w:rPr>
          <w:rFonts w:ascii="Arial" w:cs="Arial" w:eastAsia="Arial" w:hAnsi="Arial"/>
          <w:sz w:val="21"/>
          <w:szCs w:val="21"/>
          <w:b w:val="1"/>
          <w:bCs w:val="1"/>
          <w:color w:val="auto"/>
        </w:rPr>
        <w:t>Full Value Awards</w:t>
      </w:r>
      <w:r>
        <w:rPr>
          <w:rFonts w:ascii="Arial" w:cs="Arial" w:eastAsia="Arial" w:hAnsi="Arial"/>
          <w:sz w:val="21"/>
          <w:szCs w:val="21"/>
          <w:color w:val="auto"/>
        </w:rPr>
        <w:t>”) that accelerate vesting under Section 3.2.4 will be settled, subject to any delay required by Section 5.4 below (or the terms of the Full Value Award agreement or other Company plan, policy, or arrangement governing the settlement timing of the Full Value Award to the extent such terms specifically require any such delay in order to comply with the requirements of Section 409A, as applicable), (a) on a date within ten (10) days following the date the Release becomes effective and irrevocable, or (b) if later, in the event of a Qualifying Termination that occurs prior to a Change in Control, on a date on or before the date of completion of the Change in Control.</w:t>
      </w:r>
    </w:p>
    <w:p>
      <w:pPr>
        <w:spacing w:after="0" w:line="157" w:lineRule="exact"/>
        <w:rPr>
          <w:sz w:val="20"/>
          <w:szCs w:val="20"/>
          <w:color w:val="auto"/>
        </w:rPr>
      </w:pPr>
    </w:p>
    <w:p>
      <w:pPr>
        <w:jc w:val="both"/>
        <w:ind w:firstLine="1296"/>
        <w:spacing w:after="0" w:line="220" w:lineRule="auto"/>
        <w:rPr>
          <w:sz w:val="20"/>
          <w:szCs w:val="20"/>
          <w:color w:val="auto"/>
        </w:rPr>
      </w:pPr>
      <w:r>
        <w:rPr>
          <w:rFonts w:ascii="Arial" w:cs="Arial" w:eastAsia="Arial" w:hAnsi="Arial"/>
          <w:sz w:val="21"/>
          <w:szCs w:val="21"/>
          <w:color w:val="auto"/>
        </w:rPr>
        <w:t xml:space="preserve">5.c. </w:t>
      </w:r>
      <w:r>
        <w:rPr>
          <w:rFonts w:ascii="Arial" w:cs="Arial" w:eastAsia="Arial" w:hAnsi="Arial"/>
          <w:sz w:val="21"/>
          <w:szCs w:val="21"/>
          <w:b w:val="1"/>
          <w:bCs w:val="1"/>
          <w:color w:val="auto"/>
        </w:rPr>
        <w:t>COBRA Severance Limitations</w:t>
      </w:r>
      <w:r>
        <w:rPr>
          <w:rFonts w:ascii="Arial" w:cs="Arial" w:eastAsia="Arial" w:hAnsi="Arial"/>
          <w:sz w:val="21"/>
          <w:szCs w:val="21"/>
          <w:color w:val="auto"/>
        </w:rPr>
        <w:t>. If the Company determines in its sole discretion that it cannot provide the COBRA-related benefits set forth in Section 3.1.2 or 3.2.3, as applicable (the “</w:t>
      </w:r>
      <w:r>
        <w:rPr>
          <w:rFonts w:ascii="Arial" w:cs="Arial" w:eastAsia="Arial" w:hAnsi="Arial"/>
          <w:sz w:val="21"/>
          <w:szCs w:val="21"/>
          <w:b w:val="1"/>
          <w:bCs w:val="1"/>
          <w:color w:val="auto"/>
        </w:rPr>
        <w:t>COBRA Severance</w:t>
      </w:r>
      <w:r>
        <w:rPr>
          <w:rFonts w:ascii="Arial" w:cs="Arial" w:eastAsia="Arial" w:hAnsi="Arial"/>
          <w:sz w:val="21"/>
          <w:szCs w:val="21"/>
          <w:color w:val="auto"/>
        </w:rPr>
        <w:t>”) without potentially violating, or being subject to an excise tax under, applicable law (including, without limitation, Section 2716 of the Public Health Service Act), then in lieu of such COBRA Severance, subject to any delay required by Section 5.4 below, the Company will provide to Executive a taxable monthly payment payable on the last day of a given month (except as provided by the last sentence in this Section 5.3), in an amount equal to (x) in the case of COBRA Severance under Section 3.1.2, the employer portion of the monthly COBRA premium necessary to continue coverage under the Company’s group health, dental and vision care plans for Executive and any of Executive’s eligible dependents, as applicable, as in effect on the date of the Qualifying Termination, or (y) in the case of COBRA Severance under Section 3.2.3, the monthly COBRA premium that would be required to continue coverage under the Company’s group health, dental and vision care plans for Executive and Executive’s eligible dependents, as applicable, as in effect on the date of the Qualifying Termination, in each case, which amount will be based on the premium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87" w:name="page88"/>
    <w:bookmarkEnd w:id="87"/>
    <w:p>
      <w:pPr>
        <w:spacing w:after="0" w:line="200" w:lineRule="exact"/>
        <w:rPr>
          <w:sz w:val="20"/>
          <w:szCs w:val="20"/>
          <w:color w:val="auto"/>
        </w:rPr>
      </w:pPr>
    </w:p>
    <w:p>
      <w:pPr>
        <w:spacing w:after="0" w:line="234"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rates applicable for the first month of COBRA Severance for Executive and any eligible dependents of Executive (each, a “</w:t>
      </w:r>
      <w:r>
        <w:rPr>
          <w:rFonts w:ascii="Arial" w:cs="Arial" w:eastAsia="Arial" w:hAnsi="Arial"/>
          <w:sz w:val="19"/>
          <w:szCs w:val="19"/>
          <w:b w:val="1"/>
          <w:bCs w:val="1"/>
          <w:color w:val="auto"/>
        </w:rPr>
        <w:t>COBRA Replacement Payment</w:t>
      </w:r>
      <w:r>
        <w:rPr>
          <w:rFonts w:ascii="Arial" w:cs="Arial" w:eastAsia="Arial" w:hAnsi="Arial"/>
          <w:sz w:val="19"/>
          <w:szCs w:val="19"/>
          <w:color w:val="auto"/>
        </w:rPr>
        <w:t>”), and which COBRA Replacement Payments will be made regardless of whether Executive elects COBRA continuation coverage and will end on the earlier of (a) the date upon which Executive obtains other employment, or (b) the date the Company has paid an amount totaling the number of COBRA Replacement Payments equal to the number of months in the applicable COBRA Severance period set forth in clause (a) of Section 3.1.2 or Section 3.2.3, as applicable. For the avoidance of doubt, the COBRA Replacement Payments may be used for any purpose, including, but not limited to continuation coverage under COBRA, and will be subject to any applicable withholdings. Notwithstanding anything to the contrary under this Agreement, if the Company determines in its sole discretion at any time that it cannot provide the COBRA Replacement Payments without violating applicable law (including, without limitation, Section 2716 of the Public Health Service Act), Executive will not receive the COBRA Replacement Payments or any further COBRA Severance.</w:t>
      </w:r>
    </w:p>
    <w:p>
      <w:pPr>
        <w:spacing w:after="0" w:line="149"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19"/>
          <w:szCs w:val="19"/>
          <w:color w:val="auto"/>
        </w:rPr>
        <w:t xml:space="preserve">5.d. </w:t>
      </w:r>
      <w:r>
        <w:rPr>
          <w:rFonts w:ascii="Arial" w:cs="Arial" w:eastAsia="Arial" w:hAnsi="Arial"/>
          <w:sz w:val="19"/>
          <w:szCs w:val="19"/>
          <w:b w:val="1"/>
          <w:bCs w:val="1"/>
          <w:color w:val="auto"/>
        </w:rPr>
        <w:t>Section 409A</w:t>
      </w:r>
      <w:r>
        <w:rPr>
          <w:rFonts w:ascii="Arial" w:cs="Arial" w:eastAsia="Arial" w:hAnsi="Arial"/>
          <w:sz w:val="19"/>
          <w:szCs w:val="19"/>
          <w:color w:val="auto"/>
        </w:rPr>
        <w:t>. The Company intends that all payments and benefits provided under this Agreement or otherwise are exempt from, or comply with, the requirements of Section 409A so that none of the payments or benefits will be subject to the additional tax imposed under Section 409A, and any ambiguities and ambiguous terms in this Agreement will be interpreted in accordance with this intent. No payments or benefits to be provided to Executive, if any, under this Agreement or otherwise, when considered together with any other severance payments or separation benefits that are considered deferred compensation under Section 409A (together, the “</w:t>
      </w:r>
      <w:r>
        <w:rPr>
          <w:rFonts w:ascii="Arial" w:cs="Arial" w:eastAsia="Arial" w:hAnsi="Arial"/>
          <w:sz w:val="19"/>
          <w:szCs w:val="19"/>
          <w:b w:val="1"/>
          <w:bCs w:val="1"/>
          <w:color w:val="auto"/>
        </w:rPr>
        <w:t>Deferred Payments</w:t>
      </w:r>
      <w:r>
        <w:rPr>
          <w:rFonts w:ascii="Arial" w:cs="Arial" w:eastAsia="Arial" w:hAnsi="Arial"/>
          <w:sz w:val="19"/>
          <w:szCs w:val="19"/>
          <w:color w:val="auto"/>
        </w:rPr>
        <w:t>”) will be paid or otherwise provided until Executive has a “separation from service” within the meaning of Section 409A. To the extent required to be exempt from or comply with Section 409A, references to the termination of Executive’s employment or similar phrases used in this Agreement will mean Executive’s “separation from service” within the meaning of Section 409A.</w:t>
      </w:r>
    </w:p>
    <w:p>
      <w:pPr>
        <w:spacing w:after="0" w:line="159" w:lineRule="exact"/>
        <w:rPr>
          <w:sz w:val="20"/>
          <w:szCs w:val="20"/>
          <w:color w:val="auto"/>
        </w:rPr>
      </w:pPr>
    </w:p>
    <w:p>
      <w:pPr>
        <w:jc w:val="both"/>
        <w:ind w:firstLine="1506"/>
        <w:spacing w:after="0" w:line="218" w:lineRule="auto"/>
        <w:rPr>
          <w:sz w:val="20"/>
          <w:szCs w:val="20"/>
          <w:color w:val="auto"/>
        </w:rPr>
      </w:pPr>
      <w:r>
        <w:rPr>
          <w:rFonts w:ascii="Arial" w:cs="Arial" w:eastAsia="Arial" w:hAnsi="Arial"/>
          <w:sz w:val="22"/>
          <w:szCs w:val="22"/>
          <w:color w:val="auto"/>
        </w:rPr>
        <w:t>5.4.i.Any payments or benefits paid or provided under this Agreement that satisfy the requirements of the “short-term deferral” rule under Treasury Regulations Section 1.409A-1(b)(4), or that qualify as payments made as a result of an involuntary separation from service under Treasury Regulations Section 1.409A-1(b)(9)(iii) that is within the limit set forth thereunder, will not constitute Deferred Payments for purposes of this Section 5.4.</w:t>
      </w:r>
    </w:p>
    <w:p>
      <w:pPr>
        <w:spacing w:after="0" w:line="161" w:lineRule="exact"/>
        <w:rPr>
          <w:sz w:val="20"/>
          <w:szCs w:val="20"/>
          <w:color w:val="auto"/>
        </w:rPr>
      </w:pPr>
    </w:p>
    <w:p>
      <w:pPr>
        <w:jc w:val="both"/>
        <w:ind w:firstLine="1446"/>
        <w:spacing w:after="0" w:line="244" w:lineRule="auto"/>
        <w:rPr>
          <w:sz w:val="20"/>
          <w:szCs w:val="20"/>
          <w:color w:val="auto"/>
        </w:rPr>
      </w:pPr>
      <w:r>
        <w:rPr>
          <w:rFonts w:ascii="Arial" w:cs="Arial" w:eastAsia="Arial" w:hAnsi="Arial"/>
          <w:sz w:val="19"/>
          <w:szCs w:val="19"/>
          <w:color w:val="auto"/>
        </w:rPr>
        <w:t>5.4.ii.Notwithstanding any provisions to the contrary in this Agreement, if Executive is a “specified employee” within the meaning of Section 409A at the time of Executive’s separation from service (other than due to death), then any payments or benefits under this Agreement that constitute Deferred Payments payable within the first six (6) months after Executive’s separation from service instead will be payable on the date six (6) months and one (1) day after Executive’s separation from service; provided that in the event of Executive’s death within such six (6) month period, any payments delayed by this Section 5.4.2 will be paid to Executive in a lump sum as soon as administratively practicable after the date of Executive’s death. To the extent that Executive is not a specified employee but Executive’s Qualifying Termination occurs at a time during the year whereby the Release Deadline Date will occur in the year immediately following the year in which the Qualifying Termination occurs, then any payments or benefits under this Agreement that constitute Deferred Payments that otherwise would be payable prior to the Release Deadline Date instead will be paid on the Release Deadline Date.</w:t>
      </w:r>
    </w:p>
    <w:p>
      <w:pPr>
        <w:spacing w:after="0" w:line="155" w:lineRule="exact"/>
        <w:rPr>
          <w:sz w:val="20"/>
          <w:szCs w:val="20"/>
          <w:color w:val="auto"/>
        </w:rPr>
      </w:pPr>
    </w:p>
    <w:p>
      <w:pPr>
        <w:jc w:val="both"/>
        <w:ind w:firstLine="1386"/>
        <w:spacing w:after="0" w:line="226" w:lineRule="auto"/>
        <w:rPr>
          <w:sz w:val="20"/>
          <w:szCs w:val="20"/>
          <w:color w:val="auto"/>
        </w:rPr>
      </w:pPr>
      <w:r>
        <w:rPr>
          <w:rFonts w:ascii="Arial" w:cs="Arial" w:eastAsia="Arial" w:hAnsi="Arial"/>
          <w:sz w:val="21"/>
          <w:szCs w:val="21"/>
          <w:color w:val="auto"/>
        </w:rPr>
        <w:t>5.4.iii.The Company reserves the right to amend this Agreement as it considers necessary or advisable, in its sole discretion and without the consent of Executive or any other individual, to comply with any provision required to avoid the imposition of the additional tax imposed under Section 409A or to otherwise avoid income recognition under Section 409A prior to the actual payment of any benefits or imposition of any additional tax. Each payment, installment, and benefit payable under this Agreement is intended to constitute a separate payment for purposes of Treasury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88" w:name="page89"/>
    <w:bookmarkEnd w:id="88"/>
    <w:p>
      <w:pPr>
        <w:spacing w:after="0" w:line="200" w:lineRule="exact"/>
        <w:rPr>
          <w:sz w:val="20"/>
          <w:szCs w:val="20"/>
          <w:color w:val="auto"/>
        </w:rPr>
      </w:pPr>
    </w:p>
    <w:p>
      <w:pPr>
        <w:spacing w:after="0" w:line="234"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Regulations Section 1.409A-2(b)(2). In no event will Executive have any discretion to choose Executive’s taxable year in which any payments or benefits are provided under this Agreement. In no event will the Company or any parent, subsidiary or other affiliate of the Company have any responsibility, liability or obligation to reimburse, indemnify or hold harmless Executive for any taxes, penalties or interest that may be imposed, or other costs that may be incurred, as a result of Section 409A.</w:t>
      </w:r>
    </w:p>
    <w:p>
      <w:pPr>
        <w:spacing w:after="0" w:line="138" w:lineRule="exact"/>
        <w:rPr>
          <w:sz w:val="20"/>
          <w:szCs w:val="20"/>
          <w:color w:val="auto"/>
        </w:rPr>
      </w:pPr>
    </w:p>
    <w:p>
      <w:pPr>
        <w:ind w:left="1300" w:hanging="644"/>
        <w:spacing w:after="0"/>
        <w:tabs>
          <w:tab w:leader="none" w:pos="1300" w:val="left"/>
        </w:tabs>
        <w:numPr>
          <w:ilvl w:val="0"/>
          <w:numId w:val="54"/>
        </w:numPr>
        <w:rPr>
          <w:rFonts w:ascii="Arial" w:cs="Arial" w:eastAsia="Arial" w:hAnsi="Arial"/>
          <w:sz w:val="22"/>
          <w:szCs w:val="22"/>
          <w:color w:val="auto"/>
        </w:rPr>
      </w:pPr>
      <w:r>
        <w:rPr>
          <w:rFonts w:ascii="Arial" w:cs="Arial" w:eastAsia="Arial" w:hAnsi="Arial"/>
          <w:sz w:val="22"/>
          <w:szCs w:val="22"/>
          <w:b w:val="1"/>
          <w:bCs w:val="1"/>
          <w:color w:val="auto"/>
        </w:rPr>
        <w:t>Limitation on Payments</w:t>
      </w:r>
      <w:r>
        <w:rPr>
          <w:rFonts w:ascii="Arial" w:cs="Arial" w:eastAsia="Arial" w:hAnsi="Arial"/>
          <w:sz w:val="22"/>
          <w:szCs w:val="22"/>
          <w:color w:val="auto"/>
        </w:rPr>
        <w:t>.</w:t>
      </w:r>
    </w:p>
    <w:p>
      <w:pPr>
        <w:spacing w:after="0" w:line="179" w:lineRule="exact"/>
        <w:rPr>
          <w:sz w:val="20"/>
          <w:szCs w:val="20"/>
          <w:color w:val="auto"/>
        </w:rPr>
      </w:pPr>
    </w:p>
    <w:p>
      <w:pPr>
        <w:ind w:firstLine="1296"/>
        <w:spacing w:after="0" w:line="250" w:lineRule="auto"/>
        <w:rPr>
          <w:sz w:val="20"/>
          <w:szCs w:val="20"/>
          <w:color w:val="auto"/>
        </w:rPr>
      </w:pPr>
      <w:r>
        <w:rPr>
          <w:rFonts w:ascii="Arial" w:cs="Arial" w:eastAsia="Arial" w:hAnsi="Arial"/>
          <w:sz w:val="19"/>
          <w:szCs w:val="19"/>
          <w:color w:val="auto"/>
        </w:rPr>
        <w:t xml:space="preserve">6.a. </w:t>
      </w:r>
      <w:r>
        <w:rPr>
          <w:rFonts w:ascii="Arial" w:cs="Arial" w:eastAsia="Arial" w:hAnsi="Arial"/>
          <w:sz w:val="19"/>
          <w:szCs w:val="19"/>
          <w:b w:val="1"/>
          <w:bCs w:val="1"/>
          <w:color w:val="auto"/>
        </w:rPr>
        <w:t>Reduction of Severance Benefits</w:t>
      </w:r>
      <w:r>
        <w:rPr>
          <w:rFonts w:ascii="Arial" w:cs="Arial" w:eastAsia="Arial" w:hAnsi="Arial"/>
          <w:sz w:val="19"/>
          <w:szCs w:val="19"/>
          <w:color w:val="auto"/>
        </w:rPr>
        <w:t>. If any payment or benefit that Executive would receive from the Company or any other party whether in connection with the provisions in this Agreement or otherwise (the “Payments”) would</w:t>
      </w:r>
    </w:p>
    <w:p>
      <w:pPr>
        <w:spacing w:after="0" w:line="1" w:lineRule="exact"/>
        <w:rPr>
          <w:sz w:val="20"/>
          <w:szCs w:val="20"/>
          <w:color w:val="auto"/>
        </w:rPr>
      </w:pPr>
    </w:p>
    <w:p>
      <w:pPr>
        <w:jc w:val="both"/>
        <w:ind w:firstLine="8"/>
        <w:spacing w:after="0"/>
        <w:tabs>
          <w:tab w:leader="none" w:pos="300" w:val="left"/>
        </w:tabs>
        <w:numPr>
          <w:ilvl w:val="0"/>
          <w:numId w:val="55"/>
        </w:numPr>
        <w:rPr>
          <w:rFonts w:ascii="Arial" w:cs="Arial" w:eastAsia="Arial" w:hAnsi="Arial"/>
          <w:sz w:val="19"/>
          <w:szCs w:val="19"/>
          <w:color w:val="auto"/>
        </w:rPr>
      </w:pPr>
      <w:r>
        <w:rPr>
          <w:rFonts w:ascii="Arial" w:cs="Arial" w:eastAsia="Arial" w:hAnsi="Arial"/>
          <w:sz w:val="19"/>
          <w:szCs w:val="19"/>
          <w:color w:val="auto"/>
        </w:rPr>
        <w:t>constitute a “parachute payment” within the meaning of Section 280G of the Code and (b) but for this sentence, be subject to the excise tax imposed by Section 4999 of the Code (the “</w:t>
      </w:r>
      <w:r>
        <w:rPr>
          <w:rFonts w:ascii="Arial" w:cs="Arial" w:eastAsia="Arial" w:hAnsi="Arial"/>
          <w:sz w:val="19"/>
          <w:szCs w:val="19"/>
          <w:b w:val="1"/>
          <w:bCs w:val="1"/>
          <w:color w:val="auto"/>
        </w:rPr>
        <w:t>Excise Tax</w:t>
      </w:r>
      <w:r>
        <w:rPr>
          <w:rFonts w:ascii="Arial" w:cs="Arial" w:eastAsia="Arial" w:hAnsi="Arial"/>
          <w:sz w:val="19"/>
          <w:szCs w:val="19"/>
          <w:color w:val="auto"/>
        </w:rPr>
        <w:t>”), then the Payments will be either delivered in full, or delivered as to such lesser extent that would result in no portion of the Payments being subject to the Excise Tax, whichever of the foregoing amounts, taking into account the applicable federal, state and local income taxes and the Excise Tax, results in Executive’s receipt, on an after-tax basis, of the greatest amount of Payments, notwithstanding that all or some of the Payments may be subject to the Excise Tax. If a reduction in Payments is made in accordance with the immediately preceding sentence, the reduction will occur, with respect to the Payments considered parachute payments within the meaning of Code Section 280G, in the following order: (i) reduction of cash payments in reverse chronological order (that is, the cash payment owed on the latest date following the occurrence of the event triggering the Excise Tax will be the first cash payment to be reduced); (ii) cancellation of equity awards that were granted “contingent on a change in ownership or control” within the meaning of Section 280G of the Code in the reverse order of date of grant of the equity awards (that is, the most recently granted equity awards will be cancelled first); (iii) reduction of the accelerated vesting of equity awards in the reverse order of date of grant of the equity awards (that is, the vesting of the most recently granted equity awards will be cancelled first); and (iv) reduction of employee benefits in reverse chronological order (that is, the benefit owed on the latest date following the occurrence of the event triggering the Excise Tax will be the first benefit to be reduced). In no event will Executive have any discretion with respect to the ordering of Payment reductions. Executive will be solely responsible for the payment of all personal tax liability that is incurred as a result of the payments and benefits received under this Agreement, and neither the Company nor any parent, subsidiary or other affiliate of the Company have any responsibility, liability or obligation to reimburse, indemnify or hold harmless Executive for any of those payments of personal tax liability.</w:t>
      </w:r>
    </w:p>
    <w:p>
      <w:pPr>
        <w:spacing w:after="0" w:line="363"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19"/>
          <w:szCs w:val="19"/>
          <w:color w:val="auto"/>
        </w:rPr>
        <w:t xml:space="preserve">6.b. </w:t>
      </w:r>
      <w:r>
        <w:rPr>
          <w:rFonts w:ascii="Arial" w:cs="Arial" w:eastAsia="Arial" w:hAnsi="Arial"/>
          <w:sz w:val="19"/>
          <w:szCs w:val="19"/>
          <w:b w:val="1"/>
          <w:bCs w:val="1"/>
          <w:color w:val="auto"/>
        </w:rPr>
        <w:t>Determination of Excise Tax Liability</w:t>
      </w:r>
      <w:r>
        <w:rPr>
          <w:rFonts w:ascii="Arial" w:cs="Arial" w:eastAsia="Arial" w:hAnsi="Arial"/>
          <w:sz w:val="19"/>
          <w:szCs w:val="19"/>
          <w:color w:val="auto"/>
        </w:rPr>
        <w:t>. Unless the Company and Executive otherwise agree in writing, any determinations required under this Section 6 will be made in writing by a nationally recognized accounting or valuation firm (the “</w:t>
      </w:r>
      <w:r>
        <w:rPr>
          <w:rFonts w:ascii="Arial" w:cs="Arial" w:eastAsia="Arial" w:hAnsi="Arial"/>
          <w:sz w:val="19"/>
          <w:szCs w:val="19"/>
          <w:b w:val="1"/>
          <w:bCs w:val="1"/>
          <w:color w:val="auto"/>
        </w:rPr>
        <w:t>Firm</w:t>
      </w:r>
      <w:r>
        <w:rPr>
          <w:rFonts w:ascii="Arial" w:cs="Arial" w:eastAsia="Arial" w:hAnsi="Arial"/>
          <w:sz w:val="19"/>
          <w:szCs w:val="19"/>
          <w:color w:val="auto"/>
        </w:rPr>
        <w:t>”) selected by the Company, whose determinations will be conclusive and binding upon Executive and the Company for all purposes. For purposes of making the calculations required by this Section 6,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reasonably may request in order to make determinations under this Section 6. The Company will bear the costs and make all payments required to be made to the Firm for the Firm’s services that are rendered in connection with any calculations contemplated by this Section 6. The Company will have no liability to Executive for the determinations of the Firm.</w:t>
      </w:r>
    </w:p>
    <w:p>
      <w:pPr>
        <w:spacing w:after="0" w:line="153" w:lineRule="exact"/>
        <w:rPr>
          <w:sz w:val="20"/>
          <w:szCs w:val="20"/>
          <w:color w:val="auto"/>
        </w:rPr>
      </w:pPr>
    </w:p>
    <w:p>
      <w:pPr>
        <w:ind w:left="1300" w:hanging="644"/>
        <w:spacing w:after="0"/>
        <w:tabs>
          <w:tab w:leader="none" w:pos="1300" w:val="left"/>
        </w:tabs>
        <w:numPr>
          <w:ilvl w:val="0"/>
          <w:numId w:val="56"/>
        </w:numPr>
        <w:rPr>
          <w:rFonts w:ascii="Arial" w:cs="Arial" w:eastAsia="Arial" w:hAnsi="Arial"/>
          <w:sz w:val="22"/>
          <w:szCs w:val="22"/>
          <w:color w:val="auto"/>
        </w:rPr>
      </w:pPr>
      <w:r>
        <w:rPr>
          <w:rFonts w:ascii="Arial" w:cs="Arial" w:eastAsia="Arial" w:hAnsi="Arial"/>
          <w:sz w:val="22"/>
          <w:szCs w:val="22"/>
          <w:b w:val="1"/>
          <w:bCs w:val="1"/>
          <w:color w:val="auto"/>
        </w:rPr>
        <w:t>Definitions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89" w:name="page90"/>
    <w:bookmarkEnd w:id="89"/>
    <w:p>
      <w:pPr>
        <w:spacing w:after="0" w:line="200" w:lineRule="exact"/>
        <w:rPr>
          <w:sz w:val="20"/>
          <w:szCs w:val="20"/>
          <w:color w:val="auto"/>
        </w:rPr>
      </w:pPr>
    </w:p>
    <w:p>
      <w:pPr>
        <w:spacing w:after="0" w:line="228"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7.a. “</w:t>
      </w:r>
      <w:r>
        <w:rPr>
          <w:rFonts w:ascii="Arial" w:cs="Arial" w:eastAsia="Arial" w:hAnsi="Arial"/>
          <w:sz w:val="22"/>
          <w:szCs w:val="22"/>
          <w:b w:val="1"/>
          <w:bCs w:val="1"/>
          <w:color w:val="auto"/>
        </w:rPr>
        <w:t>Award</w:t>
      </w:r>
      <w:r>
        <w:rPr>
          <w:rFonts w:ascii="Arial" w:cs="Arial" w:eastAsia="Arial" w:hAnsi="Arial"/>
          <w:sz w:val="22"/>
          <w:szCs w:val="22"/>
          <w:color w:val="auto"/>
        </w:rPr>
        <w:t>” means stock options and other equity awards covering shares of Company common stock granted to Executive.</w:t>
      </w:r>
    </w:p>
    <w:p>
      <w:pPr>
        <w:spacing w:after="0" w:line="153"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7.b.</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Board</w:t>
      </w:r>
      <w:r>
        <w:rPr>
          <w:rFonts w:ascii="Arial" w:cs="Arial" w:eastAsia="Arial" w:hAnsi="Arial"/>
          <w:sz w:val="19"/>
          <w:szCs w:val="19"/>
          <w:color w:val="auto"/>
        </w:rPr>
        <w:t>” means the Company’s Board of Directors.</w:t>
      </w:r>
    </w:p>
    <w:p>
      <w:pPr>
        <w:spacing w:after="0" w:line="179"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7.c. “</w:t>
      </w:r>
      <w:r>
        <w:rPr>
          <w:rFonts w:ascii="Arial" w:cs="Arial" w:eastAsia="Arial" w:hAnsi="Arial"/>
          <w:sz w:val="19"/>
          <w:szCs w:val="19"/>
          <w:b w:val="1"/>
          <w:bCs w:val="1"/>
          <w:color w:val="auto"/>
        </w:rPr>
        <w:t>Cause</w:t>
      </w:r>
      <w:r>
        <w:rPr>
          <w:rFonts w:ascii="Arial" w:cs="Arial" w:eastAsia="Arial" w:hAnsi="Arial"/>
          <w:sz w:val="19"/>
          <w:szCs w:val="19"/>
          <w:color w:val="auto"/>
        </w:rPr>
        <w:t xml:space="preserve">” means: (a) Executive’s failure to substantially perform Executive’s material duties and obligations as an employee (for reasons other than Executive’s death or Disability), which failure is not cured to the sole and reasonable satisfaction of the Company; (b) Executive’s failure or refusal to comply with the policies, standards and regulations established by the Company from time to time, which failure is not cured to the sole and reasonable satisfaction of the Company; (c) any act of personal dishonesty, moral turpitude, fraud, embezzlement, misrepresentation, or other unlawful act committed by Executive that results in harm to the Company or its affiliates, including financial or reputational, which harm will be determined in the Company’s sole and reasonable discretion; (d) Executive’s violation of a federal or state law or regulation applicable to the business of the Company or its affiliates; (e) Executive being convicted of, or entering a plea of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or guilty to, a felony under the laws of the United States or its equivalent in the jurisdiction in which the act that constituted the felony occurred; (f) Executive’s material breach of the terms of this Agreement or any other agreement between Executive and the Company (or any affiliate of the Company); or (g) the Company’s economic duress or necessity, as determined by the Company, in its sole and reasonable discretion. With respect to clauses (a) and (b) above only, Executive will have ten (10) days to cure following written notice of Executive’s failure or refusal to perform or comply, provided that whether the failure is curable will be within the Company’s sole and reasonable discretion.</w:t>
      </w:r>
    </w:p>
    <w:p>
      <w:pPr>
        <w:spacing w:after="0" w:line="35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7.d.</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Change in Control</w:t>
      </w:r>
      <w:r>
        <w:rPr>
          <w:rFonts w:ascii="Arial" w:cs="Arial" w:eastAsia="Arial" w:hAnsi="Arial"/>
          <w:sz w:val="19"/>
          <w:szCs w:val="19"/>
          <w:color w:val="auto"/>
        </w:rPr>
        <w:t>” means the first occurrence of any of the following events on or after the Effective</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155" w:lineRule="exact"/>
        <w:rPr>
          <w:sz w:val="20"/>
          <w:szCs w:val="20"/>
          <w:color w:val="auto"/>
        </w:rPr>
      </w:pPr>
    </w:p>
    <w:p>
      <w:pPr>
        <w:jc w:val="both"/>
        <w:ind w:firstLine="1506"/>
        <w:spacing w:after="0" w:line="242" w:lineRule="auto"/>
        <w:rPr>
          <w:sz w:val="20"/>
          <w:szCs w:val="20"/>
          <w:color w:val="auto"/>
        </w:rPr>
      </w:pPr>
      <w:r>
        <w:rPr>
          <w:rFonts w:ascii="Arial" w:cs="Arial" w:eastAsia="Arial" w:hAnsi="Arial"/>
          <w:sz w:val="19"/>
          <w:szCs w:val="19"/>
          <w:color w:val="auto"/>
        </w:rPr>
        <w:t>7.4.i.</w:t>
      </w:r>
      <w:r>
        <w:rPr>
          <w:rFonts w:ascii="Arial" w:cs="Arial" w:eastAsia="Arial" w:hAnsi="Arial"/>
          <w:sz w:val="19"/>
          <w:szCs w:val="19"/>
          <w:b w:val="1"/>
          <w:bCs w:val="1"/>
          <w:color w:val="auto"/>
        </w:rPr>
        <w:t>Change in Ownership of the Company</w:t>
      </w:r>
      <w:r>
        <w:rPr>
          <w:rFonts w:ascii="Arial" w:cs="Arial" w:eastAsia="Arial" w:hAnsi="Arial"/>
          <w:sz w:val="19"/>
          <w:szCs w:val="19"/>
          <w:color w:val="auto"/>
        </w:rPr>
        <w:t>. A change in the ownership of the Company which occurs on the date that any one person, or more than one person acting as a group (“</w:t>
      </w:r>
      <w:r>
        <w:rPr>
          <w:rFonts w:ascii="Arial" w:cs="Arial" w:eastAsia="Arial" w:hAnsi="Arial"/>
          <w:sz w:val="19"/>
          <w:szCs w:val="19"/>
          <w:b w:val="1"/>
          <w:bCs w:val="1"/>
          <w:color w:val="auto"/>
        </w:rPr>
        <w:t>Person</w:t>
      </w:r>
      <w:r>
        <w:rPr>
          <w:rFonts w:ascii="Arial" w:cs="Arial" w:eastAsia="Arial" w:hAnsi="Arial"/>
          <w:sz w:val="19"/>
          <w:szCs w:val="19"/>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shall not be considered a Change in Control under this Section 7.4.1.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56" w:lineRule="exact"/>
        <w:rPr>
          <w:sz w:val="20"/>
          <w:szCs w:val="20"/>
          <w:color w:val="auto"/>
        </w:rPr>
      </w:pPr>
    </w:p>
    <w:p>
      <w:pPr>
        <w:jc w:val="both"/>
        <w:ind w:firstLine="1446"/>
        <w:spacing w:after="0" w:line="254" w:lineRule="auto"/>
        <w:rPr>
          <w:sz w:val="20"/>
          <w:szCs w:val="20"/>
          <w:color w:val="auto"/>
        </w:rPr>
      </w:pPr>
      <w:r>
        <w:rPr>
          <w:rFonts w:ascii="Arial" w:cs="Arial" w:eastAsia="Arial" w:hAnsi="Arial"/>
          <w:sz w:val="19"/>
          <w:szCs w:val="19"/>
          <w:color w:val="auto"/>
        </w:rPr>
        <w:t>7.4.ii.</w:t>
      </w:r>
      <w:r>
        <w:rPr>
          <w:rFonts w:ascii="Arial" w:cs="Arial" w:eastAsia="Arial" w:hAnsi="Arial"/>
          <w:sz w:val="19"/>
          <w:szCs w:val="19"/>
          <w:b w:val="1"/>
          <w:bCs w:val="1"/>
          <w:color w:val="auto"/>
        </w:rPr>
        <w:t>Change in Effective Control of the Company</w:t>
      </w:r>
      <w:r>
        <w:rPr>
          <w:rFonts w:ascii="Arial" w:cs="Arial" w:eastAsia="Arial" w:hAnsi="Arial"/>
          <w:sz w:val="19"/>
          <w:szCs w:val="19"/>
          <w:color w:val="auto"/>
        </w:rPr>
        <w:t xml:space="preserve"> . If the Company has a class of securities registered pursuant to Section 12 of the U.S. Securities Exchange Act of 1934, as amended,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Section 7.4.2, if any Person is considered to be in effective control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90" w:name="page91"/>
    <w:bookmarkEnd w:id="90"/>
    <w:p>
      <w:pPr>
        <w:spacing w:after="0" w:line="200" w:lineRule="exact"/>
        <w:rPr>
          <w:sz w:val="20"/>
          <w:szCs w:val="20"/>
          <w:color w:val="auto"/>
        </w:rPr>
      </w:pPr>
    </w:p>
    <w:p>
      <w:pPr>
        <w:spacing w:after="0" w:line="234" w:lineRule="exact"/>
        <w:rPr>
          <w:sz w:val="20"/>
          <w:szCs w:val="20"/>
          <w:color w:val="auto"/>
        </w:rPr>
      </w:pPr>
    </w:p>
    <w:p>
      <w:pPr>
        <w:jc w:val="both"/>
        <w:ind w:right="20"/>
        <w:spacing w:after="0" w:line="232" w:lineRule="auto"/>
        <w:rPr>
          <w:sz w:val="20"/>
          <w:szCs w:val="20"/>
          <w:color w:val="auto"/>
        </w:rPr>
      </w:pPr>
      <w:r>
        <w:rPr>
          <w:rFonts w:ascii="Arial" w:cs="Arial" w:eastAsia="Arial" w:hAnsi="Arial"/>
          <w:sz w:val="22"/>
          <w:szCs w:val="22"/>
          <w:color w:val="auto"/>
        </w:rPr>
        <w:t>Company, the acquisition of additional control of the Company by the same Person will not be considered a Change in Control; or</w:t>
      </w:r>
    </w:p>
    <w:p>
      <w:pPr>
        <w:spacing w:after="0" w:line="153" w:lineRule="exact"/>
        <w:rPr>
          <w:sz w:val="20"/>
          <w:szCs w:val="20"/>
          <w:color w:val="auto"/>
        </w:rPr>
      </w:pPr>
    </w:p>
    <w:p>
      <w:pPr>
        <w:jc w:val="both"/>
        <w:ind w:firstLine="1386"/>
        <w:spacing w:after="0" w:line="242" w:lineRule="auto"/>
        <w:rPr>
          <w:sz w:val="20"/>
          <w:szCs w:val="20"/>
          <w:color w:val="auto"/>
        </w:rPr>
      </w:pPr>
      <w:r>
        <w:rPr>
          <w:rFonts w:ascii="Arial" w:cs="Arial" w:eastAsia="Arial" w:hAnsi="Arial"/>
          <w:sz w:val="19"/>
          <w:szCs w:val="19"/>
          <w:color w:val="auto"/>
        </w:rPr>
        <w:t>7.4.iii.</w:t>
      </w:r>
      <w:r>
        <w:rPr>
          <w:rFonts w:ascii="Arial" w:cs="Arial" w:eastAsia="Arial" w:hAnsi="Arial"/>
          <w:sz w:val="19"/>
          <w:szCs w:val="19"/>
          <w:b w:val="1"/>
          <w:bCs w:val="1"/>
          <w:color w:val="auto"/>
        </w:rPr>
        <w:t>Change in Ownership of a Substantial Portion of the Company’s Assets</w:t>
      </w:r>
      <w:r>
        <w:rPr>
          <w:rFonts w:ascii="Arial" w:cs="Arial" w:eastAsia="Arial" w:hAnsi="Arial"/>
          <w:sz w:val="19"/>
          <w:szCs w:val="19"/>
          <w:color w:val="auto"/>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Section 7.4.3, the following will not constitute a change in the ownership of a substantial portion of the Company’s assets: (a) a transfer to an entity that is controlled by the Company’s stockholders immediately after the transfer, or (b) a transfer of assets by the Company to: (i) a stockholder of the Company (immediately before the asset transfer) in exchange for or with respect to the Company’s stock, (ii) an entity, fifty percent (50%) or more of the total value or voting power of which is owned, directly or indirectly, by the Company, (iii) a Person, that owns, directly or indirectly, fifty percent (50%) or more of the total value or voting power of all the outstanding stock of the Company, or (iv) an entity, at least fifty percent (50%) of the total value or voting power of which is owned, directly or indirectly, by a Person described in this Section 7.4.3(b)(iii). For purposes of this Section 7.4.3, gross fair market value means the value of the assets of the Company, or the value of the assets being disposed of, determined without regard to any liabilities associated with such assets.</w:t>
      </w:r>
    </w:p>
    <w:p>
      <w:pPr>
        <w:spacing w:after="0" w:line="382"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For purposes of this Change in Control definition under Section 7.4, persons will be considered to be acting as a group if they are owners of a corporation that enters into a merger, consolidation, purchase or acquisition of stock, or similar business transaction with the Company.</w:t>
      </w:r>
    </w:p>
    <w:p>
      <w:pPr>
        <w:spacing w:after="0" w:line="159" w:lineRule="exact"/>
        <w:rPr>
          <w:sz w:val="20"/>
          <w:szCs w:val="20"/>
          <w:color w:val="auto"/>
        </w:rPr>
      </w:pPr>
    </w:p>
    <w:p>
      <w:pPr>
        <w:jc w:val="both"/>
        <w:ind w:firstLine="1296"/>
        <w:spacing w:after="0" w:line="226" w:lineRule="auto"/>
        <w:rPr>
          <w:sz w:val="20"/>
          <w:szCs w:val="20"/>
          <w:color w:val="auto"/>
        </w:rPr>
      </w:pPr>
      <w:r>
        <w:rPr>
          <w:rFonts w:ascii="Arial" w:cs="Arial" w:eastAsia="Arial" w:hAnsi="Arial"/>
          <w:sz w:val="21"/>
          <w:szCs w:val="21"/>
          <w:color w:val="auto"/>
        </w:rPr>
        <w:t>Notwithstanding the foregoing, a transaction will not be deemed a Change in Control unless the transaction qualifies as a change in control event within the meaning of Section 409A. 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spacing w:after="0" w:line="153"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1"/>
          <w:szCs w:val="21"/>
          <w:color w:val="auto"/>
        </w:rPr>
        <w:t>7.e. “</w:t>
      </w:r>
      <w:r>
        <w:rPr>
          <w:rFonts w:ascii="Arial" w:cs="Arial" w:eastAsia="Arial" w:hAnsi="Arial"/>
          <w:sz w:val="21"/>
          <w:szCs w:val="21"/>
          <w:b w:val="1"/>
          <w:bCs w:val="1"/>
          <w:color w:val="auto"/>
        </w:rPr>
        <w:t>Change in Control Period</w:t>
      </w:r>
      <w:r>
        <w:rPr>
          <w:rFonts w:ascii="Arial" w:cs="Arial" w:eastAsia="Arial" w:hAnsi="Arial"/>
          <w:sz w:val="21"/>
          <w:szCs w:val="21"/>
          <w:color w:val="auto"/>
        </w:rPr>
        <w:t>” means the period beginning on the date three (3) months prior to a Change in Control and ending on (and inclusive of) the date that is the one (1) year anniversary of a Change in Control.</w:t>
      </w:r>
    </w:p>
    <w:p>
      <w:pPr>
        <w:spacing w:after="0" w:line="139" w:lineRule="exact"/>
        <w:rPr>
          <w:sz w:val="20"/>
          <w:szCs w:val="20"/>
          <w:color w:val="auto"/>
        </w:rPr>
      </w:pPr>
    </w:p>
    <w:p>
      <w:pPr>
        <w:jc w:val="both"/>
        <w:ind w:firstLine="1296"/>
        <w:spacing w:after="0" w:line="220" w:lineRule="auto"/>
        <w:rPr>
          <w:sz w:val="20"/>
          <w:szCs w:val="20"/>
          <w:color w:val="auto"/>
        </w:rPr>
      </w:pPr>
      <w:r>
        <w:rPr>
          <w:rFonts w:ascii="Arial" w:cs="Arial" w:eastAsia="Arial" w:hAnsi="Arial"/>
          <w:sz w:val="22"/>
          <w:szCs w:val="22"/>
          <w:color w:val="auto"/>
        </w:rPr>
        <w:t>7.f. “</w:t>
      </w:r>
      <w:r>
        <w:rPr>
          <w:rFonts w:ascii="Arial" w:cs="Arial" w:eastAsia="Arial" w:hAnsi="Arial"/>
          <w:sz w:val="22"/>
          <w:szCs w:val="22"/>
          <w:b w:val="1"/>
          <w:bCs w:val="1"/>
          <w:color w:val="auto"/>
        </w:rPr>
        <w:t>Code</w:t>
      </w:r>
      <w:r>
        <w:rPr>
          <w:rFonts w:ascii="Arial" w:cs="Arial" w:eastAsia="Arial" w:hAnsi="Arial"/>
          <w:sz w:val="22"/>
          <w:szCs w:val="22"/>
          <w:color w:val="auto"/>
        </w:rPr>
        <w:t>” means the Internal Revenue Code of 1986, as amended. Reference to a specific section of the Code or regulation thereunder will include such section or regulation, any valid regulation promulgated under such section, and any comparable provision of any future legislation or regulation amending, supplementing or superseding such section or regulation.</w:t>
      </w:r>
    </w:p>
    <w:p>
      <w:pPr>
        <w:spacing w:after="0" w:line="152"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7.g. “</w:t>
      </w:r>
      <w:r>
        <w:rPr>
          <w:rFonts w:ascii="Arial" w:cs="Arial" w:eastAsia="Arial" w:hAnsi="Arial"/>
          <w:sz w:val="22"/>
          <w:szCs w:val="22"/>
          <w:b w:val="1"/>
          <w:bCs w:val="1"/>
          <w:color w:val="auto"/>
        </w:rPr>
        <w:t>Confidentiality Agreement</w:t>
      </w:r>
      <w:r>
        <w:rPr>
          <w:rFonts w:ascii="Arial" w:cs="Arial" w:eastAsia="Arial" w:hAnsi="Arial"/>
          <w:sz w:val="22"/>
          <w:szCs w:val="22"/>
          <w:color w:val="auto"/>
        </w:rPr>
        <w:t>” means Executive’s At-Will Employment, Confidential Information, Invention Assignment and Arbitration Agreement entered into with the Company dated January 14, 2020.</w:t>
      </w:r>
    </w:p>
    <w:p>
      <w:pPr>
        <w:spacing w:after="0" w:line="153"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7.h.</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Director</w:t>
      </w:r>
      <w:r>
        <w:rPr>
          <w:rFonts w:ascii="Arial" w:cs="Arial" w:eastAsia="Arial" w:hAnsi="Arial"/>
          <w:sz w:val="19"/>
          <w:szCs w:val="19"/>
          <w:color w:val="auto"/>
        </w:rPr>
        <w:t>” means a member of the Board.</w:t>
      </w:r>
    </w:p>
    <w:p>
      <w:pPr>
        <w:spacing w:after="0" w:line="179"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auto"/>
        </w:rPr>
        <w:t>7.i.</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Disability</w:t>
      </w:r>
      <w:r>
        <w:rPr>
          <w:rFonts w:ascii="Arial" w:cs="Arial" w:eastAsia="Arial" w:hAnsi="Arial"/>
          <w:sz w:val="19"/>
          <w:szCs w:val="19"/>
          <w:color w:val="auto"/>
        </w:rPr>
        <w:t>” means total and permanent disability as defined in Code Section 22(e)(3).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91" w:name="page92"/>
    <w:bookmarkEnd w:id="91"/>
    <w:p>
      <w:pPr>
        <w:spacing w:after="0" w:line="200" w:lineRule="exact"/>
        <w:rPr>
          <w:sz w:val="20"/>
          <w:szCs w:val="20"/>
          <w:color w:val="auto"/>
        </w:rPr>
      </w:pPr>
    </w:p>
    <w:p>
      <w:pPr>
        <w:spacing w:after="0" w:line="228"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9"/>
          <w:szCs w:val="19"/>
          <w:color w:val="auto"/>
        </w:rPr>
        <w:t>7.j. “</w:t>
      </w:r>
      <w:r>
        <w:rPr>
          <w:rFonts w:ascii="Arial" w:cs="Arial" w:eastAsia="Arial" w:hAnsi="Arial"/>
          <w:sz w:val="19"/>
          <w:szCs w:val="19"/>
          <w:b w:val="1"/>
          <w:bCs w:val="1"/>
          <w:color w:val="auto"/>
        </w:rPr>
        <w:t>Good Reason</w:t>
      </w:r>
      <w:r>
        <w:rPr>
          <w:rFonts w:ascii="Arial" w:cs="Arial" w:eastAsia="Arial" w:hAnsi="Arial"/>
          <w:sz w:val="19"/>
          <w:szCs w:val="19"/>
          <w:color w:val="auto"/>
        </w:rPr>
        <w:t>” means Executive’s termination of Executive’s employment with the Company within ninety (90) days following the expiration of the Company’s Cure Period (as defined below) following the occurrence of any of the following without Executive’s written consent: (a) a material reduction in Executive’s responsibilities, provided that neither a mere change in title nor reassignment following a Change in Control to a position that is substantially similar to the position held prior to the Change in Control will constitute a material reduction in job responsibilities; (b) relocation by the Company (or subsidiary, parent, affiliate or successor thereto, as applicable) of Executive’s principal work location to a principal work location more than forty (40) miles from Executive’s principal work location immediately before such relocation; or (c) a reduction in Executive then current base salary by at least ten percent (10%), provided that an across-the-board reduction in the salary level of all other similarly situated employees by the same percentage amount as part of a general salary level reduction will not constitute such a reduction under this clause (c). In order for an event to qualify as Good Reason, Executive must not terminate employment with the Company without first providing the Company with written notice of the acts or omissions constituting the grounds for “Good Reason” within ninety (90) days following the initial existence of the grounds for “Good Reason” and a cure period of thirty (30) days following the date of such notice (the “</w:t>
      </w:r>
      <w:r>
        <w:rPr>
          <w:rFonts w:ascii="Arial" w:cs="Arial" w:eastAsia="Arial" w:hAnsi="Arial"/>
          <w:sz w:val="19"/>
          <w:szCs w:val="19"/>
          <w:b w:val="1"/>
          <w:bCs w:val="1"/>
          <w:color w:val="auto"/>
        </w:rPr>
        <w:t>Cure Period</w:t>
      </w:r>
      <w:r>
        <w:rPr>
          <w:rFonts w:ascii="Arial" w:cs="Arial" w:eastAsia="Arial" w:hAnsi="Arial"/>
          <w:sz w:val="19"/>
          <w:szCs w:val="19"/>
          <w:color w:val="auto"/>
        </w:rPr>
        <w:t>”). To the extent Executive’s principal work location is not the Company’s corporate offices or facilities due to a shelter-in-place order, quarantine order, or similar work-from-home requirement that applies to Executive, Executive’s principal work location, from which a change in location under the foregoing clause (b) will be measured, will be considered the Company’s office or facility location where Executive’s employment with the Company primarily was based immediately prior to the commencement of such shelter-in-place order, quarantine order, or similar work-from-home requirement.</w:t>
      </w:r>
    </w:p>
    <w:p>
      <w:pPr>
        <w:spacing w:after="0" w:line="374" w:lineRule="exact"/>
        <w:rPr>
          <w:sz w:val="20"/>
          <w:szCs w:val="20"/>
          <w:color w:val="auto"/>
        </w:rPr>
      </w:pPr>
    </w:p>
    <w:p>
      <w:pPr>
        <w:jc w:val="both"/>
        <w:ind w:firstLine="1296"/>
        <w:spacing w:after="0" w:line="305" w:lineRule="auto"/>
        <w:rPr>
          <w:sz w:val="20"/>
          <w:szCs w:val="20"/>
          <w:color w:val="auto"/>
        </w:rPr>
      </w:pPr>
      <w:r>
        <w:rPr>
          <w:rFonts w:ascii="Arial" w:cs="Arial" w:eastAsia="Arial" w:hAnsi="Arial"/>
          <w:sz w:val="19"/>
          <w:szCs w:val="19"/>
          <w:color w:val="auto"/>
        </w:rPr>
        <w:t>7.k. “</w:t>
      </w:r>
      <w:r>
        <w:rPr>
          <w:rFonts w:ascii="Arial" w:cs="Arial" w:eastAsia="Arial" w:hAnsi="Arial"/>
          <w:sz w:val="19"/>
          <w:szCs w:val="19"/>
          <w:b w:val="1"/>
          <w:bCs w:val="1"/>
          <w:color w:val="auto"/>
        </w:rPr>
        <w:t>Qualifying Termination</w:t>
      </w:r>
      <w:r>
        <w:rPr>
          <w:rFonts w:ascii="Arial" w:cs="Arial" w:eastAsia="Arial" w:hAnsi="Arial"/>
          <w:sz w:val="19"/>
          <w:szCs w:val="19"/>
          <w:color w:val="auto"/>
        </w:rPr>
        <w:t>” means a termination of Executive’s employment with the Company either (a) by the Company without Cause and other than due to Executive’s death or Disability, or (b) by Executive for Good Reason.</w:t>
      </w:r>
    </w:p>
    <w:p>
      <w:pPr>
        <w:spacing w:after="0" w:line="93" w:lineRule="exact"/>
        <w:rPr>
          <w:sz w:val="20"/>
          <w:szCs w:val="20"/>
          <w:color w:val="auto"/>
        </w:rPr>
      </w:pPr>
    </w:p>
    <w:p>
      <w:pPr>
        <w:jc w:val="both"/>
        <w:ind w:firstLine="1296"/>
        <w:spacing w:after="0" w:line="217" w:lineRule="auto"/>
        <w:rPr>
          <w:sz w:val="20"/>
          <w:szCs w:val="20"/>
          <w:color w:val="auto"/>
        </w:rPr>
      </w:pPr>
      <w:r>
        <w:rPr>
          <w:rFonts w:ascii="Arial" w:cs="Arial" w:eastAsia="Arial" w:hAnsi="Arial"/>
          <w:sz w:val="22"/>
          <w:szCs w:val="22"/>
          <w:color w:val="auto"/>
        </w:rPr>
        <w:t>7.l. “</w:t>
      </w:r>
      <w:r>
        <w:rPr>
          <w:rFonts w:ascii="Arial" w:cs="Arial" w:eastAsia="Arial" w:hAnsi="Arial"/>
          <w:sz w:val="22"/>
          <w:szCs w:val="22"/>
          <w:b w:val="1"/>
          <w:bCs w:val="1"/>
          <w:color w:val="auto"/>
        </w:rPr>
        <w:t>Salary</w:t>
      </w:r>
      <w:r>
        <w:rPr>
          <w:rFonts w:ascii="Arial" w:cs="Arial" w:eastAsia="Arial" w:hAnsi="Arial"/>
          <w:sz w:val="22"/>
          <w:szCs w:val="22"/>
          <w:color w:val="auto"/>
        </w:rPr>
        <w:t>” means Executive’s annual base salary in effect immediately prior to Executive’s Qualifying Termination (or, if the termination is due to a resignation for Good Reason based on a material reduction in Executive’s base salary, then Executive’s annual base salary in effect immediately prior to the reduction) or, if Executive’s Qualifying Termination occurs during the Change in Control Period and the amount is greater, Executive’s annual base salary in effect immediately prior to the Change in Control.</w:t>
      </w:r>
    </w:p>
    <w:p>
      <w:pPr>
        <w:spacing w:after="0" w:line="152"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1"/>
          <w:szCs w:val="21"/>
          <w:color w:val="auto"/>
        </w:rPr>
        <w:t>7.m. “</w:t>
      </w:r>
      <w:r>
        <w:rPr>
          <w:rFonts w:ascii="Arial" w:cs="Arial" w:eastAsia="Arial" w:hAnsi="Arial"/>
          <w:sz w:val="21"/>
          <w:szCs w:val="21"/>
          <w:b w:val="1"/>
          <w:bCs w:val="1"/>
          <w:color w:val="auto"/>
        </w:rPr>
        <w:t>Section 409A</w:t>
      </w:r>
      <w:r>
        <w:rPr>
          <w:rFonts w:ascii="Arial" w:cs="Arial" w:eastAsia="Arial" w:hAnsi="Arial"/>
          <w:sz w:val="21"/>
          <w:szCs w:val="21"/>
          <w:color w:val="auto"/>
        </w:rPr>
        <w:t>” means Code Section 409A and the Treasury Regulations and guidance thereunder, and any applicable state law equivalent, as each may be promulgated, amended or modified from time to time.</w:t>
      </w:r>
    </w:p>
    <w:p>
      <w:pPr>
        <w:spacing w:after="0" w:line="139" w:lineRule="exact"/>
        <w:rPr>
          <w:sz w:val="20"/>
          <w:szCs w:val="20"/>
          <w:color w:val="auto"/>
        </w:rPr>
      </w:pPr>
    </w:p>
    <w:p>
      <w:pPr>
        <w:jc w:val="both"/>
        <w:ind w:firstLine="1296"/>
        <w:spacing w:after="0" w:line="220" w:lineRule="auto"/>
        <w:rPr>
          <w:sz w:val="20"/>
          <w:szCs w:val="20"/>
          <w:color w:val="auto"/>
        </w:rPr>
      </w:pPr>
      <w:r>
        <w:rPr>
          <w:rFonts w:ascii="Arial" w:cs="Arial" w:eastAsia="Arial" w:hAnsi="Arial"/>
          <w:sz w:val="22"/>
          <w:szCs w:val="22"/>
          <w:color w:val="auto"/>
        </w:rPr>
        <w:t>7.n. “</w:t>
      </w:r>
      <w:r>
        <w:rPr>
          <w:rFonts w:ascii="Arial" w:cs="Arial" w:eastAsia="Arial" w:hAnsi="Arial"/>
          <w:sz w:val="22"/>
          <w:szCs w:val="22"/>
          <w:b w:val="1"/>
          <w:bCs w:val="1"/>
          <w:color w:val="auto"/>
        </w:rPr>
        <w:t>Target Bonus</w:t>
      </w:r>
      <w:r>
        <w:rPr>
          <w:rFonts w:ascii="Arial" w:cs="Arial" w:eastAsia="Arial" w:hAnsi="Arial"/>
          <w:sz w:val="22"/>
          <w:szCs w:val="22"/>
          <w:color w:val="auto"/>
        </w:rPr>
        <w:t>” means Executive’s annual (or annualized, as applicable) target bonus in effect immediately prior to Executive’s Qualifying Termination or, if Executive’s Qualifying Termination occurs during the Change in Control Period and the amount is greater, Executive’s annual (or annualized, if applicable) target bonus in effect immediately prior to the Change in Control.</w:t>
      </w:r>
    </w:p>
    <w:p>
      <w:pPr>
        <w:spacing w:after="0" w:line="152" w:lineRule="exact"/>
        <w:rPr>
          <w:sz w:val="20"/>
          <w:szCs w:val="20"/>
          <w:color w:val="auto"/>
        </w:rPr>
      </w:pPr>
    </w:p>
    <w:p>
      <w:pPr>
        <w:jc w:val="both"/>
        <w:ind w:firstLine="1296"/>
        <w:spacing w:after="0" w:line="220" w:lineRule="auto"/>
        <w:rPr>
          <w:sz w:val="20"/>
          <w:szCs w:val="20"/>
          <w:color w:val="auto"/>
        </w:rPr>
      </w:pPr>
      <w:r>
        <w:rPr>
          <w:rFonts w:ascii="Arial" w:cs="Arial" w:eastAsia="Arial" w:hAnsi="Arial"/>
          <w:sz w:val="22"/>
          <w:szCs w:val="22"/>
          <w:color w:val="auto"/>
        </w:rPr>
        <w:t>7.o. “</w:t>
      </w:r>
      <w:r>
        <w:rPr>
          <w:rFonts w:ascii="Arial" w:cs="Arial" w:eastAsia="Arial" w:hAnsi="Arial"/>
          <w:sz w:val="22"/>
          <w:szCs w:val="22"/>
          <w:b w:val="1"/>
          <w:bCs w:val="1"/>
          <w:color w:val="auto"/>
        </w:rPr>
        <w:t>Time-Based Awards</w:t>
      </w:r>
      <w:r>
        <w:rPr>
          <w:rFonts w:ascii="Arial" w:cs="Arial" w:eastAsia="Arial" w:hAnsi="Arial"/>
          <w:sz w:val="22"/>
          <w:szCs w:val="22"/>
          <w:color w:val="auto"/>
        </w:rPr>
        <w:t>” means Awards that, as of the date of the Qualifying Termination, or in the case of a Qualifying Termination during the Change in Control Period, the later of the date of the Qualifying Termination or immediately prior to the Change in Control, are held by Executive and subject to continued service-based vesting criteria, but not subject to the achievement of any performance-based or other similar vesting criteria.</w:t>
      </w:r>
    </w:p>
    <w:p>
      <w:pPr>
        <w:spacing w:after="0" w:line="152" w:lineRule="exact"/>
        <w:rPr>
          <w:sz w:val="20"/>
          <w:szCs w:val="20"/>
          <w:color w:val="auto"/>
        </w:rPr>
      </w:pPr>
    </w:p>
    <w:p>
      <w:pPr>
        <w:ind w:firstLine="656"/>
        <w:spacing w:after="0" w:line="235" w:lineRule="auto"/>
        <w:tabs>
          <w:tab w:leader="none" w:pos="1296" w:val="left"/>
        </w:tabs>
        <w:numPr>
          <w:ilvl w:val="0"/>
          <w:numId w:val="57"/>
        </w:numPr>
        <w:rPr>
          <w:rFonts w:ascii="Arial" w:cs="Arial" w:eastAsia="Arial" w:hAnsi="Arial"/>
          <w:sz w:val="22"/>
          <w:szCs w:val="22"/>
          <w:color w:val="auto"/>
        </w:rPr>
      </w:pPr>
      <w:r>
        <w:rPr>
          <w:rFonts w:ascii="Arial" w:cs="Arial" w:eastAsia="Arial" w:hAnsi="Arial"/>
          <w:sz w:val="22"/>
          <w:szCs w:val="22"/>
          <w:b w:val="1"/>
          <w:bCs w:val="1"/>
          <w:color w:val="auto"/>
        </w:rPr>
        <w:t>Successors</w:t>
      </w:r>
      <w:r>
        <w:rPr>
          <w:rFonts w:ascii="Arial" w:cs="Arial" w:eastAsia="Arial" w:hAnsi="Arial"/>
          <w:sz w:val="22"/>
          <w:szCs w:val="22"/>
          <w:color w:val="auto"/>
        </w:rPr>
        <w:t>. This Agreement will be binding upon and inure to the benefit of (a) the heirs, executors, and legal</w:t>
      </w:r>
      <w:r>
        <w:rPr>
          <w:rFonts w:ascii="Arial" w:cs="Arial" w:eastAsia="Arial" w:hAnsi="Arial"/>
          <w:sz w:val="22"/>
          <w:szCs w:val="22"/>
          <w:b w:val="1"/>
          <w:bCs w:val="1"/>
          <w:color w:val="auto"/>
        </w:rPr>
        <w:t xml:space="preserve"> </w:t>
      </w:r>
      <w:r>
        <w:rPr>
          <w:rFonts w:ascii="Arial" w:cs="Arial" w:eastAsia="Arial" w:hAnsi="Arial"/>
          <w:sz w:val="22"/>
          <w:szCs w:val="22"/>
          <w:color w:val="auto"/>
        </w:rPr>
        <w:t>representatives of Executive upon Executive’s death, and (b) any successor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40" w:right="339" w:bottom="1440" w:gutter="0" w:footer="0" w:header="0"/>
        </w:sectPr>
      </w:pPr>
    </w:p>
    <w:bookmarkStart w:id="92" w:name="page93"/>
    <w:bookmarkEnd w:id="92"/>
    <w:p>
      <w:pPr>
        <w:spacing w:after="0" w:line="200" w:lineRule="exact"/>
        <w:rPr>
          <w:sz w:val="20"/>
          <w:szCs w:val="20"/>
          <w:color w:val="auto"/>
        </w:rPr>
      </w:pPr>
    </w:p>
    <w:p>
      <w:pPr>
        <w:spacing w:after="0" w:line="234" w:lineRule="exact"/>
        <w:rPr>
          <w:sz w:val="20"/>
          <w:szCs w:val="20"/>
          <w:color w:val="auto"/>
        </w:rPr>
      </w:pPr>
    </w:p>
    <w:p>
      <w:pPr>
        <w:jc w:val="both"/>
        <w:spacing w:after="0" w:line="212" w:lineRule="auto"/>
        <w:rPr>
          <w:sz w:val="20"/>
          <w:szCs w:val="20"/>
          <w:color w:val="auto"/>
        </w:rPr>
      </w:pPr>
      <w:r>
        <w:rPr>
          <w:rFonts w:ascii="Arial" w:cs="Arial" w:eastAsia="Arial" w:hAnsi="Arial"/>
          <w:sz w:val="22"/>
          <w:szCs w:val="22"/>
          <w:color w:val="auto"/>
        </w:rPr>
        <w:t>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158" w:lineRule="exact"/>
        <w:rPr>
          <w:sz w:val="20"/>
          <w:szCs w:val="20"/>
          <w:color w:val="auto"/>
        </w:rPr>
      </w:pPr>
    </w:p>
    <w:p>
      <w:pPr>
        <w:ind w:left="1300" w:hanging="644"/>
        <w:spacing w:after="0"/>
        <w:tabs>
          <w:tab w:leader="none" w:pos="1300" w:val="left"/>
        </w:tabs>
        <w:numPr>
          <w:ilvl w:val="0"/>
          <w:numId w:val="58"/>
        </w:numPr>
        <w:rPr>
          <w:rFonts w:ascii="Arial" w:cs="Arial" w:eastAsia="Arial" w:hAnsi="Arial"/>
          <w:sz w:val="22"/>
          <w:szCs w:val="22"/>
          <w:color w:val="auto"/>
        </w:rPr>
      </w:pPr>
      <w:r>
        <w:rPr>
          <w:rFonts w:ascii="Arial" w:cs="Arial" w:eastAsia="Arial" w:hAnsi="Arial"/>
          <w:sz w:val="22"/>
          <w:szCs w:val="22"/>
          <w:b w:val="1"/>
          <w:bCs w:val="1"/>
          <w:color w:val="auto"/>
        </w:rPr>
        <w:t>Notice</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1"/>
          <w:szCs w:val="21"/>
          <w:color w:val="auto"/>
        </w:rPr>
        <w:t xml:space="preserve">9.a. </w:t>
      </w:r>
      <w:r>
        <w:rPr>
          <w:rFonts w:ascii="Arial" w:cs="Arial" w:eastAsia="Arial" w:hAnsi="Arial"/>
          <w:sz w:val="21"/>
          <w:szCs w:val="21"/>
          <w:b w:val="1"/>
          <w:bCs w:val="1"/>
          <w:color w:val="auto"/>
        </w:rPr>
        <w:t>General</w:t>
      </w:r>
      <w:r>
        <w:rPr>
          <w:rFonts w:ascii="Arial" w:cs="Arial" w:eastAsia="Arial" w:hAnsi="Arial"/>
          <w:sz w:val="21"/>
          <w:szCs w:val="21"/>
          <w:color w:val="auto"/>
        </w:rPr>
        <w:t>. All notices and other communications required or permitted under this Agreement will be in writing and will be effectively given (a) upon actual delivery to the party to be notified, (b) upon transmission by email, (c) twenty-four (24) hours after confirmed facsimile transmission, (d) one (1) business day after deposit with a recognized overnight courier, or (e) three (3) business days after deposit with the U.S. Postal Service by first class certified or registered mail, return receipt requested, postage prepaid, addressed: (i) if to Executive, at the address Executive will have most recently furnished to the Company in writing, (ii) if to the Company, at the following address:</w:t>
      </w:r>
    </w:p>
    <w:p>
      <w:pPr>
        <w:spacing w:after="0" w:line="14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Nautilus Biotechnology, Inc.</w:t>
      </w:r>
    </w:p>
    <w:p>
      <w:pPr>
        <w:ind w:left="1300"/>
        <w:spacing w:after="0" w:line="204" w:lineRule="auto"/>
        <w:rPr>
          <w:sz w:val="20"/>
          <w:szCs w:val="20"/>
          <w:color w:val="auto"/>
        </w:rPr>
      </w:pPr>
      <w:r>
        <w:rPr>
          <w:rFonts w:ascii="Arial" w:cs="Arial" w:eastAsia="Arial" w:hAnsi="Arial"/>
          <w:sz w:val="22"/>
          <w:szCs w:val="22"/>
          <w:color w:val="auto"/>
        </w:rPr>
        <w:t>2701 Eastlake Ave East</w:t>
      </w:r>
    </w:p>
    <w:p>
      <w:pPr>
        <w:ind w:left="1300"/>
        <w:spacing w:after="0" w:line="205" w:lineRule="auto"/>
        <w:rPr>
          <w:sz w:val="20"/>
          <w:szCs w:val="20"/>
          <w:color w:val="auto"/>
        </w:rPr>
      </w:pPr>
      <w:r>
        <w:rPr>
          <w:rFonts w:ascii="Arial" w:cs="Arial" w:eastAsia="Arial" w:hAnsi="Arial"/>
          <w:sz w:val="22"/>
          <w:szCs w:val="22"/>
          <w:color w:val="auto"/>
        </w:rPr>
        <w:t>Seattle, WA 98102</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Chief Executive Officer</w:t>
      </w:r>
    </w:p>
    <w:p>
      <w:pPr>
        <w:spacing w:after="0" w:line="155"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1"/>
          <w:szCs w:val="21"/>
          <w:color w:val="auto"/>
        </w:rPr>
        <w:t xml:space="preserve">9.b. </w:t>
      </w:r>
      <w:r>
        <w:rPr>
          <w:rFonts w:ascii="Arial" w:cs="Arial" w:eastAsia="Arial" w:hAnsi="Arial"/>
          <w:sz w:val="21"/>
          <w:szCs w:val="21"/>
          <w:b w:val="1"/>
          <w:bCs w:val="1"/>
          <w:color w:val="auto"/>
        </w:rPr>
        <w:t>Notice of Termination</w:t>
      </w:r>
      <w:r>
        <w:rPr>
          <w:rFonts w:ascii="Arial" w:cs="Arial" w:eastAsia="Arial" w:hAnsi="Arial"/>
          <w:sz w:val="21"/>
          <w:szCs w:val="21"/>
          <w:color w:val="auto"/>
        </w:rPr>
        <w:t>. Any termination of Executive’s employment by the Company for Cause will be communicated by a notice of termination of Executive’s employment to Executive, and any termination by Executive for Good Reason will be communicated by a notice of termination to the Company, in each case given in accordance with Section 9.1. The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later of (i) the giving of the notice or (ii) the end of any applicable cure period, except as set forth in Section 7.10).</w:t>
      </w:r>
    </w:p>
    <w:p>
      <w:pPr>
        <w:spacing w:after="0" w:line="157" w:lineRule="exact"/>
        <w:rPr>
          <w:sz w:val="20"/>
          <w:szCs w:val="20"/>
          <w:color w:val="auto"/>
        </w:rPr>
      </w:pPr>
    </w:p>
    <w:p>
      <w:pPr>
        <w:jc w:val="both"/>
        <w:ind w:firstLine="656"/>
        <w:spacing w:after="0" w:line="220" w:lineRule="auto"/>
        <w:tabs>
          <w:tab w:leader="none" w:pos="1296" w:val="left"/>
        </w:tabs>
        <w:numPr>
          <w:ilvl w:val="0"/>
          <w:numId w:val="59"/>
        </w:numPr>
        <w:rPr>
          <w:rFonts w:ascii="Arial" w:cs="Arial" w:eastAsia="Arial" w:hAnsi="Arial"/>
          <w:sz w:val="22"/>
          <w:szCs w:val="22"/>
          <w:color w:val="auto"/>
        </w:rPr>
      </w:pPr>
      <w:r>
        <w:rPr>
          <w:rFonts w:ascii="Arial" w:cs="Arial" w:eastAsia="Arial" w:hAnsi="Arial"/>
          <w:sz w:val="22"/>
          <w:szCs w:val="22"/>
          <w:b w:val="1"/>
          <w:bCs w:val="1"/>
          <w:color w:val="auto"/>
        </w:rPr>
        <w:t>Resignation</w:t>
      </w:r>
      <w:r>
        <w:rPr>
          <w:rFonts w:ascii="Arial" w:cs="Arial" w:eastAsia="Arial" w:hAnsi="Arial"/>
          <w:sz w:val="22"/>
          <w:szCs w:val="22"/>
          <w:color w:val="auto"/>
        </w:rPr>
        <w:t>. The termination of Executive’s employment for any reason also will constitute, without any further</w:t>
      </w:r>
      <w:r>
        <w:rPr>
          <w:rFonts w:ascii="Arial" w:cs="Arial" w:eastAsia="Arial" w:hAnsi="Arial"/>
          <w:sz w:val="22"/>
          <w:szCs w:val="22"/>
          <w:b w:val="1"/>
          <w:bCs w:val="1"/>
          <w:color w:val="auto"/>
        </w:rPr>
        <w:t xml:space="preserve"> </w:t>
      </w:r>
      <w:r>
        <w:rPr>
          <w:rFonts w:ascii="Arial" w:cs="Arial" w:eastAsia="Arial" w:hAnsi="Arial"/>
          <w:sz w:val="22"/>
          <w:szCs w:val="22"/>
          <w:color w:val="auto"/>
        </w:rPr>
        <w:t>required action by Executive, Executive’s voluntary resignation from all officer and/or director positions held at the Company or any of its subsidiaries or affiliates, and at the Board’s request, Executive will execute any documents reasonably necessary to reflect the resignations.</w:t>
      </w:r>
    </w:p>
    <w:p>
      <w:pPr>
        <w:spacing w:after="0" w:line="152" w:lineRule="exact"/>
        <w:rPr>
          <w:rFonts w:ascii="Arial" w:cs="Arial" w:eastAsia="Arial" w:hAnsi="Arial"/>
          <w:sz w:val="22"/>
          <w:szCs w:val="22"/>
          <w:color w:val="auto"/>
        </w:rPr>
      </w:pPr>
    </w:p>
    <w:p>
      <w:pPr>
        <w:ind w:left="1300" w:hanging="644"/>
        <w:spacing w:after="0"/>
        <w:tabs>
          <w:tab w:leader="none" w:pos="1300" w:val="left"/>
        </w:tabs>
        <w:numPr>
          <w:ilvl w:val="0"/>
          <w:numId w:val="59"/>
        </w:numPr>
        <w:rPr>
          <w:rFonts w:ascii="Arial" w:cs="Arial" w:eastAsia="Arial" w:hAnsi="Arial"/>
          <w:sz w:val="22"/>
          <w:szCs w:val="22"/>
          <w:color w:val="auto"/>
        </w:rPr>
      </w:pPr>
      <w:r>
        <w:rPr>
          <w:rFonts w:ascii="Arial" w:cs="Arial" w:eastAsia="Arial" w:hAnsi="Arial"/>
          <w:sz w:val="22"/>
          <w:szCs w:val="22"/>
          <w:b w:val="1"/>
          <w:bCs w:val="1"/>
          <w:color w:val="auto"/>
        </w:rPr>
        <w:t>Miscellaneous Provisions</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2"/>
          <w:szCs w:val="22"/>
          <w:color w:val="auto"/>
        </w:rPr>
        <w:t xml:space="preserve">11.a. </w:t>
      </w:r>
      <w:r>
        <w:rPr>
          <w:rFonts w:ascii="Arial" w:cs="Arial" w:eastAsia="Arial" w:hAnsi="Arial"/>
          <w:sz w:val="22"/>
          <w:szCs w:val="22"/>
          <w:b w:val="1"/>
          <w:bCs w:val="1"/>
          <w:color w:val="auto"/>
        </w:rPr>
        <w:t>No Duty to Mitigate</w:t>
      </w:r>
      <w:r>
        <w:rPr>
          <w:rFonts w:ascii="Arial" w:cs="Arial" w:eastAsia="Arial" w:hAnsi="Arial"/>
          <w:sz w:val="22"/>
          <w:szCs w:val="22"/>
          <w:color w:val="auto"/>
        </w:rPr>
        <w:t>. Executive will not be required to mitigate the amount of any payment contemplated by this Agreement, nor will any payment be reduced by any earnings that Executive may receive from any other source except as specified in Sections 3.4, 5.3, 5.4.3, and 6.</w:t>
      </w:r>
    </w:p>
    <w:p>
      <w:pPr>
        <w:spacing w:after="0" w:line="153" w:lineRule="exact"/>
        <w:rPr>
          <w:sz w:val="20"/>
          <w:szCs w:val="20"/>
          <w:color w:val="auto"/>
        </w:rPr>
      </w:pPr>
    </w:p>
    <w:p>
      <w:pPr>
        <w:jc w:val="both"/>
        <w:ind w:firstLine="1296"/>
        <w:spacing w:after="0" w:line="217" w:lineRule="auto"/>
        <w:rPr>
          <w:sz w:val="20"/>
          <w:szCs w:val="20"/>
          <w:color w:val="auto"/>
        </w:rPr>
      </w:pPr>
      <w:r>
        <w:rPr>
          <w:rFonts w:ascii="Arial" w:cs="Arial" w:eastAsia="Arial" w:hAnsi="Arial"/>
          <w:sz w:val="22"/>
          <w:szCs w:val="22"/>
          <w:color w:val="auto"/>
        </w:rPr>
        <w:t xml:space="preserve">11.b. </w:t>
      </w:r>
      <w:r>
        <w:rPr>
          <w:rFonts w:ascii="Arial" w:cs="Arial" w:eastAsia="Arial" w:hAnsi="Arial"/>
          <w:sz w:val="22"/>
          <w:szCs w:val="22"/>
          <w:b w:val="1"/>
          <w:bCs w:val="1"/>
          <w:color w:val="auto"/>
        </w:rPr>
        <w:t>Waiver; Amendment</w:t>
      </w:r>
      <w:r>
        <w:rPr>
          <w:rFonts w:ascii="Arial" w:cs="Arial" w:eastAsia="Arial" w:hAnsi="Arial"/>
          <w:sz w:val="22"/>
          <w:szCs w:val="22"/>
          <w:color w:val="auto"/>
        </w:rPr>
        <w:t>. No provision of this Agreement will be modified, waived or discharged unless the modification, waiver or discharge is agreed to in writing and signed by an authorized officer of the Company (other than Executive) and by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40" w:right="339" w:bottom="1440" w:gutter="0" w:footer="0" w:header="0"/>
        </w:sectPr>
      </w:pPr>
    </w:p>
    <w:bookmarkStart w:id="93" w:name="page94"/>
    <w:bookmarkEnd w:id="93"/>
    <w:p>
      <w:pPr>
        <w:spacing w:after="0" w:line="200" w:lineRule="exact"/>
        <w:rPr>
          <w:sz w:val="20"/>
          <w:szCs w:val="20"/>
          <w:color w:val="auto"/>
        </w:rPr>
      </w:pPr>
    </w:p>
    <w:p>
      <w:pPr>
        <w:spacing w:after="0" w:line="228"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 xml:space="preserve">11.c. </w:t>
      </w:r>
      <w:r>
        <w:rPr>
          <w:rFonts w:ascii="Arial" w:cs="Arial" w:eastAsia="Arial" w:hAnsi="Arial"/>
          <w:sz w:val="22"/>
          <w:szCs w:val="22"/>
          <w:b w:val="1"/>
          <w:bCs w:val="1"/>
          <w:color w:val="auto"/>
        </w:rPr>
        <w:t>Headings</w:t>
      </w:r>
      <w:r>
        <w:rPr>
          <w:rFonts w:ascii="Arial" w:cs="Arial" w:eastAsia="Arial" w:hAnsi="Arial"/>
          <w:sz w:val="22"/>
          <w:szCs w:val="22"/>
          <w:color w:val="auto"/>
        </w:rPr>
        <w:t>. Headings are provided herein for convenience only, and will not serve as a basis for interpretation or construction of this Agreement.</w:t>
      </w:r>
    </w:p>
    <w:p>
      <w:pPr>
        <w:spacing w:after="0" w:line="153" w:lineRule="exact"/>
        <w:rPr>
          <w:sz w:val="20"/>
          <w:szCs w:val="20"/>
          <w:color w:val="auto"/>
        </w:rPr>
      </w:pPr>
    </w:p>
    <w:p>
      <w:pPr>
        <w:jc w:val="both"/>
        <w:ind w:firstLine="1296"/>
        <w:spacing w:after="0" w:line="212" w:lineRule="auto"/>
        <w:rPr>
          <w:sz w:val="20"/>
          <w:szCs w:val="20"/>
          <w:color w:val="auto"/>
        </w:rPr>
      </w:pPr>
      <w:r>
        <w:rPr>
          <w:rFonts w:ascii="Arial" w:cs="Arial" w:eastAsia="Arial" w:hAnsi="Arial"/>
          <w:sz w:val="22"/>
          <w:szCs w:val="22"/>
          <w:color w:val="auto"/>
        </w:rPr>
        <w:t xml:space="preserve">11.d. </w:t>
      </w:r>
      <w:r>
        <w:rPr>
          <w:rFonts w:ascii="Arial" w:cs="Arial" w:eastAsia="Arial" w:hAnsi="Arial"/>
          <w:sz w:val="22"/>
          <w:szCs w:val="22"/>
          <w:b w:val="1"/>
          <w:bCs w:val="1"/>
          <w:color w:val="auto"/>
        </w:rPr>
        <w:t>Entire Agreement</w:t>
      </w:r>
      <w:r>
        <w:rPr>
          <w:rFonts w:ascii="Arial" w:cs="Arial" w:eastAsia="Arial" w:hAnsi="Arial"/>
          <w:sz w:val="22"/>
          <w:szCs w:val="22"/>
          <w:color w:val="auto"/>
        </w:rPr>
        <w:t>. This Agreement, together with the Confidentiality Agreement, Executive’s confirmatory offer letter dated April 7, 2021, and the Company’s 2021 Equity Incentive Plan and award agreements thereunder governing Executive’s Awards, constitutes the entire agreement of the parties and supersedes in their entirety all prior representations, understandings, undertakings or agreements (whether oral or written and whether expressed or implied) of the parties with respect to the subject matter of this Agreement, including without limitation, Executive’s offer letter entered into with the Company and dated January 7, 2020, the Change in Control and Severance Agreement entered into with the Company and dated April 7, 2021, and the Change in Control and Severance Agreement entered into with the Company and dated May 2, 2022.</w:t>
      </w:r>
    </w:p>
    <w:p>
      <w:pPr>
        <w:spacing w:after="0" w:line="156" w:lineRule="exact"/>
        <w:rPr>
          <w:sz w:val="20"/>
          <w:szCs w:val="20"/>
          <w:color w:val="auto"/>
        </w:rPr>
      </w:pPr>
    </w:p>
    <w:p>
      <w:pPr>
        <w:jc w:val="both"/>
        <w:ind w:firstLine="1296"/>
        <w:spacing w:after="0" w:line="230" w:lineRule="auto"/>
        <w:rPr>
          <w:sz w:val="20"/>
          <w:szCs w:val="20"/>
          <w:color w:val="auto"/>
        </w:rPr>
      </w:pPr>
      <w:r>
        <w:rPr>
          <w:rFonts w:ascii="Arial" w:cs="Arial" w:eastAsia="Arial" w:hAnsi="Arial"/>
          <w:sz w:val="21"/>
          <w:szCs w:val="21"/>
          <w:color w:val="auto"/>
        </w:rPr>
        <w:t xml:space="preserve">11.e. </w:t>
      </w:r>
      <w:r>
        <w:rPr>
          <w:rFonts w:ascii="Arial" w:cs="Arial" w:eastAsia="Arial" w:hAnsi="Arial"/>
          <w:sz w:val="21"/>
          <w:szCs w:val="21"/>
          <w:b w:val="1"/>
          <w:bCs w:val="1"/>
          <w:color w:val="auto"/>
        </w:rPr>
        <w:t>Governing Law</w:t>
      </w:r>
      <w:r>
        <w:rPr>
          <w:rFonts w:ascii="Arial" w:cs="Arial" w:eastAsia="Arial" w:hAnsi="Arial"/>
          <w:sz w:val="21"/>
          <w:szCs w:val="21"/>
          <w:color w:val="auto"/>
        </w:rPr>
        <w:t>. This Agreement will be governed by the laws of the State of Washington but without regard to the conflict of law provision. To the extent that any lawsuit is permitted with respect to any provisions under this Agreement, Executive hereby expressly consents to the personal and exclusive jurisdiction and venue of the state and federal courts located in the State of Washington for any lawsuit filed against Executive by the Company.</w:t>
      </w:r>
    </w:p>
    <w:p>
      <w:pPr>
        <w:spacing w:after="0" w:line="154"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9"/>
          <w:szCs w:val="19"/>
          <w:color w:val="auto"/>
        </w:rPr>
        <w:t xml:space="preserve">11.f. </w:t>
      </w:r>
      <w:r>
        <w:rPr>
          <w:rFonts w:ascii="Arial" w:cs="Arial" w:eastAsia="Arial" w:hAnsi="Arial"/>
          <w:sz w:val="19"/>
          <w:szCs w:val="19"/>
          <w:b w:val="1"/>
          <w:bCs w:val="1"/>
          <w:color w:val="auto"/>
        </w:rPr>
        <w:t>Severability</w:t>
      </w:r>
      <w:r>
        <w:rPr>
          <w:rFonts w:ascii="Arial" w:cs="Arial" w:eastAsia="Arial" w:hAnsi="Arial"/>
          <w:sz w:val="19"/>
          <w:szCs w:val="19"/>
          <w:color w:val="auto"/>
        </w:rPr>
        <w:t>. If any provision of this Agreement is or becomes or is deemed to be invalid, illegal, or unenforceable for any reason, such invalidity, illegality, or unenforceability will not affect the remaining parts of this Agreement, and this Agreement will be construed and enforced as if the invalid, illegal, or unenforceable provision had not been included.</w:t>
      </w:r>
    </w:p>
    <w:p>
      <w:pPr>
        <w:spacing w:after="0" w:line="124" w:lineRule="exact"/>
        <w:rPr>
          <w:sz w:val="20"/>
          <w:szCs w:val="20"/>
          <w:color w:val="auto"/>
        </w:rPr>
      </w:pPr>
    </w:p>
    <w:p>
      <w:pPr>
        <w:jc w:val="both"/>
        <w:ind w:firstLine="1296"/>
        <w:spacing w:after="0" w:line="222" w:lineRule="auto"/>
        <w:rPr>
          <w:sz w:val="20"/>
          <w:szCs w:val="20"/>
          <w:color w:val="auto"/>
        </w:rPr>
      </w:pPr>
      <w:r>
        <w:rPr>
          <w:rFonts w:ascii="Arial" w:cs="Arial" w:eastAsia="Arial" w:hAnsi="Arial"/>
          <w:sz w:val="21"/>
          <w:szCs w:val="21"/>
          <w:color w:val="auto"/>
        </w:rPr>
        <w:t xml:space="preserve">11.g. </w:t>
      </w:r>
      <w:r>
        <w:rPr>
          <w:rFonts w:ascii="Arial" w:cs="Arial" w:eastAsia="Arial" w:hAnsi="Arial"/>
          <w:sz w:val="21"/>
          <w:szCs w:val="21"/>
          <w:b w:val="1"/>
          <w:bCs w:val="1"/>
          <w:color w:val="auto"/>
        </w:rPr>
        <w:t>Withholding</w:t>
      </w:r>
      <w:r>
        <w:rPr>
          <w:rFonts w:ascii="Arial" w:cs="Arial" w:eastAsia="Arial" w:hAnsi="Arial"/>
          <w:sz w:val="21"/>
          <w:szCs w:val="21"/>
          <w:color w:val="auto"/>
        </w:rPr>
        <w:t>. The Company (and any parent, subsidiary or other affiliate of the Company, as applicable) will have the right and authority to deduct from any payments or benefits all applicable federal, state, local, and/or non U.S. taxes or other required withholdings and payroll deductions (“</w:t>
      </w:r>
      <w:r>
        <w:rPr>
          <w:rFonts w:ascii="Arial" w:cs="Arial" w:eastAsia="Arial" w:hAnsi="Arial"/>
          <w:sz w:val="21"/>
          <w:szCs w:val="21"/>
          <w:b w:val="1"/>
          <w:bCs w:val="1"/>
          <w:color w:val="auto"/>
        </w:rPr>
        <w:t>Withholdings</w:t>
      </w:r>
      <w:r>
        <w:rPr>
          <w:rFonts w:ascii="Arial" w:cs="Arial" w:eastAsia="Arial" w:hAnsi="Arial"/>
          <w:sz w:val="21"/>
          <w:szCs w:val="21"/>
          <w:color w:val="auto"/>
        </w:rPr>
        <w:t>”). Prior to the payment of any amounts or provision of any benefits under this Agreement, the Company (and any parent, subsidiary or other affiliate of the Company, as applicable) is permitted to deduct or withhold, or require Executive to remit to the Company, an amount sufficient to satisfy any applicable Withholdings with respect to such payments and benefits. Neither the Company nor any parent, subsidiary or other affiliate of the Company will have any responsibility, liability or obligation to pay Executive’s taxes arising from or relating to any payments or benefits under this Agreement.</w:t>
      </w:r>
    </w:p>
    <w:p>
      <w:pPr>
        <w:spacing w:after="0" w:line="157"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 xml:space="preserve">11.h. </w:t>
      </w:r>
      <w:r>
        <w:rPr>
          <w:rFonts w:ascii="Arial" w:cs="Arial" w:eastAsia="Arial" w:hAnsi="Arial"/>
          <w:sz w:val="22"/>
          <w:szCs w:val="22"/>
          <w:b w:val="1"/>
          <w:bCs w:val="1"/>
          <w:color w:val="auto"/>
        </w:rPr>
        <w:t>Counterparts</w:t>
      </w:r>
      <w:r>
        <w:rPr>
          <w:rFonts w:ascii="Arial" w:cs="Arial" w:eastAsia="Arial" w:hAnsi="Arial"/>
          <w:sz w:val="22"/>
          <w:szCs w:val="22"/>
          <w:color w:val="auto"/>
        </w:rPr>
        <w:t>. This Agreement may be executed in counterparts, each of which will be deemed an original, but all of which together will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40" w:right="339" w:bottom="1440" w:gutter="0" w:footer="0" w:header="0"/>
        </w:sectPr>
      </w:pPr>
    </w:p>
    <w:bookmarkStart w:id="94" w:name="page95"/>
    <w:bookmarkEnd w:id="94"/>
    <w:p>
      <w:pPr>
        <w:spacing w:after="0" w:line="200" w:lineRule="exact"/>
        <w:rPr>
          <w:sz w:val="20"/>
          <w:szCs w:val="20"/>
          <w:color w:val="auto"/>
        </w:rPr>
      </w:pPr>
    </w:p>
    <w:p>
      <w:pPr>
        <w:spacing w:after="0" w:line="234"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By its signature below, each of the parties signifies its acceptance of the terms of this Agreement, in the case of the Company by its duly authorized officer.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b w:val="1"/>
          <w:bCs w:val="1"/>
          <w:color w:val="auto"/>
        </w:rPr>
        <w:t>COMPANY</w:t>
        <w:tab/>
        <w:t>NAUTILUS BIOTECHNOLOGY, INC.</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By: /s/ Sujal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-17780</wp:posOffset>
            </wp:positionV>
            <wp:extent cx="89154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91540" cy="8890"/>
                    </a:xfrm>
                    <a:prstGeom prst="rect">
                      <a:avLst/>
                    </a:prstGeom>
                    <a:noFill/>
                  </pic:spPr>
                </pic:pic>
              </a:graphicData>
            </a:graphic>
          </wp:anchor>
        </w:drawing>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Sujal Patel</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-17780</wp:posOffset>
            </wp:positionV>
            <wp:extent cx="145224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452245" cy="8255"/>
                    </a:xfrm>
                    <a:prstGeom prst="rect">
                      <a:avLst/>
                    </a:prstGeom>
                    <a:noFill/>
                  </pic:spPr>
                </pic:pic>
              </a:graphicData>
            </a:graphic>
          </wp:anchor>
        </w:drawing>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Date: 6/27/2022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-17780</wp:posOffset>
            </wp:positionV>
            <wp:extent cx="6934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3420" cy="8255"/>
                    </a:xfrm>
                    <a:prstGeom prst="rect">
                      <a:avLst/>
                    </a:prstGeom>
                    <a:noFill/>
                  </pic:spPr>
                </pic:pic>
              </a:graphicData>
            </a:graphic>
          </wp:anchor>
        </w:drawing>
      </w:r>
    </w:p>
    <w:p>
      <w:pPr>
        <w:spacing w:after="0" w:line="140"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b w:val="1"/>
          <w:bCs w:val="1"/>
          <w:color w:val="auto"/>
        </w:rPr>
        <w:t>EXECUTIVE</w:t>
      </w:r>
      <w:r>
        <w:rPr>
          <w:sz w:val="20"/>
          <w:szCs w:val="20"/>
          <w:color w:val="auto"/>
        </w:rPr>
        <w:tab/>
      </w:r>
      <w:r>
        <w:rPr>
          <w:rFonts w:ascii="Arial" w:cs="Arial" w:eastAsia="Arial" w:hAnsi="Arial"/>
          <w:sz w:val="19"/>
          <w:szCs w:val="19"/>
          <w:color w:val="auto"/>
        </w:rPr>
        <w:t>/s/ Mary Godwin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957580</wp:posOffset>
            </wp:positionH>
            <wp:positionV relativeFrom="paragraph">
              <wp:posOffset>-5715</wp:posOffset>
            </wp:positionV>
            <wp:extent cx="10744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74420" cy="8890"/>
                    </a:xfrm>
                    <a:prstGeom prst="rect">
                      <a:avLst/>
                    </a:prstGeom>
                    <a:noFill/>
                  </pic:spPr>
                </pic:pic>
              </a:graphicData>
            </a:graphic>
          </wp:anchor>
        </w:drawing>
      </w:r>
    </w:p>
    <w:p>
      <w:pPr>
        <w:ind w:left="220"/>
        <w:spacing w:after="0"/>
        <w:rPr>
          <w:sz w:val="20"/>
          <w:szCs w:val="20"/>
          <w:color w:val="auto"/>
        </w:rPr>
      </w:pPr>
      <w:r>
        <w:rPr>
          <w:rFonts w:ascii="Arial" w:cs="Arial" w:eastAsia="Arial" w:hAnsi="Arial"/>
          <w:sz w:val="22"/>
          <w:szCs w:val="22"/>
          <w:color w:val="auto"/>
        </w:rPr>
        <w:t>Mary Godwin</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Date: 6/27/2022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-17780</wp:posOffset>
            </wp:positionV>
            <wp:extent cx="6934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34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20"/>
          </w:cols>
          <w:pgMar w:left="320" w:top="1440" w:right="35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jc w:val="center"/>
        <w:spacing w:after="0" w:line="221" w:lineRule="auto"/>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Sujal Patel, certify that:</w:t>
      </w:r>
    </w:p>
    <w:p>
      <w:pPr>
        <w:spacing w:after="0" w:line="333"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Nautilus Biotechnology, Inc.;</w:t>
      </w:r>
    </w:p>
    <w:p>
      <w:pPr>
        <w:spacing w:after="0" w:line="90" w:lineRule="exact"/>
        <w:rPr>
          <w:rFonts w:ascii="Arial" w:cs="Arial" w:eastAsia="Arial" w:hAnsi="Arial"/>
          <w:sz w:val="18"/>
          <w:szCs w:val="18"/>
          <w:color w:val="auto"/>
        </w:rPr>
      </w:pPr>
    </w:p>
    <w:p>
      <w:pPr>
        <w:jc w:val="both"/>
        <w:ind w:left="660" w:right="120" w:hanging="328"/>
        <w:spacing w:after="0" w:line="235"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Arial" w:cs="Arial" w:eastAsia="Arial" w:hAnsi="Arial"/>
          <w:sz w:val="18"/>
          <w:szCs w:val="18"/>
          <w:color w:val="auto"/>
        </w:rPr>
      </w:pPr>
    </w:p>
    <w:p>
      <w:pPr>
        <w:ind w:left="660" w:right="80" w:hanging="328"/>
        <w:spacing w:after="0" w:line="274" w:lineRule="auto"/>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ind w:left="660" w:right="120" w:hanging="328"/>
        <w:spacing w:after="0" w:line="235"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Arial" w:cs="Arial" w:eastAsia="Arial" w:hAnsi="Arial"/>
          <w:sz w:val="18"/>
          <w:szCs w:val="18"/>
          <w:color w:val="auto"/>
        </w:rPr>
      </w:pPr>
    </w:p>
    <w:p>
      <w:pPr>
        <w:ind w:left="1140" w:right="80" w:hanging="322"/>
        <w:spacing w:after="0" w:line="235" w:lineRule="auto"/>
        <w:tabs>
          <w:tab w:leader="none" w:pos="113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left="1140" w:right="200" w:hanging="322"/>
        <w:spacing w:after="0" w:line="235" w:lineRule="auto"/>
        <w:tabs>
          <w:tab w:leader="none" w:pos="11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jc w:val="both"/>
        <w:ind w:left="1140" w:right="380" w:hanging="322"/>
        <w:spacing w:after="0" w:line="307" w:lineRule="auto"/>
        <w:tabs>
          <w:tab w:leader="none" w:pos="1130"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100" w:hanging="322"/>
        <w:spacing w:after="0" w:line="235" w:lineRule="auto"/>
        <w:tabs>
          <w:tab w:leader="none" w:pos="11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8"/>
          <w:szCs w:val="18"/>
          <w:color w:val="auto"/>
        </w:rPr>
      </w:pPr>
    </w:p>
    <w:p>
      <w:pPr>
        <w:ind w:left="660" w:right="20" w:hanging="328"/>
        <w:spacing w:after="0" w:line="274" w:lineRule="auto"/>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1140" w:right="620" w:hanging="322"/>
        <w:spacing w:after="0" w:line="307" w:lineRule="auto"/>
        <w:tabs>
          <w:tab w:leader="none" w:pos="1130" w:val="left"/>
        </w:tabs>
        <w:numPr>
          <w:ilvl w:val="1"/>
          <w:numId w:val="6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40" w:right="320" w:hanging="322"/>
        <w:spacing w:after="0" w:line="246" w:lineRule="auto"/>
        <w:tabs>
          <w:tab w:leader="none" w:pos="11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220" w:type="dxa"/>
            <w:vAlign w:val="bottom"/>
            <w:vMerge w:val="restart"/>
          </w:tcPr>
          <w:p>
            <w:pPr>
              <w:spacing w:after="0"/>
              <w:rPr>
                <w:sz w:val="20"/>
                <w:szCs w:val="20"/>
                <w:color w:val="auto"/>
              </w:rPr>
            </w:pPr>
            <w:r>
              <w:rPr>
                <w:rFonts w:ascii="Arial" w:cs="Arial" w:eastAsia="Arial" w:hAnsi="Arial"/>
                <w:sz w:val="18"/>
                <w:szCs w:val="18"/>
                <w:color w:val="auto"/>
              </w:rPr>
              <w:t>Date: August 2, 2022</w:t>
            </w:r>
          </w:p>
        </w:tc>
        <w:tc>
          <w:tcPr>
            <w:tcW w:w="2600" w:type="dxa"/>
            <w:vAlign w:val="bottom"/>
          </w:tcPr>
          <w:p>
            <w:pPr>
              <w:ind w:left="1680"/>
              <w:spacing w:after="0"/>
              <w:rPr>
                <w:sz w:val="20"/>
                <w:szCs w:val="20"/>
                <w:color w:val="auto"/>
              </w:rPr>
            </w:pPr>
            <w:r>
              <w:rPr>
                <w:rFonts w:ascii="Arial" w:cs="Arial" w:eastAsia="Arial" w:hAnsi="Arial"/>
                <w:sz w:val="18"/>
                <w:szCs w:val="18"/>
                <w:color w:val="auto"/>
              </w:rPr>
              <w:t>By:</w:t>
            </w:r>
          </w:p>
        </w:tc>
        <w:tc>
          <w:tcPr>
            <w:tcW w:w="5380" w:type="dxa"/>
            <w:vAlign w:val="bottom"/>
          </w:tcPr>
          <w:p>
            <w:pPr>
              <w:jc w:val="center"/>
              <w:spacing w:after="0"/>
              <w:rPr>
                <w:sz w:val="20"/>
                <w:szCs w:val="20"/>
                <w:color w:val="auto"/>
              </w:rPr>
            </w:pPr>
            <w:r>
              <w:rPr>
                <w:rFonts w:ascii="Arial" w:cs="Arial" w:eastAsia="Arial" w:hAnsi="Arial"/>
                <w:sz w:val="18"/>
                <w:szCs w:val="18"/>
                <w:color w:val="auto"/>
                <w:w w:val="89"/>
              </w:rPr>
              <w:t>/s/ Sujal Patel</w:t>
            </w:r>
          </w:p>
        </w:tc>
        <w:tc>
          <w:tcPr>
            <w:tcW w:w="0" w:type="dxa"/>
            <w:vAlign w:val="bottom"/>
          </w:tcPr>
          <w:p>
            <w:pPr>
              <w:spacing w:after="0"/>
              <w:rPr>
                <w:sz w:val="1"/>
                <w:szCs w:val="1"/>
                <w:color w:val="auto"/>
              </w:rPr>
            </w:pPr>
          </w:p>
        </w:tc>
      </w:tr>
      <w:tr>
        <w:trPr>
          <w:trHeight w:val="115"/>
        </w:trPr>
        <w:tc>
          <w:tcPr>
            <w:tcW w:w="3220" w:type="dxa"/>
            <w:vAlign w:val="bottom"/>
            <w:vMerge w:val="continue"/>
          </w:tcPr>
          <w:p>
            <w:pPr>
              <w:spacing w:after="0"/>
              <w:rPr>
                <w:sz w:val="10"/>
                <w:szCs w:val="10"/>
                <w:color w:val="auto"/>
              </w:rPr>
            </w:pPr>
          </w:p>
        </w:tc>
        <w:tc>
          <w:tcPr>
            <w:tcW w:w="2600" w:type="dxa"/>
            <w:vAlign w:val="bottom"/>
          </w:tcPr>
          <w:p>
            <w:pPr>
              <w:spacing w:after="0"/>
              <w:rPr>
                <w:sz w:val="10"/>
                <w:szCs w:val="10"/>
                <w:color w:val="auto"/>
              </w:rPr>
            </w:pPr>
          </w:p>
        </w:tc>
        <w:tc>
          <w:tcPr>
            <w:tcW w:w="5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2"/>
              </w:rPr>
              <w:t>Sujal Patel</w:t>
            </w:r>
          </w:p>
        </w:tc>
        <w:tc>
          <w:tcPr>
            <w:tcW w:w="0" w:type="dxa"/>
            <w:vAlign w:val="bottom"/>
          </w:tcPr>
          <w:p>
            <w:pPr>
              <w:spacing w:after="0"/>
              <w:rPr>
                <w:sz w:val="1"/>
                <w:szCs w:val="1"/>
                <w:color w:val="auto"/>
              </w:rPr>
            </w:pPr>
          </w:p>
        </w:tc>
      </w:tr>
      <w:tr>
        <w:trPr>
          <w:trHeight w:val="238"/>
        </w:trPr>
        <w:tc>
          <w:tcPr>
            <w:tcW w:w="32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0"/>
              </w:rPr>
              <w:t>President and Chief Executive Officer</w:t>
            </w:r>
          </w:p>
        </w:tc>
        <w:tc>
          <w:tcPr>
            <w:tcW w:w="0" w:type="dxa"/>
            <w:vAlign w:val="bottom"/>
          </w:tcPr>
          <w:p>
            <w:pPr>
              <w:spacing w:after="0"/>
              <w:rPr>
                <w:sz w:val="1"/>
                <w:szCs w:val="1"/>
                <w:color w:val="auto"/>
              </w:rPr>
            </w:pPr>
          </w:p>
        </w:tc>
      </w:tr>
      <w:tr>
        <w:trPr>
          <w:trHeight w:val="257"/>
        </w:trPr>
        <w:tc>
          <w:tcPr>
            <w:tcW w:w="32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jc w:val="center"/>
        <w:spacing w:after="0" w:line="221" w:lineRule="auto"/>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Anna Mowry, certify that:</w:t>
      </w:r>
    </w:p>
    <w:p>
      <w:pPr>
        <w:spacing w:after="0" w:line="333"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Nautilus Biotechnology, Inc.;</w:t>
      </w:r>
    </w:p>
    <w:p>
      <w:pPr>
        <w:spacing w:after="0" w:line="90" w:lineRule="exact"/>
        <w:rPr>
          <w:rFonts w:ascii="Arial" w:cs="Arial" w:eastAsia="Arial" w:hAnsi="Arial"/>
          <w:sz w:val="18"/>
          <w:szCs w:val="18"/>
          <w:color w:val="auto"/>
        </w:rPr>
      </w:pPr>
    </w:p>
    <w:p>
      <w:pPr>
        <w:jc w:val="both"/>
        <w:ind w:left="660" w:right="120" w:hanging="328"/>
        <w:spacing w:after="0" w:line="235"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Arial" w:cs="Arial" w:eastAsia="Arial" w:hAnsi="Arial"/>
          <w:sz w:val="18"/>
          <w:szCs w:val="18"/>
          <w:color w:val="auto"/>
        </w:rPr>
      </w:pPr>
    </w:p>
    <w:p>
      <w:pPr>
        <w:ind w:left="660" w:right="80" w:hanging="328"/>
        <w:spacing w:after="0" w:line="274" w:lineRule="auto"/>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ind w:left="660" w:right="320" w:hanging="328"/>
        <w:spacing w:after="0" w:line="235"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Arial" w:cs="Arial" w:eastAsia="Arial" w:hAnsi="Arial"/>
          <w:sz w:val="18"/>
          <w:szCs w:val="18"/>
          <w:color w:val="auto"/>
        </w:rPr>
      </w:pPr>
    </w:p>
    <w:p>
      <w:pPr>
        <w:ind w:left="1140" w:right="80" w:hanging="322"/>
        <w:spacing w:after="0" w:line="235" w:lineRule="auto"/>
        <w:tabs>
          <w:tab w:leader="none" w:pos="113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left="1140" w:right="200" w:hanging="322"/>
        <w:spacing w:after="0" w:line="235" w:lineRule="auto"/>
        <w:tabs>
          <w:tab w:leader="none" w:pos="11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jc w:val="both"/>
        <w:ind w:left="1140" w:right="380" w:hanging="322"/>
        <w:spacing w:after="0" w:line="307" w:lineRule="auto"/>
        <w:tabs>
          <w:tab w:leader="none" w:pos="1130" w:val="left"/>
        </w:tabs>
        <w:numPr>
          <w:ilvl w:val="1"/>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100" w:hanging="322"/>
        <w:spacing w:after="0" w:line="235" w:lineRule="auto"/>
        <w:tabs>
          <w:tab w:leader="none" w:pos="11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8"/>
          <w:szCs w:val="18"/>
          <w:color w:val="auto"/>
        </w:rPr>
      </w:pPr>
    </w:p>
    <w:p>
      <w:pPr>
        <w:ind w:left="660" w:right="20" w:hanging="328"/>
        <w:spacing w:after="0" w:line="274" w:lineRule="auto"/>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1140" w:right="620" w:hanging="322"/>
        <w:spacing w:after="0" w:line="307" w:lineRule="auto"/>
        <w:tabs>
          <w:tab w:leader="none" w:pos="1130" w:val="left"/>
        </w:tabs>
        <w:numPr>
          <w:ilvl w:val="1"/>
          <w:numId w:val="6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40" w:right="320" w:hanging="322"/>
        <w:spacing w:after="0" w:line="246" w:lineRule="auto"/>
        <w:tabs>
          <w:tab w:leader="none" w:pos="11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220" w:type="dxa"/>
            <w:vAlign w:val="bottom"/>
            <w:vMerge w:val="restart"/>
          </w:tcPr>
          <w:p>
            <w:pPr>
              <w:spacing w:after="0"/>
              <w:rPr>
                <w:sz w:val="20"/>
                <w:szCs w:val="20"/>
                <w:color w:val="auto"/>
              </w:rPr>
            </w:pPr>
            <w:r>
              <w:rPr>
                <w:rFonts w:ascii="Arial" w:cs="Arial" w:eastAsia="Arial" w:hAnsi="Arial"/>
                <w:sz w:val="18"/>
                <w:szCs w:val="18"/>
                <w:color w:val="auto"/>
              </w:rPr>
              <w:t>Date: August 2, 2022</w:t>
            </w:r>
          </w:p>
        </w:tc>
        <w:tc>
          <w:tcPr>
            <w:tcW w:w="2600" w:type="dxa"/>
            <w:vAlign w:val="bottom"/>
          </w:tcPr>
          <w:p>
            <w:pPr>
              <w:ind w:left="1680"/>
              <w:spacing w:after="0"/>
              <w:rPr>
                <w:sz w:val="20"/>
                <w:szCs w:val="20"/>
                <w:color w:val="auto"/>
              </w:rPr>
            </w:pPr>
            <w:r>
              <w:rPr>
                <w:rFonts w:ascii="Arial" w:cs="Arial" w:eastAsia="Arial" w:hAnsi="Arial"/>
                <w:sz w:val="18"/>
                <w:szCs w:val="18"/>
                <w:color w:val="auto"/>
              </w:rPr>
              <w:t>By:</w:t>
            </w:r>
          </w:p>
        </w:tc>
        <w:tc>
          <w:tcPr>
            <w:tcW w:w="5380" w:type="dxa"/>
            <w:vAlign w:val="bottom"/>
          </w:tcPr>
          <w:p>
            <w:pPr>
              <w:jc w:val="center"/>
              <w:spacing w:after="0"/>
              <w:rPr>
                <w:sz w:val="20"/>
                <w:szCs w:val="20"/>
                <w:color w:val="auto"/>
              </w:rPr>
            </w:pPr>
            <w:r>
              <w:rPr>
                <w:rFonts w:ascii="Arial" w:cs="Arial" w:eastAsia="Arial" w:hAnsi="Arial"/>
                <w:sz w:val="18"/>
                <w:szCs w:val="18"/>
                <w:color w:val="auto"/>
                <w:w w:val="95"/>
              </w:rPr>
              <w:t>/s/ Anna Mowry</w:t>
            </w:r>
          </w:p>
        </w:tc>
        <w:tc>
          <w:tcPr>
            <w:tcW w:w="0" w:type="dxa"/>
            <w:vAlign w:val="bottom"/>
          </w:tcPr>
          <w:p>
            <w:pPr>
              <w:spacing w:after="0"/>
              <w:rPr>
                <w:sz w:val="1"/>
                <w:szCs w:val="1"/>
                <w:color w:val="auto"/>
              </w:rPr>
            </w:pPr>
          </w:p>
        </w:tc>
      </w:tr>
      <w:tr>
        <w:trPr>
          <w:trHeight w:val="115"/>
        </w:trPr>
        <w:tc>
          <w:tcPr>
            <w:tcW w:w="3220" w:type="dxa"/>
            <w:vAlign w:val="bottom"/>
            <w:vMerge w:val="continue"/>
          </w:tcPr>
          <w:p>
            <w:pPr>
              <w:spacing w:after="0"/>
              <w:rPr>
                <w:sz w:val="10"/>
                <w:szCs w:val="10"/>
                <w:color w:val="auto"/>
              </w:rPr>
            </w:pPr>
          </w:p>
        </w:tc>
        <w:tc>
          <w:tcPr>
            <w:tcW w:w="2600" w:type="dxa"/>
            <w:vAlign w:val="bottom"/>
          </w:tcPr>
          <w:p>
            <w:pPr>
              <w:spacing w:after="0"/>
              <w:rPr>
                <w:sz w:val="10"/>
                <w:szCs w:val="10"/>
                <w:color w:val="auto"/>
              </w:rPr>
            </w:pPr>
          </w:p>
        </w:tc>
        <w:tc>
          <w:tcPr>
            <w:tcW w:w="5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22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5"/>
              </w:rPr>
              <w:t>Anna Mowry</w:t>
            </w:r>
          </w:p>
        </w:tc>
        <w:tc>
          <w:tcPr>
            <w:tcW w:w="0" w:type="dxa"/>
            <w:vAlign w:val="bottom"/>
          </w:tcPr>
          <w:p>
            <w:pPr>
              <w:spacing w:after="0"/>
              <w:rPr>
                <w:sz w:val="1"/>
                <w:szCs w:val="1"/>
                <w:color w:val="auto"/>
              </w:rPr>
            </w:pPr>
          </w:p>
        </w:tc>
      </w:tr>
      <w:tr>
        <w:trPr>
          <w:trHeight w:val="243"/>
        </w:trPr>
        <w:tc>
          <w:tcPr>
            <w:tcW w:w="322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c>
          <w:tcPr>
            <w:tcW w:w="0" w:type="dxa"/>
            <w:vAlign w:val="bottom"/>
          </w:tcPr>
          <w:p>
            <w:pPr>
              <w:spacing w:after="0"/>
              <w:rPr>
                <w:sz w:val="1"/>
                <w:szCs w:val="1"/>
                <w:color w:val="auto"/>
              </w:rPr>
            </w:pPr>
          </w:p>
        </w:tc>
      </w:tr>
      <w:tr>
        <w:trPr>
          <w:trHeight w:val="256"/>
        </w:trPr>
        <w:tc>
          <w:tcPr>
            <w:tcW w:w="32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Financial and Accounting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line="236" w:lineRule="auto"/>
        <w:rPr>
          <w:sz w:val="20"/>
          <w:szCs w:val="20"/>
          <w:color w:val="auto"/>
        </w:rPr>
      </w:pPr>
      <w:r>
        <w:rPr>
          <w:rFonts w:ascii="Arial" w:cs="Arial" w:eastAsia="Arial" w:hAnsi="Arial"/>
          <w:sz w:val="18"/>
          <w:szCs w:val="18"/>
          <w:b w:val="1"/>
          <w:bCs w:val="1"/>
          <w:color w:val="auto"/>
        </w:rPr>
        <w:t>CERTIFICATION OF PRINCIPAL EXECUTIVE OFFICER PURSUANT TO 18 U.S.C. SECTION 1350, AS ADOPTED PURSUANT TO SECTION 906 OF THE SARBANES-OXLEY ACT OF 2002</w:t>
      </w:r>
    </w:p>
    <w:p>
      <w:pPr>
        <w:spacing w:after="0" w:line="203"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In connection with the Quarterly Report of Nautilus Biotechnology, Inc. (the “Company”) on Form 10-Q for the period ended June 30, 2022 as filed with the Securities and Exchange Commission on the date hereof (the “Report”), I, Sujal Patel, hereby certify, pursuant to 18 U.S.C. § 1350, as adopted pursuant to § 906 of the Sarbanes-Oxley Act of 2002, that:</w:t>
      </w:r>
    </w:p>
    <w:p>
      <w:pPr>
        <w:spacing w:after="0" w:line="310"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220" w:type="dxa"/>
            <w:vAlign w:val="bottom"/>
            <w:vMerge w:val="restart"/>
          </w:tcPr>
          <w:p>
            <w:pPr>
              <w:spacing w:after="0"/>
              <w:rPr>
                <w:sz w:val="20"/>
                <w:szCs w:val="20"/>
                <w:color w:val="auto"/>
              </w:rPr>
            </w:pPr>
            <w:r>
              <w:rPr>
                <w:rFonts w:ascii="Arial" w:cs="Arial" w:eastAsia="Arial" w:hAnsi="Arial"/>
                <w:sz w:val="18"/>
                <w:szCs w:val="18"/>
                <w:color w:val="auto"/>
              </w:rPr>
              <w:t>Date: August 2, 2022</w:t>
            </w:r>
          </w:p>
        </w:tc>
        <w:tc>
          <w:tcPr>
            <w:tcW w:w="2600" w:type="dxa"/>
            <w:vAlign w:val="bottom"/>
          </w:tcPr>
          <w:p>
            <w:pPr>
              <w:ind w:left="1680"/>
              <w:spacing w:after="0"/>
              <w:rPr>
                <w:sz w:val="20"/>
                <w:szCs w:val="20"/>
                <w:color w:val="auto"/>
              </w:rPr>
            </w:pPr>
            <w:r>
              <w:rPr>
                <w:rFonts w:ascii="Arial" w:cs="Arial" w:eastAsia="Arial" w:hAnsi="Arial"/>
                <w:sz w:val="18"/>
                <w:szCs w:val="18"/>
                <w:color w:val="auto"/>
              </w:rPr>
              <w:t>By:</w:t>
            </w:r>
          </w:p>
        </w:tc>
        <w:tc>
          <w:tcPr>
            <w:tcW w:w="5380" w:type="dxa"/>
            <w:vAlign w:val="bottom"/>
          </w:tcPr>
          <w:p>
            <w:pPr>
              <w:jc w:val="center"/>
              <w:spacing w:after="0"/>
              <w:rPr>
                <w:sz w:val="20"/>
                <w:szCs w:val="20"/>
                <w:color w:val="auto"/>
              </w:rPr>
            </w:pPr>
            <w:r>
              <w:rPr>
                <w:rFonts w:ascii="Arial" w:cs="Arial" w:eastAsia="Arial" w:hAnsi="Arial"/>
                <w:sz w:val="18"/>
                <w:szCs w:val="18"/>
                <w:color w:val="auto"/>
                <w:w w:val="89"/>
              </w:rPr>
              <w:t>/s/ Sujal Patel</w:t>
            </w:r>
          </w:p>
        </w:tc>
        <w:tc>
          <w:tcPr>
            <w:tcW w:w="0" w:type="dxa"/>
            <w:vAlign w:val="bottom"/>
          </w:tcPr>
          <w:p>
            <w:pPr>
              <w:spacing w:after="0"/>
              <w:rPr>
                <w:sz w:val="1"/>
                <w:szCs w:val="1"/>
                <w:color w:val="auto"/>
              </w:rPr>
            </w:pPr>
          </w:p>
        </w:tc>
      </w:tr>
      <w:tr>
        <w:trPr>
          <w:trHeight w:val="115"/>
        </w:trPr>
        <w:tc>
          <w:tcPr>
            <w:tcW w:w="3220" w:type="dxa"/>
            <w:vAlign w:val="bottom"/>
            <w:vMerge w:val="continue"/>
          </w:tcPr>
          <w:p>
            <w:pPr>
              <w:spacing w:after="0"/>
              <w:rPr>
                <w:sz w:val="10"/>
                <w:szCs w:val="10"/>
                <w:color w:val="auto"/>
              </w:rPr>
            </w:pPr>
          </w:p>
        </w:tc>
        <w:tc>
          <w:tcPr>
            <w:tcW w:w="2600" w:type="dxa"/>
            <w:vAlign w:val="bottom"/>
          </w:tcPr>
          <w:p>
            <w:pPr>
              <w:spacing w:after="0"/>
              <w:rPr>
                <w:sz w:val="10"/>
                <w:szCs w:val="10"/>
                <w:color w:val="auto"/>
              </w:rPr>
            </w:pPr>
          </w:p>
        </w:tc>
        <w:tc>
          <w:tcPr>
            <w:tcW w:w="5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2"/>
              </w:rPr>
              <w:t>Sujal Patel</w:t>
            </w:r>
          </w:p>
        </w:tc>
        <w:tc>
          <w:tcPr>
            <w:tcW w:w="0" w:type="dxa"/>
            <w:vAlign w:val="bottom"/>
          </w:tcPr>
          <w:p>
            <w:pPr>
              <w:spacing w:after="0"/>
              <w:rPr>
                <w:sz w:val="1"/>
                <w:szCs w:val="1"/>
                <w:color w:val="auto"/>
              </w:rPr>
            </w:pPr>
          </w:p>
        </w:tc>
      </w:tr>
      <w:tr>
        <w:trPr>
          <w:trHeight w:val="238"/>
        </w:trPr>
        <w:tc>
          <w:tcPr>
            <w:tcW w:w="32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0"/>
              </w:rPr>
              <w:t>President and Chief Executive Officer</w:t>
            </w:r>
          </w:p>
        </w:tc>
        <w:tc>
          <w:tcPr>
            <w:tcW w:w="0" w:type="dxa"/>
            <w:vAlign w:val="bottom"/>
          </w:tcPr>
          <w:p>
            <w:pPr>
              <w:spacing w:after="0"/>
              <w:rPr>
                <w:sz w:val="1"/>
                <w:szCs w:val="1"/>
                <w:color w:val="auto"/>
              </w:rPr>
            </w:pPr>
          </w:p>
        </w:tc>
      </w:tr>
      <w:tr>
        <w:trPr>
          <w:trHeight w:val="257"/>
        </w:trPr>
        <w:tc>
          <w:tcPr>
            <w:tcW w:w="32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ind w:left="3340"/>
        <w:spacing w:after="0" w:line="221" w:lineRule="auto"/>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In connection with the Quarterly Report of Nautilus Biotechnology, Inc. (the “Company”) on Form 10-Q for the period ended June 30, 2022 as filed with the Securities and Exchange Commission on the date hereof (the “Report”), I, Anna Mowry, hereby certify, pursuant to 18 U.S.C. § 1350, as adopted pursuant to § 906 of the Sarbanes-Oxley Act of 2002, that:</w:t>
      </w:r>
    </w:p>
    <w:p>
      <w:pPr>
        <w:spacing w:after="0" w:line="310"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220" w:type="dxa"/>
            <w:vAlign w:val="bottom"/>
            <w:vMerge w:val="restart"/>
          </w:tcPr>
          <w:p>
            <w:pPr>
              <w:spacing w:after="0"/>
              <w:rPr>
                <w:sz w:val="20"/>
                <w:szCs w:val="20"/>
                <w:color w:val="auto"/>
              </w:rPr>
            </w:pPr>
            <w:r>
              <w:rPr>
                <w:rFonts w:ascii="Arial" w:cs="Arial" w:eastAsia="Arial" w:hAnsi="Arial"/>
                <w:sz w:val="18"/>
                <w:szCs w:val="18"/>
                <w:color w:val="auto"/>
              </w:rPr>
              <w:t>Date: August 2, 2022</w:t>
            </w:r>
          </w:p>
        </w:tc>
        <w:tc>
          <w:tcPr>
            <w:tcW w:w="2600" w:type="dxa"/>
            <w:vAlign w:val="bottom"/>
          </w:tcPr>
          <w:p>
            <w:pPr>
              <w:ind w:left="1680"/>
              <w:spacing w:after="0"/>
              <w:rPr>
                <w:sz w:val="20"/>
                <w:szCs w:val="20"/>
                <w:color w:val="auto"/>
              </w:rPr>
            </w:pPr>
            <w:r>
              <w:rPr>
                <w:rFonts w:ascii="Arial" w:cs="Arial" w:eastAsia="Arial" w:hAnsi="Arial"/>
                <w:sz w:val="18"/>
                <w:szCs w:val="18"/>
                <w:color w:val="auto"/>
              </w:rPr>
              <w:t>By:</w:t>
            </w:r>
          </w:p>
        </w:tc>
        <w:tc>
          <w:tcPr>
            <w:tcW w:w="5380" w:type="dxa"/>
            <w:vAlign w:val="bottom"/>
          </w:tcPr>
          <w:p>
            <w:pPr>
              <w:jc w:val="center"/>
              <w:spacing w:after="0"/>
              <w:rPr>
                <w:sz w:val="20"/>
                <w:szCs w:val="20"/>
                <w:color w:val="auto"/>
              </w:rPr>
            </w:pPr>
            <w:r>
              <w:rPr>
                <w:rFonts w:ascii="Arial" w:cs="Arial" w:eastAsia="Arial" w:hAnsi="Arial"/>
                <w:sz w:val="18"/>
                <w:szCs w:val="18"/>
                <w:color w:val="auto"/>
                <w:w w:val="95"/>
              </w:rPr>
              <w:t>/s/ Anna Mowry</w:t>
            </w:r>
          </w:p>
        </w:tc>
        <w:tc>
          <w:tcPr>
            <w:tcW w:w="0" w:type="dxa"/>
            <w:vAlign w:val="bottom"/>
          </w:tcPr>
          <w:p>
            <w:pPr>
              <w:spacing w:after="0"/>
              <w:rPr>
                <w:sz w:val="1"/>
                <w:szCs w:val="1"/>
                <w:color w:val="auto"/>
              </w:rPr>
            </w:pPr>
          </w:p>
        </w:tc>
      </w:tr>
      <w:tr>
        <w:trPr>
          <w:trHeight w:val="115"/>
        </w:trPr>
        <w:tc>
          <w:tcPr>
            <w:tcW w:w="3220" w:type="dxa"/>
            <w:vAlign w:val="bottom"/>
            <w:vMerge w:val="continue"/>
          </w:tcPr>
          <w:p>
            <w:pPr>
              <w:spacing w:after="0"/>
              <w:rPr>
                <w:sz w:val="10"/>
                <w:szCs w:val="10"/>
                <w:color w:val="auto"/>
              </w:rPr>
            </w:pPr>
          </w:p>
        </w:tc>
        <w:tc>
          <w:tcPr>
            <w:tcW w:w="2600" w:type="dxa"/>
            <w:vAlign w:val="bottom"/>
          </w:tcPr>
          <w:p>
            <w:pPr>
              <w:spacing w:after="0"/>
              <w:rPr>
                <w:sz w:val="10"/>
                <w:szCs w:val="10"/>
                <w:color w:val="auto"/>
              </w:rPr>
            </w:pPr>
          </w:p>
        </w:tc>
        <w:tc>
          <w:tcPr>
            <w:tcW w:w="5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22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5"/>
              </w:rPr>
              <w:t>Anna Mowry</w:t>
            </w:r>
          </w:p>
        </w:tc>
        <w:tc>
          <w:tcPr>
            <w:tcW w:w="0" w:type="dxa"/>
            <w:vAlign w:val="bottom"/>
          </w:tcPr>
          <w:p>
            <w:pPr>
              <w:spacing w:after="0"/>
              <w:rPr>
                <w:sz w:val="1"/>
                <w:szCs w:val="1"/>
                <w:color w:val="auto"/>
              </w:rPr>
            </w:pPr>
          </w:p>
        </w:tc>
      </w:tr>
      <w:tr>
        <w:trPr>
          <w:trHeight w:val="243"/>
        </w:trPr>
        <w:tc>
          <w:tcPr>
            <w:tcW w:w="322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c>
          <w:tcPr>
            <w:tcW w:w="0" w:type="dxa"/>
            <w:vAlign w:val="bottom"/>
          </w:tcPr>
          <w:p>
            <w:pPr>
              <w:spacing w:after="0"/>
              <w:rPr>
                <w:sz w:val="1"/>
                <w:szCs w:val="1"/>
                <w:color w:val="auto"/>
              </w:rPr>
            </w:pPr>
          </w:p>
        </w:tc>
      </w:tr>
      <w:tr>
        <w:trPr>
          <w:trHeight w:val="256"/>
        </w:trPr>
        <w:tc>
          <w:tcPr>
            <w:tcW w:w="32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Financial and Accounting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x"/>
      <w:numFmt w:val="bullet"/>
      <w:start w:val="1"/>
    </w:lvl>
  </w:abstractNum>
  <w:abstractNum w:abstractNumId="1">
    <w:nsid w:val="22221A70"/>
    <w:multiLevelType w:val="hybridMultilevel"/>
    <w:lvl w:ilvl="0">
      <w:lvlJc w:val="left"/>
      <w:lvlText w:val="o"/>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1)"/>
      <w:numFmt w:val="decimal"/>
      <w:start w:val="1"/>
    </w:lvl>
  </w:abstractNum>
  <w:abstractNum w:abstractNumId="4">
    <w:nsid w:val="614FD4A1"/>
    <w:multiLevelType w:val="hybridMultilevel"/>
    <w:lvl w:ilvl="0">
      <w:lvlJc w:val="left"/>
      <w:lvlText w:val="%1."/>
      <w:numFmt w:val="decimal"/>
      <w:start w:val="1"/>
    </w:lvl>
  </w:abstractNum>
  <w:abstractNum w:abstractNumId="5">
    <w:nsid w:val="419AC241"/>
    <w:multiLevelType w:val="hybridMultilevel"/>
    <w:lvl w:ilvl="0">
      <w:lvlJc w:val="left"/>
      <w:lvlText w:val="%1."/>
      <w:numFmt w:val="decimal"/>
      <w:start w:val="2"/>
    </w:lvl>
  </w:abstractNum>
  <w:abstractNum w:abstractNumId="6">
    <w:nsid w:val="5577F8E1"/>
    <w:multiLevelType w:val="hybridMultilevel"/>
    <w:lvl w:ilvl="0">
      <w:lvlJc w:val="left"/>
      <w:lvlText w:val="%1."/>
      <w:numFmt w:val="decimal"/>
      <w:start w:val="3"/>
    </w:lvl>
  </w:abstractNum>
  <w:abstractNum w:abstractNumId="7">
    <w:nsid w:val="440BADFC"/>
    <w:multiLevelType w:val="hybridMultilevel"/>
    <w:lvl w:ilvl="0">
      <w:lvlJc w:val="left"/>
      <w:lvlText w:val="%1."/>
      <w:numFmt w:val="decimal"/>
      <w:start w:val="4"/>
    </w:lvl>
  </w:abstractNum>
  <w:abstractNum w:abstractNumId="8">
    <w:nsid w:val="5072367"/>
    <w:multiLevelType w:val="hybridMultilevel"/>
    <w:lvl w:ilvl="0">
      <w:lvlJc w:val="left"/>
      <w:lvlText w:val="%1."/>
      <w:numFmt w:val="decimal"/>
      <w:start w:val="5"/>
    </w:lvl>
  </w:abstractNum>
  <w:abstractNum w:abstractNumId="9">
    <w:nsid w:val="3804823E"/>
    <w:multiLevelType w:val="hybridMultilevel"/>
    <w:lvl w:ilvl="0">
      <w:lvlJc w:val="left"/>
      <w:lvlText w:val="%1."/>
      <w:numFmt w:val="decimal"/>
      <w:start w:val="7"/>
    </w:lvl>
  </w:abstractNum>
  <w:abstractNum w:abstractNumId="10">
    <w:nsid w:val="77465F01"/>
    <w:multiLevelType w:val="hybridMultilevel"/>
    <w:lvl w:ilvl="0">
      <w:lvlJc w:val="left"/>
      <w:lvlText w:val="%1."/>
      <w:numFmt w:val="decimal"/>
      <w:start w:val="8"/>
    </w:lvl>
  </w:abstractNum>
  <w:abstractNum w:abstractNumId="11">
    <w:nsid w:val="7724C67E"/>
    <w:multiLevelType w:val="hybridMultilevel"/>
    <w:lvl w:ilvl="0">
      <w:lvlJc w:val="left"/>
      <w:lvlText w:val="%1."/>
      <w:numFmt w:val="decimal"/>
      <w:start w:val="9"/>
    </w:lvl>
  </w:abstractNum>
  <w:abstractNum w:abstractNumId="12">
    <w:nsid w:val="5C482A97"/>
    <w:multiLevelType w:val="hybridMultilevel"/>
    <w:lvl w:ilvl="0">
      <w:lvlJc w:val="left"/>
      <w:lvlText w:val="(%1)"/>
      <w:numFmt w:val="lowerRoman"/>
      <w:start w:val="3"/>
    </w:lvl>
  </w:abstractNum>
  <w:abstractNum w:abstractNumId="13">
    <w:nsid w:val="2463B9EA"/>
    <w:multiLevelType w:val="hybridMultilevel"/>
    <w:lvl w:ilvl="0">
      <w:lvlJc w:val="left"/>
      <w:lvlText w:val="%1."/>
      <w:numFmt w:val="decimal"/>
      <w:start w:val="10"/>
    </w:lvl>
  </w:abstractNum>
  <w:abstractNum w:abstractNumId="14">
    <w:nsid w:val="5E884ADC"/>
    <w:multiLevelType w:val="hybridMultilevel"/>
    <w:lvl w:ilvl="0">
      <w:lvlJc w:val="left"/>
      <w:lvlText w:val="%1."/>
      <w:numFmt w:val="decimal"/>
      <w:start w:val="1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
      <w:numFmt w:val="bullet"/>
      <w:start w:val="1"/>
    </w:lvl>
  </w:abstractNum>
  <w:abstractNum w:abstractNumId="36">
    <w:nsid w:val="749ABB43"/>
    <w:multiLevelType w:val="hybridMultilevel"/>
    <w:lvl w:ilvl="0">
      <w:lvlJc w:val="left"/>
      <w:lvlText w:val="•"/>
      <w:numFmt w:val="bullet"/>
      <w:start w:val="1"/>
    </w:lvl>
  </w:abstractNum>
  <w:abstractNum w:abstractNumId="37">
    <w:nsid w:val="3DC240FB"/>
    <w:multiLevelType w:val="hybridMultilevel"/>
    <w:lvl w:ilvl="0">
      <w:lvlJc w:val="left"/>
      <w:lvlText w:val="•"/>
      <w:numFmt w:val="bullet"/>
      <w:start w:val="1"/>
    </w:lvl>
  </w:abstractNum>
  <w:abstractNum w:abstractNumId="38">
    <w:nsid w:val="1BA026FA"/>
    <w:multiLevelType w:val="hybridMultilevel"/>
    <w:lvl w:ilvl="0">
      <w:lvlJc w:val="left"/>
      <w:lvlText w:val="•"/>
      <w:numFmt w:val="bullet"/>
      <w:start w:val="1"/>
    </w:lvl>
  </w:abstractNum>
  <w:abstractNum w:abstractNumId="39">
    <w:nsid w:val="79A1DEAA"/>
    <w:multiLevelType w:val="hybridMultilevel"/>
    <w:lvl w:ilvl="0">
      <w:lvlJc w:val="left"/>
      <w:lvlText w:val="•"/>
      <w:numFmt w:val="bullet"/>
      <w:start w:val="1"/>
    </w:lvl>
  </w:abstractNum>
  <w:abstractNum w:abstractNumId="40">
    <w:nsid w:val="75C6C33A"/>
    <w:multiLevelType w:val="hybridMultilevel"/>
    <w:lvl w:ilvl="0">
      <w:lvlJc w:val="left"/>
      <w:lvlText w:val="•"/>
      <w:numFmt w:val="bullet"/>
      <w:start w:val="1"/>
    </w:lvl>
  </w:abstractNum>
  <w:abstractNum w:abstractNumId="41">
    <w:nsid w:val="12E685FB"/>
    <w:multiLevelType w:val="hybridMultilevel"/>
    <w:lvl w:ilvl="0">
      <w:lvlJc w:val="left"/>
      <w:lvlText w:val="•"/>
      <w:numFmt w:val="bullet"/>
      <w:start w:val="1"/>
    </w:lvl>
  </w:abstractNum>
  <w:abstractNum w:abstractNumId="42">
    <w:nsid w:val="70C6A529"/>
    <w:multiLevelType w:val="hybridMultilevel"/>
    <w:lvl w:ilvl="0">
      <w:lvlJc w:val="left"/>
      <w:lvlText w:val="•"/>
      <w:numFmt w:val="bullet"/>
      <w:start w:val="1"/>
    </w:lvl>
  </w:abstractNum>
  <w:abstractNum w:abstractNumId="43">
    <w:nsid w:val="520EEDD1"/>
    <w:multiLevelType w:val="hybridMultilevel"/>
    <w:lvl w:ilvl="0">
      <w:lvlJc w:val="left"/>
      <w:lvlText w:val="•"/>
      <w:numFmt w:val="bullet"/>
      <w:start w:val="1"/>
    </w:lvl>
  </w:abstractNum>
  <w:abstractNum w:abstractNumId="44">
    <w:nsid w:val="374A3FE6"/>
    <w:multiLevelType w:val="hybridMultilevel"/>
    <w:lvl w:ilvl="0">
      <w:lvlJc w:val="left"/>
      <w:lvlText w:val="•"/>
      <w:numFmt w:val="bullet"/>
      <w:start w:val="1"/>
    </w:lvl>
  </w:abstractNum>
  <w:abstractNum w:abstractNumId="45">
    <w:nsid w:val="4F4EF005"/>
    <w:multiLevelType w:val="hybridMultilevel"/>
    <w:lvl w:ilvl="0">
      <w:lvlJc w:val="left"/>
      <w:lvlText w:val="•"/>
      <w:numFmt w:val="bullet"/>
      <w:start w:val="1"/>
    </w:lvl>
  </w:abstractNum>
  <w:abstractNum w:abstractNumId="46">
    <w:nsid w:val="23F9C13C"/>
    <w:multiLevelType w:val="hybridMultilevel"/>
    <w:lvl w:ilvl="0">
      <w:lvlJc w:val="left"/>
      <w:lvlText w:val="%1"/>
      <w:numFmt w:val="decimal"/>
      <w:start w:val="104"/>
    </w:lvl>
  </w:abstractNum>
  <w:abstractNum w:abstractNumId="47">
    <w:nsid w:val="649BB77C"/>
    <w:multiLevelType w:val="hybridMultilevel"/>
    <w:lvl w:ilvl="0">
      <w:lvlJc w:val="left"/>
      <w:lvlText w:val="†"/>
      <w:numFmt w:val="bullet"/>
      <w:start w:val="1"/>
    </w:lvl>
  </w:abstractNum>
  <w:abstractNum w:abstractNumId="48">
    <w:nsid w:val="275AC794"/>
    <w:multiLevelType w:val="hybridMultilevel"/>
    <w:lvl w:ilvl="0">
      <w:lvlJc w:val="left"/>
      <w:lvlText w:val="%1."/>
      <w:numFmt w:val="decimal"/>
      <w:start w:val="1"/>
    </w:lvl>
  </w:abstractNum>
  <w:abstractNum w:abstractNumId="49">
    <w:nsid w:val="39386575"/>
    <w:multiLevelType w:val="hybridMultilevel"/>
    <w:lvl w:ilvl="0">
      <w:lvlJc w:val="left"/>
      <w:lvlText w:val="%1."/>
      <w:numFmt w:val="decimal"/>
      <w:start w:val="6"/>
    </w:lvl>
  </w:abstractNum>
  <w:abstractNum w:abstractNumId="50">
    <w:nsid w:val="1CF10FD8"/>
    <w:multiLevelType w:val="hybridMultilevel"/>
    <w:lvl w:ilvl="0">
      <w:lvlJc w:val="left"/>
      <w:lvlText w:val="%1."/>
      <w:numFmt w:val="decimal"/>
      <w:start w:val="10"/>
    </w:lvl>
  </w:abstractNum>
  <w:abstractNum w:abstractNumId="51">
    <w:nsid w:val="180115BE"/>
    <w:multiLevelType w:val="hybridMultilevel"/>
    <w:lvl w:ilvl="0">
      <w:lvlJc w:val="left"/>
      <w:lvlText w:val="%1."/>
      <w:numFmt w:val="decimal"/>
      <w:start w:val="1"/>
    </w:lvl>
  </w:abstractNum>
  <w:abstractNum w:abstractNumId="52">
    <w:nsid w:val="235BA861"/>
    <w:multiLevelType w:val="hybridMultilevel"/>
    <w:lvl w:ilvl="0">
      <w:lvlJc w:val="left"/>
      <w:lvlText w:val="%1."/>
      <w:numFmt w:val="decimal"/>
      <w:start w:val="4"/>
    </w:lvl>
  </w:abstractNum>
  <w:abstractNum w:abstractNumId="53">
    <w:nsid w:val="47398C89"/>
    <w:multiLevelType w:val="hybridMultilevel"/>
    <w:lvl w:ilvl="0">
      <w:lvlJc w:val="left"/>
      <w:lvlText w:val="%1."/>
      <w:numFmt w:val="decimal"/>
      <w:start w:val="6"/>
    </w:lvl>
  </w:abstractNum>
  <w:abstractNum w:abstractNumId="54">
    <w:nsid w:val="354FE9F9"/>
    <w:multiLevelType w:val="hybridMultilevel"/>
    <w:lvl w:ilvl="0">
      <w:lvlJc w:val="left"/>
      <w:lvlText w:val="(%1)"/>
      <w:numFmt w:val="lowerLetter"/>
      <w:start w:val="1"/>
    </w:lvl>
  </w:abstractNum>
  <w:abstractNum w:abstractNumId="55">
    <w:nsid w:val="15B5AF5C"/>
    <w:multiLevelType w:val="hybridMultilevel"/>
    <w:lvl w:ilvl="0">
      <w:lvlJc w:val="left"/>
      <w:lvlText w:val="%1."/>
      <w:numFmt w:val="decimal"/>
      <w:start w:val="7"/>
    </w:lvl>
  </w:abstractNum>
  <w:abstractNum w:abstractNumId="56">
    <w:nsid w:val="741226BB"/>
    <w:multiLevelType w:val="hybridMultilevel"/>
    <w:lvl w:ilvl="0">
      <w:lvlJc w:val="left"/>
      <w:lvlText w:val="%1."/>
      <w:numFmt w:val="decimal"/>
      <w:start w:val="8"/>
    </w:lvl>
  </w:abstractNum>
  <w:abstractNum w:abstractNumId="57">
    <w:nsid w:val="D34B6A8"/>
    <w:multiLevelType w:val="hybridMultilevel"/>
    <w:lvl w:ilvl="0">
      <w:lvlJc w:val="left"/>
      <w:lvlText w:val="%1."/>
      <w:numFmt w:val="decimal"/>
      <w:start w:val="9"/>
    </w:lvl>
  </w:abstractNum>
  <w:abstractNum w:abstractNumId="58">
    <w:nsid w:val="10233C99"/>
    <w:multiLevelType w:val="hybridMultilevel"/>
    <w:lvl w:ilvl="0">
      <w:lvlJc w:val="left"/>
      <w:lvlText w:val="%1."/>
      <w:numFmt w:val="decimal"/>
      <w:start w:val="10"/>
    </w:lvl>
  </w:abstractNum>
  <w:abstractNum w:abstractNumId="59">
    <w:nsid w:val="3F6AB60F"/>
    <w:multiLevelType w:val="hybridMultilevel"/>
    <w:lvl w:ilvl="0">
      <w:lvlJc w:val="left"/>
      <w:lvlText w:val="%1."/>
      <w:numFmt w:val="decimal"/>
      <w:start w:val="1"/>
    </w:lvl>
    <w:lvl w:ilvl="1">
      <w:lvlJc w:val="left"/>
      <w:lvlText w:val="%2."/>
      <w:numFmt w:val="lowerLetter"/>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2022-08-02T15:16:22Z</dcterms:created>
  <dcterms:modified xsi:type="dcterms:W3CDTF">2022-08-02T15:16:22Z</dcterms:modified>
</cp:coreProperties>
</file>