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ind w:right="40"/>
        <w:spacing w:after="0"/>
        <w:rPr>
          <w:sz w:val="20"/>
          <w:szCs w:val="20"/>
          <w:color w:val="auto"/>
        </w:rPr>
      </w:pPr>
      <w:r>
        <w:rPr>
          <w:rFonts w:ascii="Arial" w:cs="Arial" w:eastAsia="Arial" w:hAnsi="Arial"/>
          <w:sz w:val="34"/>
          <w:szCs w:val="34"/>
          <w:b w:val="1"/>
          <w:bCs w:val="1"/>
          <w:color w:val="F48353"/>
        </w:rPr>
        <w:t>2023 ANNUAL REPORT</w:t>
      </w:r>
    </w:p>
    <w:p>
      <w:pPr>
        <w:sectPr>
          <w:pgSz w:w="12240" w:h="15840" w:orient="portrait"/>
          <w:cols w:equalWidth="0" w:num="1">
            <w:col w:w="9360"/>
          </w:cols>
          <w:pgMar w:left="1440" w:top="1440" w:right="1440" w:bottom="1440" w:gutter="0" w:footer="0" w:header="0"/>
        </w:sectPr>
      </w:pPr>
    </w:p>
    <w:bookmarkStart w:id="1" w:name="page2"/>
    <w:bookmarkEnd w:id="1"/>
    <w:p>
      <w:pPr>
        <w:jc w:val="center"/>
        <w:spacing w:after="0"/>
        <w:rPr>
          <w:sz w:val="20"/>
          <w:szCs w:val="20"/>
          <w:color w:val="auto"/>
        </w:rPr>
      </w:pPr>
    </w:p>
    <w:p>
      <w:pPr>
        <w:sectPr>
          <w:pgSz w:w="12240" w:h="15840"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4"/>
          <w:szCs w:val="24"/>
          <w:b w:val="1"/>
          <w:bCs w:val="1"/>
          <w:color w:val="auto"/>
        </w:rPr>
        <mc:AlternateContent>
          <mc:Choice Requires="wps">
            <w:drawing>
              <wp:anchor simplePos="0" relativeHeight="251657728" behindDoc="1" locked="0" layoutInCell="0" allowOverlap="1">
                <wp:simplePos x="0" y="0"/>
                <wp:positionH relativeFrom="page">
                  <wp:posOffset>514350</wp:posOffset>
                </wp:positionH>
                <wp:positionV relativeFrom="page">
                  <wp:posOffset>609600</wp:posOffset>
                </wp:positionV>
                <wp:extent cx="664845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4845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0.5pt,48pt" to="564pt,48pt" o:allowincell="f" strokecolor="#000000" strokeweight="2pt">
                <w10:wrap anchorx="page" anchory="page"/>
              </v:line>
            </w:pict>
          </mc:Fallback>
        </mc:AlternateContent>
        <w:t>UNITED STATES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w:t>
      </w: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0" w:lineRule="exact"/>
        <w:rPr>
          <w:sz w:val="20"/>
          <w:szCs w:val="20"/>
          <w:color w:val="auto"/>
        </w:rPr>
      </w:pPr>
    </w:p>
    <w:p>
      <w:pPr>
        <w:spacing w:after="0" w:line="326" w:lineRule="exact"/>
        <w:rPr>
          <w:sz w:val="20"/>
          <w:szCs w:val="20"/>
          <w:color w:val="auto"/>
        </w:rPr>
      </w:pPr>
    </w:p>
    <w:p>
      <w:pPr>
        <w:ind w:left="560" w:right="540" w:hanging="517"/>
        <w:spacing w:after="0" w:line="286" w:lineRule="auto"/>
        <w:tabs>
          <w:tab w:leader="none" w:pos="560" w:val="left"/>
        </w:tabs>
        <w:numPr>
          <w:ilvl w:val="0"/>
          <w:numId w:val="1"/>
        </w:numPr>
        <w:rPr>
          <w:rFonts w:ascii="MS PGothic" w:cs="MS PGothic" w:eastAsia="MS PGothic" w:hAnsi="MS PGothic"/>
          <w:sz w:val="20"/>
          <w:szCs w:val="20"/>
          <w:b w:val="1"/>
          <w:bCs w:val="1"/>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fiscal year ended December 31, 2023</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187" w:lineRule="exact"/>
        <w:rPr>
          <w:sz w:val="20"/>
          <w:szCs w:val="20"/>
          <w:color w:val="auto"/>
        </w:rPr>
      </w:pPr>
    </w:p>
    <w:p>
      <w:pPr>
        <w:ind w:left="560" w:right="460" w:hanging="517"/>
        <w:spacing w:after="0" w:line="286" w:lineRule="auto"/>
        <w:tabs>
          <w:tab w:leader="none" w:pos="560" w:val="left"/>
        </w:tabs>
        <w:numPr>
          <w:ilvl w:val="0"/>
          <w:numId w:val="2"/>
        </w:numPr>
        <w:rPr>
          <w:rFonts w:ascii="MS PGothic" w:cs="MS PGothic" w:eastAsia="MS PGothic" w:hAnsi="MS PGothic"/>
          <w:sz w:val="20"/>
          <w:szCs w:val="20"/>
          <w:b w:val="1"/>
          <w:bCs w:val="1"/>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2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0"/>
          <w:szCs w:val="20"/>
          <w:color w:val="auto"/>
        </w:rPr>
        <w:t>For the transition period from ___________ to ___________</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Commission file number 001-39434</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NAUTILUS BIOTECHNOLOGY, INC.</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71" w:lineRule="exact"/>
        <w:rPr>
          <w:sz w:val="20"/>
          <w:szCs w:val="20"/>
          <w:color w:val="auto"/>
        </w:rPr>
      </w:pPr>
    </w:p>
    <w:tbl>
      <w:tblPr>
        <w:tblLayout w:type="fixed"/>
        <w:tblInd w:w="80" w:type="dxa"/>
        <w:tblCellMar>
          <w:top w:w="0" w:type="dxa"/>
          <w:left w:w="0" w:type="dxa"/>
          <w:bottom w:w="0" w:type="dxa"/>
          <w:right w:w="0" w:type="dxa"/>
        </w:tblCellMar>
      </w:tblPr>
      <w:tr>
        <w:trPr>
          <w:trHeight w:val="211"/>
        </w:trPr>
        <w:tc>
          <w:tcPr>
            <w:tcW w:w="5160" w:type="dxa"/>
            <w:vAlign w:val="bottom"/>
          </w:tcPr>
          <w:p>
            <w:pPr>
              <w:jc w:val="center"/>
              <w:ind w:right="126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660" w:type="dxa"/>
            <w:vAlign w:val="bottom"/>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98-1541723</w:t>
            </w:r>
          </w:p>
        </w:tc>
      </w:tr>
      <w:tr>
        <w:trPr>
          <w:trHeight w:val="240"/>
        </w:trPr>
        <w:tc>
          <w:tcPr>
            <w:tcW w:w="5160" w:type="dxa"/>
            <w:vAlign w:val="bottom"/>
          </w:tcPr>
          <w:p>
            <w:pPr>
              <w:jc w:val="center"/>
              <w:ind w:right="1260"/>
              <w:spacing w:after="0"/>
              <w:rPr>
                <w:sz w:val="20"/>
                <w:szCs w:val="20"/>
                <w:color w:val="auto"/>
              </w:rPr>
            </w:pPr>
            <w:r>
              <w:rPr>
                <w:rFonts w:ascii="Times New Roman" w:cs="Times New Roman" w:eastAsia="Times New Roman" w:hAnsi="Times New Roman"/>
                <w:sz w:val="16"/>
                <w:szCs w:val="16"/>
                <w:color w:val="auto"/>
                <w:w w:val="99"/>
              </w:rPr>
              <w:t>(State or other jurisdiction of incorporation or organization)</w:t>
            </w:r>
          </w:p>
        </w:tc>
        <w:tc>
          <w:tcPr>
            <w:tcW w:w="3660" w:type="dxa"/>
            <w:vAlign w:val="bottom"/>
          </w:tcPr>
          <w:p>
            <w:pPr>
              <w:jc w:val="center"/>
              <w:ind w:left="1260"/>
              <w:spacing w:after="0"/>
              <w:rPr>
                <w:sz w:val="20"/>
                <w:szCs w:val="20"/>
                <w:color w:val="auto"/>
              </w:rPr>
            </w:pPr>
            <w:r>
              <w:rPr>
                <w:rFonts w:ascii="Times New Roman" w:cs="Times New Roman" w:eastAsia="Times New Roman" w:hAnsi="Times New Roman"/>
                <w:sz w:val="16"/>
                <w:szCs w:val="16"/>
                <w:color w:val="auto"/>
                <w:w w:val="99"/>
              </w:rPr>
              <w:t>(I.R.S. Employer Identification No.)</w:t>
            </w:r>
          </w:p>
        </w:tc>
      </w:tr>
      <w:tr>
        <w:trPr>
          <w:trHeight w:val="315"/>
        </w:trPr>
        <w:tc>
          <w:tcPr>
            <w:tcW w:w="5160" w:type="dxa"/>
            <w:vAlign w:val="bottom"/>
          </w:tcPr>
          <w:p>
            <w:pPr>
              <w:jc w:val="center"/>
              <w:ind w:right="1260"/>
              <w:spacing w:after="0"/>
              <w:rPr>
                <w:sz w:val="20"/>
                <w:szCs w:val="20"/>
                <w:color w:val="auto"/>
              </w:rPr>
            </w:pPr>
            <w:r>
              <w:rPr>
                <w:rFonts w:ascii="Times New Roman" w:cs="Times New Roman" w:eastAsia="Times New Roman" w:hAnsi="Times New Roman"/>
                <w:sz w:val="16"/>
                <w:szCs w:val="16"/>
                <w:b w:val="1"/>
                <w:bCs w:val="1"/>
                <w:color w:val="auto"/>
              </w:rPr>
              <w:t>2701 Eastlake Avenue East Seattle, Washington</w:t>
            </w:r>
          </w:p>
        </w:tc>
        <w:tc>
          <w:tcPr>
            <w:tcW w:w="3660" w:type="dxa"/>
            <w:vAlign w:val="bottom"/>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98102</w:t>
            </w:r>
          </w:p>
        </w:tc>
      </w:tr>
      <w:tr>
        <w:trPr>
          <w:trHeight w:val="240"/>
        </w:trPr>
        <w:tc>
          <w:tcPr>
            <w:tcW w:w="5160" w:type="dxa"/>
            <w:vAlign w:val="bottom"/>
          </w:tcPr>
          <w:p>
            <w:pPr>
              <w:jc w:val="center"/>
              <w:ind w:right="126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660" w:type="dxa"/>
            <w:vAlign w:val="bottom"/>
          </w:tcPr>
          <w:p>
            <w:pPr>
              <w:jc w:val="center"/>
              <w:ind w:left="1280"/>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18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(206) 333-2001</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60" w:lineRule="exact"/>
        <w:rPr>
          <w:sz w:val="20"/>
          <w:szCs w:val="20"/>
          <w:color w:val="auto"/>
        </w:rPr>
      </w:pPr>
    </w:p>
    <w:p>
      <w:pPr>
        <w:ind w:left="1220"/>
        <w:spacing w:after="0"/>
        <w:tabs>
          <w:tab w:leader="none" w:pos="4080" w:val="left"/>
          <w:tab w:leader="none" w:pos="6600" w:val="left"/>
        </w:tabs>
        <w:rPr>
          <w:sz w:val="20"/>
          <w:szCs w:val="20"/>
          <w:color w:val="auto"/>
        </w:rPr>
      </w:pPr>
      <w:r>
        <w:rPr>
          <w:rFonts w:ascii="Times New Roman" w:cs="Times New Roman" w:eastAsia="Times New Roman" w:hAnsi="Times New Roman"/>
          <w:sz w:val="16"/>
          <w:szCs w:val="16"/>
          <w:color w:val="auto"/>
        </w:rPr>
        <w:t>Title of each class</w:t>
      </w:r>
      <w:r>
        <w:rPr>
          <w:sz w:val="20"/>
          <w:szCs w:val="20"/>
          <w:color w:val="auto"/>
        </w:rPr>
        <w:tab/>
      </w:r>
      <w:r>
        <w:rPr>
          <w:rFonts w:ascii="Times New Roman" w:cs="Times New Roman" w:eastAsia="Times New Roman" w:hAnsi="Times New Roman"/>
          <w:sz w:val="16"/>
          <w:szCs w:val="16"/>
          <w:color w:val="auto"/>
        </w:rPr>
        <w:t>Trading Symbol(s)</w:t>
      </w:r>
      <w:r>
        <w:rPr>
          <w:sz w:val="20"/>
          <w:szCs w:val="20"/>
          <w:color w:val="auto"/>
        </w:rPr>
        <w:tab/>
      </w:r>
      <w:r>
        <w:rPr>
          <w:rFonts w:ascii="Times New Roman" w:cs="Times New Roman" w:eastAsia="Times New Roman" w:hAnsi="Times New Roman"/>
          <w:sz w:val="16"/>
          <w:szCs w:val="16"/>
          <w:color w:val="auto"/>
        </w:rPr>
        <w:t>Name of each exchange on which registered</w:t>
      </w:r>
    </w:p>
    <w:p>
      <w:pPr>
        <w:spacing w:after="0" w:line="47" w:lineRule="exact"/>
        <w:rPr>
          <w:sz w:val="20"/>
          <w:szCs w:val="20"/>
          <w:color w:val="auto"/>
        </w:rPr>
      </w:pPr>
    </w:p>
    <w:p>
      <w:pPr>
        <w:ind w:left="280"/>
        <w:spacing w:after="0"/>
        <w:tabs>
          <w:tab w:leader="none" w:pos="4460" w:val="left"/>
          <w:tab w:leader="none" w:pos="6940" w:val="left"/>
        </w:tabs>
        <w:rPr>
          <w:sz w:val="20"/>
          <w:szCs w:val="20"/>
          <w:color w:val="auto"/>
        </w:rPr>
      </w:pPr>
      <w:r>
        <w:rPr>
          <w:rFonts w:ascii="Times New Roman" w:cs="Times New Roman" w:eastAsia="Times New Roman" w:hAnsi="Times New Roman"/>
          <w:sz w:val="16"/>
          <w:szCs w:val="16"/>
          <w:b w:val="1"/>
          <w:bCs w:val="1"/>
          <w:color w:val="auto"/>
        </w:rPr>
        <w:t>Common Stock, par value $0.0001 per share</w:t>
      </w:r>
      <w:r>
        <w:rPr>
          <w:sz w:val="20"/>
          <w:szCs w:val="20"/>
          <w:color w:val="auto"/>
        </w:rPr>
        <w:tab/>
      </w:r>
      <w:r>
        <w:rPr>
          <w:rFonts w:ascii="Times New Roman" w:cs="Times New Roman" w:eastAsia="Times New Roman" w:hAnsi="Times New Roman"/>
          <w:sz w:val="16"/>
          <w:szCs w:val="16"/>
          <w:b w:val="1"/>
          <w:bCs w:val="1"/>
          <w:color w:val="auto"/>
        </w:rPr>
        <w:t>NAUT</w:t>
      </w:r>
      <w:r>
        <w:rPr>
          <w:sz w:val="20"/>
          <w:szCs w:val="20"/>
          <w:color w:val="auto"/>
        </w:rPr>
        <w:tab/>
      </w:r>
      <w:r>
        <w:rPr>
          <w:rFonts w:ascii="Times New Roman" w:cs="Times New Roman" w:eastAsia="Times New Roman" w:hAnsi="Times New Roman"/>
          <w:sz w:val="15"/>
          <w:szCs w:val="15"/>
          <w:b w:val="1"/>
          <w:bCs w:val="1"/>
          <w:color w:val="auto"/>
        </w:rPr>
        <w:t>The Nasdaq Stock Market LLC</w:t>
      </w:r>
    </w:p>
    <w:p>
      <w:pPr>
        <w:spacing w:after="0" w:line="2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180" w:lineRule="exact"/>
        <w:rPr>
          <w:sz w:val="20"/>
          <w:szCs w:val="20"/>
          <w:color w:val="auto"/>
        </w:rPr>
      </w:pPr>
    </w:p>
    <w:p>
      <w:pPr>
        <w:ind w:left="360" w:right="360"/>
        <w:spacing w:after="0" w:line="330"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color w:val="auto"/>
        </w:rPr>
        <w:t xml:space="preserve"> Indicate by check mark if the registrant is not required to file reports pursuant to Section 13 or Section 15(d) of the Act. Yes </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b w:val="1"/>
          <w:bCs w:val="1"/>
          <w:color w:val="auto"/>
        </w:rPr>
        <w:t>☒</w:t>
      </w:r>
    </w:p>
    <w:p>
      <w:pPr>
        <w:spacing w:after="0" w:line="147" w:lineRule="exact"/>
        <w:rPr>
          <w:sz w:val="20"/>
          <w:szCs w:val="20"/>
          <w:color w:val="auto"/>
        </w:rPr>
      </w:pPr>
    </w:p>
    <w:p>
      <w:pPr>
        <w:ind w:right="40" w:firstLine="360"/>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color w:val="auto"/>
        </w:rPr>
        <w:t xml:space="preserve"> No</w:t>
      </w:r>
    </w:p>
    <w:p>
      <w:pPr>
        <w:spacing w:after="0" w:line="148" w:lineRule="exact"/>
        <w:rPr>
          <w:sz w:val="20"/>
          <w:szCs w:val="20"/>
          <w:color w:val="auto"/>
        </w:rPr>
      </w:pPr>
    </w:p>
    <w:p>
      <w:pPr>
        <w:ind w:right="80" w:firstLine="360"/>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color w:val="auto"/>
        </w:rPr>
        <w:t xml:space="preserve"> No</w:t>
      </w:r>
    </w:p>
    <w:p>
      <w:pPr>
        <w:spacing w:after="0" w:line="148"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9"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340" w:type="dxa"/>
            <w:vAlign w:val="bottom"/>
          </w:tcPr>
          <w:p>
            <w:pPr>
              <w:ind w:left="640"/>
              <w:spacing w:after="0" w:line="161" w:lineRule="exact"/>
              <w:rPr>
                <w:sz w:val="20"/>
                <w:szCs w:val="20"/>
                <w:color w:val="auto"/>
              </w:rPr>
            </w:pPr>
            <w:r>
              <w:rPr>
                <w:rFonts w:ascii="MS PGothic" w:cs="MS PGothic" w:eastAsia="MS PGothic" w:hAnsi="MS PGothic"/>
                <w:sz w:val="16"/>
                <w:szCs w:val="16"/>
                <w:b w:val="1"/>
                <w:bCs w:val="1"/>
                <w:color w:val="auto"/>
              </w:rPr>
              <w:t>☐</w:t>
            </w:r>
          </w:p>
        </w:tc>
        <w:tc>
          <w:tcPr>
            <w:tcW w:w="30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Accelerated filer</w:t>
            </w:r>
          </w:p>
        </w:tc>
        <w:tc>
          <w:tcPr>
            <w:tcW w:w="860" w:type="dxa"/>
            <w:vAlign w:val="bottom"/>
          </w:tcPr>
          <w:p>
            <w:pPr>
              <w:ind w:left="740"/>
              <w:spacing w:after="0" w:line="141" w:lineRule="exact"/>
              <w:rPr>
                <w:sz w:val="20"/>
                <w:szCs w:val="20"/>
                <w:color w:val="auto"/>
              </w:rPr>
            </w:pPr>
            <w:r>
              <w:rPr>
                <w:rFonts w:ascii="MS PGothic" w:cs="MS PGothic" w:eastAsia="MS PGothic" w:hAnsi="MS PGothic"/>
                <w:sz w:val="14"/>
                <w:szCs w:val="14"/>
                <w:b w:val="1"/>
                <w:bCs w:val="1"/>
                <w:color w:val="auto"/>
                <w:w w:val="71"/>
              </w:rPr>
              <w:t>☐</w:t>
            </w:r>
          </w:p>
        </w:tc>
      </w:tr>
      <w:tr>
        <w:trPr>
          <w:trHeight w:val="240"/>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340" w:type="dxa"/>
            <w:vAlign w:val="bottom"/>
          </w:tcPr>
          <w:p>
            <w:pPr>
              <w:ind w:left="640"/>
              <w:spacing w:after="0" w:line="161" w:lineRule="exact"/>
              <w:rPr>
                <w:sz w:val="20"/>
                <w:szCs w:val="20"/>
                <w:color w:val="auto"/>
              </w:rPr>
            </w:pPr>
            <w:r>
              <w:rPr>
                <w:rFonts w:ascii="MS PGothic" w:cs="MS PGothic" w:eastAsia="MS PGothic" w:hAnsi="MS PGothic"/>
                <w:sz w:val="16"/>
                <w:szCs w:val="16"/>
                <w:b w:val="1"/>
                <w:bCs w:val="1"/>
                <w:color w:val="auto"/>
              </w:rPr>
              <w:t>☒</w:t>
            </w:r>
          </w:p>
        </w:tc>
        <w:tc>
          <w:tcPr>
            <w:tcW w:w="30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60" w:type="dxa"/>
            <w:vAlign w:val="bottom"/>
          </w:tcPr>
          <w:p>
            <w:pPr>
              <w:ind w:left="740"/>
              <w:spacing w:after="0" w:line="141" w:lineRule="exact"/>
              <w:rPr>
                <w:sz w:val="20"/>
                <w:szCs w:val="20"/>
                <w:color w:val="auto"/>
              </w:rPr>
            </w:pPr>
            <w:r>
              <w:rPr>
                <w:rFonts w:ascii="MS PGothic" w:cs="MS PGothic" w:eastAsia="MS PGothic" w:hAnsi="MS PGothic"/>
                <w:sz w:val="14"/>
                <w:szCs w:val="14"/>
                <w:b w:val="1"/>
                <w:bCs w:val="1"/>
                <w:color w:val="auto"/>
                <w:w w:val="71"/>
              </w:rPr>
              <w:t>☒</w:t>
            </w:r>
          </w:p>
        </w:tc>
      </w:tr>
      <w:tr>
        <w:trPr>
          <w:trHeight w:val="240"/>
        </w:trPr>
        <w:tc>
          <w:tcPr>
            <w:tcW w:w="2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Emerging growth company</w:t>
            </w:r>
          </w:p>
        </w:tc>
        <w:tc>
          <w:tcPr>
            <w:tcW w:w="860" w:type="dxa"/>
            <w:vAlign w:val="bottom"/>
          </w:tcPr>
          <w:p>
            <w:pPr>
              <w:ind w:left="740"/>
              <w:spacing w:after="0" w:line="141" w:lineRule="exact"/>
              <w:rPr>
                <w:sz w:val="20"/>
                <w:szCs w:val="20"/>
                <w:color w:val="auto"/>
              </w:rPr>
            </w:pPr>
            <w:r>
              <w:rPr>
                <w:rFonts w:ascii="MS PGothic" w:cs="MS PGothic" w:eastAsia="MS PGothic" w:hAnsi="MS PGothic"/>
                <w:sz w:val="14"/>
                <w:szCs w:val="14"/>
                <w:b w:val="1"/>
                <w:bCs w:val="1"/>
                <w:color w:val="auto"/>
                <w:w w:val="71"/>
              </w:rPr>
              <w:t>☒</w:t>
            </w:r>
          </w:p>
        </w:tc>
      </w:tr>
    </w:tbl>
    <w:p>
      <w:pPr>
        <w:spacing w:after="0" w:line="167" w:lineRule="exact"/>
        <w:rPr>
          <w:sz w:val="20"/>
          <w:szCs w:val="20"/>
          <w:color w:val="auto"/>
        </w:rPr>
      </w:pPr>
    </w:p>
    <w:p>
      <w:pPr>
        <w:sectPr>
          <w:pgSz w:w="12240" w:h="15840" w:orient="portrait"/>
          <w:cols w:equalWidth="0" w:num="1">
            <w:col w:w="10420"/>
          </w:cols>
          <w:pgMar w:left="820" w:top="1216" w:right="1000" w:bottom="883" w:gutter="0" w:footer="0" w:header="0"/>
        </w:sectPr>
      </w:pPr>
    </w:p>
    <w:p>
      <w:pPr>
        <w:ind w:firstLine="36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2240" w:h="15840" w:orient="portrait"/>
          <w:cols w:equalWidth="0" w:num="1">
            <w:col w:w="10420"/>
          </w:cols>
          <w:pgMar w:left="820" w:top="1216" w:right="1000" w:bottom="883" w:gutter="0" w:footer="0" w:header="0"/>
          <w:type w:val="continuous"/>
        </w:sectPr>
      </w:pPr>
    </w:p>
    <w:bookmarkStart w:id="3" w:name="page4"/>
    <w:bookmarkEnd w:id="3"/>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40" w:lineRule="exact"/>
        <w:rPr>
          <w:sz w:val="20"/>
          <w:szCs w:val="20"/>
          <w:color w:val="auto"/>
        </w:rPr>
      </w:pPr>
    </w:p>
    <w:p>
      <w:pPr>
        <w:ind w:right="260" w:firstLine="360"/>
        <w:spacing w:after="0" w:line="233"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b w:val="1"/>
          <w:bCs w:val="1"/>
          <w:color w:val="auto"/>
        </w:rPr>
        <w:t>☐</w:t>
      </w:r>
    </w:p>
    <w:p>
      <w:pPr>
        <w:spacing w:after="0" w:line="146" w:lineRule="exact"/>
        <w:rPr>
          <w:sz w:val="20"/>
          <w:szCs w:val="20"/>
          <w:color w:val="auto"/>
        </w:rPr>
      </w:pPr>
    </w:p>
    <w:p>
      <w:pPr>
        <w:ind w:right="640" w:firstLine="360"/>
        <w:spacing w:after="0" w:line="233" w:lineRule="exact"/>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b w:val="1"/>
          <w:bCs w:val="1"/>
          <w:color w:val="auto"/>
        </w:rPr>
        <w:t>☐</w:t>
      </w:r>
    </w:p>
    <w:p>
      <w:pPr>
        <w:spacing w:after="0" w:line="133" w:lineRule="exact"/>
        <w:rPr>
          <w:sz w:val="20"/>
          <w:szCs w:val="20"/>
          <w:color w:val="auto"/>
        </w:rPr>
      </w:pPr>
    </w:p>
    <w:p>
      <w:pPr>
        <w:ind w:left="360"/>
        <w:spacing w:after="0" w:line="207" w:lineRule="exact"/>
        <w:tabs>
          <w:tab w:leader="none" w:pos="79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r>
        <w:rPr>
          <w:sz w:val="20"/>
          <w:szCs w:val="20"/>
          <w:color w:val="auto"/>
        </w:rPr>
        <w:tab/>
      </w: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b w:val="1"/>
          <w:bCs w:val="1"/>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b w:val="1"/>
          <w:bCs w:val="1"/>
          <w:color w:val="auto"/>
        </w:rPr>
        <w:t>☒</w:t>
      </w:r>
    </w:p>
    <w:p>
      <w:pPr>
        <w:spacing w:after="0" w:line="202" w:lineRule="exact"/>
        <w:rPr>
          <w:sz w:val="20"/>
          <w:szCs w:val="20"/>
          <w:color w:val="auto"/>
        </w:rPr>
      </w:pPr>
    </w:p>
    <w:p>
      <w:pPr>
        <w:ind w:right="140" w:firstLine="360"/>
        <w:spacing w:after="0" w:line="261"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held by non-affiliates, based upon the closing price of the common stock on June 30, 2023, as reported by The Nasdaq Stock Market LLC, was $219 million. Shares of common stock held by each executive officer and director and by each other person who is deemed to be an affiliate of the registrant have been excluded from such computation. This determination of affiliate status is not necessarily a conclusive determination for other purposes.</w:t>
      </w:r>
    </w:p>
    <w:p>
      <w:pPr>
        <w:spacing w:after="0" w:line="1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registrant had outstanding 125,098,080 shares of common stock as of February 15, 2024.</w:t>
      </w:r>
    </w:p>
    <w:p>
      <w:pPr>
        <w:spacing w:after="0" w:line="18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-15875</wp:posOffset>
                </wp:positionH>
                <wp:positionV relativeFrom="paragraph">
                  <wp:posOffset>210185</wp:posOffset>
                </wp:positionV>
                <wp:extent cx="664845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4845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499pt,16.55pt" to="522.25pt,16.55pt" o:allowincell="f" strokecolor="#000000" strokeweight="2pt"/>
            </w:pict>
          </mc:Fallback>
        </mc:AlternateContent>
      </w:r>
    </w:p>
    <w:p>
      <w:pPr>
        <w:sectPr>
          <w:pgSz w:w="12240" w:h="15840" w:orient="portrait"/>
          <w:cols w:equalWidth="0" w:num="1">
            <w:col w:w="10420"/>
          </w:cols>
          <w:pgMar w:left="820" w:top="799" w:right="1000" w:bottom="1440" w:gutter="0" w:footer="0" w:header="0"/>
        </w:sectPr>
      </w:pPr>
    </w:p>
    <w:bookmarkStart w:id="4" w:name="page5"/>
    <w:bookmarkEnd w:id="4"/>
    <w:p>
      <w:pPr>
        <w:ind w:left="3800"/>
        <w:spacing w:after="0"/>
        <w:rPr>
          <w:sz w:val="20"/>
          <w:szCs w:val="20"/>
          <w:color w:val="auto"/>
        </w:rPr>
      </w:pPr>
      <w:r>
        <w:rPr>
          <w:rFonts w:ascii="Times New Roman" w:cs="Times New Roman" w:eastAsia="Times New Roman" w:hAnsi="Times New Roman"/>
          <w:sz w:val="24"/>
          <w:szCs w:val="24"/>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160" w:type="dxa"/>
            <w:vAlign w:val="bottom"/>
          </w:tcPr>
          <w:p>
            <w:pPr>
              <w:spacing w:after="0"/>
              <w:rPr>
                <w:sz w:val="22"/>
                <w:szCs w:val="22"/>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20"/>
                <w:szCs w:val="20"/>
                <w:b w:val="1"/>
                <w:bCs w:val="1"/>
                <w:color w:val="auto"/>
                <w:w w:val="97"/>
              </w:rPr>
              <w:t>Page</w:t>
            </w:r>
          </w:p>
        </w:tc>
        <w:tc>
          <w:tcPr>
            <w:tcW w:w="0" w:type="dxa"/>
            <w:vAlign w:val="bottom"/>
          </w:tcPr>
          <w:p>
            <w:pPr>
              <w:spacing w:after="0"/>
              <w:rPr>
                <w:sz w:val="1"/>
                <w:szCs w:val="1"/>
                <w:color w:val="auto"/>
              </w:rPr>
            </w:pPr>
          </w:p>
        </w:tc>
      </w:tr>
      <w:tr>
        <w:trPr>
          <w:trHeight w:val="405"/>
        </w:trPr>
        <w:tc>
          <w:tcPr>
            <w:tcW w:w="9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916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Item 1. Business</w:t>
            </w:r>
          </w:p>
        </w:tc>
        <w:tc>
          <w:tcPr>
            <w:tcW w:w="800" w:type="dxa"/>
            <w:vAlign w:val="bottom"/>
          </w:tcPr>
          <w:p>
            <w:pPr>
              <w:jc w:val="center"/>
              <w:ind w:left="280"/>
              <w:spacing w:after="0"/>
              <w:rPr>
                <w:sz w:val="20"/>
                <w:szCs w:val="20"/>
                <w:color w:val="auto"/>
              </w:rPr>
            </w:pPr>
            <w:r>
              <w:rPr>
                <w:rFonts w:ascii="Times New Roman" w:cs="Times New Roman" w:eastAsia="Times New Roman" w:hAnsi="Times New Roman"/>
                <w:sz w:val="20"/>
                <w:szCs w:val="20"/>
                <w:color w:val="auto"/>
                <w:w w:val="99"/>
              </w:rPr>
              <w:t>6</w:t>
            </w:r>
          </w:p>
        </w:tc>
        <w:tc>
          <w:tcPr>
            <w:tcW w:w="0" w:type="dxa"/>
            <w:vAlign w:val="bottom"/>
          </w:tcPr>
          <w:p>
            <w:pPr>
              <w:spacing w:after="0"/>
              <w:rPr>
                <w:sz w:val="1"/>
                <w:szCs w:val="1"/>
                <w:color w:val="auto"/>
              </w:rPr>
            </w:pPr>
          </w:p>
        </w:tc>
      </w:tr>
      <w:tr>
        <w:trPr>
          <w:trHeight w:val="405"/>
        </w:trPr>
        <w:tc>
          <w:tcPr>
            <w:tcW w:w="916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Item 1A. Risk Factors</w:t>
            </w:r>
          </w:p>
        </w:tc>
        <w:tc>
          <w:tcPr>
            <w:tcW w:w="800" w:type="dxa"/>
            <w:vAlign w:val="bottom"/>
          </w:tcPr>
          <w:p>
            <w:pPr>
              <w:jc w:val="center"/>
              <w:ind w:left="300"/>
              <w:spacing w:after="0"/>
              <w:rPr>
                <w:sz w:val="20"/>
                <w:szCs w:val="20"/>
                <w:color w:val="auto"/>
              </w:rPr>
            </w:pPr>
            <w:r>
              <w:rPr>
                <w:rFonts w:ascii="Times New Roman" w:cs="Times New Roman" w:eastAsia="Times New Roman" w:hAnsi="Times New Roman"/>
                <w:sz w:val="20"/>
                <w:szCs w:val="20"/>
                <w:color w:val="auto"/>
                <w:w w:val="99"/>
              </w:rPr>
              <w:t>39</w:t>
            </w:r>
          </w:p>
        </w:tc>
        <w:tc>
          <w:tcPr>
            <w:tcW w:w="0" w:type="dxa"/>
            <w:vAlign w:val="bottom"/>
          </w:tcPr>
          <w:p>
            <w:pPr>
              <w:spacing w:after="0"/>
              <w:rPr>
                <w:sz w:val="1"/>
                <w:szCs w:val="1"/>
                <w:color w:val="auto"/>
              </w:rPr>
            </w:pPr>
          </w:p>
        </w:tc>
      </w:tr>
      <w:tr>
        <w:trPr>
          <w:trHeight w:val="405"/>
        </w:trPr>
        <w:tc>
          <w:tcPr>
            <w:tcW w:w="916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Item 1B. Unresolved Staff Comments</w:t>
            </w:r>
          </w:p>
        </w:tc>
        <w:tc>
          <w:tcPr>
            <w:tcW w:w="800" w:type="dxa"/>
            <w:vAlign w:val="bottom"/>
          </w:tcPr>
          <w:p>
            <w:pPr>
              <w:jc w:val="center"/>
              <w:ind w:left="300"/>
              <w:spacing w:after="0"/>
              <w:rPr>
                <w:sz w:val="20"/>
                <w:szCs w:val="20"/>
                <w:color w:val="auto"/>
              </w:rPr>
            </w:pPr>
            <w:r>
              <w:rPr>
                <w:rFonts w:ascii="Times New Roman" w:cs="Times New Roman" w:eastAsia="Times New Roman" w:hAnsi="Times New Roman"/>
                <w:sz w:val="20"/>
                <w:szCs w:val="20"/>
                <w:color w:val="auto"/>
                <w:w w:val="99"/>
              </w:rPr>
              <w:t>75</w:t>
            </w:r>
          </w:p>
        </w:tc>
        <w:tc>
          <w:tcPr>
            <w:tcW w:w="0" w:type="dxa"/>
            <w:vAlign w:val="bottom"/>
          </w:tcPr>
          <w:p>
            <w:pPr>
              <w:spacing w:after="0"/>
              <w:rPr>
                <w:sz w:val="1"/>
                <w:szCs w:val="1"/>
                <w:color w:val="auto"/>
              </w:rPr>
            </w:pPr>
          </w:p>
        </w:tc>
      </w:tr>
      <w:tr>
        <w:trPr>
          <w:trHeight w:val="405"/>
        </w:trPr>
        <w:tc>
          <w:tcPr>
            <w:tcW w:w="916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Item 1C. Cybersecurity</w:t>
            </w:r>
          </w:p>
        </w:tc>
        <w:tc>
          <w:tcPr>
            <w:tcW w:w="800" w:type="dxa"/>
            <w:vAlign w:val="bottom"/>
          </w:tcPr>
          <w:p>
            <w:pPr>
              <w:jc w:val="center"/>
              <w:ind w:left="300"/>
              <w:spacing w:after="0"/>
              <w:rPr>
                <w:sz w:val="20"/>
                <w:szCs w:val="20"/>
                <w:color w:val="auto"/>
              </w:rPr>
            </w:pPr>
            <w:r>
              <w:rPr>
                <w:rFonts w:ascii="Times New Roman" w:cs="Times New Roman" w:eastAsia="Times New Roman" w:hAnsi="Times New Roman"/>
                <w:sz w:val="20"/>
                <w:szCs w:val="20"/>
                <w:color w:val="auto"/>
                <w:w w:val="99"/>
              </w:rPr>
              <w:t>75</w:t>
            </w:r>
          </w:p>
        </w:tc>
        <w:tc>
          <w:tcPr>
            <w:tcW w:w="0" w:type="dxa"/>
            <w:vAlign w:val="bottom"/>
          </w:tcPr>
          <w:p>
            <w:pPr>
              <w:spacing w:after="0"/>
              <w:rPr>
                <w:sz w:val="1"/>
                <w:szCs w:val="1"/>
                <w:color w:val="auto"/>
              </w:rPr>
            </w:pPr>
          </w:p>
        </w:tc>
      </w:tr>
      <w:tr>
        <w:trPr>
          <w:trHeight w:val="405"/>
        </w:trPr>
        <w:tc>
          <w:tcPr>
            <w:tcW w:w="916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Item 2. Properties</w:t>
            </w:r>
          </w:p>
        </w:tc>
        <w:tc>
          <w:tcPr>
            <w:tcW w:w="800" w:type="dxa"/>
            <w:vAlign w:val="bottom"/>
          </w:tcPr>
          <w:p>
            <w:pPr>
              <w:jc w:val="center"/>
              <w:ind w:left="300"/>
              <w:spacing w:after="0"/>
              <w:rPr>
                <w:sz w:val="20"/>
                <w:szCs w:val="20"/>
                <w:color w:val="auto"/>
              </w:rPr>
            </w:pPr>
            <w:r>
              <w:rPr>
                <w:rFonts w:ascii="Times New Roman" w:cs="Times New Roman" w:eastAsia="Times New Roman" w:hAnsi="Times New Roman"/>
                <w:sz w:val="20"/>
                <w:szCs w:val="20"/>
                <w:color w:val="auto"/>
                <w:w w:val="99"/>
              </w:rPr>
              <w:t>76</w:t>
            </w:r>
          </w:p>
        </w:tc>
        <w:tc>
          <w:tcPr>
            <w:tcW w:w="0" w:type="dxa"/>
            <w:vAlign w:val="bottom"/>
          </w:tcPr>
          <w:p>
            <w:pPr>
              <w:spacing w:after="0"/>
              <w:rPr>
                <w:sz w:val="1"/>
                <w:szCs w:val="1"/>
                <w:color w:val="auto"/>
              </w:rPr>
            </w:pPr>
          </w:p>
        </w:tc>
      </w:tr>
      <w:tr>
        <w:trPr>
          <w:trHeight w:val="405"/>
        </w:trPr>
        <w:tc>
          <w:tcPr>
            <w:tcW w:w="916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Item 3. Legal Proceedings</w:t>
            </w:r>
          </w:p>
        </w:tc>
        <w:tc>
          <w:tcPr>
            <w:tcW w:w="800" w:type="dxa"/>
            <w:vAlign w:val="bottom"/>
          </w:tcPr>
          <w:p>
            <w:pPr>
              <w:jc w:val="center"/>
              <w:ind w:left="300"/>
              <w:spacing w:after="0"/>
              <w:rPr>
                <w:sz w:val="20"/>
                <w:szCs w:val="20"/>
                <w:color w:val="auto"/>
              </w:rPr>
            </w:pPr>
            <w:r>
              <w:rPr>
                <w:rFonts w:ascii="Times New Roman" w:cs="Times New Roman" w:eastAsia="Times New Roman" w:hAnsi="Times New Roman"/>
                <w:sz w:val="20"/>
                <w:szCs w:val="20"/>
                <w:color w:val="auto"/>
                <w:w w:val="99"/>
              </w:rPr>
              <w:t>76</w:t>
            </w:r>
          </w:p>
        </w:tc>
        <w:tc>
          <w:tcPr>
            <w:tcW w:w="0" w:type="dxa"/>
            <w:vAlign w:val="bottom"/>
          </w:tcPr>
          <w:p>
            <w:pPr>
              <w:spacing w:after="0"/>
              <w:rPr>
                <w:sz w:val="1"/>
                <w:szCs w:val="1"/>
                <w:color w:val="auto"/>
              </w:rPr>
            </w:pPr>
          </w:p>
        </w:tc>
      </w:tr>
      <w:tr>
        <w:trPr>
          <w:trHeight w:val="405"/>
        </w:trPr>
        <w:tc>
          <w:tcPr>
            <w:tcW w:w="916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Item 4. Mine Safety Disclosures</w:t>
            </w:r>
          </w:p>
        </w:tc>
        <w:tc>
          <w:tcPr>
            <w:tcW w:w="800" w:type="dxa"/>
            <w:vAlign w:val="bottom"/>
          </w:tcPr>
          <w:p>
            <w:pPr>
              <w:jc w:val="center"/>
              <w:ind w:left="300"/>
              <w:spacing w:after="0"/>
              <w:rPr>
                <w:sz w:val="20"/>
                <w:szCs w:val="20"/>
                <w:color w:val="auto"/>
              </w:rPr>
            </w:pPr>
            <w:r>
              <w:rPr>
                <w:rFonts w:ascii="Times New Roman" w:cs="Times New Roman" w:eastAsia="Times New Roman" w:hAnsi="Times New Roman"/>
                <w:sz w:val="20"/>
                <w:szCs w:val="20"/>
                <w:color w:val="auto"/>
                <w:w w:val="99"/>
              </w:rPr>
              <w:t>77</w:t>
            </w:r>
          </w:p>
        </w:tc>
        <w:tc>
          <w:tcPr>
            <w:tcW w:w="0" w:type="dxa"/>
            <w:vAlign w:val="bottom"/>
          </w:tcPr>
          <w:p>
            <w:pPr>
              <w:spacing w:after="0"/>
              <w:rPr>
                <w:sz w:val="1"/>
                <w:szCs w:val="1"/>
                <w:color w:val="auto"/>
              </w:rPr>
            </w:pPr>
          </w:p>
        </w:tc>
      </w:tr>
      <w:tr>
        <w:trPr>
          <w:trHeight w:val="403"/>
        </w:trPr>
        <w:tc>
          <w:tcPr>
            <w:tcW w:w="9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II</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916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Item 5. Market for Registrant's Common Equity, Related Stockholder Matters and Issuer Purchases of</w:t>
            </w:r>
          </w:p>
        </w:tc>
        <w:tc>
          <w:tcPr>
            <w:tcW w:w="800" w:type="dxa"/>
            <w:vAlign w:val="bottom"/>
            <w:vMerge w:val="restart"/>
          </w:tcPr>
          <w:p>
            <w:pPr>
              <w:jc w:val="center"/>
              <w:ind w:left="300"/>
              <w:spacing w:after="0"/>
              <w:rPr>
                <w:sz w:val="20"/>
                <w:szCs w:val="20"/>
                <w:color w:val="auto"/>
              </w:rPr>
            </w:pPr>
            <w:r>
              <w:rPr>
                <w:rFonts w:ascii="Times New Roman" w:cs="Times New Roman" w:eastAsia="Times New Roman" w:hAnsi="Times New Roman"/>
                <w:sz w:val="20"/>
                <w:szCs w:val="20"/>
                <w:color w:val="auto"/>
                <w:w w:val="99"/>
              </w:rPr>
              <w:t>78</w:t>
            </w:r>
          </w:p>
        </w:tc>
        <w:tc>
          <w:tcPr>
            <w:tcW w:w="0" w:type="dxa"/>
            <w:vAlign w:val="bottom"/>
          </w:tcPr>
          <w:p>
            <w:pPr>
              <w:spacing w:after="0"/>
              <w:rPr>
                <w:sz w:val="1"/>
                <w:szCs w:val="1"/>
                <w:color w:val="auto"/>
              </w:rPr>
            </w:pPr>
          </w:p>
        </w:tc>
      </w:tr>
      <w:tr>
        <w:trPr>
          <w:trHeight w:val="140"/>
        </w:trPr>
        <w:tc>
          <w:tcPr>
            <w:tcW w:w="9160" w:type="dxa"/>
            <w:vAlign w:val="bottom"/>
            <w:vMerge w:val="restart"/>
          </w:tcPr>
          <w:p>
            <w:pPr>
              <w:ind w:left="600"/>
              <w:spacing w:after="0"/>
              <w:rPr>
                <w:sz w:val="20"/>
                <w:szCs w:val="20"/>
                <w:color w:val="auto"/>
              </w:rPr>
            </w:pPr>
            <w:r>
              <w:rPr>
                <w:rFonts w:ascii="Times New Roman" w:cs="Times New Roman" w:eastAsia="Times New Roman" w:hAnsi="Times New Roman"/>
                <w:sz w:val="20"/>
                <w:szCs w:val="20"/>
                <w:color w:val="auto"/>
              </w:rPr>
              <w:t>Equity Securities</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916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3"/>
        </w:trPr>
        <w:tc>
          <w:tcPr>
            <w:tcW w:w="916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Item 6. [ Reserved ]</w:t>
            </w:r>
          </w:p>
        </w:tc>
        <w:tc>
          <w:tcPr>
            <w:tcW w:w="800" w:type="dxa"/>
            <w:vAlign w:val="bottom"/>
          </w:tcPr>
          <w:p>
            <w:pPr>
              <w:jc w:val="center"/>
              <w:ind w:left="300"/>
              <w:spacing w:after="0"/>
              <w:rPr>
                <w:sz w:val="20"/>
                <w:szCs w:val="20"/>
                <w:color w:val="auto"/>
              </w:rPr>
            </w:pPr>
            <w:r>
              <w:rPr>
                <w:rFonts w:ascii="Times New Roman" w:cs="Times New Roman" w:eastAsia="Times New Roman" w:hAnsi="Times New Roman"/>
                <w:sz w:val="20"/>
                <w:szCs w:val="20"/>
                <w:color w:val="auto"/>
                <w:w w:val="99"/>
              </w:rPr>
              <w:t>78</w:t>
            </w:r>
          </w:p>
        </w:tc>
        <w:tc>
          <w:tcPr>
            <w:tcW w:w="0" w:type="dxa"/>
            <w:vAlign w:val="bottom"/>
          </w:tcPr>
          <w:p>
            <w:pPr>
              <w:spacing w:after="0"/>
              <w:rPr>
                <w:sz w:val="1"/>
                <w:szCs w:val="1"/>
                <w:color w:val="auto"/>
              </w:rPr>
            </w:pPr>
          </w:p>
        </w:tc>
      </w:tr>
      <w:tr>
        <w:trPr>
          <w:trHeight w:val="405"/>
        </w:trPr>
        <w:tc>
          <w:tcPr>
            <w:tcW w:w="916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Item 7. Management's Discussion and Analysis of Financial Condition and Results of Operations</w:t>
            </w:r>
          </w:p>
        </w:tc>
        <w:tc>
          <w:tcPr>
            <w:tcW w:w="800" w:type="dxa"/>
            <w:vAlign w:val="bottom"/>
          </w:tcPr>
          <w:p>
            <w:pPr>
              <w:jc w:val="center"/>
              <w:ind w:left="300"/>
              <w:spacing w:after="0"/>
              <w:rPr>
                <w:sz w:val="20"/>
                <w:szCs w:val="20"/>
                <w:color w:val="auto"/>
              </w:rPr>
            </w:pPr>
            <w:r>
              <w:rPr>
                <w:rFonts w:ascii="Times New Roman" w:cs="Times New Roman" w:eastAsia="Times New Roman" w:hAnsi="Times New Roman"/>
                <w:sz w:val="20"/>
                <w:szCs w:val="20"/>
                <w:color w:val="auto"/>
                <w:w w:val="99"/>
              </w:rPr>
              <w:t>79</w:t>
            </w:r>
          </w:p>
        </w:tc>
        <w:tc>
          <w:tcPr>
            <w:tcW w:w="0" w:type="dxa"/>
            <w:vAlign w:val="bottom"/>
          </w:tcPr>
          <w:p>
            <w:pPr>
              <w:spacing w:after="0"/>
              <w:rPr>
                <w:sz w:val="1"/>
                <w:szCs w:val="1"/>
                <w:color w:val="auto"/>
              </w:rPr>
            </w:pPr>
          </w:p>
        </w:tc>
      </w:tr>
      <w:tr>
        <w:trPr>
          <w:trHeight w:val="405"/>
        </w:trPr>
        <w:tc>
          <w:tcPr>
            <w:tcW w:w="916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Item 7A. Quantitative and Qualitative Disclosures About Market Risk</w:t>
            </w:r>
          </w:p>
        </w:tc>
        <w:tc>
          <w:tcPr>
            <w:tcW w:w="800" w:type="dxa"/>
            <w:vAlign w:val="bottom"/>
          </w:tcPr>
          <w:p>
            <w:pPr>
              <w:jc w:val="center"/>
              <w:ind w:left="300"/>
              <w:spacing w:after="0"/>
              <w:rPr>
                <w:sz w:val="20"/>
                <w:szCs w:val="20"/>
                <w:color w:val="auto"/>
              </w:rPr>
            </w:pPr>
            <w:r>
              <w:rPr>
                <w:rFonts w:ascii="Times New Roman" w:cs="Times New Roman" w:eastAsia="Times New Roman" w:hAnsi="Times New Roman"/>
                <w:sz w:val="20"/>
                <w:szCs w:val="20"/>
                <w:color w:val="auto"/>
                <w:w w:val="99"/>
              </w:rPr>
              <w:t>87</w:t>
            </w:r>
          </w:p>
        </w:tc>
        <w:tc>
          <w:tcPr>
            <w:tcW w:w="0" w:type="dxa"/>
            <w:vAlign w:val="bottom"/>
          </w:tcPr>
          <w:p>
            <w:pPr>
              <w:spacing w:after="0"/>
              <w:rPr>
                <w:sz w:val="1"/>
                <w:szCs w:val="1"/>
                <w:color w:val="auto"/>
              </w:rPr>
            </w:pPr>
          </w:p>
        </w:tc>
      </w:tr>
      <w:tr>
        <w:trPr>
          <w:trHeight w:val="405"/>
        </w:trPr>
        <w:tc>
          <w:tcPr>
            <w:tcW w:w="916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Item 8. Financial Statements and Supplementary Data</w:t>
            </w:r>
          </w:p>
        </w:tc>
        <w:tc>
          <w:tcPr>
            <w:tcW w:w="800" w:type="dxa"/>
            <w:vAlign w:val="bottom"/>
          </w:tcPr>
          <w:p>
            <w:pPr>
              <w:jc w:val="center"/>
              <w:ind w:left="300"/>
              <w:spacing w:after="0"/>
              <w:rPr>
                <w:sz w:val="20"/>
                <w:szCs w:val="20"/>
                <w:color w:val="auto"/>
              </w:rPr>
            </w:pPr>
            <w:r>
              <w:rPr>
                <w:rFonts w:ascii="Times New Roman" w:cs="Times New Roman" w:eastAsia="Times New Roman" w:hAnsi="Times New Roman"/>
                <w:sz w:val="20"/>
                <w:szCs w:val="20"/>
                <w:color w:val="auto"/>
                <w:w w:val="99"/>
              </w:rPr>
              <w:t>87</w:t>
            </w:r>
          </w:p>
        </w:tc>
        <w:tc>
          <w:tcPr>
            <w:tcW w:w="0" w:type="dxa"/>
            <w:vAlign w:val="bottom"/>
          </w:tcPr>
          <w:p>
            <w:pPr>
              <w:spacing w:after="0"/>
              <w:rPr>
                <w:sz w:val="1"/>
                <w:szCs w:val="1"/>
                <w:color w:val="auto"/>
              </w:rPr>
            </w:pPr>
          </w:p>
        </w:tc>
      </w:tr>
      <w:tr>
        <w:trPr>
          <w:trHeight w:val="405"/>
        </w:trPr>
        <w:tc>
          <w:tcPr>
            <w:tcW w:w="916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Item 9. Changes in and Disagreements With Accountants on Accounting and Financial Disclosure</w:t>
            </w:r>
          </w:p>
        </w:tc>
        <w:tc>
          <w:tcPr>
            <w:tcW w:w="800" w:type="dxa"/>
            <w:vAlign w:val="bottom"/>
          </w:tcPr>
          <w:p>
            <w:pPr>
              <w:jc w:val="center"/>
              <w:ind w:left="280"/>
              <w:spacing w:after="0"/>
              <w:rPr>
                <w:sz w:val="20"/>
                <w:szCs w:val="20"/>
                <w:color w:val="auto"/>
              </w:rPr>
            </w:pPr>
            <w:r>
              <w:rPr>
                <w:rFonts w:ascii="Times New Roman" w:cs="Times New Roman" w:eastAsia="Times New Roman" w:hAnsi="Times New Roman"/>
                <w:sz w:val="20"/>
                <w:szCs w:val="20"/>
                <w:color w:val="auto"/>
                <w:w w:val="99"/>
              </w:rPr>
              <w:t>111</w:t>
            </w:r>
          </w:p>
        </w:tc>
        <w:tc>
          <w:tcPr>
            <w:tcW w:w="0" w:type="dxa"/>
            <w:vAlign w:val="bottom"/>
          </w:tcPr>
          <w:p>
            <w:pPr>
              <w:spacing w:after="0"/>
              <w:rPr>
                <w:sz w:val="1"/>
                <w:szCs w:val="1"/>
                <w:color w:val="auto"/>
              </w:rPr>
            </w:pPr>
          </w:p>
        </w:tc>
      </w:tr>
      <w:tr>
        <w:trPr>
          <w:trHeight w:val="405"/>
        </w:trPr>
        <w:tc>
          <w:tcPr>
            <w:tcW w:w="916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Item 9A. Controls and Procedures</w:t>
            </w:r>
          </w:p>
        </w:tc>
        <w:tc>
          <w:tcPr>
            <w:tcW w:w="800" w:type="dxa"/>
            <w:vAlign w:val="bottom"/>
          </w:tcPr>
          <w:p>
            <w:pPr>
              <w:jc w:val="center"/>
              <w:ind w:left="280"/>
              <w:spacing w:after="0"/>
              <w:rPr>
                <w:sz w:val="20"/>
                <w:szCs w:val="20"/>
                <w:color w:val="auto"/>
              </w:rPr>
            </w:pPr>
            <w:r>
              <w:rPr>
                <w:rFonts w:ascii="Times New Roman" w:cs="Times New Roman" w:eastAsia="Times New Roman" w:hAnsi="Times New Roman"/>
                <w:sz w:val="20"/>
                <w:szCs w:val="20"/>
                <w:color w:val="auto"/>
                <w:w w:val="99"/>
              </w:rPr>
              <w:t>111</w:t>
            </w:r>
          </w:p>
        </w:tc>
        <w:tc>
          <w:tcPr>
            <w:tcW w:w="0" w:type="dxa"/>
            <w:vAlign w:val="bottom"/>
          </w:tcPr>
          <w:p>
            <w:pPr>
              <w:spacing w:after="0"/>
              <w:rPr>
                <w:sz w:val="1"/>
                <w:szCs w:val="1"/>
                <w:color w:val="auto"/>
              </w:rPr>
            </w:pPr>
          </w:p>
        </w:tc>
      </w:tr>
      <w:tr>
        <w:trPr>
          <w:trHeight w:val="405"/>
        </w:trPr>
        <w:tc>
          <w:tcPr>
            <w:tcW w:w="916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Item 9B. Other Information</w:t>
            </w:r>
          </w:p>
        </w:tc>
        <w:tc>
          <w:tcPr>
            <w:tcW w:w="800" w:type="dxa"/>
            <w:vAlign w:val="bottom"/>
          </w:tcPr>
          <w:p>
            <w:pPr>
              <w:jc w:val="center"/>
              <w:ind w:left="280"/>
              <w:spacing w:after="0"/>
              <w:rPr>
                <w:sz w:val="20"/>
                <w:szCs w:val="20"/>
                <w:color w:val="auto"/>
              </w:rPr>
            </w:pPr>
            <w:r>
              <w:rPr>
                <w:rFonts w:ascii="Times New Roman" w:cs="Times New Roman" w:eastAsia="Times New Roman" w:hAnsi="Times New Roman"/>
                <w:sz w:val="20"/>
                <w:szCs w:val="20"/>
                <w:color w:val="auto"/>
                <w:w w:val="99"/>
              </w:rPr>
              <w:t>111</w:t>
            </w:r>
          </w:p>
        </w:tc>
        <w:tc>
          <w:tcPr>
            <w:tcW w:w="0" w:type="dxa"/>
            <w:vAlign w:val="bottom"/>
          </w:tcPr>
          <w:p>
            <w:pPr>
              <w:spacing w:after="0"/>
              <w:rPr>
                <w:sz w:val="1"/>
                <w:szCs w:val="1"/>
                <w:color w:val="auto"/>
              </w:rPr>
            </w:pPr>
          </w:p>
        </w:tc>
      </w:tr>
      <w:tr>
        <w:trPr>
          <w:trHeight w:val="405"/>
        </w:trPr>
        <w:tc>
          <w:tcPr>
            <w:tcW w:w="916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Item 9C. Disclosure Regarding Foreign Jurisdictions that Prevent Inspections</w:t>
            </w:r>
          </w:p>
        </w:tc>
        <w:tc>
          <w:tcPr>
            <w:tcW w:w="800" w:type="dxa"/>
            <w:vAlign w:val="bottom"/>
          </w:tcPr>
          <w:p>
            <w:pPr>
              <w:jc w:val="center"/>
              <w:ind w:left="280"/>
              <w:spacing w:after="0"/>
              <w:rPr>
                <w:sz w:val="20"/>
                <w:szCs w:val="20"/>
                <w:color w:val="auto"/>
              </w:rPr>
            </w:pPr>
            <w:r>
              <w:rPr>
                <w:rFonts w:ascii="Times New Roman" w:cs="Times New Roman" w:eastAsia="Times New Roman" w:hAnsi="Times New Roman"/>
                <w:sz w:val="20"/>
                <w:szCs w:val="20"/>
                <w:color w:val="auto"/>
                <w:w w:val="99"/>
              </w:rPr>
              <w:t>111</w:t>
            </w:r>
          </w:p>
        </w:tc>
        <w:tc>
          <w:tcPr>
            <w:tcW w:w="0" w:type="dxa"/>
            <w:vAlign w:val="bottom"/>
          </w:tcPr>
          <w:p>
            <w:pPr>
              <w:spacing w:after="0"/>
              <w:rPr>
                <w:sz w:val="1"/>
                <w:szCs w:val="1"/>
                <w:color w:val="auto"/>
              </w:rPr>
            </w:pPr>
          </w:p>
        </w:tc>
      </w:tr>
      <w:tr>
        <w:trPr>
          <w:trHeight w:val="403"/>
        </w:trPr>
        <w:tc>
          <w:tcPr>
            <w:tcW w:w="9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III</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916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Item 10. Directors, Executive Officers and Corporate Governance</w:t>
            </w:r>
          </w:p>
        </w:tc>
        <w:tc>
          <w:tcPr>
            <w:tcW w:w="800" w:type="dxa"/>
            <w:vAlign w:val="bottom"/>
          </w:tcPr>
          <w:p>
            <w:pPr>
              <w:jc w:val="center"/>
              <w:ind w:left="280"/>
              <w:spacing w:after="0"/>
              <w:rPr>
                <w:sz w:val="20"/>
                <w:szCs w:val="20"/>
                <w:color w:val="auto"/>
              </w:rPr>
            </w:pPr>
            <w:r>
              <w:rPr>
                <w:rFonts w:ascii="Times New Roman" w:cs="Times New Roman" w:eastAsia="Times New Roman" w:hAnsi="Times New Roman"/>
                <w:sz w:val="20"/>
                <w:szCs w:val="20"/>
                <w:color w:val="auto"/>
                <w:w w:val="99"/>
              </w:rPr>
              <w:t>112</w:t>
            </w:r>
          </w:p>
        </w:tc>
        <w:tc>
          <w:tcPr>
            <w:tcW w:w="0" w:type="dxa"/>
            <w:vAlign w:val="bottom"/>
          </w:tcPr>
          <w:p>
            <w:pPr>
              <w:spacing w:after="0"/>
              <w:rPr>
                <w:sz w:val="1"/>
                <w:szCs w:val="1"/>
                <w:color w:val="auto"/>
              </w:rPr>
            </w:pPr>
          </w:p>
        </w:tc>
      </w:tr>
      <w:tr>
        <w:trPr>
          <w:trHeight w:val="405"/>
        </w:trPr>
        <w:tc>
          <w:tcPr>
            <w:tcW w:w="916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Item 11. Executive Compensation</w:t>
            </w:r>
          </w:p>
        </w:tc>
        <w:tc>
          <w:tcPr>
            <w:tcW w:w="800" w:type="dxa"/>
            <w:vAlign w:val="bottom"/>
          </w:tcPr>
          <w:p>
            <w:pPr>
              <w:jc w:val="center"/>
              <w:ind w:left="280"/>
              <w:spacing w:after="0"/>
              <w:rPr>
                <w:sz w:val="20"/>
                <w:szCs w:val="20"/>
                <w:color w:val="auto"/>
              </w:rPr>
            </w:pPr>
            <w:r>
              <w:rPr>
                <w:rFonts w:ascii="Times New Roman" w:cs="Times New Roman" w:eastAsia="Times New Roman" w:hAnsi="Times New Roman"/>
                <w:sz w:val="20"/>
                <w:szCs w:val="20"/>
                <w:color w:val="auto"/>
                <w:w w:val="99"/>
              </w:rPr>
              <w:t>123</w:t>
            </w:r>
          </w:p>
        </w:tc>
        <w:tc>
          <w:tcPr>
            <w:tcW w:w="0" w:type="dxa"/>
            <w:vAlign w:val="bottom"/>
          </w:tcPr>
          <w:p>
            <w:pPr>
              <w:spacing w:after="0"/>
              <w:rPr>
                <w:sz w:val="1"/>
                <w:szCs w:val="1"/>
                <w:color w:val="auto"/>
              </w:rPr>
            </w:pPr>
          </w:p>
        </w:tc>
      </w:tr>
      <w:tr>
        <w:trPr>
          <w:trHeight w:val="362"/>
        </w:trPr>
        <w:tc>
          <w:tcPr>
            <w:tcW w:w="916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Item 12. Security Ownership of Certain Beneficial Owners and Management and Related Stockholder</w:t>
            </w:r>
          </w:p>
        </w:tc>
        <w:tc>
          <w:tcPr>
            <w:tcW w:w="800" w:type="dxa"/>
            <w:vAlign w:val="bottom"/>
            <w:vMerge w:val="restart"/>
          </w:tcPr>
          <w:p>
            <w:pPr>
              <w:jc w:val="center"/>
              <w:ind w:left="280"/>
              <w:spacing w:after="0"/>
              <w:rPr>
                <w:sz w:val="20"/>
                <w:szCs w:val="20"/>
                <w:color w:val="auto"/>
              </w:rPr>
            </w:pPr>
            <w:r>
              <w:rPr>
                <w:rFonts w:ascii="Times New Roman" w:cs="Times New Roman" w:eastAsia="Times New Roman" w:hAnsi="Times New Roman"/>
                <w:sz w:val="20"/>
                <w:szCs w:val="20"/>
                <w:color w:val="auto"/>
                <w:w w:val="99"/>
              </w:rPr>
              <w:t>138</w:t>
            </w:r>
          </w:p>
        </w:tc>
        <w:tc>
          <w:tcPr>
            <w:tcW w:w="0" w:type="dxa"/>
            <w:vAlign w:val="bottom"/>
          </w:tcPr>
          <w:p>
            <w:pPr>
              <w:spacing w:after="0"/>
              <w:rPr>
                <w:sz w:val="1"/>
                <w:szCs w:val="1"/>
                <w:color w:val="auto"/>
              </w:rPr>
            </w:pPr>
          </w:p>
        </w:tc>
      </w:tr>
      <w:tr>
        <w:trPr>
          <w:trHeight w:val="140"/>
        </w:trPr>
        <w:tc>
          <w:tcPr>
            <w:tcW w:w="9160" w:type="dxa"/>
            <w:vAlign w:val="bottom"/>
            <w:vMerge w:val="restart"/>
          </w:tcPr>
          <w:p>
            <w:pPr>
              <w:ind w:left="600"/>
              <w:spacing w:after="0"/>
              <w:rPr>
                <w:sz w:val="20"/>
                <w:szCs w:val="20"/>
                <w:color w:val="auto"/>
              </w:rPr>
            </w:pPr>
            <w:r>
              <w:rPr>
                <w:rFonts w:ascii="Times New Roman" w:cs="Times New Roman" w:eastAsia="Times New Roman" w:hAnsi="Times New Roman"/>
                <w:sz w:val="20"/>
                <w:szCs w:val="20"/>
                <w:color w:val="auto"/>
              </w:rPr>
              <w:t>Matters</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916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3"/>
        </w:trPr>
        <w:tc>
          <w:tcPr>
            <w:tcW w:w="916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Item 13. Certain Relationships and Related Transactions, and Director Independence</w:t>
            </w:r>
          </w:p>
        </w:tc>
        <w:tc>
          <w:tcPr>
            <w:tcW w:w="800" w:type="dxa"/>
            <w:vAlign w:val="bottom"/>
          </w:tcPr>
          <w:p>
            <w:pPr>
              <w:jc w:val="center"/>
              <w:ind w:left="280"/>
              <w:spacing w:after="0"/>
              <w:rPr>
                <w:sz w:val="20"/>
                <w:szCs w:val="20"/>
                <w:color w:val="auto"/>
              </w:rPr>
            </w:pPr>
            <w:r>
              <w:rPr>
                <w:rFonts w:ascii="Times New Roman" w:cs="Times New Roman" w:eastAsia="Times New Roman" w:hAnsi="Times New Roman"/>
                <w:sz w:val="20"/>
                <w:szCs w:val="20"/>
                <w:color w:val="auto"/>
                <w:w w:val="99"/>
              </w:rPr>
              <w:t>140</w:t>
            </w:r>
          </w:p>
        </w:tc>
        <w:tc>
          <w:tcPr>
            <w:tcW w:w="0" w:type="dxa"/>
            <w:vAlign w:val="bottom"/>
          </w:tcPr>
          <w:p>
            <w:pPr>
              <w:spacing w:after="0"/>
              <w:rPr>
                <w:sz w:val="1"/>
                <w:szCs w:val="1"/>
                <w:color w:val="auto"/>
              </w:rPr>
            </w:pPr>
          </w:p>
        </w:tc>
      </w:tr>
      <w:tr>
        <w:trPr>
          <w:trHeight w:val="405"/>
        </w:trPr>
        <w:tc>
          <w:tcPr>
            <w:tcW w:w="916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Item 14. Principal Accountant Fees and Services</w:t>
            </w:r>
          </w:p>
        </w:tc>
        <w:tc>
          <w:tcPr>
            <w:tcW w:w="800" w:type="dxa"/>
            <w:vAlign w:val="bottom"/>
          </w:tcPr>
          <w:p>
            <w:pPr>
              <w:jc w:val="center"/>
              <w:ind w:left="280"/>
              <w:spacing w:after="0"/>
              <w:rPr>
                <w:sz w:val="20"/>
                <w:szCs w:val="20"/>
                <w:color w:val="auto"/>
              </w:rPr>
            </w:pPr>
            <w:r>
              <w:rPr>
                <w:rFonts w:ascii="Times New Roman" w:cs="Times New Roman" w:eastAsia="Times New Roman" w:hAnsi="Times New Roman"/>
                <w:sz w:val="20"/>
                <w:szCs w:val="20"/>
                <w:color w:val="auto"/>
                <w:w w:val="99"/>
              </w:rPr>
              <w:t>141</w:t>
            </w:r>
          </w:p>
        </w:tc>
        <w:tc>
          <w:tcPr>
            <w:tcW w:w="0" w:type="dxa"/>
            <w:vAlign w:val="bottom"/>
          </w:tcPr>
          <w:p>
            <w:pPr>
              <w:spacing w:after="0"/>
              <w:rPr>
                <w:sz w:val="1"/>
                <w:szCs w:val="1"/>
                <w:color w:val="auto"/>
              </w:rPr>
            </w:pPr>
          </w:p>
        </w:tc>
      </w:tr>
      <w:tr>
        <w:trPr>
          <w:trHeight w:val="403"/>
        </w:trPr>
        <w:tc>
          <w:tcPr>
            <w:tcW w:w="9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IV</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916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Item 15. Exhibit and Financial Statement Schedules</w:t>
            </w:r>
          </w:p>
        </w:tc>
        <w:tc>
          <w:tcPr>
            <w:tcW w:w="800" w:type="dxa"/>
            <w:vAlign w:val="bottom"/>
          </w:tcPr>
          <w:p>
            <w:pPr>
              <w:jc w:val="center"/>
              <w:ind w:left="280"/>
              <w:spacing w:after="0"/>
              <w:rPr>
                <w:sz w:val="20"/>
                <w:szCs w:val="20"/>
                <w:color w:val="auto"/>
              </w:rPr>
            </w:pPr>
            <w:r>
              <w:rPr>
                <w:rFonts w:ascii="Times New Roman" w:cs="Times New Roman" w:eastAsia="Times New Roman" w:hAnsi="Times New Roman"/>
                <w:sz w:val="20"/>
                <w:szCs w:val="20"/>
                <w:color w:val="auto"/>
                <w:w w:val="99"/>
              </w:rPr>
              <w:t>142</w:t>
            </w:r>
          </w:p>
        </w:tc>
        <w:tc>
          <w:tcPr>
            <w:tcW w:w="0" w:type="dxa"/>
            <w:vAlign w:val="bottom"/>
          </w:tcPr>
          <w:p>
            <w:pPr>
              <w:spacing w:after="0"/>
              <w:rPr>
                <w:sz w:val="1"/>
                <w:szCs w:val="1"/>
                <w:color w:val="auto"/>
              </w:rPr>
            </w:pPr>
          </w:p>
        </w:tc>
      </w:tr>
      <w:tr>
        <w:trPr>
          <w:trHeight w:val="405"/>
        </w:trPr>
        <w:tc>
          <w:tcPr>
            <w:tcW w:w="916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Item 16. Form 10-K Summary</w:t>
            </w:r>
          </w:p>
        </w:tc>
        <w:tc>
          <w:tcPr>
            <w:tcW w:w="800" w:type="dxa"/>
            <w:vAlign w:val="bottom"/>
          </w:tcPr>
          <w:p>
            <w:pPr>
              <w:jc w:val="center"/>
              <w:ind w:left="280"/>
              <w:spacing w:after="0"/>
              <w:rPr>
                <w:sz w:val="20"/>
                <w:szCs w:val="20"/>
                <w:color w:val="auto"/>
              </w:rPr>
            </w:pPr>
            <w:r>
              <w:rPr>
                <w:rFonts w:ascii="Times New Roman" w:cs="Times New Roman" w:eastAsia="Times New Roman" w:hAnsi="Times New Roman"/>
                <w:sz w:val="20"/>
                <w:szCs w:val="20"/>
                <w:color w:val="auto"/>
                <w:w w:val="99"/>
              </w:rPr>
              <w:t>146</w:t>
            </w:r>
          </w:p>
        </w:tc>
        <w:tc>
          <w:tcPr>
            <w:tcW w:w="0" w:type="dxa"/>
            <w:vAlign w:val="bottom"/>
          </w:tcPr>
          <w:p>
            <w:pPr>
              <w:spacing w:after="0"/>
              <w:rPr>
                <w:sz w:val="1"/>
                <w:szCs w:val="1"/>
                <w:color w:val="auto"/>
              </w:rPr>
            </w:pPr>
          </w:p>
        </w:tc>
      </w:tr>
      <w:tr>
        <w:trPr>
          <w:trHeight w:val="403"/>
        </w:trPr>
        <w:tc>
          <w:tcPr>
            <w:tcW w:w="9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Signatures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960"/>
          </w:cols>
          <w:pgMar w:left="1400" w:top="771"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6"/>
          <w:szCs w:val="16"/>
          <w:color w:val="auto"/>
        </w:rPr>
        <w:t>3</w:t>
      </w:r>
    </w:p>
    <w:p>
      <w:pPr>
        <w:sectPr>
          <w:pgSz w:w="12240" w:h="15840" w:orient="portrait"/>
          <w:cols w:equalWidth="0" w:num="1">
            <w:col w:w="9960"/>
          </w:cols>
          <w:pgMar w:left="1400" w:top="771" w:right="880" w:bottom="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SPECIAL NOTE REGARDING FORWARD-LOOKING STATEMENTS</w:t>
      </w:r>
    </w:p>
    <w:p>
      <w:pPr>
        <w:spacing w:after="0" w:line="197" w:lineRule="exact"/>
        <w:rPr>
          <w:sz w:val="20"/>
          <w:szCs w:val="20"/>
          <w:color w:val="auto"/>
        </w:rPr>
      </w:pPr>
    </w:p>
    <w:p>
      <w:pPr>
        <w:ind w:right="80" w:firstLine="360"/>
        <w:spacing w:after="0" w:line="256" w:lineRule="auto"/>
        <w:rPr>
          <w:sz w:val="20"/>
          <w:szCs w:val="20"/>
          <w:color w:val="auto"/>
        </w:rPr>
      </w:pPr>
      <w:r>
        <w:rPr>
          <w:rFonts w:ascii="Times New Roman" w:cs="Times New Roman" w:eastAsia="Times New Roman" w:hAnsi="Times New Roman"/>
          <w:sz w:val="20"/>
          <w:szCs w:val="20"/>
          <w:color w:val="auto"/>
        </w:rPr>
        <w:t>This Annual Report on Form 10-K contains forward-looking statements within the meaning of Section 27A of the Securities Act of 1933, as amended, or the Securities Act, and Section 21E of the Securities Exchange Act of 1934, as amended, or the Exchange Act, that are based on our management’s beliefs and assumptions and on information currently available to our management. The forward-looking statements are contained principally in the section entitled “Risk Factors” and “Management’s Discussion and Analysis of Financial Condition and Results of Operations.” Forward-looking statements include, but are not limited to, statements concerning the following:</w:t>
      </w:r>
    </w:p>
    <w:p>
      <w:pPr>
        <w:spacing w:after="0" w:line="148" w:lineRule="exact"/>
        <w:rPr>
          <w:sz w:val="20"/>
          <w:szCs w:val="20"/>
          <w:color w:val="auto"/>
        </w:rPr>
      </w:pPr>
    </w:p>
    <w:p>
      <w:pPr>
        <w:ind w:right="140" w:firstLine="360"/>
        <w:spacing w:after="0" w:line="281"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dependence on the success of our proteomics platform (the “Nautilus platform”), which remains in the development stage and subject to scientific and technical validation;</w:t>
      </w:r>
    </w:p>
    <w:p>
      <w:pPr>
        <w:spacing w:after="0" w:line="121" w:lineRule="exact"/>
        <w:rPr>
          <w:rFonts w:ascii="Times New Roman" w:cs="Times New Roman" w:eastAsia="Times New Roman" w:hAnsi="Times New Roman"/>
          <w:sz w:val="20"/>
          <w:szCs w:val="20"/>
          <w:color w:val="auto"/>
        </w:rPr>
      </w:pPr>
    </w:p>
    <w:p>
      <w:pPr>
        <w:ind w:right="340" w:firstLine="360"/>
        <w:spacing w:after="0" w:line="281"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regarding the timing and progress of the development of the Nautilus platform and any commercialization timelines;</w:t>
      </w:r>
    </w:p>
    <w:p>
      <w:pPr>
        <w:spacing w:after="0" w:line="12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regarding the functionality of the Nautilus platform;</w:t>
      </w:r>
    </w:p>
    <w:p>
      <w:pPr>
        <w:spacing w:after="0" w:line="190" w:lineRule="exact"/>
        <w:rPr>
          <w:rFonts w:ascii="Times New Roman" w:cs="Times New Roman" w:eastAsia="Times New Roman" w:hAnsi="Times New Roman"/>
          <w:sz w:val="20"/>
          <w:szCs w:val="20"/>
          <w:color w:val="auto"/>
        </w:rPr>
      </w:pPr>
    </w:p>
    <w:p>
      <w:pPr>
        <w:ind w:right="600" w:firstLine="360"/>
        <w:spacing w:after="0" w:line="281"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estimates of our addressable market, market growth, future revenue, key performance indicators, expenses, capital requirements and needs for additional financing;</w:t>
      </w:r>
    </w:p>
    <w:p>
      <w:pPr>
        <w:spacing w:after="0" w:line="12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regarding the rate and degree of market acceptance of the Nautilus platform;</w:t>
      </w:r>
    </w:p>
    <w:p>
      <w:pPr>
        <w:spacing w:after="0" w:line="190" w:lineRule="exact"/>
        <w:rPr>
          <w:rFonts w:ascii="Times New Roman" w:cs="Times New Roman" w:eastAsia="Times New Roman" w:hAnsi="Times New Roman"/>
          <w:sz w:val="20"/>
          <w:szCs w:val="20"/>
          <w:color w:val="auto"/>
        </w:rPr>
      </w:pPr>
    </w:p>
    <w:p>
      <w:pPr>
        <w:ind w:right="280" w:firstLine="360"/>
        <w:spacing w:after="0" w:line="281"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the Nautilus platform on the field of proteomics and the size and growth of the addressable proteomics market;</w:t>
      </w:r>
    </w:p>
    <w:p>
      <w:pPr>
        <w:spacing w:after="0" w:line="12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manage and grow our business and commercialize our Nautilus platform;</w:t>
      </w:r>
    </w:p>
    <w:p>
      <w:pPr>
        <w:spacing w:after="0" w:line="19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implement our three phase commercial launch plan;</w:t>
      </w:r>
    </w:p>
    <w:p>
      <w:pPr>
        <w:spacing w:after="0" w:line="19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implementation of our business model and strategic plans for the Nautilus platform;</w:t>
      </w:r>
    </w:p>
    <w:p>
      <w:pPr>
        <w:spacing w:after="0" w:line="190" w:lineRule="exact"/>
        <w:rPr>
          <w:rFonts w:ascii="Times New Roman" w:cs="Times New Roman" w:eastAsia="Times New Roman" w:hAnsi="Times New Roman"/>
          <w:sz w:val="20"/>
          <w:szCs w:val="20"/>
          <w:color w:val="auto"/>
        </w:rPr>
      </w:pPr>
    </w:p>
    <w:p>
      <w:pPr>
        <w:ind w:right="380" w:firstLine="360"/>
        <w:spacing w:after="0" w:line="281"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establish and maintain intellectual property protection for our products or avoid or defend claims of infringement;</w:t>
      </w:r>
    </w:p>
    <w:p>
      <w:pPr>
        <w:spacing w:after="0" w:line="12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regarding the use of proceeds from the Business Combination;</w:t>
      </w:r>
    </w:p>
    <w:p>
      <w:pPr>
        <w:spacing w:after="0" w:line="19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of third-party partners, manufacturers and suppliers;</w:t>
      </w:r>
    </w:p>
    <w:p>
      <w:pPr>
        <w:spacing w:after="0" w:line="19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applicable laws or regulations;</w:t>
      </w:r>
    </w:p>
    <w:p>
      <w:pPr>
        <w:spacing w:after="0" w:line="19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raise financing in the future;</w:t>
      </w:r>
    </w:p>
    <w:p>
      <w:pPr>
        <w:spacing w:after="0" w:line="190" w:lineRule="exact"/>
        <w:rPr>
          <w:rFonts w:ascii="Times New Roman" w:cs="Times New Roman" w:eastAsia="Times New Roman" w:hAnsi="Times New Roman"/>
          <w:sz w:val="20"/>
          <w:szCs w:val="20"/>
          <w:color w:val="auto"/>
        </w:rPr>
      </w:pPr>
    </w:p>
    <w:p>
      <w:pPr>
        <w:ind w:right="340" w:firstLine="360"/>
        <w:spacing w:after="0" w:line="281"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success in retaining or recruiting, or changes required in, our officers, key employees or directors or other key personnel;</w:t>
      </w:r>
    </w:p>
    <w:p>
      <w:pPr>
        <w:spacing w:after="0" w:line="12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volatility of the trading price of our common stock;</w:t>
      </w:r>
    </w:p>
    <w:p>
      <w:pPr>
        <w:spacing w:after="0" w:line="19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develop and commercialize new products;</w:t>
      </w:r>
    </w:p>
    <w:p>
      <w:pPr>
        <w:spacing w:after="0" w:line="19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about market trends;</w:t>
      </w:r>
    </w:p>
    <w:p>
      <w:pPr>
        <w:spacing w:after="0" w:line="190" w:lineRule="exact"/>
        <w:rPr>
          <w:rFonts w:ascii="Times New Roman" w:cs="Times New Roman" w:eastAsia="Times New Roman" w:hAnsi="Times New Roman"/>
          <w:sz w:val="20"/>
          <w:szCs w:val="20"/>
          <w:color w:val="auto"/>
        </w:rPr>
      </w:pPr>
    </w:p>
    <w:p>
      <w:pPr>
        <w:ind w:right="40" w:firstLine="360"/>
        <w:spacing w:after="0" w:line="266"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local, regional, national and international economic conditions and events including the COVID-19 pandemic, the conflicts in Eastern Europe and the Middle East, increasing interest rates, instability in the global financial markets and general economic downturns, on the foregoing; and</w:t>
      </w:r>
    </w:p>
    <w:p>
      <w:pPr>
        <w:spacing w:after="0" w:line="13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factors including but not limited to those detailed under the section entitled “</w:t>
      </w:r>
      <w:r>
        <w:rPr>
          <w:rFonts w:ascii="Times New Roman" w:cs="Times New Roman" w:eastAsia="Times New Roman" w:hAnsi="Times New Roman"/>
          <w:sz w:val="20"/>
          <w:szCs w:val="20"/>
          <w:b w:val="1"/>
          <w:bCs w:val="1"/>
          <w:i w:val="1"/>
          <w:iCs w:val="1"/>
          <w:color w:val="auto"/>
        </w:rPr>
        <w:t>Risk Factors</w:t>
      </w:r>
      <w:r>
        <w:rPr>
          <w:rFonts w:ascii="Times New Roman" w:cs="Times New Roman" w:eastAsia="Times New Roman" w:hAnsi="Times New Roman"/>
          <w:sz w:val="20"/>
          <w:szCs w:val="20"/>
          <w:color w:val="auto"/>
        </w:rPr>
        <w:t>.”</w:t>
      </w:r>
    </w:p>
    <w:p>
      <w:pPr>
        <w:sectPr>
          <w:pgSz w:w="12240" w:h="15840" w:orient="portrait"/>
          <w:cols w:equalWidth="0" w:num="1">
            <w:col w:w="9360"/>
          </w:cols>
          <w:pgMar w:left="1440" w:top="137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2240" w:h="15840" w:orient="portrait"/>
          <w:cols w:equalWidth="0" w:num="1">
            <w:col w:w="9360"/>
          </w:cols>
          <w:pgMar w:left="1440" w:top="1371" w:right="1440" w:bottom="0" w:gutter="0" w:footer="0" w:header="0"/>
          <w:type w:val="continuous"/>
        </w:sectPr>
      </w:pPr>
    </w:p>
    <w:bookmarkStart w:id="6" w:name="page7"/>
    <w:bookmarkEnd w:id="6"/>
    <w:p>
      <w:pPr>
        <w:ind w:right="180" w:firstLine="360"/>
        <w:spacing w:after="0" w:line="266" w:lineRule="auto"/>
        <w:rPr>
          <w:sz w:val="20"/>
          <w:szCs w:val="20"/>
          <w:color w:val="auto"/>
        </w:rPr>
      </w:pPr>
      <w:r>
        <w:rPr>
          <w:rFonts w:ascii="Times New Roman" w:cs="Times New Roman" w:eastAsia="Times New Roman" w:hAnsi="Times New Roman"/>
          <w:sz w:val="20"/>
          <w:szCs w:val="20"/>
          <w:color w:val="auto"/>
        </w:rPr>
        <w:t>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35"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20"/>
          <w:szCs w:val="20"/>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 Item 1A, “Risk Factors,” elsewhere in this Annual Report on Form 10-K. Given these uncertainties, you should not place undue reliance on these forward-looking statements.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Annual Report on Form 10-K may not occur and actual results could differ materially and adversely from those anticipated or implied in the forward-looking statements.</w:t>
      </w:r>
    </w:p>
    <w:p>
      <w:pPr>
        <w:spacing w:after="0" w:line="153" w:lineRule="exact"/>
        <w:rPr>
          <w:sz w:val="20"/>
          <w:szCs w:val="20"/>
          <w:color w:val="auto"/>
        </w:rPr>
      </w:pPr>
    </w:p>
    <w:p>
      <w:pPr>
        <w:ind w:right="200" w:firstLine="360"/>
        <w:spacing w:after="0" w:line="260" w:lineRule="auto"/>
        <w:rPr>
          <w:sz w:val="20"/>
          <w:szCs w:val="20"/>
          <w:color w:val="auto"/>
        </w:rPr>
      </w:pPr>
      <w:r>
        <w:rPr>
          <w:rFonts w:ascii="Times New Roman" w:cs="Times New Roman" w:eastAsia="Times New Roman" w:hAnsi="Times New Roman"/>
          <w:sz w:val="20"/>
          <w:szCs w:val="20"/>
          <w:color w:val="auto"/>
        </w:rPr>
        <w:t>The forward-looking statements made in this Annual Report on Form 10-K relate only to events as of the date on which the statements are made.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143" w:lineRule="exact"/>
        <w:rPr>
          <w:sz w:val="20"/>
          <w:szCs w:val="20"/>
          <w:color w:val="auto"/>
        </w:rPr>
      </w:pPr>
    </w:p>
    <w:p>
      <w:pPr>
        <w:ind w:right="60" w:firstLine="360"/>
        <w:spacing w:after="0" w:line="255" w:lineRule="auto"/>
        <w:rPr>
          <w:sz w:val="20"/>
          <w:szCs w:val="20"/>
          <w:color w:val="auto"/>
        </w:rPr>
      </w:pPr>
      <w:r>
        <w:rPr>
          <w:rFonts w:ascii="Times New Roman" w:cs="Times New Roman" w:eastAsia="Times New Roman" w:hAnsi="Times New Roman"/>
          <w:sz w:val="20"/>
          <w:szCs w:val="20"/>
          <w:color w:val="auto"/>
        </w:rPr>
        <w:t>This Annual Report on Form 10-K also contains estimates, projections and other information concerning our industry, our business, and market opportunity, including data regarding the estimated size of the market.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50" w:lineRule="exact"/>
        <w:rPr>
          <w:sz w:val="20"/>
          <w:szCs w:val="20"/>
          <w:color w:val="auto"/>
        </w:rPr>
      </w:pPr>
    </w:p>
    <w:p>
      <w:pPr>
        <w:ind w:right="20" w:firstLine="360"/>
        <w:spacing w:after="0" w:line="256" w:lineRule="auto"/>
        <w:rPr>
          <w:sz w:val="20"/>
          <w:szCs w:val="20"/>
          <w:color w:val="auto"/>
        </w:rPr>
      </w:pPr>
      <w:r>
        <w:rPr>
          <w:rFonts w:ascii="Times New Roman" w:cs="Times New Roman" w:eastAsia="Times New Roman" w:hAnsi="Times New Roman"/>
          <w:sz w:val="20"/>
          <w:szCs w:val="20"/>
          <w:color w:val="auto"/>
        </w:rPr>
        <w:t>This Annual Report on Form 10-K contains references to trademarks and service marks belonging to other entities. Solely for convenience, trademarks and trade names referred to in this Annual Report on Form 10-K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2240" w:h="15840" w:orient="portrait"/>
          <w:cols w:equalWidth="0" w:num="1">
            <w:col w:w="9360"/>
          </w:cols>
          <w:pgMar w:left="1440" w:top="1378" w:right="1440" w:bottom="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24"/>
          <w:szCs w:val="24"/>
          <w:b w:val="1"/>
          <w:bCs w:val="1"/>
          <w:color w:val="auto"/>
        </w:rPr>
        <w:t>Part I</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BACKGROUND OF BUSINESS COMBINATION</w:t>
      </w:r>
    </w:p>
    <w:p>
      <w:pPr>
        <w:spacing w:after="0" w:line="197" w:lineRule="exact"/>
        <w:rPr>
          <w:sz w:val="20"/>
          <w:szCs w:val="20"/>
          <w:color w:val="auto"/>
        </w:rPr>
      </w:pPr>
    </w:p>
    <w:p>
      <w:pPr>
        <w:ind w:right="140" w:firstLine="360"/>
        <w:spacing w:after="0" w:line="268" w:lineRule="auto"/>
        <w:rPr>
          <w:sz w:val="20"/>
          <w:szCs w:val="20"/>
          <w:color w:val="auto"/>
        </w:rPr>
      </w:pPr>
      <w:r>
        <w:rPr>
          <w:rFonts w:ascii="Times New Roman" w:cs="Times New Roman" w:eastAsia="Times New Roman" w:hAnsi="Times New Roman"/>
          <w:sz w:val="19"/>
          <w:szCs w:val="19"/>
          <w:color w:val="auto"/>
        </w:rPr>
        <w:t>On June 9, 2021 (the “Closing Date”), Nautilus Biotechnology, Inc., a Delaware corporation (f/k/a ARYA Sciences Acquisition Corp III (“ARYA”)), consummated the business combination (the “Business Combination”) pursuant to the terms of that certain Business Combination Agreement, dated as of February 7, 2021 (the “Business Combination Agreement”), by and among ARYA, Mako Merger Sub, Inc., a Delaware corporation and wholly-owned subsidiary of ARYA (“Mako Merger Sub”), and Nautilus Subsidiary, Inc., a Delaware corporation (f/k/a Nautilus Biotechnology, Inc.) (“Legacy Nautilus”). The Business Combination Agreement provided for, among other things, (i) the domestication of ARYA as a corporation incorporated under the laws of the State of Delaware, upon which ARYA changed its name to “Nautilus Biotechnology, Inc.” (together with its consolidated subsidiary, the “Company” “New Nautilus” or “Nautilus”) and (ii) the merger of Mako Merger Sub with and into Legacy Nautilus (the “Merger”), with Legacy Nautilus as the surviving company in the Merger and, after giving effect to such Merger, Legacy Nautilus becoming a wholly-owned subsidiary of New Nautilus.</w:t>
      </w:r>
    </w:p>
    <w:p>
      <w:pPr>
        <w:spacing w:after="0" w:line="140" w:lineRule="exact"/>
        <w:rPr>
          <w:sz w:val="20"/>
          <w:szCs w:val="20"/>
          <w:color w:val="auto"/>
        </w:rPr>
      </w:pPr>
    </w:p>
    <w:p>
      <w:pPr>
        <w:ind w:right="260" w:firstLine="360"/>
        <w:spacing w:after="0" w:line="258" w:lineRule="auto"/>
        <w:rPr>
          <w:sz w:val="20"/>
          <w:szCs w:val="20"/>
          <w:color w:val="auto"/>
        </w:rPr>
      </w:pPr>
      <w:r>
        <w:rPr>
          <w:rFonts w:ascii="Times New Roman" w:cs="Times New Roman" w:eastAsia="Times New Roman" w:hAnsi="Times New Roman"/>
          <w:sz w:val="20"/>
          <w:szCs w:val="20"/>
          <w:color w:val="auto"/>
        </w:rPr>
        <w:t>Concurrently with the execution of the Business Combination Agreement, ARYA entered into Subscription Agreements (each, a “Subscription Agreement”) with certain investors (each, a “PIPE Investor”), pursuant to which the PIPE Investors subscribed for and purchased, and ARYA issued and sold to the PIPE Investors, on the Closing Date, an aggregate of 20,000,000 shares of common stock of New Nautilus (“Common Stock”) for aggregate gross proceeds of $200,000,000 (the “PIPE Financing”).</w:t>
      </w:r>
    </w:p>
    <w:p>
      <w:pPr>
        <w:spacing w:after="0" w:line="144" w:lineRule="exact"/>
        <w:rPr>
          <w:sz w:val="20"/>
          <w:szCs w:val="20"/>
          <w:color w:val="auto"/>
        </w:rPr>
      </w:pPr>
    </w:p>
    <w:p>
      <w:pPr>
        <w:ind w:right="740" w:firstLine="360"/>
        <w:spacing w:after="0" w:line="281" w:lineRule="auto"/>
        <w:rPr>
          <w:sz w:val="20"/>
          <w:szCs w:val="20"/>
          <w:color w:val="auto"/>
        </w:rPr>
      </w:pPr>
      <w:r>
        <w:rPr>
          <w:rFonts w:ascii="Times New Roman" w:cs="Times New Roman" w:eastAsia="Times New Roman" w:hAnsi="Times New Roman"/>
          <w:sz w:val="20"/>
          <w:szCs w:val="20"/>
          <w:color w:val="auto"/>
        </w:rPr>
        <w:t>As of the open of trading on June 10, 2021, the Common Stock began trading on the Nasdaq Global Select Market (“Nasdaq”) under the symbol “NAUT.”</w:t>
      </w:r>
    </w:p>
    <w:p>
      <w:pPr>
        <w:spacing w:after="0" w:line="121" w:lineRule="exact"/>
        <w:rPr>
          <w:sz w:val="20"/>
          <w:szCs w:val="20"/>
          <w:color w:val="auto"/>
        </w:rPr>
      </w:pPr>
    </w:p>
    <w:p>
      <w:pPr>
        <w:jc w:val="both"/>
        <w:ind w:right="240" w:firstLine="360"/>
        <w:spacing w:after="0" w:line="286" w:lineRule="auto"/>
        <w:rPr>
          <w:sz w:val="20"/>
          <w:szCs w:val="20"/>
          <w:color w:val="auto"/>
        </w:rPr>
      </w:pPr>
      <w:r>
        <w:rPr>
          <w:rFonts w:ascii="Times New Roman" w:cs="Times New Roman" w:eastAsia="Times New Roman" w:hAnsi="Times New Roman"/>
          <w:sz w:val="19"/>
          <w:szCs w:val="19"/>
          <w:color w:val="auto"/>
        </w:rPr>
        <w:t>Unless expressly indicated or the context requires otherwise, the terms “Nautilus,” “New Nautilus,” the “Company,” the “Registrant,” “we,” “us” and “our” in this Form 10-K refer to Nautilus Biotechnology, Inc., the parent entity formerly named ARYA Sciences Acquisition Corp III, and where appropriate, our wholly-owned subsidiaries (including Legacy Nautilus).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97"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20"/>
          <w:szCs w:val="20"/>
          <w:color w:val="auto"/>
        </w:rPr>
        <w:t>We are a development stage life sciences company creating a platform technology for quantifying and unlocking the complexity of the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proteome analysis system, an instrument to perform massively parallel single protein molecule measurements which will be further developed to deliver the speed, simplicity, accuracy, and versatility that we believe is necessary to establish a new gold standard in the field.</w:t>
      </w:r>
    </w:p>
    <w:p>
      <w:pPr>
        <w:spacing w:after="0" w:line="149"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The human proteome, the make-up of all the proteins in a human, is among the most dynamic and valuable sources of biological insight in modern-day science. Unlike the genome, which is largely unchanging throughout an individual’s lifetime, the proteome is an ever-changing source of biological information. Our proteins directly control and determine the functions of our cells, yet we lack the ability to measure all of them with the ease, breadth and sensitivity that is used to measure DNA today. We believe that deep characterization of the proteome will have the potential to unveil an entirely new layer of complexity and valuable biological information that may have significant implications across life sciences, healthcare and drug development. Approximately 95% of FDA-approved drug targets are proteins, and yet today we still lack the ability to routinely read and quantify all of the proteins in our cells, or to fully map the downstream changes and modifications to those proteins which may define their biological function.</w:t>
      </w:r>
    </w:p>
    <w:p>
      <w:pPr>
        <w:spacing w:after="0" w:line="149" w:lineRule="exact"/>
        <w:rPr>
          <w:sz w:val="20"/>
          <w:szCs w:val="20"/>
          <w:color w:val="auto"/>
        </w:rPr>
      </w:pPr>
    </w:p>
    <w:p>
      <w:pPr>
        <w:ind w:firstLine="360"/>
        <w:spacing w:after="0" w:line="275" w:lineRule="auto"/>
        <w:rPr>
          <w:sz w:val="20"/>
          <w:szCs w:val="20"/>
          <w:color w:val="auto"/>
        </w:rPr>
      </w:pPr>
      <w:r>
        <w:rPr>
          <w:rFonts w:ascii="Times New Roman" w:cs="Times New Roman" w:eastAsia="Times New Roman" w:hAnsi="Times New Roman"/>
          <w:sz w:val="19"/>
          <w:szCs w:val="19"/>
          <w:color w:val="auto"/>
        </w:rPr>
        <w:t>By leveraging our novel design coupled with advanced machine learning software, we believe our Nautilus platform, which includes our end-to-end solution comprised of the proteome analysis system, consumables, and software, has the potential to rapidly and reproducibly identify up to approximately 95% of proteins in a sample from virtually any organism, and could have the ability to detect and map the diverse landscape of modifications on those proteins. We believe that unlocking proteomics has the potential to create a long-term transformation of basic science, translational research, and healthcare.</w:t>
      </w:r>
    </w:p>
    <w:p>
      <w:pPr>
        <w:spacing w:after="0" w:line="128" w:lineRule="exact"/>
        <w:rPr>
          <w:sz w:val="20"/>
          <w:szCs w:val="20"/>
          <w:color w:val="auto"/>
        </w:rPr>
      </w:pPr>
    </w:p>
    <w:p>
      <w:pPr>
        <w:ind w:firstLine="360"/>
        <w:spacing w:after="0" w:line="286" w:lineRule="auto"/>
        <w:rPr>
          <w:sz w:val="20"/>
          <w:szCs w:val="20"/>
          <w:color w:val="auto"/>
        </w:rPr>
      </w:pPr>
      <w:r>
        <w:rPr>
          <w:rFonts w:ascii="Times New Roman" w:cs="Times New Roman" w:eastAsia="Times New Roman" w:hAnsi="Times New Roman"/>
          <w:sz w:val="19"/>
          <w:szCs w:val="19"/>
          <w:color w:val="auto"/>
        </w:rPr>
        <w:t>Current proteomics platforms for broadly quantifying the abundance of proteins within samples generally fall into two classes: affinity-based and mass spectrometry-based methods. For years, these methods have facilitated novel drug development and improved diagnostics. As with most technology platforms however, these also suffer from distinct limitations that make</w:t>
      </w:r>
    </w:p>
    <w:p>
      <w:pPr>
        <w:sectPr>
          <w:pgSz w:w="12240" w:h="15840" w:orient="portrait"/>
          <w:cols w:equalWidth="0" w:num="1">
            <w:col w:w="10240"/>
          </w:cols>
          <w:pgMar w:left="1000" w:top="771" w:right="1000" w:bottom="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2240" w:h="15840" w:orient="portrait"/>
          <w:cols w:equalWidth="0" w:num="1">
            <w:col w:w="10240"/>
          </w:cols>
          <w:pgMar w:left="1000" w:top="771" w:right="1000" w:bottom="0" w:gutter="0" w:footer="0" w:header="0"/>
          <w:type w:val="continuous"/>
        </w:sectPr>
      </w:pPr>
    </w:p>
    <w:bookmarkStart w:id="8" w:name="page9"/>
    <w:bookmarkEnd w:id="8"/>
    <w:p>
      <w:pPr>
        <w:spacing w:after="0" w:line="252" w:lineRule="auto"/>
        <w:rPr>
          <w:sz w:val="20"/>
          <w:szCs w:val="20"/>
          <w:color w:val="auto"/>
        </w:rPr>
      </w:pPr>
      <w:r>
        <w:rPr>
          <w:rFonts w:ascii="Times New Roman" w:cs="Times New Roman" w:eastAsia="Times New Roman" w:hAnsi="Times New Roman"/>
          <w:sz w:val="20"/>
          <w:szCs w:val="20"/>
          <w:color w:val="auto"/>
        </w:rPr>
        <w:t>simple, high-throughput, ultra-deep characterization of the proteome challenging. Mass spectrometry approaches have tremendous flexibility and thus have been applied to a wide range of applications, however their use requires a trade-off to be made between either depth or throughput; meaning that a researcher can either look at one sample in a deep analysis or at many samples in a shallow analysis. Additionally, challenges in ease of use and sensitivity have limited the ability of mass spectrometry-based methods from easily, broadly and quickly characterizing the entirety of the proteome. Affinity-based approaches use the binding attraction of antibodies to proteins to capture and measure protein targets in parallel. These technologies can provide greater sensitivity, however this approach is directly dependent on the availability of high quality, highly specific and sensitive affinity reagents, which can limit the scale, reproducibility and accuracy. Consequently, we believe researchers are forced into an unattractive trade-off between the number of samples in a study and the depth and breadth of the analysis. These trade-offs limit researchers’ ability to advance characterization of the proteome to match the current, and highly valuable, characterization of the genome. We believe the limitations of both platforms have prevented progress towards achieving comprehensive proteome and deep proteoform characterization. If detecting and quantifying the complexity of the human proteome were as simple and easy as detecting an entire human genome, we believe a new set of questions could be asked:</w:t>
      </w:r>
    </w:p>
    <w:p>
      <w:pPr>
        <w:spacing w:after="0" w:line="159" w:lineRule="exact"/>
        <w:rPr>
          <w:sz w:val="20"/>
          <w:szCs w:val="20"/>
          <w:color w:val="auto"/>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Down to the very low frequencies of expressed proteins, how are healthy tissue cells different from diseased cells?</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What will a comprehensive map of nearly all proteins by organ tissue type tell us about our biology?</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What specific patterns of protein modifications are present in disease, and why?</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What happens to our proteome when we get sick, and how does it change with treatment?</w:t>
      </w:r>
    </w:p>
    <w:p>
      <w:pPr>
        <w:spacing w:after="0" w:line="190" w:lineRule="exact"/>
        <w:rPr>
          <w:sz w:val="20"/>
          <w:szCs w:val="20"/>
          <w:color w:val="auto"/>
        </w:rPr>
      </w:pPr>
    </w:p>
    <w:p>
      <w:pPr>
        <w:ind w:right="80" w:firstLine="360"/>
        <w:spacing w:after="0" w:line="254" w:lineRule="auto"/>
        <w:rPr>
          <w:sz w:val="20"/>
          <w:szCs w:val="20"/>
          <w:color w:val="auto"/>
        </w:rPr>
      </w:pPr>
      <w:r>
        <w:rPr>
          <w:rFonts w:ascii="Times New Roman" w:cs="Times New Roman" w:eastAsia="Times New Roman" w:hAnsi="Times New Roman"/>
          <w:sz w:val="20"/>
          <w:szCs w:val="20"/>
          <w:color w:val="auto"/>
        </w:rPr>
        <w:t>We believe that our Nautilus platform has the potential to position us to answer these questions, and many others that have not previously been possible to fully investigate. Due to the extensive applications and broad potential of large-scale proteomic characterization, we believe the proteomics market is currently among one of the largest untapped opportunities in the biological sciences today. According to BCC Research, the existing proteomics research market is currently estimated to be approximately $27 billion annual spend as of 2022, made up primarily of mass spectrometry and affinity-based quantification methods. Over the longer-term, the proteomics market is expected to reach approximately $55 billion by 2027, representing a compound annual growth rate, or CAGR, of 15% over the five-year period. Further, we believe there are substantial adjacent opportunities across translational research in drug target discovery, precision medicine development, clinical diagnostics, and other disciplines such as food and environmental science.</w:t>
      </w:r>
    </w:p>
    <w:p>
      <w:pPr>
        <w:spacing w:after="0" w:line="149" w:lineRule="exact"/>
        <w:rPr>
          <w:sz w:val="20"/>
          <w:szCs w:val="20"/>
          <w:color w:val="auto"/>
        </w:rPr>
      </w:pPr>
    </w:p>
    <w:p>
      <w:pPr>
        <w:ind w:right="40" w:firstLine="360"/>
        <w:spacing w:after="0" w:line="252" w:lineRule="auto"/>
        <w:rPr>
          <w:sz w:val="20"/>
          <w:szCs w:val="20"/>
          <w:color w:val="auto"/>
        </w:rPr>
      </w:pPr>
      <w:r>
        <w:rPr>
          <w:rFonts w:ascii="Times New Roman" w:cs="Times New Roman" w:eastAsia="Times New Roman" w:hAnsi="Times New Roman"/>
          <w:sz w:val="20"/>
          <w:szCs w:val="20"/>
          <w:color w:val="auto"/>
        </w:rPr>
        <w:t>We plan to initially target the life sciences proteomics research market and are currently entering the first phase of our product development and commercialization strategy. In this first phase, we are focused on developing partnerships with key biopharma companies and leading academic institutions to create a founding group of collaborators that will gain experience with our technology, jointly publish research using our Nautilus platform, and generally help validate our initial applications. As of the date of filing this Annual Report, we have partnerships with Genentech, Amgen, The University of Texas MD Anderson Cancer Research Center, and the Translational Genomics Research Institute, among others. In the second phase we plan to launch an early access program to an expanded group of customers. We believe these customers will become important reference sites and key influencers that aid in the market adoption of our Nautilus platform, and will help us build a strong value proposition ahead of full commercial launch. In our third phase of commercialization, we intend to execute a broad commercial launch of our Nautilus platform including the introduction of our proteome analysis system, which is an integrated fluidics and optics system for massively parallel single protein molecule detection, accompanied by consumable reagents and analysis software, in direct sales to customers across academia and industry. The launch of our proteome analysis system is expected to be done with a multi-year product roadmap of system enhancements and new applications designed to help our customers achieve their research objectives and expand the utility of our Nautilus platform. We also plan to leverage our machine learning software to build a data analysis and insights engine that improves over time as we grow our data sources and the analysis learns to deliver better accuracy and identify new potential discoveries. We believe by following this methodical pathway, we can optimize the development of our Nautilus platform, establish a steady flow of validating publications, appropriately scale our operations, deliver exceptional customer experiences, and help ensure we are delivering long term value and revenue growth.</w:t>
      </w:r>
    </w:p>
    <w:p>
      <w:pPr>
        <w:spacing w:after="0" w:line="152" w:lineRule="exact"/>
        <w:rPr>
          <w:sz w:val="20"/>
          <w:szCs w:val="20"/>
          <w:color w:val="auto"/>
        </w:rPr>
      </w:pPr>
    </w:p>
    <w:p>
      <w:pPr>
        <w:ind w:right="160" w:firstLine="360"/>
        <w:spacing w:after="0" w:line="272" w:lineRule="auto"/>
        <w:rPr>
          <w:sz w:val="20"/>
          <w:szCs w:val="20"/>
          <w:color w:val="auto"/>
        </w:rPr>
      </w:pPr>
      <w:r>
        <w:rPr>
          <w:rFonts w:ascii="Times New Roman" w:cs="Times New Roman" w:eastAsia="Times New Roman" w:hAnsi="Times New Roman"/>
          <w:sz w:val="19"/>
          <w:szCs w:val="19"/>
          <w:color w:val="auto"/>
        </w:rPr>
        <w:t>Since inception in 2016, we have worked diligently to secure a strong intellectual property portfolio, and we have successfully filed and obtained numerous key patents. Our management team also brings a unique combination of experiences from the fields of technology and life sciences, with a proven track record of building successful businesses based on novel technology. Our company is a highly interdisciplinary organization, and as of December 31, 2023 we were comprised of approximately 167 employees, with 59 of such employees holding a Ph.D. Our organization is driven by the pursuit of deep, hard science, and our Scientific Advisory Board is comprised of world-renowned scientific leaders that support our vision.</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2240" w:h="15840" w:orient="portrait"/>
          <w:cols w:equalWidth="0" w:num="1">
            <w:col w:w="10240"/>
          </w:cols>
          <w:pgMar w:left="1000" w:top="793" w:right="1000" w:bottom="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color w:val="auto"/>
        </w:rPr>
        <w:t>OUR STRENGTHS</w:t>
      </w:r>
    </w:p>
    <w:p>
      <w:pPr>
        <w:spacing w:after="0" w:line="191" w:lineRule="exact"/>
        <w:rPr>
          <w:sz w:val="20"/>
          <w:szCs w:val="20"/>
          <w:color w:val="auto"/>
        </w:rPr>
      </w:pPr>
    </w:p>
    <w:p>
      <w:pPr>
        <w:ind w:left="720" w:right="60" w:hanging="370"/>
        <w:spacing w:after="0" w:line="254"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Highly disruptive proteomics technology. </w:t>
      </w:r>
      <w:r>
        <w:rPr>
          <w:rFonts w:ascii="Times New Roman" w:cs="Times New Roman" w:eastAsia="Times New Roman" w:hAnsi="Times New Roman"/>
          <w:sz w:val="20"/>
          <w:szCs w:val="20"/>
          <w:color w:val="auto"/>
        </w:rPr>
        <w:t>Our Nautilus proteome analysis platform is designed to be a disruptive,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single protein molecule analysis technology of extreme sensitivity, scale, and ease-of-use. Leveraging a novel system architecture, advanced machine learning and algorithms, we believe our Nautilus platform has the potential to identify substantially all proteins in a sample from almost any organism. We have designed our Nautilus platform technology by substantially reimagining methods of protein analysis, rather than an incremental or evolutionary advancement. We refer to Nautilus’ framework for what we believe to be a fundamentally different approach to protein analysis as Protein Identification by Short-epitope Mapping (PrISM). We believe that the prototype of our Nautilus proteome analysis system has also demonstrated the ability to detect the patterns of modifications made to proteins, while preserving the context of those modifications on the molecule where they exist, a capability that we do not believe is possible with existing affinity-based or shotgun mass spectrometry-based methods.</w:t>
      </w:r>
    </w:p>
    <w:p>
      <w:pPr>
        <w:spacing w:after="0" w:line="146" w:lineRule="exact"/>
        <w:rPr>
          <w:rFonts w:ascii="Times New Roman" w:cs="Times New Roman" w:eastAsia="Times New Roman" w:hAnsi="Times New Roman"/>
          <w:sz w:val="20"/>
          <w:szCs w:val="20"/>
          <w:color w:val="auto"/>
        </w:rPr>
      </w:pPr>
    </w:p>
    <w:p>
      <w:pPr>
        <w:ind w:left="720" w:right="80" w:hanging="370"/>
        <w:spacing w:after="0" w:line="256"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Novel end-to-end proteomics detection platform of extreme sensitivity. </w:t>
      </w:r>
      <w:r>
        <w:rPr>
          <w:rFonts w:ascii="Times New Roman" w:cs="Times New Roman" w:eastAsia="Times New Roman" w:hAnsi="Times New Roman"/>
          <w:sz w:val="20"/>
          <w:szCs w:val="20"/>
          <w:color w:val="auto"/>
        </w:rPr>
        <w:t>We aim to be the first commercially available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proteomics detection platform technology and end-to-end solution to decode and quantify virtually the entire proteome, including the variations and modifications of proteins. Our Nautilus platform consists of instruments, reagent consumables and software that we believe has the potential to deliver broad proteomic profiling to the market and potentially unlock the vast, dynamic, and valuable biological information contained in the proteome. With each instrument sale, there is expected to be accompanying recurring revenue comprised of reagent consumable sales, instrumentation service, support, and software that creates a comprehensive proteomics solution.</w:t>
      </w:r>
    </w:p>
    <w:p>
      <w:pPr>
        <w:spacing w:after="0" w:line="142" w:lineRule="exact"/>
        <w:rPr>
          <w:rFonts w:ascii="Times New Roman" w:cs="Times New Roman" w:eastAsia="Times New Roman" w:hAnsi="Times New Roman"/>
          <w:sz w:val="20"/>
          <w:szCs w:val="20"/>
          <w:color w:val="auto"/>
        </w:rPr>
      </w:pPr>
    </w:p>
    <w:p>
      <w:pPr>
        <w:ind w:left="720" w:right="100" w:hanging="370"/>
        <w:spacing w:after="0" w:line="254"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Open, flexible and customizable technology platform. </w:t>
      </w:r>
      <w:r>
        <w:rPr>
          <w:rFonts w:ascii="Times New Roman" w:cs="Times New Roman" w:eastAsia="Times New Roman" w:hAnsi="Times New Roman"/>
          <w:sz w:val="20"/>
          <w:szCs w:val="20"/>
          <w:color w:val="auto"/>
        </w:rPr>
        <w:t>Our Nautilus platform is designed to allow our customers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analyze their samples in a variety of run configurations by utilizing flow cells which each contain 4 discrete and independent lanes, analyzed on an instrument that can be loaded with up to 3 flow cells per run. At launch, our platform is designed to either maximize analysis depth by running all 12 lanes on 1 sample, or maximize analysis throughput by running a single sample per lane. This design is also highly compatible with molecular barcoding, which may be introduced in the future to multiplex increasingly larger sample numbers per run. Further, with the introduction of an affinity binding reagent labeling kit, our platform is also designed to be able to incorporate off-the-shelf affinity binding reagents that have already been created by biopharma, academia, or commercial affinity reagent manufacturers. We believe that the ability to customize the type of analysis performed by adding or combining these affinity binding reagents with our Nautilus provided reagent kits could provide a very powerful and desirable analysis for our customers.</w:t>
      </w:r>
    </w:p>
    <w:p>
      <w:pPr>
        <w:spacing w:after="0" w:line="142" w:lineRule="exact"/>
        <w:rPr>
          <w:rFonts w:ascii="Times New Roman" w:cs="Times New Roman" w:eastAsia="Times New Roman" w:hAnsi="Times New Roman"/>
          <w:sz w:val="20"/>
          <w:szCs w:val="20"/>
          <w:color w:val="auto"/>
        </w:rPr>
      </w:pPr>
    </w:p>
    <w:p>
      <w:pPr>
        <w:ind w:left="720" w:right="40" w:hanging="370"/>
        <w:spacing w:after="0" w:line="255"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Immense data production capacity coupled with machine learning can unlock new proteomic insights. </w:t>
      </w:r>
      <w:r>
        <w:rPr>
          <w:rFonts w:ascii="Times New Roman" w:cs="Times New Roman" w:eastAsia="Times New Roman" w:hAnsi="Times New Roman"/>
          <w:sz w:val="20"/>
          <w:szCs w:val="20"/>
          <w:color w:val="auto"/>
        </w:rPr>
        <w:t>We have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designed the Nautilus platform to create and process a vast amount of proteomic data. The Nautilus platform is expected to generate up to approximately 20 terabytes of digital protein data per run, which will then be decoded using our proprietary machine learning algorithms and cloud-based data processing infrastructure. As we expand and enrich our database with increasing amounts of digital proteomic data over time, we plan to deploy our machine learning algorithms to continuously improve and benefit from each new experiment generated with our Nautilus platform. We believe that this feedback loop has the potential to deliver future value to our customers through the continuous improvements in our analytics, thereby encouraging the analysis, and re-analysis, of more samples through our Nautilus platform to benefit from these advancements.</w:t>
      </w:r>
    </w:p>
    <w:p>
      <w:pPr>
        <w:spacing w:after="0" w:line="140" w:lineRule="exact"/>
        <w:rPr>
          <w:rFonts w:ascii="Times New Roman" w:cs="Times New Roman" w:eastAsia="Times New Roman" w:hAnsi="Times New Roman"/>
          <w:sz w:val="20"/>
          <w:szCs w:val="20"/>
          <w:color w:val="auto"/>
        </w:rPr>
      </w:pPr>
    </w:p>
    <w:p>
      <w:pPr>
        <w:ind w:left="720" w:right="100" w:hanging="370"/>
        <w:spacing w:after="0" w:line="255"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Commercial model with clear market entry point, designed to support a wide variety of customers and applications. </w:t>
      </w:r>
      <w:r>
        <w:rPr>
          <w:rFonts w:ascii="Times New Roman" w:cs="Times New Roman" w:eastAsia="Times New Roman" w:hAnsi="Times New Roman"/>
          <w:sz w:val="20"/>
          <w:szCs w:val="20"/>
          <w:color w:val="auto"/>
        </w:rPr>
        <w:t>Many successful life sciences research tools companies with disruptive technology have employed a business model similar to our planned commercial model. However, we believe a key advantage for us is the near-term commercial opportunity of capitalizing on the existing mass spectrometry-based proteomics marketplace estimated at over 16,000 installed systems. Our price point is expected to be in-line with mass spectrometry system budgets allocated for broad scale proteomics applications, and thus with a premium instrumentation average selling price, we plan to operate with a very efficient sales model. Further, since the early days of our product development, we have consulted with biopharma companies, academic institutions and research organizations to inform our product development plan and specifically address our target customer needs.</w:t>
      </w:r>
    </w:p>
    <w:p>
      <w:pPr>
        <w:spacing w:after="0" w:line="140" w:lineRule="exact"/>
        <w:rPr>
          <w:rFonts w:ascii="Times New Roman" w:cs="Times New Roman" w:eastAsia="Times New Roman" w:hAnsi="Times New Roman"/>
          <w:sz w:val="20"/>
          <w:szCs w:val="20"/>
          <w:color w:val="auto"/>
        </w:rPr>
      </w:pPr>
    </w:p>
    <w:p>
      <w:pPr>
        <w:ind w:left="720" w:hanging="370"/>
        <w:spacing w:after="0" w:line="272" w:lineRule="auto"/>
        <w:tabs>
          <w:tab w:leader="none" w:pos="7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Our Nautilus platform technology could position us as a leader in a large initial life sciences research market and provide a path to the clinical diagnostics. </w:t>
      </w:r>
      <w:r>
        <w:rPr>
          <w:rFonts w:ascii="Times New Roman" w:cs="Times New Roman" w:eastAsia="Times New Roman" w:hAnsi="Times New Roman"/>
          <w:sz w:val="19"/>
          <w:szCs w:val="19"/>
          <w:color w:val="auto"/>
        </w:rPr>
        <w:t>The global proteomics market is estimated to be approximately $27 billion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annually as of 2022 and is expected to grow at an estimated 15% CAGR from 2022 to 2027 according to BCC Research. Furthermore, we believe our Nautilus platform has the potential to facilitate a broader transformation across life sciences and healthcare, and therefore significantly augment our total addressable market over time. We believe there are multiple high-value research applications in precision and personalized medicine, drug discovery, and clinical diagnostics that can be unlocked by accurate, reproduceable, and cost effective proteomic profiling. As the proteomics</w:t>
      </w:r>
    </w:p>
    <w:p>
      <w:pPr>
        <w:sectPr>
          <w:pgSz w:w="12240" w:h="15840" w:orient="portrait"/>
          <w:cols w:equalWidth="0" w:num="1">
            <w:col w:w="10240"/>
          </w:cols>
          <w:pgMar w:left="1000" w:top="786" w:right="1000" w:bottom="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2240" w:h="15840" w:orient="portrait"/>
          <w:cols w:equalWidth="0" w:num="1">
            <w:col w:w="10240"/>
          </w:cols>
          <w:pgMar w:left="1000" w:top="786" w:right="1000" w:bottom="0" w:gutter="0" w:footer="0" w:header="0"/>
          <w:type w:val="continuous"/>
        </w:sectPr>
      </w:pPr>
    </w:p>
    <w:bookmarkStart w:id="10" w:name="page11"/>
    <w:bookmarkEnd w:id="10"/>
    <w:p>
      <w:pPr>
        <w:jc w:val="both"/>
        <w:ind w:left="720" w:right="260"/>
        <w:spacing w:after="0" w:line="309" w:lineRule="auto"/>
        <w:rPr>
          <w:sz w:val="20"/>
          <w:szCs w:val="20"/>
          <w:color w:val="auto"/>
        </w:rPr>
      </w:pPr>
      <w:r>
        <w:rPr>
          <w:rFonts w:ascii="Times New Roman" w:cs="Times New Roman" w:eastAsia="Times New Roman" w:hAnsi="Times New Roman"/>
          <w:sz w:val="19"/>
          <w:szCs w:val="19"/>
          <w:color w:val="auto"/>
        </w:rPr>
        <w:t>market continues to mature, and if our technology is validated across translational research applications, we believe our Nautilus platform could transfer well into the clinical setting prior technologies have thus far been unable reach.</w:t>
      </w:r>
    </w:p>
    <w:p>
      <w:pPr>
        <w:spacing w:after="0" w:line="91" w:lineRule="exact"/>
        <w:rPr>
          <w:sz w:val="20"/>
          <w:szCs w:val="20"/>
          <w:color w:val="auto"/>
        </w:rPr>
      </w:pPr>
    </w:p>
    <w:p>
      <w:pPr>
        <w:ind w:left="720" w:right="20" w:hanging="370"/>
        <w:spacing w:after="0" w:line="254"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Our experienced, multidisciplinary team brings together a group of individuals with diverse backgrounds to disrupt the field of proteomics. </w:t>
      </w:r>
      <w:r>
        <w:rPr>
          <w:rFonts w:ascii="Times New Roman" w:cs="Times New Roman" w:eastAsia="Times New Roman" w:hAnsi="Times New Roman"/>
          <w:sz w:val="20"/>
          <w:szCs w:val="20"/>
          <w:color w:val="auto"/>
        </w:rPr>
        <w:t>Nautilus’ leadership team represents a unique and valuable hybrid of technology and biotech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experience. Several members of the executive team and board of directors held leadership roles at Illumina and Isilon, and helped to guide strategy and manage execution both before and throughout the rapid growth and success for those businesses. We view the core design thesis behind the Nautilus platform technology development as a non-traditional approach to new product development within life sciences that requires thinking at the intersection of three unique disciplines not often found together—life sciences, computer and data sciences, and physical sciences and engineering. As such, we have assembled a team of individuals with experience across many different disciplines, including protein biochemists, nano-fabrication engineers, software and machine learning engineers, single-molecule biophysicists, optical engineers and others, all working together toward our common goal.</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STRATEGY</w:t>
      </w:r>
    </w:p>
    <w:p>
      <w:pPr>
        <w:spacing w:after="0" w:line="191" w:lineRule="exact"/>
        <w:rPr>
          <w:sz w:val="20"/>
          <w:szCs w:val="20"/>
          <w:color w:val="auto"/>
        </w:rPr>
      </w:pPr>
    </w:p>
    <w:p>
      <w:pPr>
        <w:ind w:left="720" w:hanging="370"/>
        <w:spacing w:after="0" w:line="254"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Drive adoption of our Nautilus platform by providing the life sciences industry with access to the proteome. </w:t>
      </w:r>
      <w:r>
        <w:rPr>
          <w:rFonts w:ascii="Times New Roman" w:cs="Times New Roman" w:eastAsia="Times New Roman" w:hAnsi="Times New Roman"/>
          <w:sz w:val="20"/>
          <w:szCs w:val="20"/>
          <w:color w:val="auto"/>
        </w:rPr>
        <w:t>We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believe our Nautilus platform has the potential to provide value across the life sciences ecosystem as the first end-to-end solution capable of substantially quantifying the proteome. The utility and potential applications are expected to be broad and serve basic research and discovery, translational and clinical research, and ultimately enable clinical diagnostic market segments. We intend to drive adoption of our Nautilus platform through a three-phase commercial strategy that begins with an initial partnership and collaboration phase with biopharma companies (such as our existing relationships with Genentech and Amgen), academic institutions (such as our existing relationship with The University of Texas MD Anderson Cancer Center, the Translational Genomics Research Institute and others) and research organizations where we aim to jointly publish data and validate our Nautilus platform, followed by a pre-sales or early access program to drive awareness and demand, and finally culminating in a full commercial launch.</w:t>
      </w:r>
    </w:p>
    <w:p>
      <w:pPr>
        <w:spacing w:after="0" w:line="146" w:lineRule="exact"/>
        <w:rPr>
          <w:rFonts w:ascii="Times New Roman" w:cs="Times New Roman" w:eastAsia="Times New Roman" w:hAnsi="Times New Roman"/>
          <w:sz w:val="20"/>
          <w:szCs w:val="20"/>
          <w:color w:val="auto"/>
        </w:rPr>
      </w:pPr>
    </w:p>
    <w:p>
      <w:pPr>
        <w:ind w:left="720" w:right="40" w:hanging="370"/>
        <w:spacing w:after="0" w:line="256"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Continuously innovate and scale our Nautilus platform’s capabilities to enable further advancement of proteomic research. </w:t>
      </w:r>
      <w:r>
        <w:rPr>
          <w:rFonts w:ascii="Times New Roman" w:cs="Times New Roman" w:eastAsia="Times New Roman" w:hAnsi="Times New Roman"/>
          <w:sz w:val="20"/>
          <w:szCs w:val="20"/>
          <w:color w:val="auto"/>
        </w:rPr>
        <w:t>Through both internal R&amp;D projects and external collaborations with our customers and partners, we plan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continuously innovate and develop new products, applications, workflows, and analysis tools that simplify and accelerate the ability for our customers to generate new sources of proteomic data and drive novel biological insights. We believe our sustainable advantage could come from a continued stream of development and commercialization of new products and applications using our core technology to help our customers succeed in their research endeavors. We believe if our customers win, we all win.</w:t>
      </w:r>
    </w:p>
    <w:p>
      <w:pPr>
        <w:spacing w:after="0" w:line="142" w:lineRule="exact"/>
        <w:rPr>
          <w:rFonts w:ascii="Times New Roman" w:cs="Times New Roman" w:eastAsia="Times New Roman" w:hAnsi="Times New Roman"/>
          <w:sz w:val="20"/>
          <w:szCs w:val="20"/>
          <w:color w:val="auto"/>
        </w:rPr>
      </w:pPr>
    </w:p>
    <w:p>
      <w:pPr>
        <w:ind w:left="720" w:right="100" w:hanging="370"/>
        <w:spacing w:after="0" w:line="255"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Multiple pathways to build and expand our manufacturing capacity to support our commercial launch and the sustained growth of our business</w:t>
      </w:r>
      <w:r>
        <w:rPr>
          <w:rFonts w:ascii="Times New Roman" w:cs="Times New Roman" w:eastAsia="Times New Roman" w:hAnsi="Times New Roman"/>
          <w:sz w:val="20"/>
          <w:szCs w:val="20"/>
          <w:color w:val="auto"/>
        </w:rPr>
        <w:t>. Our technology is comprised of many off the shelf component parts that help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create efficient sourcing and manufacturing processes. We have established a manufacturing process for our technology utilizing a combination of both external contract manufacturers and internal resources based in our San Carlos, CA facility, with the ability to support substantially all of our current core activities during development. We believe there are many potential options we can use in order to increase the manufacturing and production capabilities for our products, including expanding our outsourced manufacturing and supply to multiple suppliers to ensure our quality and production capacity will meet our commercial plan.</w:t>
      </w:r>
    </w:p>
    <w:p>
      <w:pPr>
        <w:spacing w:after="0" w:line="145" w:lineRule="exact"/>
        <w:rPr>
          <w:rFonts w:ascii="Times New Roman" w:cs="Times New Roman" w:eastAsia="Times New Roman" w:hAnsi="Times New Roman"/>
          <w:sz w:val="20"/>
          <w:szCs w:val="20"/>
          <w:color w:val="auto"/>
        </w:rPr>
      </w:pPr>
    </w:p>
    <w:p>
      <w:pPr>
        <w:ind w:left="720" w:hanging="370"/>
        <w:spacing w:after="0" w:line="255"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Build long-term value by leveraging the open design of our Nautilus platform to create an ecosystem of products and services based on our core technology. </w:t>
      </w:r>
      <w:r>
        <w:rPr>
          <w:rFonts w:ascii="Times New Roman" w:cs="Times New Roman" w:eastAsia="Times New Roman" w:hAnsi="Times New Roman"/>
          <w:sz w:val="20"/>
          <w:szCs w:val="20"/>
          <w:color w:val="auto"/>
        </w:rPr>
        <w:t>Our Nautilus platform is compatible with a wide variety of protein affinity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binding reagents, which we believe will allow us to create a broad menu of applications compatible with our technology. Our Nautilus platform is also designed to be highly customizable, which we believe will allow us to create an infrastructure that enables our customers to design their own custom solutions and applications. We believe that commercializing our technology with a set of standard product applications, alongside the ability to maintain a flexible approach for designing new applications with our customers, could potentially lead to an entire ecosystem of products and services leveraging our core technology.</w:t>
      </w:r>
    </w:p>
    <w:p>
      <w:pPr>
        <w:spacing w:after="0" w:line="145" w:lineRule="exact"/>
        <w:rPr>
          <w:rFonts w:ascii="Times New Roman" w:cs="Times New Roman" w:eastAsia="Times New Roman" w:hAnsi="Times New Roman"/>
          <w:sz w:val="20"/>
          <w:szCs w:val="20"/>
          <w:color w:val="auto"/>
        </w:rPr>
      </w:pPr>
    </w:p>
    <w:p>
      <w:pPr>
        <w:ind w:left="720" w:right="40" w:hanging="370"/>
        <w:spacing w:after="0" w:line="274" w:lineRule="auto"/>
        <w:tabs>
          <w:tab w:leader="none" w:pos="72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Expand adoption of our Nautilus platform into new markets. </w:t>
      </w:r>
      <w:r>
        <w:rPr>
          <w:rFonts w:ascii="Times New Roman" w:cs="Times New Roman" w:eastAsia="Times New Roman" w:hAnsi="Times New Roman"/>
          <w:sz w:val="19"/>
          <w:szCs w:val="19"/>
          <w:color w:val="auto"/>
        </w:rPr>
        <w:t>Our market entry strategy involves identifying markets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that are constrained by their inability to access comprehensive proteomic information, which we believe can be addressed by our Nautilus platform. We recognize that these opportunities extend into ancillary markets across life sciences, including clinical and translational research, and clinical diagnostics, where we believe there are substantial unmet needs our Nautilus platform can address in the future. We expect to drive expansion into these adjacent markets by developing and validating new product configurations and workflows targeting high impact applications, either by</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2240" w:h="15840" w:orient="portrait"/>
          <w:cols w:equalWidth="0" w:num="1">
            <w:col w:w="10240"/>
          </w:cols>
          <w:pgMar w:left="1000" w:top="793" w:right="1000" w:bottom="0" w:gutter="0" w:footer="0" w:header="0"/>
          <w:type w:val="continuous"/>
        </w:sectPr>
      </w:pPr>
    </w:p>
    <w:bookmarkStart w:id="11" w:name="page12"/>
    <w:bookmarkEnd w:id="11"/>
    <w:p>
      <w:pPr>
        <w:ind w:left="720" w:right="20"/>
        <w:spacing w:after="0" w:line="281" w:lineRule="auto"/>
        <w:rPr>
          <w:sz w:val="20"/>
          <w:szCs w:val="20"/>
          <w:color w:val="auto"/>
        </w:rPr>
      </w:pPr>
      <w:r>
        <w:rPr>
          <w:rFonts w:ascii="Times New Roman" w:cs="Times New Roman" w:eastAsia="Times New Roman" w:hAnsi="Times New Roman"/>
          <w:sz w:val="20"/>
          <w:szCs w:val="20"/>
          <w:color w:val="auto"/>
        </w:rPr>
        <w:t>adapting our existing workflows or by partnering with leaders in those markets to develop workflows that address their immediate needs and will provide broader general value for other customers in that market segment.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 PRIMER ON PROTEOMICS</w:t>
      </w:r>
    </w:p>
    <w:p>
      <w:pPr>
        <w:spacing w:after="0" w:line="197" w:lineRule="exact"/>
        <w:rPr>
          <w:sz w:val="20"/>
          <w:szCs w:val="20"/>
          <w:color w:val="auto"/>
        </w:rPr>
      </w:pPr>
    </w:p>
    <w:p>
      <w:pPr>
        <w:ind w:firstLine="360"/>
        <w:spacing w:after="0" w:line="260" w:lineRule="auto"/>
        <w:rPr>
          <w:sz w:val="20"/>
          <w:szCs w:val="20"/>
          <w:color w:val="auto"/>
        </w:rPr>
      </w:pPr>
      <w:r>
        <w:rPr>
          <w:rFonts w:ascii="Times New Roman" w:cs="Times New Roman" w:eastAsia="Times New Roman" w:hAnsi="Times New Roman"/>
          <w:sz w:val="20"/>
          <w:szCs w:val="20"/>
          <w:color w:val="auto"/>
        </w:rPr>
        <w:t>Over the past decade, the study of genomics, or DNA, and transcriptomics, or RNA, have been central to drug development and healthcare. Proteomics is the next step in the study of biological information systems and is believed by many to be one of the most important disciplines for exposing disease-causing protein pathways, uncovering new drug targets, highlighting novel therapeutic indications and identifying clinically relevant biomarkers for use in precision medicine.</w:t>
      </w:r>
    </w:p>
    <w:p>
      <w:pPr>
        <w:spacing w:after="0" w:line="143" w:lineRule="exact"/>
        <w:rPr>
          <w:sz w:val="20"/>
          <w:szCs w:val="20"/>
          <w:color w:val="auto"/>
        </w:rPr>
      </w:pPr>
    </w:p>
    <w:p>
      <w:pPr>
        <w:ind w:right="60" w:firstLine="360"/>
        <w:spacing w:after="0" w:line="255" w:lineRule="auto"/>
        <w:rPr>
          <w:sz w:val="20"/>
          <w:szCs w:val="20"/>
          <w:color w:val="auto"/>
        </w:rPr>
      </w:pPr>
      <w:r>
        <w:rPr>
          <w:rFonts w:ascii="Times New Roman" w:cs="Times New Roman" w:eastAsia="Times New Roman" w:hAnsi="Times New Roman"/>
          <w:sz w:val="20"/>
          <w:szCs w:val="20"/>
          <w:color w:val="auto"/>
        </w:rPr>
        <w:t>Molecular profiling techniques, such as next generation sequencing (NGS), have led to widespread genomic characterization and unprecedented access to genomic information. While this information has certainly enhanced our knowledge of complex biological systems, there is still a tremendous amount of detail at the protein level that remains largely unknown. The field of proteomics seeks to address this gap, and is an area of scientific research that involves the identification, characterization, and quantification of proteins in whole cells, tissues, or body fluids. To date, there has been very little technological advancement in how to physically measure a protein, and this has been a major impediment towards creating the same level of access to proteomic detail as we have with genomic detail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599440</wp:posOffset>
            </wp:positionH>
            <wp:positionV relativeFrom="paragraph">
              <wp:posOffset>133985</wp:posOffset>
            </wp:positionV>
            <wp:extent cx="5303520" cy="2790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extLst>
                    </a:blip>
                    <a:srcRect/>
                    <a:stretch>
                      <a:fillRect/>
                    </a:stretch>
                  </pic:blipFill>
                  <pic:spPr bwMode="auto">
                    <a:xfrm>
                      <a:off x="0" y="0"/>
                      <a:ext cx="5303520" cy="2790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00" w:firstLine="360"/>
        <w:spacing w:after="0" w:line="256" w:lineRule="auto"/>
        <w:rPr>
          <w:sz w:val="20"/>
          <w:szCs w:val="20"/>
          <w:color w:val="auto"/>
        </w:rPr>
      </w:pPr>
      <w:r>
        <w:rPr>
          <w:rFonts w:ascii="Times New Roman" w:cs="Times New Roman" w:eastAsia="Times New Roman" w:hAnsi="Times New Roman"/>
          <w:sz w:val="20"/>
          <w:szCs w:val="20"/>
          <w:color w:val="auto"/>
        </w:rPr>
        <w:t>The proteome ultimately drives the function of a cell and tissue, and therefore it dictates the physically observable characteristics known as the phenotype. The proteome undergoes dynamic changes as it continuously responds to chemical signals, blood-borne mediators, temperature, drug treatment, and developing disease over time. This complex interplay of factors contributes to the complexity of proteomics research. However, the detailed and complex information provided from proteomics has the potential to help in identifying novel and causal drug targets and to enable more efficient and effective drug development. A few examples of the way proteomics may lead to novel insights in research are highlighted below.</w:t>
      </w:r>
    </w:p>
    <w:p>
      <w:pPr>
        <w:spacing w:after="0" w:line="142" w:lineRule="exact"/>
        <w:rPr>
          <w:sz w:val="20"/>
          <w:szCs w:val="20"/>
          <w:color w:val="auto"/>
        </w:rPr>
      </w:pPr>
    </w:p>
    <w:p>
      <w:pPr>
        <w:ind w:left="720" w:right="100" w:hanging="370"/>
        <w:spacing w:after="0" w:line="288"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Better understanding of biology</w:t>
      </w:r>
      <w:r>
        <w:rPr>
          <w:rFonts w:ascii="Times New Roman" w:cs="Times New Roman" w:eastAsia="Times New Roman" w:hAnsi="Times New Roman"/>
          <w:sz w:val="20"/>
          <w:szCs w:val="20"/>
          <w:color w:val="auto"/>
        </w:rPr>
        <w:t>. Protein research contributes to a better understanding of how molecular information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controls and influences an individual’s physiology.</w:t>
      </w:r>
    </w:p>
    <w:p>
      <w:pPr>
        <w:spacing w:after="0" w:line="108" w:lineRule="exact"/>
        <w:rPr>
          <w:rFonts w:ascii="Times New Roman" w:cs="Times New Roman" w:eastAsia="Times New Roman" w:hAnsi="Times New Roman"/>
          <w:sz w:val="20"/>
          <w:szCs w:val="20"/>
          <w:color w:val="auto"/>
        </w:rPr>
      </w:pPr>
    </w:p>
    <w:p>
      <w:pPr>
        <w:ind w:left="720" w:right="60" w:hanging="370"/>
        <w:spacing w:after="0" w:line="269"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Identification of novel drug targets. </w:t>
      </w:r>
      <w:r>
        <w:rPr>
          <w:rFonts w:ascii="Times New Roman" w:cs="Times New Roman" w:eastAsia="Times New Roman" w:hAnsi="Times New Roman"/>
          <w:sz w:val="20"/>
          <w:szCs w:val="20"/>
          <w:color w:val="auto"/>
        </w:rPr>
        <w:t>Cellular function and dysfunction is driven by our proteins; increasing our ability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to directly measure even the rarest proteins involved in disease may increase the likelihood of identifying new drug targets.</w:t>
      </w:r>
    </w:p>
    <w:p>
      <w:pPr>
        <w:spacing w:after="0" w:line="126" w:lineRule="exact"/>
        <w:rPr>
          <w:rFonts w:ascii="Times New Roman" w:cs="Times New Roman" w:eastAsia="Times New Roman" w:hAnsi="Times New Roman"/>
          <w:sz w:val="20"/>
          <w:szCs w:val="20"/>
          <w:color w:val="auto"/>
        </w:rPr>
      </w:pPr>
    </w:p>
    <w:p>
      <w:pPr>
        <w:ind w:left="720" w:right="20" w:hanging="370"/>
        <w:spacing w:after="0" w:line="288"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Patient stratification</w:t>
      </w:r>
      <w:r>
        <w:rPr>
          <w:rFonts w:ascii="Times New Roman" w:cs="Times New Roman" w:eastAsia="Times New Roman" w:hAnsi="Times New Roman"/>
          <w:sz w:val="20"/>
          <w:szCs w:val="20"/>
          <w:color w:val="auto"/>
        </w:rPr>
        <w:t>. The separation of patients into groups with similar molecular features that may be more likely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respond to specific therapeutic treatments.</w:t>
      </w:r>
    </w:p>
    <w:p>
      <w:pPr>
        <w:spacing w:after="0" w:line="108" w:lineRule="exact"/>
        <w:rPr>
          <w:rFonts w:ascii="Times New Roman" w:cs="Times New Roman" w:eastAsia="Times New Roman" w:hAnsi="Times New Roman"/>
          <w:sz w:val="20"/>
          <w:szCs w:val="20"/>
          <w:color w:val="auto"/>
        </w:rPr>
      </w:pPr>
    </w:p>
    <w:p>
      <w:pPr>
        <w:ind w:left="720" w:right="60" w:hanging="370"/>
        <w:spacing w:after="0" w:line="288"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Prediction of disease and treatment outcome. </w:t>
      </w:r>
      <w:r>
        <w:rPr>
          <w:rFonts w:ascii="Times New Roman" w:cs="Times New Roman" w:eastAsia="Times New Roman" w:hAnsi="Times New Roman"/>
          <w:sz w:val="20"/>
          <w:szCs w:val="20"/>
          <w:color w:val="auto"/>
        </w:rPr>
        <w:t>The identification of biomarkers that can assist in the early diagnosis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diseases, inform prognosis or monitor the efficacy and safety of ongoing treatments.</w:t>
      </w:r>
    </w:p>
    <w:p>
      <w:pPr>
        <w:spacing w:after="0" w:line="108" w:lineRule="exact"/>
        <w:rPr>
          <w:rFonts w:ascii="Times New Roman" w:cs="Times New Roman" w:eastAsia="Times New Roman" w:hAnsi="Times New Roman"/>
          <w:sz w:val="20"/>
          <w:szCs w:val="20"/>
          <w:color w:val="auto"/>
        </w:rPr>
      </w:pPr>
    </w:p>
    <w:p>
      <w:pPr>
        <w:ind w:left="720" w:hanging="370"/>
        <w:spacing w:after="0" w:line="288"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Wellness: from health to disease. </w:t>
      </w:r>
      <w:r>
        <w:rPr>
          <w:rFonts w:ascii="Times New Roman" w:cs="Times New Roman" w:eastAsia="Times New Roman" w:hAnsi="Times New Roman"/>
          <w:sz w:val="20"/>
          <w:szCs w:val="20"/>
          <w:color w:val="auto"/>
        </w:rPr>
        <w:t>Biomarkers can monitor and guide individuals to tailor lifestyle choices to maximize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health and avoid the onset of diseases before they develop.</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2240" w:h="15840" w:orient="portrait"/>
          <w:cols w:equalWidth="0" w:num="1">
            <w:col w:w="10240"/>
          </w:cols>
          <w:pgMar w:left="1000" w:top="793" w:right="1000" w:bottom="0" w:gutter="0" w:footer="0" w:header="0"/>
          <w:type w:val="continuous"/>
        </w:sectPr>
      </w:pPr>
    </w:p>
    <w:bookmarkStart w:id="12" w:name="page13"/>
    <w:bookmarkEnd w:id="12"/>
    <w:p>
      <w:pPr>
        <w:ind w:right="260" w:firstLine="360"/>
        <w:spacing w:after="0" w:line="266" w:lineRule="auto"/>
        <w:rPr>
          <w:sz w:val="20"/>
          <w:szCs w:val="20"/>
          <w:color w:val="auto"/>
        </w:rPr>
      </w:pPr>
      <w:r>
        <w:rPr>
          <w:rFonts w:ascii="Times New Roman" w:cs="Times New Roman" w:eastAsia="Times New Roman" w:hAnsi="Times New Roman"/>
          <w:sz w:val="20"/>
          <w:szCs w:val="20"/>
          <w:color w:val="auto"/>
        </w:rPr>
        <w:t>Not only would advancements in the field of proteomics have the potential to directly unlock new insights on their own, but they would also have the potential to increase the value of data and insights generated in related fields such as genetics, gene expression, and metabolism.</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MARKET OPPORTUNITY</w:t>
      </w:r>
    </w:p>
    <w:p>
      <w:pPr>
        <w:spacing w:after="0" w:line="197" w:lineRule="exact"/>
        <w:rPr>
          <w:sz w:val="20"/>
          <w:szCs w:val="20"/>
          <w:color w:val="auto"/>
        </w:rPr>
      </w:pPr>
    </w:p>
    <w:p>
      <w:pPr>
        <w:ind w:firstLine="360"/>
        <w:spacing w:after="0" w:line="260" w:lineRule="auto"/>
        <w:rPr>
          <w:sz w:val="20"/>
          <w:szCs w:val="20"/>
          <w:color w:val="auto"/>
        </w:rPr>
      </w:pPr>
      <w:r>
        <w:rPr>
          <w:rFonts w:ascii="Times New Roman" w:cs="Times New Roman" w:eastAsia="Times New Roman" w:hAnsi="Times New Roman"/>
          <w:sz w:val="20"/>
          <w:szCs w:val="20"/>
          <w:color w:val="auto"/>
        </w:rPr>
        <w:t>We believe that our Nautilus platform has the potential to be uniquely positioned in the proteomics market. In our mission to democratize proteomics, we see initial research applications in precision and personalized medicine, with a natural growth path into clinical diagnostics, as well as in machine-learning powered drug discovery. However, we believe that the opportunity could extend far beyond this.</w:t>
      </w:r>
    </w:p>
    <w:p>
      <w:pPr>
        <w:spacing w:after="0" w:line="1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Market Environment</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At Nautilus, we recognize the need for a radical breakthrough in proteomics.</w:t>
      </w:r>
    </w:p>
    <w:p>
      <w:pPr>
        <w:spacing w:after="0" w:line="190" w:lineRule="exact"/>
        <w:rPr>
          <w:sz w:val="20"/>
          <w:szCs w:val="20"/>
          <w:color w:val="auto"/>
        </w:rPr>
      </w:pPr>
    </w:p>
    <w:p>
      <w:pPr>
        <w:ind w:right="20" w:firstLine="360"/>
        <w:spacing w:after="0" w:line="256" w:lineRule="auto"/>
        <w:rPr>
          <w:sz w:val="20"/>
          <w:szCs w:val="20"/>
          <w:color w:val="auto"/>
        </w:rPr>
      </w:pPr>
      <w:r>
        <w:rPr>
          <w:rFonts w:ascii="Times New Roman" w:cs="Times New Roman" w:eastAsia="Times New Roman" w:hAnsi="Times New Roman"/>
          <w:sz w:val="20"/>
          <w:szCs w:val="20"/>
          <w:color w:val="auto"/>
        </w:rPr>
        <w:t>Since 2002, global R&amp;D expenditure has increased close to three-fold and is expected to reach approximately $289 billion by 2026 according to EvaluatePharma’s 2023 report. Despite such investments, the number of new drugs approved each year has failed to increase proportionally. Additionally, it takes more than 10 years to bring a drug to market, and the cost has grown significantly in the past decade from approximately $1.2 billion in 2010 to approximately $2.0 billion in 2019. The increasing cost, time and complexity of drug development have driven down the rate of return on R&amp;D to less than 2% in 2019 for the 12 leading biopharmaceutical companies analyzed in a 2020 report by the Deloitte Center for Health Solutions.</w:t>
      </w:r>
    </w:p>
    <w:p>
      <w:pPr>
        <w:spacing w:after="0" w:line="148" w:lineRule="exact"/>
        <w:rPr>
          <w:sz w:val="20"/>
          <w:szCs w:val="20"/>
          <w:color w:val="auto"/>
        </w:rPr>
      </w:pPr>
    </w:p>
    <w:p>
      <w:pPr>
        <w:jc w:val="both"/>
        <w:ind w:right="240" w:firstLine="360"/>
        <w:spacing w:after="0" w:line="266" w:lineRule="auto"/>
        <w:rPr>
          <w:sz w:val="20"/>
          <w:szCs w:val="20"/>
          <w:color w:val="auto"/>
        </w:rPr>
      </w:pPr>
      <w:r>
        <w:rPr>
          <w:rFonts w:ascii="Times New Roman" w:cs="Times New Roman" w:eastAsia="Times New Roman" w:hAnsi="Times New Roman"/>
          <w:sz w:val="20"/>
          <w:szCs w:val="20"/>
          <w:color w:val="auto"/>
        </w:rPr>
        <w:t>Approximately 95% of FDA-approved drug targets are proteins, and most other drugs interact with, or are influenced by signal transduction cascades mediated by proteins. As such, an understanding of the proteome is paramount to understanding pharmacology.</w:t>
      </w:r>
    </w:p>
    <w:p>
      <w:pPr>
        <w:spacing w:after="0" w:line="135" w:lineRule="exact"/>
        <w:rPr>
          <w:sz w:val="20"/>
          <w:szCs w:val="20"/>
          <w:color w:val="auto"/>
        </w:rPr>
      </w:pPr>
    </w:p>
    <w:p>
      <w:pPr>
        <w:ind w:right="80" w:firstLine="360"/>
        <w:spacing w:after="0" w:line="253" w:lineRule="auto"/>
        <w:rPr>
          <w:sz w:val="20"/>
          <w:szCs w:val="20"/>
          <w:color w:val="auto"/>
        </w:rPr>
      </w:pPr>
      <w:r>
        <w:rPr>
          <w:rFonts w:ascii="Times New Roman" w:cs="Times New Roman" w:eastAsia="Times New Roman" w:hAnsi="Times New Roman"/>
          <w:sz w:val="20"/>
          <w:szCs w:val="20"/>
          <w:color w:val="auto"/>
        </w:rPr>
        <w:t>As existing approaches only allow us to routinely quantify a fraction of the proteome, biopharmaceutical companies have become increasingly adept at identifying possible targets within what is currently observable, and as such, many viable targets have been exhausted. Despite the many hundreds of thousands of biomarker research studies estimated to have been published to date, there are currently only approximately 168 unique pharmacogenomic biomarkers with FDA approval for use with therapies today. This number of approved biomarkers is alarmingly low, and further highlights the shortfall of attempting to predict a protein biomarker’s expression level and function primarily from genetic data. Unfortunately, researchers have been forced to use this method, given the availability of powerful tools in genomics without the corresponding power and breadth of tools available in proteomics. With an advancement such as the Nautilus platform, we believe researchers will have the power to deeply and comprehensively measure the physical proteins at the root of disease, dramatically increasing the potential to identify more clinically meaningful biomarkers with greater precision in the practice of medicine. We believe a breakthrough increase in throughput would enable researchers to more deeply measure large cohorts, thereby powering studies at the scale required to quickly and cost-effectively discover new critically important biomarkers.</w:t>
      </w:r>
    </w:p>
    <w:p>
      <w:pPr>
        <w:spacing w:after="0" w:line="151" w:lineRule="exact"/>
        <w:rPr>
          <w:sz w:val="20"/>
          <w:szCs w:val="20"/>
          <w:color w:val="auto"/>
        </w:rPr>
      </w:pPr>
    </w:p>
    <w:p>
      <w:pPr>
        <w:ind w:right="140" w:firstLine="360"/>
        <w:spacing w:after="0" w:line="258" w:lineRule="auto"/>
        <w:rPr>
          <w:sz w:val="20"/>
          <w:szCs w:val="20"/>
          <w:color w:val="auto"/>
        </w:rPr>
      </w:pPr>
      <w:r>
        <w:rPr>
          <w:rFonts w:ascii="Times New Roman" w:cs="Times New Roman" w:eastAsia="Times New Roman" w:hAnsi="Times New Roman"/>
          <w:sz w:val="20"/>
          <w:szCs w:val="20"/>
          <w:color w:val="auto"/>
        </w:rPr>
        <w:t>The inability to easily and reliably quantify the proteins that drive every aspect of human physiology has been a fundamental hindrance to a greater understanding of cellular and molecular biology. With this in mind, we aim to democratize proteomics to make it possible for the broader scientific community to undertake a wider range of high-value scientific inquiries, thereby accelerating research and ultimately enhancing our fundamental understanding of biology and the mechanisms of disease.</w:t>
      </w:r>
    </w:p>
    <w:p>
      <w:pPr>
        <w:spacing w:after="0" w:line="1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The Missing Piece: The Proteome</w:t>
      </w:r>
    </w:p>
    <w:p>
      <w:pPr>
        <w:spacing w:after="0" w:line="199" w:lineRule="exact"/>
        <w:rPr>
          <w:sz w:val="20"/>
          <w:szCs w:val="20"/>
          <w:color w:val="auto"/>
        </w:rPr>
      </w:pPr>
    </w:p>
    <w:p>
      <w:pPr>
        <w:ind w:right="60" w:firstLine="360"/>
        <w:spacing w:after="0" w:line="256" w:lineRule="auto"/>
        <w:rPr>
          <w:sz w:val="20"/>
          <w:szCs w:val="20"/>
          <w:color w:val="auto"/>
        </w:rPr>
      </w:pPr>
      <w:r>
        <w:rPr>
          <w:rFonts w:ascii="Times New Roman" w:cs="Times New Roman" w:eastAsia="Times New Roman" w:hAnsi="Times New Roman"/>
          <w:sz w:val="20"/>
          <w:szCs w:val="20"/>
          <w:color w:val="auto"/>
        </w:rPr>
        <w:t>Improvements in NGS technology have greatly enhanced the understanding of the genome, but when contemplating the number of proteins that can arise from a single gene and their role in the regulation of biological processes, both physiological and pathological, we believe that a better understanding of DNA is simply insufficient. Beyond the genome lies a vast multi-level network of biological interactions with important ramifications across the organism that remains coded and hidden within unique protein patterns. Many scientific and industry leaders believe these patterns may hold the key to a deeper understanding of biological processes at both a molecular and a systems level.</w:t>
      </w:r>
    </w:p>
    <w:p>
      <w:pPr>
        <w:spacing w:after="0" w:line="148" w:lineRule="exact"/>
        <w:rPr>
          <w:sz w:val="20"/>
          <w:szCs w:val="20"/>
          <w:color w:val="auto"/>
        </w:rPr>
      </w:pPr>
    </w:p>
    <w:p>
      <w:pPr>
        <w:ind w:right="40" w:firstLine="360"/>
        <w:spacing w:after="0" w:line="255" w:lineRule="auto"/>
        <w:rPr>
          <w:sz w:val="20"/>
          <w:szCs w:val="20"/>
          <w:color w:val="auto"/>
        </w:rPr>
      </w:pPr>
      <w:r>
        <w:rPr>
          <w:rFonts w:ascii="Times New Roman" w:cs="Times New Roman" w:eastAsia="Times New Roman" w:hAnsi="Times New Roman"/>
          <w:sz w:val="20"/>
          <w:szCs w:val="20"/>
          <w:color w:val="auto"/>
        </w:rPr>
        <w:t>From the day we are born to the day we die, proteins are responsible for regulating all aspects of our physiology. The genome, which represents the complete set of genes within each organism, remains largely unchanged throughout the course of life. Over the years, it has been estimated that humans possess approximately 20,000 protein-encoding genes, many of which have been well characterized. However, to coordinate the myriad of processes that occur within organisms at all times, the genome has evolved multiple ways to generate further biological complexity. DNA genes are expressed in the form of RNA transcripts, which control the expression and regulation of these different genes in the cell. These RNA transcripts are then translated into individual proteins, and protein isoforms, which are subtle variations of the individual proteins themselves.</w:t>
      </w:r>
    </w:p>
    <w:p>
      <w:pPr>
        <w:sectPr>
          <w:pgSz w:w="12240" w:h="15840" w:orient="portrait"/>
          <w:cols w:equalWidth="0" w:num="1">
            <w:col w:w="10220"/>
          </w:cols>
          <w:pgMar w:left="1000" w:top="793" w:right="1020" w:bottom="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2240" w:h="15840" w:orient="portrait"/>
          <w:cols w:equalWidth="0" w:num="1">
            <w:col w:w="10220"/>
          </w:cols>
          <w:pgMar w:left="1000" w:top="793" w:right="1020" w:bottom="0" w:gutter="0" w:footer="0" w:header="0"/>
          <w:type w:val="continuous"/>
        </w:sectPr>
      </w:pPr>
    </w:p>
    <w:bookmarkStart w:id="13" w:name="page14"/>
    <w:bookmarkEnd w:id="13"/>
    <w:p>
      <w:pPr>
        <w:ind w:right="80"/>
        <w:spacing w:after="0" w:line="260" w:lineRule="auto"/>
        <w:rPr>
          <w:sz w:val="20"/>
          <w:szCs w:val="20"/>
          <w:color w:val="auto"/>
        </w:rPr>
      </w:pPr>
      <w:r>
        <w:rPr>
          <w:rFonts w:ascii="Times New Roman" w:cs="Times New Roman" w:eastAsia="Times New Roman" w:hAnsi="Times New Roman"/>
          <w:sz w:val="20"/>
          <w:szCs w:val="20"/>
          <w:color w:val="auto"/>
        </w:rPr>
        <w:t>Scientists have estimated that there may be as many as 70,000 or more human protein isoforms. The resulting proteome is not only highly dynamic and in a constant state of flux by regulating the quantity and type of each protein isoform, but it also exhibits great diversity across cells and tissues. This complexity, which governs all biological processes, both healthy and sick, cannot be captured or characterized routinely by current methods.</w:t>
      </w:r>
    </w:p>
    <w:p>
      <w:pPr>
        <w:spacing w:after="0" w:line="143"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20"/>
          <w:szCs w:val="20"/>
          <w:color w:val="auto"/>
        </w:rPr>
        <w:t>However, the molecular complexity of our proteome doesn’t stop here, it actually grows dramatically even beyond the abundance of protein isoforms that are dynamically rising and falling. After a protein isoform has been translated, it can be modified further by biological processes that more precisely control that protein isoform’s location, specific activity, or interaction partners, and these downstream changes are together called post-translational modifications. There are a wide variety of post-translational modifications known today, which result in a tremendous increase in molecular complexity by creating different “forms” of the same basic protein, known as “proteoforms”. In total, our original 20,000 protein-coding genes are estimated to produce as many as 6,000,000 different proteoforms, as illustrated in the figure below. The existence of these proteoforms indicates that there may actually be well over two orders of magnitude (or 100 times) more complexity present across our proteome than there is across our genome. It is strongly suspected that it is within this proteoform space of molecular information that fundamental biological processes are present that govern our cells, and our molecular health.</w:t>
      </w:r>
    </w:p>
    <w:p>
      <w:pPr>
        <w:spacing w:after="0" w:line="156" w:lineRule="exact"/>
        <w:rPr>
          <w:sz w:val="20"/>
          <w:szCs w:val="20"/>
          <w:color w:val="auto"/>
        </w:rPr>
      </w:pPr>
    </w:p>
    <w:p>
      <w:pPr>
        <w:ind w:right="120" w:firstLine="360"/>
        <w:spacing w:after="0" w:line="281" w:lineRule="auto"/>
        <w:rPr>
          <w:sz w:val="20"/>
          <w:szCs w:val="20"/>
          <w:color w:val="auto"/>
        </w:rPr>
      </w:pPr>
      <w:r>
        <w:rPr>
          <w:rFonts w:ascii="Times New Roman" w:cs="Times New Roman" w:eastAsia="Times New Roman" w:hAnsi="Times New Roman"/>
          <w:sz w:val="20"/>
          <w:szCs w:val="20"/>
          <w:color w:val="auto"/>
        </w:rPr>
        <w:t>Post-Translational Modifications Create Multiple Forms of Proteins That Are Estimated to Contain Over 100 Times More Information Complexity Than the Coding Genes in the Genome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116205</wp:posOffset>
            </wp:positionV>
            <wp:extent cx="5943600" cy="3162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extLst>
                    </a:blip>
                    <a:srcRect/>
                    <a:stretch>
                      <a:fillRect/>
                    </a:stretch>
                  </pic:blipFill>
                  <pic:spPr bwMode="auto">
                    <a:xfrm>
                      <a:off x="0" y="0"/>
                      <a:ext cx="5943600" cy="3162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firstLine="360"/>
        <w:spacing w:after="0" w:line="269" w:lineRule="auto"/>
        <w:rPr>
          <w:sz w:val="20"/>
          <w:szCs w:val="20"/>
          <w:color w:val="auto"/>
        </w:rPr>
      </w:pPr>
      <w:r>
        <w:rPr>
          <w:rFonts w:ascii="Times New Roman" w:cs="Times New Roman" w:eastAsia="Times New Roman" w:hAnsi="Times New Roman"/>
          <w:sz w:val="19"/>
          <w:szCs w:val="19"/>
          <w:color w:val="auto"/>
        </w:rPr>
        <w:t>While the past several decades have seen advances in proteomics technologies, typical solutions only capture a fraction of the proteome in samples derived from blood or cells, as illustrated in the figure below. On the left, using mass spectrometry-based methods, approximately 8% of proteins are routinely detectable from blood and approximately 30% are routinely detectable from cells. On the right, there is currently no method to easily detect and map the landscape of proteoforms, which would allow for the exploration of the estimated 6,000,000 different forms and patterns of modified proteins serving some biological function. Furthermore, shortfalls in the ability of bioinformatics to predict the existence as well as the function of genes have further illustrated the need for enhanced protein analysis techniques. Today, we believe the field of proteomics is at the very beginning of a significant growth phase. We are of the firm belief that every scientist should have access to the proteome, including proteoforms, in the same way that access to the genome has been made broadly available over recent years.</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2240" w:h="15840" w:orient="portrait"/>
          <w:cols w:equalWidth="0" w:num="1">
            <w:col w:w="10240"/>
          </w:cols>
          <w:pgMar w:left="1000" w:top="793" w:right="1000" w:bottom="0" w:gutter="0" w:footer="0" w:header="0"/>
          <w:type w:val="continuous"/>
        </w:sectPr>
      </w:pPr>
    </w:p>
    <w:bookmarkStart w:id="14" w:name="page15"/>
    <w:bookmarkEnd w:id="14"/>
    <w:p>
      <w:pPr>
        <w:ind w:left="360"/>
        <w:spacing w:after="0"/>
        <w:rPr>
          <w:sz w:val="20"/>
          <w:szCs w:val="20"/>
          <w:color w:val="auto"/>
        </w:rPr>
      </w:pPr>
      <w:r>
        <w:rPr>
          <w:rFonts w:ascii="Times New Roman" w:cs="Times New Roman" w:eastAsia="Times New Roman" w:hAnsi="Times New Roman"/>
          <w:sz w:val="20"/>
          <w:szCs w:val="20"/>
          <w:color w:val="auto"/>
        </w:rPr>
        <w:t>Current Technologies are Unable to Routinely Access the Full Proteome or Detect Proteoforms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160020</wp:posOffset>
            </wp:positionV>
            <wp:extent cx="6286500" cy="30238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extLst>
                    </a:blip>
                    <a:srcRect/>
                    <a:stretch>
                      <a:fillRect/>
                    </a:stretch>
                  </pic:blipFill>
                  <pic:spPr bwMode="auto">
                    <a:xfrm>
                      <a:off x="0" y="0"/>
                      <a:ext cx="6286500" cy="3023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Market Opportunity</w:t>
      </w:r>
    </w:p>
    <w:p>
      <w:pPr>
        <w:spacing w:after="0" w:line="199" w:lineRule="exact"/>
        <w:rPr>
          <w:sz w:val="20"/>
          <w:szCs w:val="20"/>
          <w:color w:val="auto"/>
        </w:rPr>
      </w:pPr>
    </w:p>
    <w:p>
      <w:pPr>
        <w:ind w:firstLine="360"/>
        <w:spacing w:after="0" w:line="275" w:lineRule="auto"/>
        <w:rPr>
          <w:sz w:val="20"/>
          <w:szCs w:val="20"/>
          <w:color w:val="auto"/>
        </w:rPr>
      </w:pPr>
      <w:r>
        <w:rPr>
          <w:rFonts w:ascii="Times New Roman" w:cs="Times New Roman" w:eastAsia="Times New Roman" w:hAnsi="Times New Roman"/>
          <w:sz w:val="19"/>
          <w:szCs w:val="19"/>
          <w:color w:val="auto"/>
        </w:rPr>
        <w:t>Due to the extensive applications and broad potential, we believe that the proteomics market represents one of the largest untapped opportunities in the biological sciences today. According to BCC Research, the global proteomics market was valued at approximately $27 billion as of 2022. This encompasses only the fraction of the proteomics market that is currently available to us via mass spectrometry and other quantification methods and does not include diagnostics. The overall proteomics market is projected to reach approximately $55 billion in 2027, representing a CAGR of 15% for the five-year period.</w:t>
      </w:r>
    </w:p>
    <w:p>
      <w:pPr>
        <w:spacing w:after="0" w:line="128" w:lineRule="exact"/>
        <w:rPr>
          <w:sz w:val="20"/>
          <w:szCs w:val="20"/>
          <w:color w:val="auto"/>
        </w:rPr>
      </w:pPr>
    </w:p>
    <w:p>
      <w:pPr>
        <w:ind w:right="60" w:firstLine="360"/>
        <w:spacing w:after="0" w:line="256" w:lineRule="auto"/>
        <w:rPr>
          <w:sz w:val="20"/>
          <w:szCs w:val="20"/>
          <w:color w:val="auto"/>
        </w:rPr>
      </w:pPr>
      <w:r>
        <w:rPr>
          <w:rFonts w:ascii="Times New Roman" w:cs="Times New Roman" w:eastAsia="Times New Roman" w:hAnsi="Times New Roman"/>
          <w:sz w:val="20"/>
          <w:szCs w:val="20"/>
          <w:color w:val="auto"/>
        </w:rPr>
        <w:t>We believe that as the proteomics market evolves, substantial adjacent opportunities will arise due to the potential applications in not only precision and personalized medicine, clinical diagnostics, and machine-learning powered drug discovery, as well as other disciplines such as food and environmental science. Within the biomedical sciences, the application of proteomic technologies to clinical specimens has the potential to revolutionize multiple aspects of the diagnosis and treatment of many diseases, propelled by biomarker discovery and validation of personalized therapies which we believe will greatly increase the power of prediction, diagnosis and prognosis.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133350</wp:posOffset>
            </wp:positionV>
            <wp:extent cx="5628640" cy="32670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extLst>
                    </a:blip>
                    <a:srcRect/>
                    <a:stretch>
                      <a:fillRect/>
                    </a:stretch>
                  </pic:blipFill>
                  <pic:spPr bwMode="auto">
                    <a:xfrm>
                      <a:off x="0" y="0"/>
                      <a:ext cx="5628640" cy="3267075"/>
                    </a:xfrm>
                    <a:prstGeom prst="rect">
                      <a:avLst/>
                    </a:prstGeom>
                    <a:noFill/>
                  </pic:spPr>
                </pic:pic>
              </a:graphicData>
            </a:graphic>
          </wp:anchor>
        </w:drawing>
      </w:r>
    </w:p>
    <w:p>
      <w:pPr>
        <w:sectPr>
          <w:pgSz w:w="12240" w:h="15840" w:orient="portrait"/>
          <w:cols w:equalWidth="0" w:num="1">
            <w:col w:w="10180"/>
          </w:cols>
          <w:pgMar w:left="1000" w:top="79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ectPr>
          <w:pgSz w:w="12240" w:h="15840" w:orient="portrait"/>
          <w:cols w:equalWidth="0" w:num="1">
            <w:col w:w="10180"/>
          </w:cols>
          <w:pgMar w:left="1000" w:top="793" w:right="1060" w:bottom="0" w:gutter="0" w:footer="0" w:header="0"/>
          <w:type w:val="continuous"/>
        </w:sectPr>
      </w:pPr>
    </w:p>
    <w:bookmarkStart w:id="15" w:name="page16"/>
    <w:bookmarkEnd w:id="15"/>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Existing Proteomics Technologies and Shortfalls</w:t>
      </w:r>
    </w:p>
    <w:p>
      <w:pPr>
        <w:spacing w:after="0" w:line="199" w:lineRule="exact"/>
        <w:rPr>
          <w:sz w:val="20"/>
          <w:szCs w:val="20"/>
          <w:color w:val="auto"/>
        </w:rPr>
      </w:pPr>
    </w:p>
    <w:p>
      <w:pPr>
        <w:ind w:right="20" w:firstLine="360"/>
        <w:spacing w:after="0" w:line="252" w:lineRule="auto"/>
        <w:rPr>
          <w:sz w:val="20"/>
          <w:szCs w:val="20"/>
          <w:color w:val="auto"/>
        </w:rPr>
      </w:pPr>
      <w:r>
        <w:rPr>
          <w:rFonts w:ascii="Times New Roman" w:cs="Times New Roman" w:eastAsia="Times New Roman" w:hAnsi="Times New Roman"/>
          <w:sz w:val="20"/>
          <w:szCs w:val="20"/>
          <w:color w:val="auto"/>
        </w:rPr>
        <w:t>Over the past decade, the importance of proteomics in the field of diagnosis and drug research &amp; development has increased dramatically due to the direct biological relevance of analyzing the interaction of proteins in living organisms. However, the analysis of the proteome is substantially more complex than the analysis of the genome or transcriptome. Unlike DNA and RNA, proteins themselves cannot be amplified. Consequently, measurement tools must address the challenges of sensitively detecting the minute quantities of low frequency expressed targets. This challenge is exacerbated by the exceptionally large dynamic range of proteins in both cells and in blood spanning more than seven orders of magnitude. For example, some critical and influential proteins such as transcription factors may be present with only a few copies per cell, whereas abundant proteins such as cytoskeleton or ribosomal proteins may be present in millions of copies per cell. Quantifying both the low frequency and the abundant proteins within a single sample is very challenging and stands in stark contrast to genome or transcriptome analysis which only contends with a dynamic range of approximately three orders of magnitude. Furthermore, the biochemical and physical diversity of proteins far exceeds that of DNA or RNA as proteins are created from 20 highly distinct amino acids, whereas genes and transcripts are created from only 4 distinct nucleotides. These inherent complexities have hampered progress in the development of life science tools that can sensitively and comprehensively quantify the proteome. Additionally, the ability to identify unique proteoform composition and frequency in a single complex sample is not achievable today. Currently available tools can be broadly segmented into mass spectrometry-based and affinity-based methods.</w:t>
      </w:r>
    </w:p>
    <w:p>
      <w:pPr>
        <w:spacing w:after="0" w:line="1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Mass Spectrometry-based Approaches</w:t>
      </w:r>
    </w:p>
    <w:p>
      <w:pPr>
        <w:spacing w:after="0" w:line="194"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Mass spectrometry is a powerful tool for the measurement of proteins and has progressed the field of proteomics immensely, similar to the impact that Sanger sequencing had to the founding of large-scale genomics research. However, for the powerful data that is generated, current mass spectrometry workflows still remain complex and time consuming. The mass-spectrometry workflows and processes are not fully automated requiring skilled professionals to prepare samples and operate instruments, which limits the impact of these powerful technologies. Mass spectrometry is also known to have poor sensitivity to detect proteins present at low frequencies within biological samples, which is where many believe important drivers of biology exist. Lastly, the most widespread approach called shotgun mass spectrometry, requires proteins are first broken apart into small pieces called peptides in order to measure them. This detection method can only measure the individual protein fragments, and is therefore unable to identify specific patterns of post-translational modifications and proteoforms visible on intact proteins across a sample. Despite these challenges, there has still been a strong appetite for protein data given its importance in biology and drug development, and the proteomics research marketplace is estimated to have over 16,000 installed mass spectrometry systems.</w:t>
      </w:r>
    </w:p>
    <w:p>
      <w:pPr>
        <w:spacing w:after="0" w:line="1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Limitations with Affinity-based Approaches</w:t>
      </w:r>
    </w:p>
    <w:p>
      <w:pPr>
        <w:spacing w:after="0" w:line="194" w:lineRule="exact"/>
        <w:rPr>
          <w:sz w:val="20"/>
          <w:szCs w:val="20"/>
          <w:color w:val="auto"/>
        </w:rPr>
      </w:pPr>
    </w:p>
    <w:p>
      <w:pPr>
        <w:ind w:right="40" w:firstLine="360"/>
        <w:spacing w:after="0" w:line="268" w:lineRule="auto"/>
        <w:rPr>
          <w:sz w:val="20"/>
          <w:szCs w:val="20"/>
          <w:color w:val="auto"/>
        </w:rPr>
      </w:pPr>
      <w:r>
        <w:rPr>
          <w:rFonts w:ascii="Times New Roman" w:cs="Times New Roman" w:eastAsia="Times New Roman" w:hAnsi="Times New Roman"/>
          <w:sz w:val="19"/>
          <w:szCs w:val="19"/>
          <w:color w:val="auto"/>
        </w:rPr>
        <w:t>Where mass spectrometry-based approaches have been widely used for broad scale protein discovery applications, affinity-based approaches have generally been used for targeted protein measurements. Affinity-based protein detection commonly utilizes affinity binding reagents that are designed to be very specific to an individual protein target that is already known to the researcher. Additionally, the ability of an affinity reagent to selectively bind to its target may also be impacted by protein specific factors, such as the protein’s folded structure and orientation. Lastly, affinity-based approaches intended to target more than one protein at once in a sample commonly require a different affinity binding reagent for each target. Despite decades of ongoing efforts, there are still nowhere near the number of affinity-reagents in existence today to attempt to measure the full proteome. In general, affinity-based approaches are most useful when the end user has a relatively small pre-defined set of targets they want to measure, and because the affinity reagents themselves only detect a small portion of the intended target, this method is also not capable of resolving unique proteoform patterns at the single protein molecule level today.</w:t>
      </w:r>
    </w:p>
    <w:p>
      <w:pPr>
        <w:spacing w:after="0" w:line="133" w:lineRule="exact"/>
        <w:rPr>
          <w:sz w:val="20"/>
          <w:szCs w:val="20"/>
          <w:color w:val="auto"/>
        </w:rPr>
      </w:pPr>
    </w:p>
    <w:p>
      <w:pPr>
        <w:jc w:val="center"/>
        <w:ind w:right="7580"/>
        <w:spacing w:after="0"/>
        <w:rPr>
          <w:sz w:val="20"/>
          <w:szCs w:val="20"/>
          <w:color w:val="auto"/>
        </w:rPr>
      </w:pPr>
      <w:r>
        <w:rPr>
          <w:rFonts w:ascii="Times New Roman" w:cs="Times New Roman" w:eastAsia="Times New Roman" w:hAnsi="Times New Roman"/>
          <w:sz w:val="19"/>
          <w:szCs w:val="19"/>
          <w:b w:val="1"/>
          <w:bCs w:val="1"/>
          <w:color w:val="auto"/>
        </w:rPr>
        <w:t>THE NAUTILUS APPROACH</w:t>
      </w:r>
    </w:p>
    <w:p>
      <w:pPr>
        <w:spacing w:after="0" w:line="200" w:lineRule="exact"/>
        <w:rPr>
          <w:sz w:val="20"/>
          <w:szCs w:val="20"/>
          <w:color w:val="auto"/>
        </w:rPr>
      </w:pPr>
    </w:p>
    <w:p>
      <w:pPr>
        <w:jc w:val="center"/>
        <w:ind w:right="7600"/>
        <w:spacing w:after="0"/>
        <w:rPr>
          <w:sz w:val="20"/>
          <w:szCs w:val="20"/>
          <w:color w:val="auto"/>
        </w:rPr>
      </w:pPr>
      <w:r>
        <w:rPr>
          <w:rFonts w:ascii="Times New Roman" w:cs="Times New Roman" w:eastAsia="Times New Roman" w:hAnsi="Times New Roman"/>
          <w:sz w:val="20"/>
          <w:szCs w:val="20"/>
          <w:b w:val="1"/>
          <w:bCs w:val="1"/>
          <w:i w:val="1"/>
          <w:iCs w:val="1"/>
          <w:color w:val="auto"/>
        </w:rPr>
        <w:t>Our Guiding Principles</w:t>
      </w:r>
    </w:p>
    <w:p>
      <w:pPr>
        <w:spacing w:after="0" w:line="199" w:lineRule="exact"/>
        <w:rPr>
          <w:sz w:val="20"/>
          <w:szCs w:val="20"/>
          <w:color w:val="auto"/>
        </w:rPr>
      </w:pPr>
    </w:p>
    <w:p>
      <w:pPr>
        <w:ind w:right="40" w:firstLine="360"/>
        <w:spacing w:after="0" w:line="278" w:lineRule="auto"/>
        <w:rPr>
          <w:sz w:val="20"/>
          <w:szCs w:val="20"/>
          <w:color w:val="auto"/>
        </w:rPr>
      </w:pPr>
      <w:r>
        <w:rPr>
          <w:rFonts w:ascii="Times New Roman" w:cs="Times New Roman" w:eastAsia="Times New Roman" w:hAnsi="Times New Roman"/>
          <w:sz w:val="19"/>
          <w:szCs w:val="19"/>
          <w:color w:val="auto"/>
        </w:rPr>
        <w:t>Nautilus is driven by a desire to enable the research community to rapidly and comprehensively access and quantify the proteome, thereby transforming our ability to examine disease mechanisms, and develop new therapeutics and diagnostics. This mission is guided by a recognition that major advances in proteomics have generally lagged behind genomics, primarily due to a lack of available tools for measuring the proteome as easily or completely as one can measure the genome and transcriptome.</w:t>
      </w:r>
    </w:p>
    <w:p>
      <w:pPr>
        <w:spacing w:after="0" w:line="128" w:lineRule="exact"/>
        <w:rPr>
          <w:sz w:val="20"/>
          <w:szCs w:val="20"/>
          <w:color w:val="auto"/>
        </w:rPr>
      </w:pPr>
    </w:p>
    <w:p>
      <w:pPr>
        <w:ind w:right="140" w:firstLine="360"/>
        <w:spacing w:after="0" w:line="275" w:lineRule="auto"/>
        <w:rPr>
          <w:sz w:val="20"/>
          <w:szCs w:val="20"/>
          <w:color w:val="auto"/>
        </w:rPr>
      </w:pPr>
      <w:r>
        <w:rPr>
          <w:rFonts w:ascii="Times New Roman" w:cs="Times New Roman" w:eastAsia="Times New Roman" w:hAnsi="Times New Roman"/>
          <w:sz w:val="19"/>
          <w:szCs w:val="19"/>
          <w:color w:val="auto"/>
        </w:rPr>
        <w:t>We believe that evolutionary or incremental improvements to existing technologies will not suffice; that a fundamentally new approach is required to unlock this large opportunity in biological science. In pursuit of that mission, we are developing our innovative Nautilus platform to be an end-to-end single protein molecule analysis solution composed of instrumentation, reagent consumables, and software that processes a sample and returns valuable and unique biological data and insight. We have designed the Nautilus platform to enable extreme sensitivity and scale, without compromising on ease of use. Leveraging</w:t>
      </w:r>
    </w:p>
    <w:p>
      <w:pPr>
        <w:sectPr>
          <w:pgSz w:w="12240" w:h="15840" w:orient="portrait"/>
          <w:cols w:equalWidth="0" w:num="1">
            <w:col w:w="10260"/>
          </w:cols>
          <w:pgMar w:left="1000" w:top="784" w:right="980" w:bottom="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2240" w:h="15840" w:orient="portrait"/>
          <w:cols w:equalWidth="0" w:num="1">
            <w:col w:w="10260"/>
          </w:cols>
          <w:pgMar w:left="1000" w:top="784" w:right="980" w:bottom="0" w:gutter="0" w:footer="0" w:header="0"/>
          <w:type w:val="continuous"/>
        </w:sectPr>
      </w:pPr>
    </w:p>
    <w:bookmarkStart w:id="16" w:name="page17"/>
    <w:bookmarkEnd w:id="16"/>
    <w:p>
      <w:pPr>
        <w:ind w:right="280"/>
        <w:spacing w:after="0" w:line="281" w:lineRule="auto"/>
        <w:rPr>
          <w:sz w:val="20"/>
          <w:szCs w:val="20"/>
          <w:color w:val="auto"/>
        </w:rPr>
      </w:pPr>
      <w:r>
        <w:rPr>
          <w:rFonts w:ascii="Times New Roman" w:cs="Times New Roman" w:eastAsia="Times New Roman" w:hAnsi="Times New Roman"/>
          <w:sz w:val="20"/>
          <w:szCs w:val="20"/>
          <w:color w:val="auto"/>
        </w:rPr>
        <w:t>a unique architecture and advanced machine learning software, we believe our Nautilus platform has the potential to identify substantially all proteins in a sample from almost any organism.</w:t>
      </w:r>
    </w:p>
    <w:p>
      <w:pPr>
        <w:spacing w:after="0" w:line="121"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20"/>
          <w:szCs w:val="20"/>
          <w:color w:val="auto"/>
        </w:rPr>
        <w:t>We view many of the core ideas underlying the Nautilus platform as “counterintuitive”, as it required innovations at the intersection of three distinct disciplines not often found in harmony: life sciences, computer and data sciences, and physical sciences and engineering. We have designed the Nautilus platform to integrate a variety of both computational and experimental approaches, diverse measurement modalities, and the best available analytical tools to accelerate biomarker discovery and precision medicine. Several Nautilus platform technology elements (e.g., cloud computing and machine learning) are disciplines that have now sufficiently matured to create this timely opportunity for Nautilus to pursue the deep, hard science required to bring to market a potentially revolutionary capability that we believe will help democratize access to proteomics data.</w:t>
      </w:r>
    </w:p>
    <w:p>
      <w:pPr>
        <w:spacing w:after="0" w:line="1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Our Nautilus Platform Design Criteria</w:t>
      </w:r>
    </w:p>
    <w:p>
      <w:pPr>
        <w:spacing w:after="0" w:line="199" w:lineRule="exact"/>
        <w:rPr>
          <w:sz w:val="20"/>
          <w:szCs w:val="20"/>
          <w:color w:val="auto"/>
        </w:rPr>
      </w:pPr>
    </w:p>
    <w:p>
      <w:pPr>
        <w:ind w:right="120" w:firstLine="360"/>
        <w:spacing w:after="0" w:line="260" w:lineRule="auto"/>
        <w:rPr>
          <w:sz w:val="20"/>
          <w:szCs w:val="20"/>
          <w:color w:val="auto"/>
        </w:rPr>
      </w:pPr>
      <w:r>
        <w:rPr>
          <w:rFonts w:ascii="Times New Roman" w:cs="Times New Roman" w:eastAsia="Times New Roman" w:hAnsi="Times New Roman"/>
          <w:sz w:val="20"/>
          <w:szCs w:val="20"/>
          <w:color w:val="auto"/>
        </w:rPr>
        <w:t>To achieve our ambitious goals, and to meet the unmet needs of scientists and researchers, we recognized early on that we would need to tackle the deep, hard, novel science required to innovate and commercialize a fundamentally new detection technology capable of reading and quantifying the proteome and associated proteoforms. As such, we designed the Nautilus platform – from the ground up – to accomplish the following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130175</wp:posOffset>
            </wp:positionV>
            <wp:extent cx="4762500" cy="28181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extLst>
                    </a:blip>
                    <a:srcRect/>
                    <a:stretch>
                      <a:fillRect/>
                    </a:stretch>
                  </pic:blipFill>
                  <pic:spPr bwMode="auto">
                    <a:xfrm>
                      <a:off x="0" y="0"/>
                      <a:ext cx="4762500" cy="2818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 core design criterion was that the Nautilus platform needed to be comprehensive. One of the largest challenges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with existing “shotgun” proteomics technologies is that replicate analyses are likely to sample different subsets of the proteome.</w:t>
      </w:r>
    </w:p>
    <w:p>
      <w:pPr>
        <w:spacing w:after="0" w:line="181" w:lineRule="exact"/>
        <w:rPr>
          <w:sz w:val="20"/>
          <w:szCs w:val="20"/>
          <w:color w:val="auto"/>
        </w:rPr>
      </w:pPr>
    </w:p>
    <w:p>
      <w:pPr>
        <w:ind w:right="40" w:firstLine="360"/>
        <w:spacing w:after="0" w:line="260" w:lineRule="auto"/>
        <w:rPr>
          <w:sz w:val="20"/>
          <w:szCs w:val="20"/>
          <w:color w:val="auto"/>
        </w:rPr>
      </w:pPr>
      <w:r>
        <w:rPr>
          <w:rFonts w:ascii="Times New Roman" w:cs="Times New Roman" w:eastAsia="Times New Roman" w:hAnsi="Times New Roman"/>
          <w:sz w:val="20"/>
          <w:szCs w:val="20"/>
          <w:color w:val="auto"/>
        </w:rPr>
        <w:t>Next, the Nautilus platform needed to be ultra-sensitive. Unlike NGS technologies, where one can leverage natural processes and enzymes (e.g., polymerases) to amplify DNA and RNA, proteins cannot be amplified from the original molecule. To achieve the goal of measuring the complete proteome, scientists and researchers needed a new analysis method with unprecedented sensitivity.</w:t>
      </w:r>
    </w:p>
    <w:p>
      <w:pPr>
        <w:spacing w:after="0" w:line="143" w:lineRule="exact"/>
        <w:rPr>
          <w:sz w:val="20"/>
          <w:szCs w:val="20"/>
          <w:color w:val="auto"/>
        </w:rPr>
      </w:pPr>
    </w:p>
    <w:p>
      <w:pPr>
        <w:ind w:right="160" w:firstLine="360"/>
        <w:spacing w:after="0" w:line="281" w:lineRule="auto"/>
        <w:rPr>
          <w:sz w:val="20"/>
          <w:szCs w:val="20"/>
          <w:color w:val="auto"/>
        </w:rPr>
      </w:pPr>
      <w:r>
        <w:rPr>
          <w:rFonts w:ascii="Times New Roman" w:cs="Times New Roman" w:eastAsia="Times New Roman" w:hAnsi="Times New Roman"/>
          <w:sz w:val="20"/>
          <w:szCs w:val="20"/>
          <w:color w:val="auto"/>
        </w:rPr>
        <w:t>The Nautilus platform was designed to cover a very large dynamic range in a simple workflow in order to scale to the full proteome.</w:t>
      </w:r>
    </w:p>
    <w:p>
      <w:pPr>
        <w:spacing w:after="0" w:line="121" w:lineRule="exact"/>
        <w:rPr>
          <w:sz w:val="20"/>
          <w:szCs w:val="20"/>
          <w:color w:val="auto"/>
        </w:rPr>
      </w:pPr>
    </w:p>
    <w:p>
      <w:pPr>
        <w:ind w:right="660" w:firstLine="360"/>
        <w:spacing w:after="0" w:line="281" w:lineRule="auto"/>
        <w:rPr>
          <w:sz w:val="20"/>
          <w:szCs w:val="20"/>
          <w:color w:val="auto"/>
        </w:rPr>
      </w:pPr>
      <w:r>
        <w:rPr>
          <w:rFonts w:ascii="Times New Roman" w:cs="Times New Roman" w:eastAsia="Times New Roman" w:hAnsi="Times New Roman"/>
          <w:sz w:val="20"/>
          <w:szCs w:val="20"/>
          <w:color w:val="auto"/>
        </w:rPr>
        <w:t>In addition, the process needed to be reproducible and robust, maximizing the chance that the results derived in one experiment are the same as the results derived in subsequent experiments.</w:t>
      </w:r>
    </w:p>
    <w:p>
      <w:pPr>
        <w:spacing w:after="0" w:line="121" w:lineRule="exact"/>
        <w:rPr>
          <w:sz w:val="20"/>
          <w:szCs w:val="20"/>
          <w:color w:val="auto"/>
        </w:rPr>
      </w:pPr>
    </w:p>
    <w:p>
      <w:pPr>
        <w:ind w:right="160" w:firstLine="360"/>
        <w:spacing w:after="0" w:line="281" w:lineRule="auto"/>
        <w:rPr>
          <w:sz w:val="20"/>
          <w:szCs w:val="20"/>
          <w:color w:val="auto"/>
        </w:rPr>
      </w:pPr>
      <w:r>
        <w:rPr>
          <w:rFonts w:ascii="Times New Roman" w:cs="Times New Roman" w:eastAsia="Times New Roman" w:hAnsi="Times New Roman"/>
          <w:sz w:val="20"/>
          <w:szCs w:val="20"/>
          <w:color w:val="auto"/>
        </w:rPr>
        <w:t>Importantly, the Nautilus platform needed to be fast and able to analyze tens of thousands of samples in a reasonable time period.</w:t>
      </w:r>
    </w:p>
    <w:p>
      <w:pPr>
        <w:spacing w:after="0" w:line="121" w:lineRule="exact"/>
        <w:rPr>
          <w:sz w:val="20"/>
          <w:szCs w:val="20"/>
          <w:color w:val="auto"/>
        </w:rPr>
      </w:pPr>
    </w:p>
    <w:p>
      <w:pPr>
        <w:ind w:right="580" w:firstLine="360"/>
        <w:spacing w:after="0" w:line="281" w:lineRule="auto"/>
        <w:rPr>
          <w:sz w:val="20"/>
          <w:szCs w:val="20"/>
          <w:color w:val="auto"/>
        </w:rPr>
      </w:pPr>
      <w:r>
        <w:rPr>
          <w:rFonts w:ascii="Times New Roman" w:cs="Times New Roman" w:eastAsia="Times New Roman" w:hAnsi="Times New Roman"/>
          <w:sz w:val="20"/>
          <w:szCs w:val="20"/>
          <w:color w:val="auto"/>
        </w:rPr>
        <w:t>It also needed to be sufficiently easy-to-use so that virtually any lab could benefit from using it, not just labs that are explicitly focused on proteomics or analytical chemistry.</w:t>
      </w:r>
    </w:p>
    <w:p>
      <w:pPr>
        <w:spacing w:after="0" w:line="121" w:lineRule="exact"/>
        <w:rPr>
          <w:sz w:val="20"/>
          <w:szCs w:val="20"/>
          <w:color w:val="auto"/>
        </w:rPr>
      </w:pPr>
    </w:p>
    <w:p>
      <w:pPr>
        <w:ind w:right="240" w:firstLine="360"/>
        <w:spacing w:after="0" w:line="309" w:lineRule="auto"/>
        <w:rPr>
          <w:sz w:val="20"/>
          <w:szCs w:val="20"/>
          <w:color w:val="auto"/>
        </w:rPr>
      </w:pPr>
      <w:r>
        <w:rPr>
          <w:rFonts w:ascii="Times New Roman" w:cs="Times New Roman" w:eastAsia="Times New Roman" w:hAnsi="Times New Roman"/>
          <w:sz w:val="19"/>
          <w:szCs w:val="19"/>
          <w:color w:val="auto"/>
        </w:rPr>
        <w:t>In order to fully support the wide-ranging needs of our future customers, the platform can also support multiple run configurations. Our design accommodates both low throughput and high throughput run configurations, and will also employ</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2240" w:h="15840" w:orient="portrait"/>
          <w:cols w:equalWidth="0" w:num="1">
            <w:col w:w="10240"/>
          </w:cols>
          <w:pgMar w:left="1000" w:top="793" w:right="1000" w:bottom="0" w:gutter="0" w:footer="0" w:header="0"/>
          <w:type w:val="continuous"/>
        </w:sectPr>
      </w:pPr>
    </w:p>
    <w:bookmarkStart w:id="17" w:name="page18"/>
    <w:bookmarkEnd w:id="17"/>
    <w:p>
      <w:pPr>
        <w:ind w:right="280"/>
        <w:spacing w:after="0" w:line="281" w:lineRule="auto"/>
        <w:rPr>
          <w:sz w:val="20"/>
          <w:szCs w:val="20"/>
          <w:color w:val="auto"/>
        </w:rPr>
      </w:pPr>
      <w:r>
        <w:rPr>
          <w:rFonts w:ascii="Times New Roman" w:cs="Times New Roman" w:eastAsia="Times New Roman" w:hAnsi="Times New Roman"/>
          <w:sz w:val="20"/>
          <w:szCs w:val="20"/>
          <w:color w:val="auto"/>
        </w:rPr>
        <w:t>in-lane sample multiplexing to enable our customers to meet the high-volume data production needs of large-scale studies or core facilities.</w:t>
      </w:r>
    </w:p>
    <w:p>
      <w:pPr>
        <w:spacing w:after="0" w:line="121" w:lineRule="exact"/>
        <w:rPr>
          <w:sz w:val="20"/>
          <w:szCs w:val="20"/>
          <w:color w:val="auto"/>
        </w:rPr>
      </w:pPr>
    </w:p>
    <w:p>
      <w:pPr>
        <w:ind w:right="100" w:firstLine="360"/>
        <w:spacing w:after="0" w:line="258" w:lineRule="auto"/>
        <w:rPr>
          <w:sz w:val="20"/>
          <w:szCs w:val="20"/>
          <w:color w:val="auto"/>
        </w:rPr>
      </w:pPr>
      <w:r>
        <w:rPr>
          <w:rFonts w:ascii="Times New Roman" w:cs="Times New Roman" w:eastAsia="Times New Roman" w:hAnsi="Times New Roman"/>
          <w:sz w:val="20"/>
          <w:szCs w:val="20"/>
          <w:color w:val="auto"/>
        </w:rPr>
        <w:t>With these objectives identified as our core design criteria, we set out to create a transformative technology with the potential to achieve all of these criteria. The resulting Nautilus platform has embodied many technical innovations across sample preparation, reagent consumables, instrumentation, and downstream protein analysis. However, we believe there are four critically important key technical innovations that, when brought together, make the achievement of our Nautilus platform design specifications and benefits possible:</w:t>
      </w:r>
    </w:p>
    <w:p>
      <w:pPr>
        <w:spacing w:after="0" w:line="1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A Single Protein Molecule Flow Cell</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The Proteome Analysis System: An Integrated Multi-cycle Optical and Fluidics Instrument</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A Novel Class of Affinity Reagents for Efficient Whole Proteome Analysis</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Machine Learning Protein Decoding Analytics</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Key Innovations</w:t>
      </w:r>
    </w:p>
    <w:p>
      <w:pPr>
        <w:spacing w:after="0" w:line="190" w:lineRule="exact"/>
        <w:rPr>
          <w:sz w:val="20"/>
          <w:szCs w:val="20"/>
          <w:color w:val="auto"/>
        </w:rPr>
      </w:pPr>
    </w:p>
    <w:p>
      <w:pPr>
        <w:ind w:left="720" w:hanging="370"/>
        <w:spacing w:after="0"/>
        <w:tabs>
          <w:tab w:leader="none" w:pos="720" w:val="left"/>
        </w:tabs>
        <w:numPr>
          <w:ilvl w:val="0"/>
          <w:numId w:val="9"/>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Single Protein Molecule Flow Cell</w:t>
      </w:r>
    </w:p>
    <w:p>
      <w:pPr>
        <w:spacing w:after="0" w:line="199"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The vast majority of protein analysis tools, such as affinity-based methods like an ELISA (Enzyme-Linked Immunosorbent Assay), typically measure proteins in bulk. This approach works well for measuring small numbers of proteins, however, it quickly becomes very challenging when measuring hundreds to thousands of proteins. Additionally, going through multiple intermediaries to assess a protein’s concentration (such as protein capture, secondary detection, calibration between fluorescent output and concentration) places limitations on the accuracy, sensitivity, dynamic range and reproducibility. Genomic studies are able to get around these limitations by amplifying DNA or RNA, but unfortunately, there is no equivalent approach for amplifying proteins available. Consequently, the limit of detection for most immunoassays has been bounded primarily by the signal-to-noise ratio provided by the instrument used to detect antibody-antigen binding and by non-specific binding, which in a 50uL sample could represent tens-of-thousands of molecules. Accordingly, the dynamic range of such platforms are typically about 1-order of magnitude, though this can be scaled through dilution at the upper end.</w:t>
      </w:r>
    </w:p>
    <w:p>
      <w:pPr>
        <w:spacing w:after="0" w:line="156" w:lineRule="exact"/>
        <w:rPr>
          <w:sz w:val="20"/>
          <w:szCs w:val="20"/>
          <w:color w:val="auto"/>
        </w:rPr>
      </w:pPr>
    </w:p>
    <w:p>
      <w:pPr>
        <w:ind w:right="100" w:firstLine="360"/>
        <w:spacing w:after="0" w:line="254" w:lineRule="auto"/>
        <w:rPr>
          <w:sz w:val="20"/>
          <w:szCs w:val="20"/>
          <w:color w:val="auto"/>
        </w:rPr>
      </w:pPr>
      <w:r>
        <w:rPr>
          <w:rFonts w:ascii="Times New Roman" w:cs="Times New Roman" w:eastAsia="Times New Roman" w:hAnsi="Times New Roman"/>
          <w:sz w:val="20"/>
          <w:szCs w:val="20"/>
          <w:color w:val="auto"/>
        </w:rPr>
        <w:t>Nautilus recognized early on that in order to achieve its goals for creating extreme protein detection sensitivity it would require measuring proteins whose frequency in a sample might vary from only a few, to hundreds of millions of molecules in a sample. In our view, it was clear that any bulk measurement technology would struggle to cover this immense dynamic range, and that a single protein molecule detection approach would be required to overcome a problem that has long been a barrier to major advancement in the field. Additionally, transitioning from bulk protein measurements to single protein molecule measurements fundamentally changes the nature of the protein quantification problem where the challenges of protein identification and quantification converge. If one is able to identify each protein molecule, quantification arises simply from counting those identifications, and furthermore, single protein molecule counters are by definition the most sensitive detection modalities available.</w:t>
      </w:r>
    </w:p>
    <w:p>
      <w:pPr>
        <w:spacing w:after="0" w:line="149"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To break through these barriers, we have designed our Nautilus platform to measure billions of individual protein molecules at a time, in a massively parallel and efficient workflow. We refer to Nautilus’ framework for what we believe to be a fundamentally different approach to protein analysis as Protein Identification by Short-epitope Mapping (PrISM). Our internal testing has demonstrated that our hyper-dense single-molecule protein nanoarray contains 10 billion landing pads. Our team has developed a process for manufacturing our nanoarray as the foundational component of our flow cell consumable. The flow cell itself is comprised of a nanometer-scale fabricated chip that holds the individual protein molecules in place on the surface in a landing pad, encapsulated by a fluidics channel that allows for reagents to flow across the surface. Our design includes the isolation of individual proteins in a protein library preparation by binding them to a much larger scaffold which has been created to hold exactly one protein molecule.</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2240" w:h="15840" w:orient="portrait"/>
          <w:cols w:equalWidth="0" w:num="1">
            <w:col w:w="10240"/>
          </w:cols>
          <w:pgMar w:left="1000" w:top="793" w:right="1000" w:bottom="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628650</wp:posOffset>
            </wp:positionH>
            <wp:positionV relativeFrom="page">
              <wp:posOffset>542925</wp:posOffset>
            </wp:positionV>
            <wp:extent cx="6515100" cy="2830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6515100" cy="2830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20"/>
          <w:szCs w:val="20"/>
          <w:color w:val="auto"/>
        </w:rPr>
        <w:t>These scaffolds can be reliably made to precise sizes, and the flow cell nanoarray surface can then be generated by well understood manufacturing processes to create surface features, which we call landing pads, that match the dimension of the scaffold. As each landing pad can only hold one scaffold, and each scaffold can only hold one protein molecule, the introduction of scaffold-protein complex onto the nanoarray surface generates a self-assembling, high-density single protein molecule array (as seen in the above and below illustrations). The attachment between the scaffold and the nanoarray surface is extremely robust, enabling scaffolds to persist through extensive reagent washing across many cycles.</w:t>
      </w:r>
    </w:p>
    <w:p>
      <w:pPr>
        <w:spacing w:after="0" w:line="1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Nautilus Single Protein Molecule Flow Cell Designed to Capture One Individual Scaffold-Protein Complex per Landing</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146685</wp:posOffset>
            </wp:positionV>
            <wp:extent cx="6105525" cy="289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extLst>
                    </a:blip>
                    <a:srcRect/>
                    <a:stretch>
                      <a:fillRect/>
                    </a:stretch>
                  </pic:blipFill>
                  <pic:spPr bwMode="auto">
                    <a:xfrm>
                      <a:off x="0" y="0"/>
                      <a:ext cx="6105525" cy="289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20" w:firstLine="360"/>
        <w:spacing w:after="0" w:line="256" w:lineRule="auto"/>
        <w:rPr>
          <w:sz w:val="20"/>
          <w:szCs w:val="20"/>
          <w:color w:val="auto"/>
        </w:rPr>
      </w:pPr>
      <w:r>
        <w:rPr>
          <w:rFonts w:ascii="Times New Roman" w:cs="Times New Roman" w:eastAsia="Times New Roman" w:hAnsi="Times New Roman"/>
          <w:sz w:val="20"/>
          <w:szCs w:val="20"/>
          <w:color w:val="auto"/>
        </w:rPr>
        <w:t>As discussed above, our flow cell is designed with the capability to capture up to tens of billions of individual, intact protein molecules. The single protein molecule nature of the Nautilus platform is designed to enable extreme sensitivity, which we have observed in our internal testing as shown in the “Nautilus Platform Sensitivity” section below, and the sheer scale of proteins captured enables the measurement of proteins across an exceptionally wide dynamic range. Flow cells with loaded protein libraries can then be introduced into our proteome analysis system for the analysis and quantitation of the captured protein library.</w:t>
      </w:r>
    </w:p>
    <w:p>
      <w:pPr>
        <w:sectPr>
          <w:pgSz w:w="12240" w:h="15840" w:orient="portrait"/>
          <w:cols w:equalWidth="0" w:num="1">
            <w:col w:w="10160"/>
          </w:cols>
          <w:pgMar w:left="1000" w:top="1440"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w:t>
      </w:r>
    </w:p>
    <w:p>
      <w:pPr>
        <w:sectPr>
          <w:pgSz w:w="12240" w:h="15840" w:orient="portrait"/>
          <w:cols w:equalWidth="0" w:num="1">
            <w:col w:w="10160"/>
          </w:cols>
          <w:pgMar w:left="1000" w:top="1440" w:right="1080" w:bottom="0" w:gutter="0" w:footer="0" w:header="0"/>
          <w:type w:val="continuous"/>
        </w:sectPr>
      </w:pPr>
    </w:p>
    <w:bookmarkStart w:id="19" w:name="page20"/>
    <w:bookmarkEnd w:id="19"/>
    <w:p>
      <w:pPr>
        <w:ind w:right="180" w:firstLine="360"/>
        <w:spacing w:after="0" w:line="281" w:lineRule="auto"/>
        <w:rPr>
          <w:sz w:val="20"/>
          <w:szCs w:val="20"/>
          <w:color w:val="auto"/>
        </w:rPr>
      </w:pPr>
      <w:r>
        <w:rPr>
          <w:rFonts w:ascii="Times New Roman" w:cs="Times New Roman" w:eastAsia="Times New Roman" w:hAnsi="Times New Roman"/>
          <w:sz w:val="20"/>
          <w:szCs w:val="20"/>
          <w:color w:val="auto"/>
        </w:rPr>
        <w:t>Nautilus Single Protein Molecule Flow Cell is Designed at Nanometer-Scale to Cover the Information Density Needed to Measure Approximately 95% of the Human Proteome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1108075</wp:posOffset>
            </wp:positionH>
            <wp:positionV relativeFrom="paragraph">
              <wp:posOffset>116205</wp:posOffset>
            </wp:positionV>
            <wp:extent cx="4286250" cy="3343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extLst>
                    </a:blip>
                    <a:srcRect/>
                    <a:stretch>
                      <a:fillRect/>
                    </a:stretch>
                  </pic:blipFill>
                  <pic:spPr bwMode="auto">
                    <a:xfrm>
                      <a:off x="0" y="0"/>
                      <a:ext cx="4286250" cy="334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20" w:hanging="370"/>
        <w:spacing w:after="0"/>
        <w:tabs>
          <w:tab w:leader="none" w:pos="720" w:val="left"/>
        </w:tabs>
        <w:numPr>
          <w:ilvl w:val="0"/>
          <w:numId w:val="10"/>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Our Proteome Analysis System: An Integrated Multi-cycle Optical and Fluidics Instrument</w:t>
      </w:r>
    </w:p>
    <w:p>
      <w:pPr>
        <w:spacing w:after="0" w:line="199"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20"/>
          <w:szCs w:val="20"/>
          <w:color w:val="auto"/>
        </w:rPr>
        <w:t>Typically, protein measurement approaches, like the ELISA described earlier, are designed to perform a single measurement of the proteins in a sample, after which the sample is either damaged, destroyed or discarded. However, if proteins captured in a sample can be repeatedly probed, it becomes possible to gain far more insight on the individual molecules. With our platform, each protein molecule has a unique coordinate address on the flow cell, and repeated probing enables deeper characterization of each individual molecule with each cycle, unlocking the ability to characterize proteoforms and ultimately decode approximately 95% of the proteome.</w:t>
      </w:r>
    </w:p>
    <w:p>
      <w:pPr>
        <w:spacing w:after="0" w:line="1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Nautilus Platform Multi-Cycle Affinity Probe Reagent Binding, Imaging, Washing, and Re-Binding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160020</wp:posOffset>
            </wp:positionV>
            <wp:extent cx="5862955" cy="34004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extLst>
                    </a:blip>
                    <a:srcRect/>
                    <a:stretch>
                      <a:fillRect/>
                    </a:stretch>
                  </pic:blipFill>
                  <pic:spPr bwMode="auto">
                    <a:xfrm>
                      <a:off x="0" y="0"/>
                      <a:ext cx="5862955" cy="3400425"/>
                    </a:xfrm>
                    <a:prstGeom prst="rect">
                      <a:avLst/>
                    </a:prstGeom>
                    <a:noFill/>
                  </pic:spPr>
                </pic:pic>
              </a:graphicData>
            </a:graphic>
          </wp:anchor>
        </w:drawing>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2240" w:h="15840" w:orient="portrait"/>
          <w:cols w:equalWidth="0" w:num="1">
            <w:col w:w="10240"/>
          </w:cols>
          <w:pgMar w:left="1000" w:top="793" w:right="1000" w:bottom="0" w:gutter="0" w:footer="0" w:header="0"/>
          <w:type w:val="continuous"/>
        </w:sectPr>
      </w:pPr>
    </w:p>
    <w:bookmarkStart w:id="20" w:name="page21"/>
    <w:bookmarkEnd w:id="20"/>
    <w:p>
      <w:pPr>
        <w:ind w:right="60" w:firstLine="360"/>
        <w:spacing w:after="0" w:line="255" w:lineRule="auto"/>
        <w:rPr>
          <w:sz w:val="20"/>
          <w:szCs w:val="20"/>
          <w:color w:val="auto"/>
        </w:rPr>
      </w:pPr>
      <w:r>
        <w:rPr>
          <w:rFonts w:ascii="Times New Roman" w:cs="Times New Roman" w:eastAsia="Times New Roman" w:hAnsi="Times New Roman"/>
          <w:sz w:val="20"/>
          <w:szCs w:val="20"/>
          <w:color w:val="auto"/>
        </w:rPr>
        <w:t>To achieve extreme sensitivity and scale, we have designed a novel instrument that integrates reagent fluidics with a sensitive high-resolution optical imaging system to cyclically measure all single protein molecules captured on the flow cell. Our affinity reagents are labeled with proprietary fluorescent labels that help improve both the signal-to-noise and speed of our assay chemistry. The instrument introduces labeled affinity reagents into our flow cell, allowing them to briefly incubate, then rinse off unbound molecules, and then rapidly images the entire surface. During the imaging process, a laser system is used to excite and illuminate the fluorescent labels. The high-resolution imaging components allow resolution sufficient to characterize each individual protein molecule, generating data as shown in the above illustration.</w:t>
      </w:r>
    </w:p>
    <w:p>
      <w:pPr>
        <w:spacing w:after="0" w:line="150"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20"/>
          <w:szCs w:val="20"/>
          <w:color w:val="auto"/>
        </w:rPr>
        <w:t>Once an imaging pass is complete, the instrument then washes the flow cell, leaving the proteins fully immobilized, and rinses out the wash reagent before pursuing additional cycles. Samples may be multiplexed in a variety of ways to enable higher sample throughput and to reduce the cost per sample. A typical full scale proteome run will generate approximately 20 terabytes of data, which is then compressed to a digital binding matrix for downstream analysis by our cloud-based software-as-a-service, SaaS, analytics suite.</w:t>
      </w:r>
    </w:p>
    <w:p>
      <w:pPr>
        <w:spacing w:after="0" w:line="135" w:lineRule="exact"/>
        <w:rPr>
          <w:sz w:val="20"/>
          <w:szCs w:val="20"/>
          <w:color w:val="auto"/>
        </w:rPr>
      </w:pPr>
    </w:p>
    <w:p>
      <w:pPr>
        <w:ind w:left="720" w:hanging="370"/>
        <w:spacing w:after="0"/>
        <w:tabs>
          <w:tab w:leader="none" w:pos="720" w:val="left"/>
        </w:tabs>
        <w:numPr>
          <w:ilvl w:val="0"/>
          <w:numId w:val="11"/>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A Novel Class of Multi-Affinity Probe Reagents for Efficient Whole Proteome Analysis</w:t>
      </w:r>
    </w:p>
    <w:p>
      <w:pPr>
        <w:spacing w:after="0" w:line="199"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20"/>
          <w:szCs w:val="20"/>
          <w:color w:val="auto"/>
        </w:rPr>
        <w:t>Our Nautilus platform technology is designed with fundamentally different principles of how to use and exploit the properties of affinity binding reagents compared to prior methods. Historically, affinity binding reagents have been qualified for use based on their specificity to a given protein target, and showing the ability to bind strongly to that specific target. In order to see and measure a single protein target, a researcher would require an affinity reagent of sufficient specificity to detect it. These high specificity affinity reagents are commonly used for bulk measurements, and are typically only used for one single bulk measurement event (or cycle) and then discarded.</w:t>
      </w:r>
    </w:p>
    <w:p>
      <w:pPr>
        <w:spacing w:after="0" w:line="148" w:lineRule="exact"/>
        <w:rPr>
          <w:sz w:val="20"/>
          <w:szCs w:val="20"/>
          <w:color w:val="auto"/>
        </w:rPr>
      </w:pPr>
    </w:p>
    <w:p>
      <w:pPr>
        <w:ind w:right="60" w:firstLine="360"/>
        <w:spacing w:after="0" w:line="255" w:lineRule="auto"/>
        <w:rPr>
          <w:sz w:val="20"/>
          <w:szCs w:val="20"/>
          <w:color w:val="auto"/>
        </w:rPr>
      </w:pPr>
      <w:r>
        <w:rPr>
          <w:rFonts w:ascii="Times New Roman" w:cs="Times New Roman" w:eastAsia="Times New Roman" w:hAnsi="Times New Roman"/>
          <w:sz w:val="20"/>
          <w:szCs w:val="20"/>
          <w:color w:val="auto"/>
        </w:rPr>
        <w:t>By using these same high specificity reagents in our system, we believe it is possible to detect each specific protein target now at the single-molecule level, enabling digital quantitation. We further believe it is possible to expand this concept, and use our Nautilus platform with a wide variety of “off-the-shelf” affinity reagents that are highly specific to multiple individual protein targets. Also and of particular importance, is these off-the-shelf affinity reagents can often also target very specific sites on the protein itself, such as post-translational modification sites. Using reagents that target very specific locations and features of proteins will allow the Nautilus platform to detect and quantify the different patterns and varieties of post-translational modifications (i.e. the proteoforms).</w:t>
      </w:r>
    </w:p>
    <w:p>
      <w:pPr>
        <w:spacing w:after="0" w:line="150"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20"/>
          <w:szCs w:val="20"/>
          <w:color w:val="auto"/>
        </w:rPr>
        <w:t>In a highly innovative and counterintuitive way, our Nautilus platform has also been designed to exploit low specificity affinity reagents. Identifying the tens-of-thousands of different proteins in a proteome would require a prohibitively large number of traditional highly specific affinity reagents. We therefore explored the possibility of using affinity reagents that bind short, linear epitopes (e.g., target protein sequences of 3-4 amino acids each) with moderate specificity, such that each affinity reagent probes and binds to many different proteins that contain the short linear epitope target, each we describe as a “multi-affinity probe”. While the binding of a single multi-affinity probe is not sufficient to identify a given protein, sequential binding events using a series of multi-affinity probes can create enough information that it is sufficiently powerful to accurately identify an exceptionally broad number of proteins present in a sample. In this approach, each new multi-affinity probe that is introduced in a cycle of binding and imaging provides additional evidence and gradually narrows the list of possible protein identities. Hereafter, we refer to our proposed approach as Protein Identification by Short-epitope Mapping (PrISM). Our Nautilus platform technology is estimated to achieve the detection of the vast majority of proteins in the proteome using a combination of approximately 300 unique multi-affinity probes.</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2240" w:h="15840" w:orient="portrait"/>
          <w:cols w:equalWidth="0" w:num="1">
            <w:col w:w="10240"/>
          </w:cols>
          <w:pgMar w:left="1000" w:top="793" w:right="1000" w:bottom="0" w:gutter="0" w:footer="0" w:header="0"/>
          <w:type w:val="continuous"/>
        </w:sectPr>
      </w:pPr>
    </w:p>
    <w:bookmarkStart w:id="21" w:name="page22"/>
    <w:bookmarkEnd w:id="21"/>
    <w:p>
      <w:pPr>
        <w:ind w:left="360"/>
        <w:spacing w:after="0"/>
        <w:rPr>
          <w:sz w:val="20"/>
          <w:szCs w:val="20"/>
          <w:color w:val="auto"/>
        </w:rPr>
      </w:pPr>
      <w:r>
        <w:rPr>
          <w:rFonts w:ascii="Times New Roman" w:cs="Times New Roman" w:eastAsia="Times New Roman" w:hAnsi="Times New Roman"/>
          <w:sz w:val="20"/>
          <w:szCs w:val="20"/>
          <w:color w:val="auto"/>
        </w:rPr>
        <w:t>Nautilus Platform Technology Protein Identification with Increasing Multi-Affinity Probe Cycles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160020</wp:posOffset>
            </wp:positionV>
            <wp:extent cx="6286500" cy="30403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extLst>
                    </a:blip>
                    <a:srcRect/>
                    <a:stretch>
                      <a:fillRect/>
                    </a:stretch>
                  </pic:blipFill>
                  <pic:spPr bwMode="auto">
                    <a:xfrm>
                      <a:off x="0" y="0"/>
                      <a:ext cx="6286500" cy="304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420" w:firstLine="36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Source: A theoretical framework for proteome-scale single-molecule protein identification using multi-affinity protein binding reagents. Jarrett D. Egertson, Dan DiPasquo, Alana Killeen, Vadim Lobanov, Sujal Patel, Parag Mallick bioRxiv 2021.10.11.463967.</w:t>
      </w:r>
    </w:p>
    <w:p>
      <w:pPr>
        <w:spacing w:after="0" w:line="124" w:lineRule="exact"/>
        <w:rPr>
          <w:sz w:val="20"/>
          <w:szCs w:val="20"/>
          <w:color w:val="auto"/>
        </w:rPr>
      </w:pPr>
    </w:p>
    <w:p>
      <w:pPr>
        <w:ind w:left="720" w:hanging="370"/>
        <w:spacing w:after="0"/>
        <w:tabs>
          <w:tab w:leader="none" w:pos="720" w:val="left"/>
        </w:tabs>
        <w:numPr>
          <w:ilvl w:val="0"/>
          <w:numId w:val="12"/>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Machine Learning Protein Identification Software</w:t>
      </w:r>
    </w:p>
    <w:p>
      <w:pPr>
        <w:spacing w:after="0" w:line="199" w:lineRule="exact"/>
        <w:rPr>
          <w:sz w:val="20"/>
          <w:szCs w:val="20"/>
          <w:color w:val="auto"/>
        </w:rPr>
      </w:pPr>
    </w:p>
    <w:p>
      <w:pPr>
        <w:ind w:right="60" w:firstLine="360"/>
        <w:spacing w:after="0" w:line="254" w:lineRule="auto"/>
        <w:rPr>
          <w:sz w:val="20"/>
          <w:szCs w:val="20"/>
          <w:color w:val="auto"/>
        </w:rPr>
      </w:pPr>
      <w:r>
        <w:rPr>
          <w:rFonts w:ascii="Times New Roman" w:cs="Times New Roman" w:eastAsia="Times New Roman" w:hAnsi="Times New Roman"/>
          <w:sz w:val="20"/>
          <w:szCs w:val="20"/>
          <w:color w:val="auto"/>
        </w:rPr>
        <w:t>Among the most unique aspects of our Nautilus platform is the integration of a proprietary machine learning-based protein identification analysis software engineered to work with the type of data our system generates. As discussed, more typical measurements for high specificity reagents can be used in our system to identify, and thereby quantify, each protein from a single binding and imaging step. These high specificity affinity reagents can provide a lot of information about a small number of proteins, and as such it would take an exceedingly large number of highly specific affinity reagents and therefore an exceedingly large number of cycles to measure every protein in the proteome. To enable broad protein identification on our system, we instead use our multi-affinity probes that can bind to hundreds or even thousands of individual proteins in a given cycle.</w:t>
      </w:r>
    </w:p>
    <w:p>
      <w:pPr>
        <w:spacing w:after="0" w:line="153"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Our proprietary algorithm is thereby trained using experimental data from our multi-affinity probe development process that provides a baseline estimate of how likely each probe is to bind to each protein in a reference proteome database. As data is collected, a binding matrix is generated for each protein coordinate. For example, a given coordinate [2,1] may have bound probes during cycles [4, 11, 25, 26, 27, 65, and 201]. This data is then fed into our machine learning protein identification analysis to determine which protein is most compatible with the observed pattern of binding. The illustration below provides a view of our machine learning protein identification analysis at work by observing the confidence the algorithm has with respect to each protein as additional cycles of data are collected. On average, it takes roughly 15 cycles of multi-affinity probe binding events to uniquely identify a protein. Prior to 15 cycles, there is a lot of variability in which protein is likely to be at a given spot, but then after 15 cycles, the algorithm locks in on a precise protein and becomes increasingly more confident in its identification. Further, with each additional cycle the other potential proteins become increasingly less likely.</w:t>
      </w:r>
    </w:p>
    <w:p>
      <w:pPr>
        <w:sectPr>
          <w:pgSz w:w="12240" w:h="15840" w:orient="portrait"/>
          <w:cols w:equalWidth="0" w:num="1">
            <w:col w:w="10220"/>
          </w:cols>
          <w:pgMar w:left="1000" w:top="793"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2240" w:h="15840" w:orient="portrait"/>
          <w:cols w:equalWidth="0" w:num="1">
            <w:col w:w="10220"/>
          </w:cols>
          <w:pgMar w:left="1000" w:top="793" w:right="1020" w:bottom="0" w:gutter="0" w:footer="0" w:header="0"/>
          <w:type w:val="continuous"/>
        </w:sectPr>
      </w:pPr>
    </w:p>
    <w:bookmarkStart w:id="22" w:name="page23"/>
    <w:bookmarkEnd w:id="22"/>
    <w:p>
      <w:pPr>
        <w:ind w:right="380" w:firstLine="360"/>
        <w:spacing w:after="0" w:line="281" w:lineRule="auto"/>
        <w:rPr>
          <w:sz w:val="20"/>
          <w:szCs w:val="20"/>
          <w:color w:val="auto"/>
        </w:rPr>
      </w:pPr>
      <w:r>
        <w:rPr>
          <w:rFonts w:ascii="Times New Roman" w:cs="Times New Roman" w:eastAsia="Times New Roman" w:hAnsi="Times New Roman"/>
          <w:sz w:val="20"/>
          <w:szCs w:val="20"/>
          <w:color w:val="auto"/>
        </w:rPr>
        <w:t>Nautilus Platform Technology Can Identify a Protein by Analyzing Data from Multiple Cycles of Multi-Affinity Probe Binding Event with High Probability.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116205</wp:posOffset>
            </wp:positionV>
            <wp:extent cx="6286500" cy="3343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extLst>
                    </a:blip>
                    <a:srcRect/>
                    <a:stretch>
                      <a:fillRect/>
                    </a:stretch>
                  </pic:blipFill>
                  <pic:spPr bwMode="auto">
                    <a:xfrm>
                      <a:off x="0" y="0"/>
                      <a:ext cx="6286500" cy="334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Source: Internal Data</w:t>
      </w:r>
    </w:p>
    <w:p>
      <w:pPr>
        <w:spacing w:after="0" w:line="194" w:lineRule="exact"/>
        <w:rPr>
          <w:sz w:val="20"/>
          <w:szCs w:val="20"/>
          <w:color w:val="auto"/>
        </w:rPr>
      </w:pPr>
    </w:p>
    <w:p>
      <w:pPr>
        <w:ind w:right="20" w:firstLine="360"/>
        <w:spacing w:after="0" w:line="256" w:lineRule="auto"/>
        <w:rPr>
          <w:sz w:val="20"/>
          <w:szCs w:val="20"/>
          <w:color w:val="auto"/>
        </w:rPr>
      </w:pPr>
      <w:r>
        <w:rPr>
          <w:rFonts w:ascii="Times New Roman" w:cs="Times New Roman" w:eastAsia="Times New Roman" w:hAnsi="Times New Roman"/>
          <w:sz w:val="20"/>
          <w:szCs w:val="20"/>
          <w:color w:val="auto"/>
        </w:rPr>
        <w:t>The machine learning protein identification analysis is run for each of the 10 billion protein molecules captured on the flow cell in parallel to identify each protein molecule present. Following this, each identification is counted to produce a cumulative, absolute quantification. As the algorithm learns more and more about each multi-affinity probe’s binding characteristics, both within and across Nautilus platform data sets, it is able to adapt and update its confidence in each protein identification, essentially getting “smarter” over time. As a result, the machine learning protein identification analysis is able to re-analyze data collected in the past and continuously improve upon its ability to identify proteins within that data.</w:t>
      </w:r>
    </w:p>
    <w:p>
      <w:pPr>
        <w:spacing w:after="0" w:line="1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Our Technology Workflow</w:t>
      </w:r>
    </w:p>
    <w:p>
      <w:pPr>
        <w:spacing w:after="0" w:line="199"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20"/>
          <w:szCs w:val="20"/>
          <w:color w:val="auto"/>
        </w:rPr>
        <w:t>From the earliest stages of developing the Nautilus platform, we set out to integrate the four key innovations (listed in the above section) into a single, cohesive proteomics workflow, creating an end-to-end solution designed for ease-of-use, speed, scale and performance. We believed that doing so could unlock the potential to democratize proteomics and make it possible for the broader scientific community to undertake a wider range of new, high-value scientific inquiries, thereby accelerating research and ultimately impacting healthcare and the development of precision medicine.</w:t>
      </w:r>
    </w:p>
    <w:p>
      <w:pPr>
        <w:spacing w:after="0" w:line="144" w:lineRule="exact"/>
        <w:rPr>
          <w:sz w:val="20"/>
          <w:szCs w:val="20"/>
          <w:color w:val="auto"/>
        </w:rPr>
      </w:pPr>
    </w:p>
    <w:p>
      <w:pPr>
        <w:ind w:right="160" w:firstLine="360"/>
        <w:spacing w:after="0" w:line="281" w:lineRule="auto"/>
        <w:rPr>
          <w:sz w:val="20"/>
          <w:szCs w:val="20"/>
          <w:color w:val="auto"/>
        </w:rPr>
      </w:pPr>
      <w:r>
        <w:rPr>
          <w:rFonts w:ascii="Times New Roman" w:cs="Times New Roman" w:eastAsia="Times New Roman" w:hAnsi="Times New Roman"/>
          <w:sz w:val="20"/>
          <w:szCs w:val="20"/>
          <w:color w:val="auto"/>
        </w:rPr>
        <w:t>The Nautilus workflow is designed to consist of five major steps, beginning with sample preparation and concluding with the machine learning analytics that yields high-value proteomic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116205</wp:posOffset>
            </wp:positionV>
            <wp:extent cx="6515100" cy="19881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extLst>
                    </a:blip>
                    <a:srcRect/>
                    <a:stretch>
                      <a:fillRect/>
                    </a:stretch>
                  </pic:blipFill>
                  <pic:spPr bwMode="auto">
                    <a:xfrm>
                      <a:off x="0" y="0"/>
                      <a:ext cx="6515100" cy="1988185"/>
                    </a:xfrm>
                    <a:prstGeom prst="rect">
                      <a:avLst/>
                    </a:prstGeom>
                    <a:noFill/>
                  </pic:spPr>
                </pic:pic>
              </a:graphicData>
            </a:graphic>
          </wp:anchor>
        </w:drawing>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2240" w:h="15840" w:orient="portrait"/>
          <w:cols w:equalWidth="0" w:num="1">
            <w:col w:w="10240"/>
          </w:cols>
          <w:pgMar w:left="1000" w:top="793" w:right="1000" w:bottom="0" w:gutter="0" w:footer="0" w:header="0"/>
          <w:type w:val="continuous"/>
        </w:sectPr>
      </w:pPr>
    </w:p>
    <w:bookmarkStart w:id="23" w:name="page24"/>
    <w:bookmarkEnd w:id="23"/>
    <w:p>
      <w:pPr>
        <w:ind w:left="720" w:hanging="370"/>
        <w:spacing w:after="0"/>
        <w:tabs>
          <w:tab w:leader="none" w:pos="720" w:val="left"/>
        </w:tabs>
        <w:numPr>
          <w:ilvl w:val="0"/>
          <w:numId w:val="13"/>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Step 1 – Sample Preparation</w:t>
      </w:r>
    </w:p>
    <w:p>
      <w:pPr>
        <w:spacing w:after="0" w:line="199" w:lineRule="exact"/>
        <w:rPr>
          <w:sz w:val="20"/>
          <w:szCs w:val="20"/>
          <w:color w:val="auto"/>
        </w:rPr>
      </w:pPr>
    </w:p>
    <w:p>
      <w:pPr>
        <w:ind w:right="180" w:firstLine="360"/>
        <w:spacing w:after="0" w:line="260" w:lineRule="auto"/>
        <w:rPr>
          <w:sz w:val="20"/>
          <w:szCs w:val="20"/>
          <w:color w:val="auto"/>
        </w:rPr>
      </w:pPr>
      <w:r>
        <w:rPr>
          <w:rFonts w:ascii="Times New Roman" w:cs="Times New Roman" w:eastAsia="Times New Roman" w:hAnsi="Times New Roman"/>
          <w:sz w:val="20"/>
          <w:szCs w:val="20"/>
          <w:color w:val="auto"/>
        </w:rPr>
        <w:t>The Nautilus sample preparation process attaches a label to extracted proteins and then attaches them to a proprietary scaffold to isolate them individually, thereby creating a library of single protein molecules. This process was designed to be simple, robust, and rapid. Internal tests demonstrate that substantially all of the proteins are attached to the scaffold during the library preparation process, which requires approximately 2-3 hours of hands-on time over a 2-day protocol.</w:t>
      </w:r>
    </w:p>
    <w:p>
      <w:pPr>
        <w:spacing w:after="0" w:line="134" w:lineRule="exact"/>
        <w:rPr>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Step 2 – Sample Deposition onto the Flow Cell</w:t>
      </w:r>
    </w:p>
    <w:p>
      <w:pPr>
        <w:spacing w:after="0" w:line="199" w:lineRule="exact"/>
        <w:rPr>
          <w:sz w:val="20"/>
          <w:szCs w:val="20"/>
          <w:color w:val="auto"/>
        </w:rPr>
      </w:pPr>
    </w:p>
    <w:p>
      <w:pPr>
        <w:ind w:right="160" w:firstLine="360"/>
        <w:spacing w:after="0" w:line="260" w:lineRule="auto"/>
        <w:rPr>
          <w:sz w:val="20"/>
          <w:szCs w:val="20"/>
          <w:color w:val="auto"/>
        </w:rPr>
      </w:pPr>
      <w:r>
        <w:rPr>
          <w:rFonts w:ascii="Times New Roman" w:cs="Times New Roman" w:eastAsia="Times New Roman" w:hAnsi="Times New Roman"/>
          <w:sz w:val="20"/>
          <w:szCs w:val="20"/>
          <w:color w:val="auto"/>
        </w:rPr>
        <w:t>The protein library is then deposited onto the flow cell capable of holding up to 10 billion intact single protein molecules. The landing pads on the flow cell are matched to the size of the protein-attached scaffold, thus allowing only one protein to be deposited per site. This element of the process was specifically designed to enable massively parallel, rapid, single-molecule sampling of proteins, as shown in the flow cell occupancy figure below.</w:t>
      </w:r>
    </w:p>
    <w:p>
      <w:pPr>
        <w:spacing w:after="0" w:line="134" w:lineRule="exact"/>
        <w:rPr>
          <w:sz w:val="20"/>
          <w:szCs w:val="20"/>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Step 3 – Integrated Imaging and Fluidics System Processing Multiple Cycles of Affinity Reagents</w:t>
      </w:r>
    </w:p>
    <w:p>
      <w:pPr>
        <w:spacing w:after="0" w:line="199" w:lineRule="exact"/>
        <w:rPr>
          <w:sz w:val="20"/>
          <w:szCs w:val="20"/>
          <w:color w:val="auto"/>
        </w:rPr>
      </w:pPr>
    </w:p>
    <w:p>
      <w:pPr>
        <w:ind w:right="140" w:firstLine="360"/>
        <w:spacing w:after="0" w:line="258" w:lineRule="auto"/>
        <w:rPr>
          <w:sz w:val="20"/>
          <w:szCs w:val="20"/>
          <w:color w:val="auto"/>
        </w:rPr>
      </w:pPr>
      <w:r>
        <w:rPr>
          <w:rFonts w:ascii="Times New Roman" w:cs="Times New Roman" w:eastAsia="Times New Roman" w:hAnsi="Times New Roman"/>
          <w:sz w:val="20"/>
          <w:szCs w:val="20"/>
          <w:color w:val="auto"/>
        </w:rPr>
        <w:t>Following protein library deposition, the proteome analysis system then initiates the multi-cycle interrogation of each single-molecule bound to the surface of the flow cell. This process entails introducing fluorescent dye labeled multi-affinity probes into the flow cell, rinsing out the unbound fraction, imaging the surface area, and then stripping and washing the multi-affinity probe away. This entire process is then repeated sequentially to collect data on the desired number of cycles in the system run, where each cycle is a unique batch of multi-affinity probes intended to identify a set of target epitopes.</w:t>
      </w:r>
    </w:p>
    <w:p>
      <w:pPr>
        <w:spacing w:after="0" w:line="135" w:lineRule="exact"/>
        <w:rPr>
          <w:sz w:val="20"/>
          <w:szCs w:val="20"/>
          <w:color w:val="auto"/>
        </w:rPr>
      </w:pPr>
    </w:p>
    <w:p>
      <w:pPr>
        <w:ind w:left="720" w:hanging="370"/>
        <w:spacing w:after="0"/>
        <w:tabs>
          <w:tab w:leader="none" w:pos="720" w:val="left"/>
        </w:tabs>
        <w:numPr>
          <w:ilvl w:val="0"/>
          <w:numId w:val="1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Step 4 – Processing of Digitalized Proteomic Data</w:t>
      </w:r>
    </w:p>
    <w:p>
      <w:pPr>
        <w:spacing w:after="0" w:line="199" w:lineRule="exact"/>
        <w:rPr>
          <w:sz w:val="20"/>
          <w:szCs w:val="20"/>
          <w:color w:val="auto"/>
        </w:rPr>
      </w:pPr>
    </w:p>
    <w:p>
      <w:pPr>
        <w:jc w:val="both"/>
        <w:ind w:right="320" w:firstLine="360"/>
        <w:spacing w:after="0" w:line="266" w:lineRule="auto"/>
        <w:rPr>
          <w:sz w:val="20"/>
          <w:szCs w:val="20"/>
          <w:color w:val="auto"/>
        </w:rPr>
      </w:pPr>
      <w:r>
        <w:rPr>
          <w:rFonts w:ascii="Times New Roman" w:cs="Times New Roman" w:eastAsia="Times New Roman" w:hAnsi="Times New Roman"/>
          <w:sz w:val="20"/>
          <w:szCs w:val="20"/>
          <w:color w:val="auto"/>
        </w:rPr>
        <w:t>After the proteins on the flow cell have been iteratively imaged over the determined number of cycles, the resulting raw images are converted into a coordinate map with corresponding illumination signals indicating positive multi-affinity probe binding events, effectively digitizing up to approximately 20 terabytes of raw image analyzed proteomic data.</w:t>
      </w:r>
    </w:p>
    <w:p>
      <w:pPr>
        <w:spacing w:after="0" w:line="126" w:lineRule="exact"/>
        <w:rPr>
          <w:sz w:val="20"/>
          <w:szCs w:val="20"/>
          <w:color w:val="auto"/>
        </w:rPr>
      </w:pPr>
    </w:p>
    <w:p>
      <w:pPr>
        <w:ind w:left="720" w:hanging="370"/>
        <w:spacing w:after="0"/>
        <w:tabs>
          <w:tab w:leader="none" w:pos="720" w:val="left"/>
        </w:tabs>
        <w:numPr>
          <w:ilvl w:val="0"/>
          <w:numId w:val="1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Step 5 – Machine Learning Analytics - Decoding, Protein Identification, and Quantity</w:t>
      </w:r>
    </w:p>
    <w:p>
      <w:pPr>
        <w:spacing w:after="0" w:line="199" w:lineRule="exact"/>
        <w:rPr>
          <w:sz w:val="20"/>
          <w:szCs w:val="20"/>
          <w:color w:val="auto"/>
        </w:rPr>
      </w:pPr>
    </w:p>
    <w:p>
      <w:pPr>
        <w:ind w:right="100" w:firstLine="360"/>
        <w:spacing w:after="0" w:line="266" w:lineRule="auto"/>
        <w:rPr>
          <w:sz w:val="20"/>
          <w:szCs w:val="20"/>
          <w:color w:val="auto"/>
        </w:rPr>
      </w:pPr>
      <w:r>
        <w:rPr>
          <w:rFonts w:ascii="Times New Roman" w:cs="Times New Roman" w:eastAsia="Times New Roman" w:hAnsi="Times New Roman"/>
          <w:sz w:val="20"/>
          <w:szCs w:val="20"/>
          <w:color w:val="auto"/>
        </w:rPr>
        <w:t>In the final step of the workflow, the digital proteomic data is analyzed by our cloud-based machine learning protein identification analysis software. The data is converted to protein identities during this analysis, evaluating the characteristics of each multi-affinity probe binding event at each location to determine protein identity and quantity.</w:t>
      </w:r>
    </w:p>
    <w:p>
      <w:pPr>
        <w:spacing w:after="0" w:line="1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Nautilus Platform Technology Performance</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Simple and Robust Sample Handling</w:t>
      </w:r>
    </w:p>
    <w:p>
      <w:pPr>
        <w:spacing w:after="0" w:line="194" w:lineRule="exact"/>
        <w:rPr>
          <w:sz w:val="20"/>
          <w:szCs w:val="20"/>
          <w:color w:val="auto"/>
        </w:rPr>
      </w:pPr>
    </w:p>
    <w:p>
      <w:pPr>
        <w:ind w:right="60" w:firstLine="360"/>
        <w:spacing w:after="0" w:line="255" w:lineRule="auto"/>
        <w:rPr>
          <w:sz w:val="20"/>
          <w:szCs w:val="20"/>
          <w:color w:val="auto"/>
        </w:rPr>
      </w:pPr>
      <w:r>
        <w:rPr>
          <w:rFonts w:ascii="Times New Roman" w:cs="Times New Roman" w:eastAsia="Times New Roman" w:hAnsi="Times New Roman"/>
          <w:sz w:val="20"/>
          <w:szCs w:val="20"/>
          <w:color w:val="auto"/>
        </w:rPr>
        <w:t>Nautilus’ straightforward sample protein library preparation is designed to convert protein samples into a format optimized for single-molecule deposition on our flow cell. The process has been designed to be accessible to virtually any life sciences researcher. In addition, the protocol is highly compatible with standard lab automation equipment and workflows, which is expected to further minimize the effort required while increasing laboratory processing throughput. Also, unlike existing shotgun proteomics methods, no sample protein digestion is required in our method which in turn makes the workflow very simple. The result is a process that is expected to effectively prepare a sample into a library ready to load on the flow cell with approximately 2-3 hours of hands-on time completed over a 2 day period.</w:t>
      </w:r>
    </w:p>
    <w:p>
      <w:pPr>
        <w:spacing w:after="0" w:line="150" w:lineRule="exact"/>
        <w:rPr>
          <w:sz w:val="20"/>
          <w:szCs w:val="20"/>
          <w:color w:val="auto"/>
        </w:rPr>
      </w:pPr>
    </w:p>
    <w:p>
      <w:pPr>
        <w:ind w:right="120" w:firstLine="360"/>
        <w:spacing w:after="0" w:line="260" w:lineRule="auto"/>
        <w:rPr>
          <w:sz w:val="20"/>
          <w:szCs w:val="20"/>
          <w:color w:val="auto"/>
        </w:rPr>
      </w:pPr>
      <w:r>
        <w:rPr>
          <w:rFonts w:ascii="Times New Roman" w:cs="Times New Roman" w:eastAsia="Times New Roman" w:hAnsi="Times New Roman"/>
          <w:sz w:val="20"/>
          <w:szCs w:val="20"/>
          <w:color w:val="auto"/>
        </w:rPr>
        <w:t>A key feature of our Nautilus platform is the large scale (up to billions) of protein molecules that we believe can be measured massively in parallel on our single-molecule flow cell. An analysis of nearly 1,000 flow cells showed typical sample loading of single protein libraries yielded near complete flow cell occupancy, which demonstrates the speed and efficiency of our sample handling process.</w:t>
      </w:r>
    </w:p>
    <w:p>
      <w:pPr>
        <w:spacing w:after="0" w:line="1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Nautilus Platform Stability in Multi-Cycle Experiments</w:t>
      </w:r>
    </w:p>
    <w:p>
      <w:pPr>
        <w:spacing w:after="0" w:line="199" w:lineRule="exact"/>
        <w:rPr>
          <w:sz w:val="20"/>
          <w:szCs w:val="20"/>
          <w:color w:val="auto"/>
        </w:rPr>
      </w:pPr>
    </w:p>
    <w:p>
      <w:pPr>
        <w:ind w:firstLine="360"/>
        <w:spacing w:after="0" w:line="269" w:lineRule="auto"/>
        <w:rPr>
          <w:sz w:val="20"/>
          <w:szCs w:val="20"/>
          <w:color w:val="auto"/>
        </w:rPr>
      </w:pPr>
      <w:r>
        <w:rPr>
          <w:rFonts w:ascii="Times New Roman" w:cs="Times New Roman" w:eastAsia="Times New Roman" w:hAnsi="Times New Roman"/>
          <w:sz w:val="19"/>
          <w:szCs w:val="19"/>
          <w:color w:val="auto"/>
        </w:rPr>
        <w:t>We believe we have designed a technology with direct applicability in research use settings as well as having the potential to translate discoveries into healthcare practice. A critical aspect of any molecular detection technology with translational and clinical potential is robustness and reproducibility. To understand how stable our measurement process was, we tested the durability of our flow cell with a loaded protein library to ensure that proteins remained present on the surface over multiple cycles in a proteome analysis system run. In our studies evaluating stability over numerous cycles, we observed substantially less than 1% of proteins were lost from the flow cell. To examine both the effectiveness of our wash buffer and the ability of proteins to be probed after being washed, we first examined the detection ability of the protein on a first cycle. We next demonstrated that our wash buffer successfully eliminated remaining signal. Last, we demonstrated that after extended exposure to washing, and rinsing, that the protein detection remained nearly identical to the initial measurement. These results suggest</w:t>
      </w:r>
    </w:p>
    <w:p>
      <w:pPr>
        <w:sectPr>
          <w:pgSz w:w="12240" w:h="15840" w:orient="portrait"/>
          <w:cols w:equalWidth="0" w:num="1">
            <w:col w:w="10240"/>
          </w:cols>
          <w:pgMar w:left="1000" w:top="784" w:right="1000" w:bottom="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2240" w:h="15840" w:orient="portrait"/>
          <w:cols w:equalWidth="0" w:num="1">
            <w:col w:w="10240"/>
          </w:cols>
          <w:pgMar w:left="1000" w:top="784" w:right="1000" w:bottom="0" w:gutter="0" w:footer="0" w:header="0"/>
          <w:type w:val="continuous"/>
        </w:sectPr>
      </w:pPr>
    </w:p>
    <w:bookmarkStart w:id="24" w:name="page25"/>
    <w:bookmarkEnd w:id="24"/>
    <w:p>
      <w:pPr>
        <w:ind w:right="160"/>
        <w:spacing w:after="0" w:line="281" w:lineRule="auto"/>
        <w:rPr>
          <w:sz w:val="20"/>
          <w:szCs w:val="20"/>
          <w:color w:val="auto"/>
        </w:rPr>
      </w:pPr>
      <w:r>
        <w:rPr>
          <w:rFonts w:ascii="Times New Roman" w:cs="Times New Roman" w:eastAsia="Times New Roman" w:hAnsi="Times New Roman"/>
          <w:sz w:val="20"/>
          <w:szCs w:val="20"/>
          <w:color w:val="auto"/>
        </w:rPr>
        <w:t>that our wash conditions are highly effective and that our process of reagent cycling does not significantly damage the protein and thereby interfere with the probability of its measurement accuracy.</w:t>
      </w:r>
    </w:p>
    <w:p>
      <w:pPr>
        <w:spacing w:after="0" w:line="1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Protein Library Remains Bound to Flow Cell During Repetitive Probe Binding and Wash Cycles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160020</wp:posOffset>
            </wp:positionV>
            <wp:extent cx="6217920" cy="31343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extLst>
                    </a:blip>
                    <a:srcRect/>
                    <a:stretch>
                      <a:fillRect/>
                    </a:stretch>
                  </pic:blipFill>
                  <pic:spPr bwMode="auto">
                    <a:xfrm>
                      <a:off x="0" y="0"/>
                      <a:ext cx="6217920" cy="313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Nautilus Platform Sensitivity</w:t>
      </w:r>
    </w:p>
    <w:p>
      <w:pPr>
        <w:spacing w:after="0" w:line="199"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Our Nautilus platform is designed both to be extremely sensitive (by virtue of being a single protein molecule platform) and to have an extremely wide dynamic range of detection (by virtue of measuring a very large number of molecules). In single protein molecule assays, dynamic range is defined by the total number of molecules measured. Consequently, a platform measuring a million molecules will have a smaller dynamic range than a platform measuring 10-million molecules. On our Nautilus platform, we project we will be able to reach sensitivity down to 1 molecule out of 10 billion. We are also able to use this sensitivity in flexible way, for example we can perform an extremely deep analysis of a single protein library sample across all lanes of a flow cell, or we can perform a multiplexed analysis by processing a batch of samples together (each sample protein library individually barcoded) during one proteome analysis system run.</w:t>
      </w:r>
    </w:p>
    <w:p>
      <w:pPr>
        <w:spacing w:after="0" w:line="1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Development and Characterization of Multi-Affinity Probes</w:t>
      </w:r>
    </w:p>
    <w:p>
      <w:pPr>
        <w:spacing w:after="0" w:line="199"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20"/>
          <w:szCs w:val="20"/>
          <w:color w:val="auto"/>
        </w:rPr>
        <w:t>Multi-affinity probe discovery and development pipelines have been built that generate multi-affinity probe candidates that target short peptides, typically three amino acids in length. These pipelines employ multiple candidate discovery methods to identify and select antibody, antibody fragment, or nucleic acid based candidate multi-affinity probes. Promising candidates are further screened in assays to determine EC50 values off-platform (example results for two candidate probes shown below), and then leads are evaluated in detail for their performance on the Nautilus proteome analysis platform.</w:t>
      </w:r>
    </w:p>
    <w:p>
      <w:pPr>
        <w:sectPr>
          <w:pgSz w:w="12240" w:h="15840" w:orient="portrait"/>
          <w:cols w:equalWidth="0" w:num="1">
            <w:col w:w="10220"/>
          </w:cols>
          <w:pgMar w:left="1000" w:top="793"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2240" w:h="15840" w:orient="portrait"/>
          <w:cols w:equalWidth="0" w:num="1">
            <w:col w:w="10220"/>
          </w:cols>
          <w:pgMar w:left="1000" w:top="793" w:right="1020" w:bottom="0" w:gutter="0" w:footer="0" w:header="0"/>
          <w:type w:val="continuous"/>
        </w:sectPr>
      </w:pPr>
    </w:p>
    <w:bookmarkStart w:id="25" w:name="page26"/>
    <w:bookmarkEnd w:id="25"/>
    <w:p>
      <w:pPr>
        <w:ind w:left="360"/>
        <w:spacing w:after="0"/>
        <w:rPr>
          <w:sz w:val="20"/>
          <w:szCs w:val="20"/>
          <w:color w:val="auto"/>
        </w:rPr>
      </w:pPr>
      <w:r>
        <w:rPr>
          <w:rFonts w:ascii="Times New Roman" w:cs="Times New Roman" w:eastAsia="Times New Roman" w:hAnsi="Times New Roman"/>
          <w:sz w:val="20"/>
          <w:szCs w:val="20"/>
          <w:color w:val="auto"/>
        </w:rPr>
        <w:t>Multi-Affinity Probe Discovery and Development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160020</wp:posOffset>
            </wp:positionV>
            <wp:extent cx="6286500" cy="49371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a:extLst>
                        <a:ext uri="{28A0092B-C50C-407E-A947-70E740481C1C}"/>
                      </a:extLst>
                    </a:blip>
                    <a:srcRect/>
                    <a:stretch>
                      <a:fillRect/>
                    </a:stretch>
                  </pic:blipFill>
                  <pic:spPr bwMode="auto">
                    <a:xfrm>
                      <a:off x="0" y="0"/>
                      <a:ext cx="6286500" cy="4937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Mapping Proteoforms</w:t>
      </w:r>
    </w:p>
    <w:p>
      <w:pPr>
        <w:spacing w:after="0" w:line="199"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We believe there are likely millions of different proteoforms that define cellular activity, cellular localization and biochemical function. With peptide-centric approaches (detecting only small pieces of proteins), such as “shotgun” mass spectrometry, it is simply impossible to differentiate proteoforms. Using phosphorylation as an example for a post-translational modification of a protein, consider the case of two samples as shown in the figure below. On the left, one protein sample contains a single protein molecule with a triple phosphorylation (red) and two unmodified proteins versus a second sample on the right, in which each protein molecule contains one phosphorylation each at a single different site. These two samples would likely appear identical to one another in a shotgun mass-spectrometry analysis.</w:t>
      </w:r>
    </w:p>
    <w:p>
      <w:pPr>
        <w:sectPr>
          <w:pgSz w:w="12240" w:h="15840" w:orient="portrait"/>
          <w:cols w:equalWidth="0" w:num="1">
            <w:col w:w="10180"/>
          </w:cols>
          <w:pgMar w:left="1000" w:top="79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ectPr>
          <w:pgSz w:w="12240" w:h="15840" w:orient="portrait"/>
          <w:cols w:equalWidth="0" w:num="1">
            <w:col w:w="10180"/>
          </w:cols>
          <w:pgMar w:left="1000" w:top="793" w:right="1060" w:bottom="0" w:gutter="0" w:footer="0" w:header="0"/>
          <w:type w:val="continuous"/>
        </w:sectPr>
      </w:pPr>
    </w:p>
    <w:bookmarkStart w:id="26" w:name="page27"/>
    <w:bookmarkEnd w:id="26"/>
    <w:p>
      <w:pPr>
        <w:ind w:left="360"/>
        <w:spacing w:after="0"/>
        <w:rPr>
          <w:sz w:val="20"/>
          <w:szCs w:val="20"/>
          <w:color w:val="auto"/>
        </w:rPr>
      </w:pPr>
      <w:r>
        <w:rPr>
          <w:rFonts w:ascii="Times New Roman" w:cs="Times New Roman" w:eastAsia="Times New Roman" w:hAnsi="Times New Roman"/>
          <w:sz w:val="20"/>
          <w:szCs w:val="20"/>
          <w:color w:val="auto"/>
        </w:rPr>
        <w:t>The Nautilus Platform Detection of Proteoform Patterns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160020</wp:posOffset>
            </wp:positionV>
            <wp:extent cx="6515100" cy="267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a:extLst>
                        <a:ext uri="{28A0092B-C50C-407E-A947-70E740481C1C}"/>
                      </a:extLst>
                    </a:blip>
                    <a:srcRect/>
                    <a:stretch>
                      <a:fillRect/>
                    </a:stretch>
                  </pic:blipFill>
                  <pic:spPr bwMode="auto">
                    <a:xfrm>
                      <a:off x="0" y="0"/>
                      <a:ext cx="6515100" cy="267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On our Nautilus platform, we are able to use existing commercially available affinity reagents to perform detailed mapping of proteoform patterns at the single protein molecule level. We do this by measuring individual proteins at each specific post-translational modification site over multiple cycles, each cycle targeting a different specific site or feature of the protein. Illustrating this concept in the diagram below, during the first cycle we use an anti Tau affinity reagent to identify all of the Tau proteins present on the flow cell. Then over the next 4 cycles we detect each Tau molecule again, only now with a slightly different affinity reagent that targets a different isoform or phosphorylation modification on the Tau protein. Looking at this data together over 5 cycles, our technology is potentially able to distinguish up to 16 different proteoforms (in this case, different isoform and phosphorylated patterns) of the same Tau protein.</w:t>
      </w:r>
    </w:p>
    <w:p>
      <w:pPr>
        <w:spacing w:after="0" w:line="1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Workflow for the Detection of Tau Proteoform Patterns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160020</wp:posOffset>
            </wp:positionV>
            <wp:extent cx="6286500" cy="35540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a:extLst>
                        <a:ext uri="{28A0092B-C50C-407E-A947-70E740481C1C}"/>
                      </a:extLst>
                    </a:blip>
                    <a:srcRect/>
                    <a:stretch>
                      <a:fillRect/>
                    </a:stretch>
                  </pic:blipFill>
                  <pic:spPr bwMode="auto">
                    <a:xfrm>
                      <a:off x="0" y="0"/>
                      <a:ext cx="6286500" cy="3554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The protein counts in the image above are for illustration purposes only.</w:t>
      </w:r>
    </w:p>
    <w:p>
      <w:pPr>
        <w:sectPr>
          <w:pgSz w:w="12240" w:h="15840" w:orient="portrait"/>
          <w:cols w:equalWidth="0" w:num="1">
            <w:col w:w="10200"/>
          </w:cols>
          <w:pgMar w:left="1000" w:top="793"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ectPr>
          <w:pgSz w:w="12240" w:h="15840" w:orient="portrait"/>
          <w:cols w:equalWidth="0" w:num="1">
            <w:col w:w="10200"/>
          </w:cols>
          <w:pgMar w:left="1000" w:top="793" w:right="1040" w:bottom="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20"/>
          <w:szCs w:val="20"/>
          <w:b w:val="1"/>
          <w:bCs w:val="1"/>
          <w:color w:val="auto"/>
        </w:rPr>
        <w:t>Nautilus Platform Development Plan Key Areas of Focus</w:t>
      </w:r>
    </w:p>
    <w:p>
      <w:pPr>
        <w:spacing w:after="0" w:line="197"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20"/>
          <w:szCs w:val="20"/>
          <w:color w:val="auto"/>
        </w:rPr>
        <w:t>In order to achieve our goal of broad commercialization in 2025, we plan to advance the development of our Nautilus platform across all components including chemistries, reagents, consumables, instrumentation and analysis software. The prototype of our proteome analysis system has generated all of our internal data to date, and we are continuing the development process to optimize, improve upon, and validate the final designs, formulations, protocols, manufacturing processes, and software code comprising our Nautilus platform.</w:t>
      </w:r>
    </w:p>
    <w:p>
      <w:pPr>
        <w:spacing w:after="0" w:line="144"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Our development plan will build upon the foundational achievements our prototype technology has made in several key areas, with the goal of ultimately allowing us to fully realize the potential of our technology. We plan to focus on the continued improvement of our flow cell designs. Having initially demonstrated that prototype versions of our flow cell can functionally achieve 10 billion discrete single protein molecule landing pads, we plan to further optimize the landing pad spacing, density, manufacturing process and chemistries of the first commercially available flow cells. We also intend to focus on the completion of the final engineering design of our proteome analysis system, where we plan to complete the development of manufacturing processes to integrate and test all completed sub-systems including the high-speed optical subsystem, fluorophore excitation laser, and micro-fluidics system in combination with our flow cell. We also plan to continue expanding the number of affinity binding reagents and chemistries that can be used within our proteome analysis system for both broad scale proteomics quantification and target quantification of proteoforms at the single molecule level. Our aim is to create a broad portfolio of affinity binding reagents through in-house reagent development efforts and through strategic partnerships where we qualify already developed reagents for compatibility with our technology. Lastly, we intend to continue the development of our analysis software, where we expect improvements to our algorithms and analysis that will help with the speed, accuracy, and reliability of our commercial proteome analysis system performance.</w:t>
      </w:r>
    </w:p>
    <w:p>
      <w:pPr>
        <w:spacing w:after="0" w:line="159" w:lineRule="exact"/>
        <w:rPr>
          <w:sz w:val="20"/>
          <w:szCs w:val="20"/>
          <w:color w:val="auto"/>
        </w:rPr>
      </w:pPr>
    </w:p>
    <w:p>
      <w:pPr>
        <w:ind w:right="200" w:firstLine="360"/>
        <w:spacing w:after="0" w:line="266" w:lineRule="auto"/>
        <w:rPr>
          <w:sz w:val="20"/>
          <w:szCs w:val="20"/>
          <w:color w:val="auto"/>
        </w:rPr>
      </w:pPr>
      <w:r>
        <w:rPr>
          <w:rFonts w:ascii="Times New Roman" w:cs="Times New Roman" w:eastAsia="Times New Roman" w:hAnsi="Times New Roman"/>
          <w:sz w:val="20"/>
          <w:szCs w:val="20"/>
          <w:color w:val="auto"/>
        </w:rPr>
        <w:t>Assuming the completion of our development across these focal areas on our currently anticipated timeline, as well as additional related development activities, we believe we will be in position to achieve our goal of broad commercialization in 2025.</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APPLICATIONS OF OUR TECHNOLOGY</w:t>
      </w:r>
    </w:p>
    <w:p>
      <w:pPr>
        <w:spacing w:after="0" w:line="188" w:lineRule="exact"/>
        <w:rPr>
          <w:sz w:val="20"/>
          <w:szCs w:val="20"/>
          <w:color w:val="auto"/>
        </w:rPr>
      </w:pPr>
    </w:p>
    <w:p>
      <w:pPr>
        <w:ind w:right="20" w:firstLine="3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Nautilus platform technology is an open platform that is designed to leverage a wide variety of reagents to read and quantify the proteome and proteoforms</w:t>
      </w:r>
    </w:p>
    <w:p>
      <w:pPr>
        <w:spacing w:after="0" w:line="117" w:lineRule="exact"/>
        <w:rPr>
          <w:sz w:val="20"/>
          <w:szCs w:val="20"/>
          <w:color w:val="auto"/>
        </w:rPr>
      </w:pPr>
    </w:p>
    <w:p>
      <w:pPr>
        <w:ind w:right="120" w:firstLine="360"/>
        <w:spacing w:after="0" w:line="255" w:lineRule="auto"/>
        <w:rPr>
          <w:sz w:val="20"/>
          <w:szCs w:val="20"/>
          <w:color w:val="auto"/>
        </w:rPr>
      </w:pPr>
      <w:r>
        <w:rPr>
          <w:rFonts w:ascii="Times New Roman" w:cs="Times New Roman" w:eastAsia="Times New Roman" w:hAnsi="Times New Roman"/>
          <w:sz w:val="20"/>
          <w:szCs w:val="20"/>
          <w:color w:val="auto"/>
        </w:rPr>
        <w:t>We believe that our Nautilus platform technology is designed to represent one of the first truly novel technologies for the detection and quantitation of proteins and proteoforms by leveraging the creation of our single protein molecule flow cell in combination with a broad range of affinity binding reagents. By design, our Nautilus platform technology is open to the use of virtually any affinity binding reagent, where each reagent can be efficiently chemically labeled and used in our multi-cycle process to identify and quantify a protein library. We further believe one of the inherent strengths of the open design of our Nautilus platform is the ability to use reagents across a range of different binding profiles to create unique applications that unlock different types of important biological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wp:posOffset>
            </wp:positionH>
            <wp:positionV relativeFrom="paragraph">
              <wp:posOffset>133985</wp:posOffset>
            </wp:positionV>
            <wp:extent cx="6191250" cy="26670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a:extLst>
                        <a:ext uri="{28A0092B-C50C-407E-A947-70E740481C1C}"/>
                      </a:extLst>
                    </a:blip>
                    <a:srcRect/>
                    <a:stretch>
                      <a:fillRect/>
                    </a:stretch>
                  </pic:blipFill>
                  <pic:spPr bwMode="auto">
                    <a:xfrm>
                      <a:off x="0" y="0"/>
                      <a:ext cx="6191250" cy="2667000"/>
                    </a:xfrm>
                    <a:prstGeom prst="rect">
                      <a:avLst/>
                    </a:prstGeom>
                    <a:noFill/>
                  </pic:spPr>
                </pic:pic>
              </a:graphicData>
            </a:graphic>
          </wp:anchor>
        </w:drawing>
      </w:r>
    </w:p>
    <w:p>
      <w:pPr>
        <w:sectPr>
          <w:pgSz w:w="12240" w:h="15840" w:orient="portrait"/>
          <w:cols w:equalWidth="0" w:num="1">
            <w:col w:w="10220"/>
          </w:cols>
          <w:pgMar w:left="1000" w:top="1206"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2240" w:h="15840" w:orient="portrait"/>
          <w:cols w:equalWidth="0" w:num="1">
            <w:col w:w="10220"/>
          </w:cols>
          <w:pgMar w:left="1000" w:top="1206" w:right="1020" w:bottom="0" w:gutter="0" w:footer="0" w:header="0"/>
          <w:type w:val="continuous"/>
        </w:sectPr>
      </w:pPr>
    </w:p>
    <w:bookmarkStart w:id="28" w:name="page29"/>
    <w:bookmarkEnd w:id="28"/>
    <w:p>
      <w:pPr>
        <w:ind w:right="40" w:firstLine="360"/>
        <w:spacing w:after="0" w:line="254" w:lineRule="auto"/>
        <w:rPr>
          <w:sz w:val="20"/>
          <w:szCs w:val="20"/>
          <w:color w:val="auto"/>
        </w:rPr>
      </w:pPr>
      <w:r>
        <w:rPr>
          <w:rFonts w:ascii="Times New Roman" w:cs="Times New Roman" w:eastAsia="Times New Roman" w:hAnsi="Times New Roman"/>
          <w:sz w:val="20"/>
          <w:szCs w:val="20"/>
          <w:color w:val="auto"/>
        </w:rPr>
        <w:t>On one end of the spectrum (above left), our technology is designed to harness the power of low specificity multi-affinity binding reagents that will potentially allow us to detect substantially all of the proteome. On the other end of the spectrum (above right), we believe we can apply high specificity affinity binding reagents that detect and quantify individual target proteins of interest, and the post-translational modifications of these target proteins to detect and quantify the various proteoforms that may exist. We believe it is this inherent flexibility of reagent applications on our Nautilus platform that will enable a broad suite of uses across research, discovery, translational and clinical applications. Because of this inherent flexibility, we also believe our Nautilus platform will spark the creation of new and unforeseen applications, in a similar market expansion and innovation trend that was experienced in the years following the launch of open and flexible NGS platform technologies.</w:t>
      </w:r>
    </w:p>
    <w:p>
      <w:pPr>
        <w:spacing w:after="0" w:line="149" w:lineRule="exact"/>
        <w:rPr>
          <w:sz w:val="20"/>
          <w:szCs w:val="20"/>
          <w:color w:val="auto"/>
        </w:rPr>
      </w:pPr>
    </w:p>
    <w:p>
      <w:pPr>
        <w:ind w:right="520" w:firstLine="360"/>
        <w:spacing w:after="0" w:line="281" w:lineRule="auto"/>
        <w:rPr>
          <w:sz w:val="20"/>
          <w:szCs w:val="20"/>
          <w:color w:val="auto"/>
        </w:rPr>
      </w:pPr>
      <w:r>
        <w:rPr>
          <w:rFonts w:ascii="Times New Roman" w:cs="Times New Roman" w:eastAsia="Times New Roman" w:hAnsi="Times New Roman"/>
          <w:sz w:val="20"/>
          <w:szCs w:val="20"/>
          <w:color w:val="auto"/>
        </w:rPr>
        <w:t>The open nature of the Nautilus platform creates the opportunity to partner with third-parties on the development and supply of affinity reagents for use on our instrument.</w:t>
      </w:r>
    </w:p>
    <w:p>
      <w:pPr>
        <w:spacing w:after="0" w:line="1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Basic Research and Discovery Applications</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The Discovery Potential of Our Nautilus Platform</w:t>
      </w:r>
    </w:p>
    <w:p>
      <w:pPr>
        <w:spacing w:after="0" w:line="194" w:lineRule="exact"/>
        <w:rPr>
          <w:sz w:val="20"/>
          <w:szCs w:val="20"/>
          <w:color w:val="auto"/>
        </w:rPr>
      </w:pPr>
    </w:p>
    <w:p>
      <w:pPr>
        <w:ind w:firstLine="360"/>
        <w:spacing w:after="0" w:line="275" w:lineRule="auto"/>
        <w:rPr>
          <w:sz w:val="20"/>
          <w:szCs w:val="20"/>
          <w:color w:val="auto"/>
        </w:rPr>
      </w:pPr>
      <w:r>
        <w:rPr>
          <w:rFonts w:ascii="Times New Roman" w:cs="Times New Roman" w:eastAsia="Times New Roman" w:hAnsi="Times New Roman"/>
          <w:sz w:val="19"/>
          <w:szCs w:val="19"/>
          <w:color w:val="auto"/>
        </w:rPr>
        <w:t>One of the long-standing challenges to accelerating the discovery and understanding of protein biological function has been the overwhelming dynamic range of proteins present in a cell or a biospecimen. We believe that a sensitivity of detecting 1 protein molecule in as little as 1,000 cells will be required to identify the exceptionally rare but biologically significant proteins in a sample. Our Nautilus platform is designed with this extreme sensitivity in mind, which we believe makes it ideally suited for capturing and cataloging the variation of the proteome in a comprehensive way, both in human and non-human species.</w:t>
      </w:r>
    </w:p>
    <w:p>
      <w:pPr>
        <w:spacing w:after="0" w:line="128" w:lineRule="exact"/>
        <w:rPr>
          <w:sz w:val="20"/>
          <w:szCs w:val="20"/>
          <w:color w:val="auto"/>
        </w:rPr>
      </w:pPr>
    </w:p>
    <w:p>
      <w:pPr>
        <w:ind w:right="100" w:firstLine="360"/>
        <w:spacing w:after="0" w:line="254" w:lineRule="auto"/>
        <w:rPr>
          <w:sz w:val="20"/>
          <w:szCs w:val="20"/>
          <w:color w:val="auto"/>
        </w:rPr>
      </w:pPr>
      <w:r>
        <w:rPr>
          <w:rFonts w:ascii="Times New Roman" w:cs="Times New Roman" w:eastAsia="Times New Roman" w:hAnsi="Times New Roman"/>
          <w:sz w:val="20"/>
          <w:szCs w:val="20"/>
          <w:color w:val="auto"/>
        </w:rPr>
        <w:t>Further, we believe speed, scale, and single protein molecule data quality will be required to enable research projects with aims to create new species-specific, tissue-specific, or disease-specific reference datasets that have the potential to accelerate discovery across academic and industry research communities. We believe our customers could embrace our Nautilus platform for these applications broadly. Comparatively, during the initial market adoption of NGS, as the instrumentation and methods improved in speed and data production scale, projects increased dramatically in size. Sample cohorts grew from dozens of samples to hundreds, and then to thousands in an effort to use the speed and data production capacity to improve the statistical power required to make new discoveries. We believe our Nautilus platform technology could experience a similar trajectory of utilization for research and discovery applications, making very large sample size studies that were not feasible using prior proteomic detection methods now practical for our customers to implement.</w:t>
      </w:r>
    </w:p>
    <w:p>
      <w:pPr>
        <w:spacing w:after="0" w:line="149" w:lineRule="exact"/>
        <w:rPr>
          <w:sz w:val="20"/>
          <w:szCs w:val="20"/>
          <w:color w:val="auto"/>
        </w:rPr>
      </w:pPr>
    </w:p>
    <w:p>
      <w:pPr>
        <w:ind w:right="80" w:firstLine="360"/>
        <w:spacing w:after="0" w:line="254" w:lineRule="auto"/>
        <w:rPr>
          <w:sz w:val="20"/>
          <w:szCs w:val="20"/>
          <w:color w:val="auto"/>
        </w:rPr>
      </w:pPr>
      <w:r>
        <w:rPr>
          <w:rFonts w:ascii="Times New Roman" w:cs="Times New Roman" w:eastAsia="Times New Roman" w:hAnsi="Times New Roman"/>
          <w:sz w:val="20"/>
          <w:szCs w:val="20"/>
          <w:color w:val="auto"/>
        </w:rPr>
        <w:t>A deeper level of detail and molecular complexity also clearly exists beyond the estimated 20,000 proteins in the human proteome, and we expect our customers to utilize proteoform specific reagents for the profiling, mapping, and characterization of post-translational modification patterns on proteins of interest. It is estimated there are as many as 6,000,000 different proteoforms produced through protein modification pathways that hold critical biological and contextual information on the function and purpose of the proteins in our cells. We believe our customers could show strong interest in this important field of research given the lack of technologies and tools in existence today capable of mapping multiple features on a single protein in one analysis workflow. We believe discovery focused proteoform specific reagents could be used in combination with our multi-affinity broad protein detection method to enhance the output of our analyses.</w:t>
      </w:r>
    </w:p>
    <w:p>
      <w:pPr>
        <w:spacing w:after="0" w:line="1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Multi-Omic Systems Biology and Proteogenomics</w:t>
      </w:r>
    </w:p>
    <w:p>
      <w:pPr>
        <w:spacing w:after="0" w:line="194" w:lineRule="exact"/>
        <w:rPr>
          <w:sz w:val="20"/>
          <w:szCs w:val="20"/>
          <w:color w:val="auto"/>
        </w:rPr>
      </w:pPr>
    </w:p>
    <w:p>
      <w:pPr>
        <w:ind w:right="40" w:firstLine="360"/>
        <w:spacing w:after="0" w:line="255" w:lineRule="auto"/>
        <w:rPr>
          <w:sz w:val="20"/>
          <w:szCs w:val="20"/>
          <w:color w:val="auto"/>
        </w:rPr>
      </w:pPr>
      <w:r>
        <w:rPr>
          <w:rFonts w:ascii="Times New Roman" w:cs="Times New Roman" w:eastAsia="Times New Roman" w:hAnsi="Times New Roman"/>
          <w:sz w:val="20"/>
          <w:szCs w:val="20"/>
          <w:color w:val="auto"/>
        </w:rPr>
        <w:t>We believe the creation of matched DNA, RNA and protein data sets for integrated multi-omic (DNA, RNA and protein) analyses will enable a more complete understanding of the path of information transfer from gene, to transcript, to protein. It is estimated that at most only 40% of protein expression can be predicted by gene expression data. Integrated multi-omic data sets are expected to have far greater potential for better understanding this discordance, its biological origin, and ultimately its impact on cell function with deeper and more complete proteomic data. We expect the creation of workflows with matched NGS and proteomic data will become standard practice in the community, further driving the utility and value of our Nautilus platform technology.</w:t>
      </w:r>
    </w:p>
    <w:p>
      <w:pPr>
        <w:spacing w:after="0" w:line="150" w:lineRule="exact"/>
        <w:rPr>
          <w:sz w:val="20"/>
          <w:szCs w:val="20"/>
          <w:color w:val="auto"/>
        </w:rPr>
      </w:pPr>
    </w:p>
    <w:p>
      <w:pPr>
        <w:ind w:right="20" w:firstLine="360"/>
        <w:spacing w:after="0" w:line="269" w:lineRule="auto"/>
        <w:rPr>
          <w:sz w:val="20"/>
          <w:szCs w:val="20"/>
          <w:color w:val="auto"/>
        </w:rPr>
      </w:pPr>
      <w:r>
        <w:rPr>
          <w:rFonts w:ascii="Times New Roman" w:cs="Times New Roman" w:eastAsia="Times New Roman" w:hAnsi="Times New Roman"/>
          <w:sz w:val="19"/>
          <w:szCs w:val="19"/>
          <w:color w:val="auto"/>
        </w:rPr>
        <w:t>Proteogenomics is an emerging area of research, with the goal of identifying brand new proteins or proteoforms not currently captured in the protein reference sequence. In proteogenomics, individual protein sequence databases are generated using matched transcriptomic and genomic data to aid in the identification of novel peptides and proteins detected but not yet mapped within the reference databases of known proteins. In this area of research, the integration of genomics and gene expression data enhances the predictive capability to determine what new proteins are present in a sample, and further brings functional context to genomic information and gene expression patterns. Our Nautilus platform represents an entirely new single protein molecule data source for proteogenomics, which we believe could contribute significantly to the field by increasing the scale of proteomic data accessible for these analyses, and ultimately increasing the discovery potential of the integrated dataset. Given the current level of access to genomic and transcriptomic information enabled by NGS, we believe the</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2240" w:h="15840" w:orient="portrait"/>
          <w:cols w:equalWidth="0" w:num="1">
            <w:col w:w="10240"/>
          </w:cols>
          <w:pgMar w:left="1000" w:top="793" w:right="1000" w:bottom="0" w:gutter="0" w:footer="0" w:header="0"/>
          <w:type w:val="continuous"/>
        </w:sectPr>
      </w:pPr>
    </w:p>
    <w:bookmarkStart w:id="29" w:name="page30"/>
    <w:bookmarkEnd w:id="29"/>
    <w:p>
      <w:pPr>
        <w:ind w:right="140"/>
        <w:spacing w:after="0" w:line="281" w:lineRule="auto"/>
        <w:rPr>
          <w:sz w:val="20"/>
          <w:szCs w:val="20"/>
          <w:color w:val="auto"/>
        </w:rPr>
      </w:pPr>
      <w:r>
        <w:rPr>
          <w:rFonts w:ascii="Times New Roman" w:cs="Times New Roman" w:eastAsia="Times New Roman" w:hAnsi="Times New Roman"/>
          <w:sz w:val="20"/>
          <w:szCs w:val="20"/>
          <w:color w:val="auto"/>
        </w:rPr>
        <w:t>research community could rapidly integrate data from our Nautilus platform technology into these studies to leverage matched genomic and proteomic data.</w:t>
      </w:r>
    </w:p>
    <w:p>
      <w:pPr>
        <w:spacing w:after="0" w:line="1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Translational Research and Discovery Applications</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Biomarker Discovery</w:t>
      </w:r>
    </w:p>
    <w:p>
      <w:pPr>
        <w:spacing w:after="0" w:line="194"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It has been published that approximately 95% of FDA-approved drug targets are proteins. The Human Protein Atlas collaborative research project identified that FDA-approved drugs are targeting up to 854 separate human proteins and that there are 4,906 genes in the UniProt database that have experimental evidence for being involved in disease. We believe that the drug development and diagnostic industries have suffered from an inability to access the low frequency and rare proteins present in biological samples due to the tremendous dynamic range present across proteins in a specimen. As already described, we believe that our Nautilus platform technology is designed with the scale to adequately overcome the dynamic range problem in proteomics, and provide researchers with access to the rare, but biologically important protein detection where biomarkers are believed to exist. We believe our Nautilus platform’s sensitivity targeting the detection of events as rare as 1 protein molecule in 1,000 cells will be critically important and may unlock the potential for many new biomarkers to accelerate the development of precision medicine diagnostics and therapeutics.</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Proteoform Patterns as Biomarkers and Mechanism of Action Studies</w:t>
      </w:r>
    </w:p>
    <w:p>
      <w:pPr>
        <w:spacing w:after="0" w:line="194" w:lineRule="exact"/>
        <w:rPr>
          <w:sz w:val="20"/>
          <w:szCs w:val="20"/>
          <w:color w:val="auto"/>
        </w:rPr>
      </w:pPr>
    </w:p>
    <w:p>
      <w:pPr>
        <w:ind w:right="80" w:firstLine="360"/>
        <w:spacing w:after="0" w:line="254" w:lineRule="auto"/>
        <w:rPr>
          <w:sz w:val="20"/>
          <w:szCs w:val="20"/>
          <w:color w:val="auto"/>
        </w:rPr>
      </w:pPr>
      <w:r>
        <w:rPr>
          <w:rFonts w:ascii="Times New Roman" w:cs="Times New Roman" w:eastAsia="Times New Roman" w:hAnsi="Times New Roman"/>
          <w:sz w:val="20"/>
          <w:szCs w:val="20"/>
          <w:color w:val="auto"/>
        </w:rPr>
        <w:t>We believe the study of proteoform patterns, proteoform frequency, and proteoform diversity of critically important drug targets will be a widely used application of our Nautilus platform. Which drugs work on specific protein drug targets is not just a result of the total number of post-translational modifications, but instead by how combinations of specific post-translational modification are operating together. Our technology is designed to enable the research community to see these proteoform patterns, and to measure their relationship to one another. Every disease is the result of a dysregulation of molecular functions that create biological consequences compared to normal healthy function. Given the inability to detect proteoform patterns today, we believe this will become an essential application of our technology used to investigate important drug targets and molecular disease pathways. We believe this application has the potential to advance precision medicine by making an entire layer of molecular complexity and information available to researchers for the first time.</w:t>
      </w:r>
    </w:p>
    <w:p>
      <w:pPr>
        <w:spacing w:after="0" w:line="1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Longitudinal Monitoring of Proteome Dynamics</w:t>
      </w:r>
    </w:p>
    <w:p>
      <w:pPr>
        <w:spacing w:after="0" w:line="194"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The study of proteome composition, protein and proteoform frequency, patterns, and variations over time represents an opportunity to survey and understand the biological changes resulting from environmental factors that influence our health and wellness. Individual or small panel protein surveillance tools have existed in the healthcare market for decades using traditional assay methods across a range of biospecimen, all of which have the same inherent limitations as those in the research space. Also, cell-free nucleic acid methods have emerged recently as amongst the first molecular surveillance tools in oncology for the emergence of disease progression post treatment or surgery, and may also prove to enable the detection of disease at earlier stages in some cancers where cell-free nucleic acids are present at higher levels. However, the same fundamental challenges exist in this setting. Nucleic acids are still only a proxy for measuring the biological consequences of the functional proteins, and further the sensitivity needed to find early-onset molecular features of disease before it presents clinically is incredibly high. We believe the routine surveillance of proteins at sufficient breadth and depth to capture even the exceptionally low-frequency changes will be a key area of interest in the future. This application has implications across not only oncology, but across virtually any human disease where the molecular underpinnings driving that disease may one day be revealed and then tracked to identify that disease earlier, measure the response to treatments, and create a comprehensive and dynamic view of our overall molecular health.</w:t>
      </w:r>
    </w:p>
    <w:p>
      <w:pPr>
        <w:spacing w:after="0" w:line="150" w:lineRule="exact"/>
        <w:rPr>
          <w:sz w:val="20"/>
          <w:szCs w:val="20"/>
          <w:color w:val="auto"/>
        </w:rPr>
      </w:pPr>
    </w:p>
    <w:p>
      <w:pPr>
        <w:ind w:left="360" w:right="4300"/>
        <w:spacing w:after="0" w:line="466" w:lineRule="auto"/>
        <w:rPr>
          <w:sz w:val="20"/>
          <w:szCs w:val="20"/>
          <w:color w:val="auto"/>
        </w:rPr>
      </w:pPr>
      <w:r>
        <w:rPr>
          <w:rFonts w:ascii="Times New Roman" w:cs="Times New Roman" w:eastAsia="Times New Roman" w:hAnsi="Times New Roman"/>
          <w:sz w:val="19"/>
          <w:szCs w:val="19"/>
          <w:b w:val="1"/>
          <w:bCs w:val="1"/>
          <w:i w:val="1"/>
          <w:iCs w:val="1"/>
          <w:color w:val="auto"/>
        </w:rPr>
        <w:t>Diagnostics, Clinical Research and Drug Development Applications Transitioning from Discovery into Clinical Application</w:t>
      </w:r>
    </w:p>
    <w:p>
      <w:pPr>
        <w:spacing w:after="0" w:line="1"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20"/>
          <w:szCs w:val="20"/>
          <w:color w:val="auto"/>
        </w:rPr>
        <w:t>We believe one of the largest and most impactful applications for our technology in the future will be the development of diagnostics that leverage the sensitivity, speed, stability, and ease of use we are designing our system to achieve. Significant technical and practical barriers have existed with prior high-throughput proteomic technologies preventing them from accessing the clinic. Despite advances in sample preparation methods, we believe the detection of enriched and modified protein samples by mass spectrometry will continue to experience challenges in the effort to transition to the clinic. We believe our novel protein detection method embodies the performance characteristics and design criteria that will be desirable for clinical applications. We further believe there will be opportunities to identify and develop content for proteomic clinical diagnostic tools as a result of the more direct nature of measuring the individual proteins at the source of biological function, as opposed to inferring biological function from genomic or gene expression measurements.</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2240" w:h="15840" w:orient="portrait"/>
          <w:cols w:equalWidth="0" w:num="1">
            <w:col w:w="10240"/>
          </w:cols>
          <w:pgMar w:left="1000" w:top="793" w:right="1000" w:bottom="0" w:gutter="0" w:footer="0" w:header="0"/>
          <w:type w:val="continuous"/>
        </w:sectPr>
      </w:pPr>
    </w:p>
    <w:bookmarkStart w:id="30" w:name="page31"/>
    <w:bookmarkEnd w:id="30"/>
    <w:p>
      <w:pPr>
        <w:ind w:right="20" w:firstLine="360"/>
        <w:spacing w:after="0" w:line="254" w:lineRule="auto"/>
        <w:rPr>
          <w:sz w:val="20"/>
          <w:szCs w:val="20"/>
          <w:color w:val="auto"/>
        </w:rPr>
      </w:pPr>
      <w:r>
        <w:rPr>
          <w:rFonts w:ascii="Times New Roman" w:cs="Times New Roman" w:eastAsia="Times New Roman" w:hAnsi="Times New Roman"/>
          <w:sz w:val="20"/>
          <w:szCs w:val="20"/>
          <w:color w:val="auto"/>
        </w:rPr>
        <w:t>We also believe there will be an opportunity to leverage the proteoform pattern detection methods established in a translational research setting into the development of clinical tests in the future. We expect that once our technology is validated in a translational research setting for the identification of proteoform patterns which are themselves biomarkers of disease, we could potentially be in the position of being the only technology capable of physically detecting such patterns. We believe this presents an opportunity to use our Nautilus platform to continue to advance these applications and methods of proteoform pattern biomarker detection from discovery all the way through to future diagnostic using our technology. As we work to build evidence with our customers and partners on the utility of new proteoform patterns as translational and clinical biomarkers, we believe such applications of our Nautilus platform could have a profound impact on precision medicine.</w:t>
      </w:r>
    </w:p>
    <w:p>
      <w:pPr>
        <w:spacing w:after="0" w:line="1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Precision Medicine Development &amp; Clinical Trial Support</w:t>
      </w:r>
    </w:p>
    <w:p>
      <w:pPr>
        <w:spacing w:after="0" w:line="194" w:lineRule="exact"/>
        <w:rPr>
          <w:sz w:val="20"/>
          <w:szCs w:val="20"/>
          <w:color w:val="auto"/>
        </w:rPr>
      </w:pPr>
    </w:p>
    <w:p>
      <w:pPr>
        <w:ind w:right="120" w:firstLine="360"/>
        <w:spacing w:after="0" w:line="256" w:lineRule="auto"/>
        <w:rPr>
          <w:sz w:val="20"/>
          <w:szCs w:val="20"/>
          <w:color w:val="auto"/>
        </w:rPr>
      </w:pPr>
      <w:r>
        <w:rPr>
          <w:rFonts w:ascii="Times New Roman" w:cs="Times New Roman" w:eastAsia="Times New Roman" w:hAnsi="Times New Roman"/>
          <w:sz w:val="20"/>
          <w:szCs w:val="20"/>
          <w:color w:val="auto"/>
        </w:rPr>
        <w:t>We believe there is tremendous demand for broad scale proteomic data across the continuum of preclinical and clinical drug development. Starting at the earliest stages of therapeutic asset development, the ability to strategically inform and prioritize experimental compounds with deep proteomic data will provide a much more comprehensive view of cellular responses and resistance mechanisms. This data may also create a new perspective on how to modify experimental therapies to interact with molecular pathways in much more specific and intentional ways. We believe these types of applications present a very compelling use-case for our Nautilus platform.</w:t>
      </w:r>
    </w:p>
    <w:p>
      <w:pPr>
        <w:spacing w:after="0" w:line="148"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20"/>
          <w:szCs w:val="20"/>
          <w:color w:val="auto"/>
        </w:rPr>
        <w:t>We first expect adoption of our Nautilus platform could occur in the preclinical and clinical retrospective settings, where we believe single-molecule proteomic and proteoform composition and frequency will become essential tools in building a more complete picture of how experimental medicines are interacting in complex molecular pathways. Each individual tissue type offers its own unique profile of expressed proteins and functions, where advances in proteomic data breadth and depth may elucidate how and where a compound is interacting within these different cell types. We also believe this type of comprehensive proteomic analysis could become an important tool for improving our understanding of drug toxicities, metabolism and distribution. For this application, our technology has the potential to substantially improve visibility to the entire landscape of drug-target interactions, and consequently may help to improve the probability of creating strong therapeutic responses while minimizing detrimental or off-target effects. As these new insights become available, we further believe our customers may engage in very large-scale studies to catalog the frequency of target proteins and proteomic patterns across large and diverse biobanks that represent the intent to treat populations of interest, which will help inform and prioritize the development strategy and the potential impact of their experimental therapy pipelines.</w:t>
      </w:r>
    </w:p>
    <w:p>
      <w:pPr>
        <w:spacing w:after="0" w:line="151" w:lineRule="exact"/>
        <w:rPr>
          <w:sz w:val="20"/>
          <w:szCs w:val="20"/>
          <w:color w:val="auto"/>
        </w:rPr>
      </w:pPr>
    </w:p>
    <w:p>
      <w:pPr>
        <w:ind w:right="80" w:firstLine="360"/>
        <w:spacing w:after="0" w:line="254" w:lineRule="auto"/>
        <w:rPr>
          <w:sz w:val="20"/>
          <w:szCs w:val="20"/>
          <w:color w:val="auto"/>
        </w:rPr>
      </w:pPr>
      <w:r>
        <w:rPr>
          <w:rFonts w:ascii="Times New Roman" w:cs="Times New Roman" w:eastAsia="Times New Roman" w:hAnsi="Times New Roman"/>
          <w:sz w:val="20"/>
          <w:szCs w:val="20"/>
          <w:color w:val="auto"/>
        </w:rPr>
        <w:t>We believe that as these advances in the application of large-scale proteomic data are realized in preclinical and retrospective settings, a natural transition will occur where our customers and partners will seek to apply their learnings in prospective settings. In the prospective clinical development environment, we believe the same design features which make our Nautilus platform desirable in a research setting can be fully realized. Prior proteomic profiling technologies have struggled to make an impact in prospective clinical settings due to a lack of run-to-run data reproducibility, slow turn-around-time, and overall complexity of practical implementation. We believe our Nautilus platform design is ideally suited for the quality, stability, and speed required to fully realize the value of accessing deep proteomic profiling data to identify biomarkers that stratify patients for clinical trials and improve drug development.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PRODUCTS</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Overview</w:t>
      </w:r>
    </w:p>
    <w:p>
      <w:pPr>
        <w:spacing w:after="0" w:line="199" w:lineRule="exact"/>
        <w:rPr>
          <w:sz w:val="20"/>
          <w:szCs w:val="20"/>
          <w:color w:val="auto"/>
        </w:rPr>
      </w:pPr>
    </w:p>
    <w:p>
      <w:pPr>
        <w:ind w:firstLine="360"/>
        <w:spacing w:after="0" w:line="260" w:lineRule="auto"/>
        <w:rPr>
          <w:sz w:val="20"/>
          <w:szCs w:val="20"/>
          <w:color w:val="auto"/>
        </w:rPr>
      </w:pPr>
      <w:r>
        <w:rPr>
          <w:rFonts w:ascii="Times New Roman" w:cs="Times New Roman" w:eastAsia="Times New Roman" w:hAnsi="Times New Roman"/>
          <w:sz w:val="20"/>
          <w:szCs w:val="20"/>
          <w:color w:val="auto"/>
        </w:rPr>
        <w:t>Our primary business model is anticipated to be focused on the commercialization of our Nautilus platform through the sale of instrumentation, reagent consumables, and software. Our proteome analysis system is our detection instrument at the center of our product suite, supported by reagent consumables for the preparation and analysis of proteins, and followed by sophisticated machine learning software architecture for the analysis and reporting of our data in the cloud.</w:t>
      </w:r>
    </w:p>
    <w:p>
      <w:pPr>
        <w:spacing w:after="0" w:line="1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Proteome Analysis System</w:t>
      </w:r>
    </w:p>
    <w:p>
      <w:pPr>
        <w:spacing w:after="0" w:line="199" w:lineRule="exact"/>
        <w:rPr>
          <w:sz w:val="20"/>
          <w:szCs w:val="20"/>
          <w:color w:val="auto"/>
        </w:rPr>
      </w:pPr>
    </w:p>
    <w:p>
      <w:pPr>
        <w:ind w:right="180" w:firstLine="360"/>
        <w:spacing w:after="0" w:line="258" w:lineRule="auto"/>
        <w:rPr>
          <w:sz w:val="20"/>
          <w:szCs w:val="20"/>
          <w:color w:val="auto"/>
        </w:rPr>
      </w:pPr>
      <w:r>
        <w:rPr>
          <w:rFonts w:ascii="Times New Roman" w:cs="Times New Roman" w:eastAsia="Times New Roman" w:hAnsi="Times New Roman"/>
          <w:sz w:val="20"/>
          <w:szCs w:val="20"/>
          <w:color w:val="auto"/>
        </w:rPr>
        <w:t>Our proteome analysis system is a high-resolution optical imaging system coupled with integrated fluidics and liquid handling sub-systems. The system is designed to deposit protein libraries onto a flow cell and to process labeled multi-affinity probe binding and imaging cycles rapidly in order to decode and quantify the vast majority of proteins present in biological samples. After the reagent kits, samples (protein libraries), and flow cells are loaded onto the system, the remainder of the workflow is automated.</w:t>
      </w:r>
    </w:p>
    <w:p>
      <w:pPr>
        <w:spacing w:after="0" w:line="1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Reagent Kits</w:t>
      </w:r>
    </w:p>
    <w:p>
      <w:pPr>
        <w:spacing w:after="0" w:line="199" w:lineRule="exact"/>
        <w:rPr>
          <w:sz w:val="20"/>
          <w:szCs w:val="20"/>
          <w:color w:val="auto"/>
        </w:rPr>
      </w:pPr>
    </w:p>
    <w:p>
      <w:pPr>
        <w:ind w:right="460" w:firstLine="360"/>
        <w:spacing w:after="0" w:line="281" w:lineRule="auto"/>
        <w:rPr>
          <w:sz w:val="20"/>
          <w:szCs w:val="20"/>
          <w:color w:val="auto"/>
        </w:rPr>
      </w:pPr>
      <w:r>
        <w:rPr>
          <w:rFonts w:ascii="Times New Roman" w:cs="Times New Roman" w:eastAsia="Times New Roman" w:hAnsi="Times New Roman"/>
          <w:sz w:val="20"/>
          <w:szCs w:val="20"/>
          <w:color w:val="auto"/>
        </w:rPr>
        <w:t>System run reagent kits are comprised of four main components: sample preparation, flow cell(s), multi-affinity probe reagents, and instrument buffers used to perform multi-cycle analysis runs.</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2240" w:h="15840" w:orient="portrait"/>
          <w:cols w:equalWidth="0" w:num="1">
            <w:col w:w="10260"/>
          </w:cols>
          <w:pgMar w:left="1000" w:top="793" w:right="980" w:bottom="0" w:gutter="0" w:footer="0" w:header="0"/>
          <w:type w:val="continuous"/>
        </w:sectPr>
      </w:pPr>
    </w:p>
    <w:bookmarkStart w:id="31" w:name="page32"/>
    <w:bookmarkEnd w:id="31"/>
    <w:p>
      <w:pPr>
        <w:ind w:right="40" w:firstLine="360"/>
        <w:spacing w:after="0" w:line="254" w:lineRule="auto"/>
        <w:rPr>
          <w:sz w:val="20"/>
          <w:szCs w:val="20"/>
          <w:color w:val="auto"/>
        </w:rPr>
      </w:pPr>
      <w:r>
        <w:rPr>
          <w:rFonts w:ascii="Times New Roman" w:cs="Times New Roman" w:eastAsia="Times New Roman" w:hAnsi="Times New Roman"/>
          <w:sz w:val="20"/>
          <w:szCs w:val="20"/>
          <w:color w:val="auto"/>
        </w:rPr>
        <w:t>Our proprietary sample preparation kits will be designed for the isolation and preparation of a library of proteins from a variety of input materials including cell cultures, tissues and biospecimen. The library preparation includes an automatable workflow consisting of chemically labeling target proteins and attaching them to a scaffold used to deposit proteins on our flow cell. Given the breadth and depth of data output capability planned for our proteome analysis system, it is not expected that additional protein sample enrichment, enhancement or pre-treatments of samples will be required for processing, however we do intend to be compatible with such pre-treated samples. We also expect our customers and partners may wish to design their own custom process to target specific proteins prior to creating a library with them, and we intend to ensure our kits will be compatible with pre-treated or enriched protein samples. Our protein library preparation process is designed to be simple, efficient, and robust, all features which are expected to allow for easy automated processing for high throughput applications.</w:t>
      </w:r>
    </w:p>
    <w:p>
      <w:pPr>
        <w:spacing w:after="0" w:line="149" w:lineRule="exact"/>
        <w:rPr>
          <w:sz w:val="20"/>
          <w:szCs w:val="20"/>
          <w:color w:val="auto"/>
        </w:rPr>
      </w:pPr>
    </w:p>
    <w:p>
      <w:pPr>
        <w:ind w:right="20" w:firstLine="360"/>
        <w:spacing w:after="0" w:line="256" w:lineRule="auto"/>
        <w:rPr>
          <w:sz w:val="20"/>
          <w:szCs w:val="20"/>
          <w:color w:val="auto"/>
        </w:rPr>
      </w:pPr>
      <w:r>
        <w:rPr>
          <w:rFonts w:ascii="Times New Roman" w:cs="Times New Roman" w:eastAsia="Times New Roman" w:hAnsi="Times New Roman"/>
          <w:sz w:val="20"/>
          <w:szCs w:val="20"/>
          <w:color w:val="auto"/>
        </w:rPr>
        <w:t>In an effort to provide maximum flexibility, our initial flow cell design includes four physically separated and independent fluid channels, or “lanes,” such that a customer can introduce a unique biological sample in to each lane for multi-cycle analysis. Our proteome analysis system is designed to hold and concurrently analyze up to three flow cells in a single system run, for a total of 12 lanes. Additional sample throughput may also be achieved by the use of a molecular barcode in our reagent kits that will enable the multiplexing of more than one barcoded sample library together within a single lane for analysis in the future.</w:t>
      </w:r>
    </w:p>
    <w:p>
      <w:pPr>
        <w:spacing w:after="0" w:line="148" w:lineRule="exact"/>
        <w:rPr>
          <w:sz w:val="20"/>
          <w:szCs w:val="20"/>
          <w:color w:val="auto"/>
        </w:rPr>
      </w:pPr>
    </w:p>
    <w:p>
      <w:pPr>
        <w:ind w:right="20" w:firstLine="360"/>
        <w:spacing w:after="0" w:line="256" w:lineRule="auto"/>
        <w:rPr>
          <w:sz w:val="20"/>
          <w:szCs w:val="20"/>
          <w:color w:val="auto"/>
        </w:rPr>
      </w:pPr>
      <w:r>
        <w:rPr>
          <w:rFonts w:ascii="Times New Roman" w:cs="Times New Roman" w:eastAsia="Times New Roman" w:hAnsi="Times New Roman"/>
          <w:sz w:val="20"/>
          <w:szCs w:val="20"/>
          <w:color w:val="auto"/>
        </w:rPr>
        <w:t>Affinity binding reagents will also be included as a reagent kit. Kits will be offered in configurations that cover a catalog of proteomic content. We intend to supply a standardized set of multi-affinity probe reagents for the broadscale detection of proteins, or “proteome kits,” as well as protein-specific or proteoform-specific kits, or “targeted proteoform kits,” focused on high interest protein targets in key disease areas. Additionally, custom affinity reagent labeling kits are expected to be supplied in the future to enable customers to label their own in-house developed or purchased affinity reagents to be compatible with Nautilus workflows for use on the system.</w:t>
      </w:r>
    </w:p>
    <w:p>
      <w:pPr>
        <w:spacing w:after="0" w:line="1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Software &amp; Analysis</w:t>
      </w:r>
    </w:p>
    <w:p>
      <w:pPr>
        <w:spacing w:after="0" w:line="199" w:lineRule="exact"/>
        <w:rPr>
          <w:sz w:val="20"/>
          <w:szCs w:val="20"/>
          <w:color w:val="auto"/>
        </w:rPr>
      </w:pPr>
    </w:p>
    <w:p>
      <w:pPr>
        <w:ind w:right="60" w:firstLine="360"/>
        <w:spacing w:after="0" w:line="255" w:lineRule="auto"/>
        <w:rPr>
          <w:sz w:val="20"/>
          <w:szCs w:val="20"/>
          <w:color w:val="auto"/>
        </w:rPr>
      </w:pPr>
      <w:r>
        <w:rPr>
          <w:rFonts w:ascii="Times New Roman" w:cs="Times New Roman" w:eastAsia="Times New Roman" w:hAnsi="Times New Roman"/>
          <w:sz w:val="20"/>
          <w:szCs w:val="20"/>
          <w:color w:val="auto"/>
        </w:rPr>
        <w:t>Our machine learning analysis software suite also is expected to be utilized as the analysis engine to decode the proteome system raw data into protein identifications and counts. Our software is expected to be a SaaS based service, utilizing Nautilus’ machine learning computational algorithms required to identify and quantify the proteins or proteoforms present in a sample run on the system. Our software is a learning and evolving system, which we are designing to improve in accuracy over time as the multi-affinity probe binding profiles are refined and trained across a growing database. We expect our software enhancements in performance will also be accessible to customers who wish to re-analyze prior run data with later versions to deliver new insight and discovery value.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&amp; MARKETING</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Commercial Strategy</w:t>
      </w:r>
    </w:p>
    <w:p>
      <w:pPr>
        <w:spacing w:after="0" w:line="199" w:lineRule="exact"/>
        <w:rPr>
          <w:sz w:val="20"/>
          <w:szCs w:val="20"/>
          <w:color w:val="auto"/>
        </w:rPr>
      </w:pPr>
    </w:p>
    <w:p>
      <w:pPr>
        <w:ind w:right="80" w:firstLine="360"/>
        <w:spacing w:after="0" w:line="255" w:lineRule="auto"/>
        <w:rPr>
          <w:sz w:val="20"/>
          <w:szCs w:val="20"/>
          <w:color w:val="auto"/>
        </w:rPr>
      </w:pPr>
      <w:r>
        <w:rPr>
          <w:rFonts w:ascii="Times New Roman" w:cs="Times New Roman" w:eastAsia="Times New Roman" w:hAnsi="Times New Roman"/>
          <w:sz w:val="20"/>
          <w:szCs w:val="20"/>
          <w:color w:val="auto"/>
        </w:rPr>
        <w:t>The primary business model we intend to implement is to directly commercialize our entire end-to-end Nautilus platform technology solution through the sale and installation of our proteome analysis system at customer sites; the ongoing sale of consumables covering a broad suite of applications run on our system; a SaaS analytics and insights software subscription to capture long term value created by our machine learning-based analysis enhancements; and a service warranty plan to maintain our install base and support our customers in the field. We believe a comprehensive solution could offer a compelling value proposition across multiple market segments due to the substantial enhancements it will create in speed and scale of data creation, single protein molecule quantitation, sensitivity, and reproducibility.</w:t>
      </w:r>
    </w:p>
    <w:p>
      <w:pPr>
        <w:spacing w:after="0" w:line="150"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We initially intend to target customers with a history of strong performance in proteomic research, and a substantial annual research budget allocation for proteomics technologies and proteomic data. We expect many of our customers will already have high complexity molecular analysis laboratories which include high throughput proteomic or genomic analysis capabilities on site. We believe these customers represent a segment of the greater than 16,000 system install base of mass spectrometry detection systems already in use, many of which are dedicated to proteomic analyses. Our early customers are expected to include large pharma and biotech research groups, sophisticated proteomic translational research laboratories in academia, and large-scale commercial and academic multi-omics research laboratories. As our Nautilus platform is introduced into these customer segments, we further intend to expand our commercialization into clinical settings, where our target customers are expected to include pharma and biotech clinical development groups, contract research organizations, and ultimately, diagnostic laboratories.</w:t>
      </w:r>
    </w:p>
    <w:p>
      <w:pPr>
        <w:spacing w:after="0" w:line="156" w:lineRule="exact"/>
        <w:rPr>
          <w:sz w:val="20"/>
          <w:szCs w:val="20"/>
          <w:color w:val="auto"/>
        </w:rPr>
      </w:pPr>
    </w:p>
    <w:p>
      <w:pPr>
        <w:ind w:right="240" w:firstLine="360"/>
        <w:spacing w:after="0" w:line="278" w:lineRule="auto"/>
        <w:rPr>
          <w:sz w:val="20"/>
          <w:szCs w:val="20"/>
          <w:color w:val="auto"/>
        </w:rPr>
      </w:pPr>
      <w:r>
        <w:rPr>
          <w:rFonts w:ascii="Times New Roman" w:cs="Times New Roman" w:eastAsia="Times New Roman" w:hAnsi="Times New Roman"/>
          <w:sz w:val="19"/>
          <w:szCs w:val="19"/>
          <w:color w:val="auto"/>
        </w:rPr>
        <w:t>Our proteome analysis system is expected to be priced in-line with mass spectrometry peptide detection equipment, or high-throughput NGS equipment, making the capital expense for our system within the budget for our initial customers. Our consumables are expected be priced at a level that provides comparable market value for full proteome analysis. The use of multiplexed run configurations will continue to grow over time, which we believe will help to reduce our costs and the price-</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2240" w:h="15840" w:orient="portrait"/>
          <w:cols w:equalWidth="0" w:num="1">
            <w:col w:w="10240"/>
          </w:cols>
          <w:pgMar w:left="1000" w:top="793" w:right="1000" w:bottom="0" w:gutter="0" w:footer="0" w:header="0"/>
          <w:type w:val="continuous"/>
        </w:sectPr>
      </w:pPr>
    </w:p>
    <w:bookmarkStart w:id="32" w:name="page33"/>
    <w:bookmarkEnd w:id="32"/>
    <w:p>
      <w:pPr>
        <w:spacing w:after="0" w:line="260" w:lineRule="auto"/>
        <w:rPr>
          <w:sz w:val="20"/>
          <w:szCs w:val="20"/>
          <w:color w:val="auto"/>
        </w:rPr>
      </w:pPr>
      <w:r>
        <w:rPr>
          <w:rFonts w:ascii="Times New Roman" w:cs="Times New Roman" w:eastAsia="Times New Roman" w:hAnsi="Times New Roman"/>
          <w:sz w:val="20"/>
          <w:szCs w:val="20"/>
          <w:color w:val="auto"/>
        </w:rPr>
        <w:t>per-sample of our reagent kits such that we are able to support customers with very high-throughput applications of our systems. We expect these high-throughput run configurations and economics to accelerate the initiation of large-scale proteomics and multi-omics research projects, and also to be much more compatible with centralized core lab facility operations with requirements for proteomic data generation that can support an entire organization or user base.</w:t>
      </w:r>
    </w:p>
    <w:p>
      <w:pPr>
        <w:spacing w:after="0" w:line="143"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20"/>
          <w:szCs w:val="20"/>
          <w:color w:val="auto"/>
        </w:rPr>
        <w:t>Because we believe our unique approach to protein and proteoform detection is a significant deviation from any prior method, we believe it is critical to provide the market with peer reviewed publications describing our technology and its performance capabilities, and to demonstrate its ability to deliver new biological insight. Our publication strategy is a key component of our overall go-to-market plan, and we expect to spend considerable time and resources building these fundamental proof-sources to accelerate adoption of our proteome analysis system. We further believe that once our proteome analysis system is launched, a key performance indicator of our success will be the rate of new publications generated using our technology. We intend to track this closely, and we expect to invest both internally and externally to accelerate the pace of new research and publications leveraging our Nautilus platform pre- and post- proteome analysis system launch.</w:t>
      </w:r>
    </w:p>
    <w:p>
      <w:pPr>
        <w:spacing w:after="0" w:line="1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Go-To-Market Strategy</w:t>
      </w:r>
    </w:p>
    <w:p>
      <w:pPr>
        <w:spacing w:after="0" w:line="199" w:lineRule="exact"/>
        <w:rPr>
          <w:sz w:val="20"/>
          <w:szCs w:val="20"/>
          <w:color w:val="auto"/>
        </w:rPr>
      </w:pPr>
    </w:p>
    <w:p>
      <w:pPr>
        <w:ind w:right="80" w:firstLine="360"/>
        <w:spacing w:after="0" w:line="260" w:lineRule="auto"/>
        <w:rPr>
          <w:sz w:val="20"/>
          <w:szCs w:val="20"/>
          <w:color w:val="auto"/>
        </w:rPr>
      </w:pPr>
      <w:r>
        <w:rPr>
          <w:rFonts w:ascii="Times New Roman" w:cs="Times New Roman" w:eastAsia="Times New Roman" w:hAnsi="Times New Roman"/>
          <w:sz w:val="20"/>
          <w:szCs w:val="20"/>
          <w:color w:val="auto"/>
        </w:rPr>
        <w:t>We expect our proteome analysis system technology will be highly disruptive to the current proteomics technology and market landscape, and as a result, we have designed our go-to-market plan with a similar strategy to the highly successful NGS platform technology introduction and commercialization in genomics. We also believe that engaging with the market early is a critically important activity in building confidence and awareness of our technology and its capabilities.</w:t>
      </w:r>
    </w:p>
    <w:p>
      <w:pPr>
        <w:spacing w:after="0" w:line="1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Our planned go-to-market strategy is organized into 3 phases:</w:t>
      </w:r>
    </w:p>
    <w:p>
      <w:pPr>
        <w:spacing w:after="0" w:line="190" w:lineRule="exact"/>
        <w:rPr>
          <w:sz w:val="20"/>
          <w:szCs w:val="20"/>
          <w:color w:val="auto"/>
        </w:rPr>
      </w:pPr>
    </w:p>
    <w:p>
      <w:pPr>
        <w:ind w:left="720" w:hanging="37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Collaborations &amp; Partnerships</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Early Access Program</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Proteome Analysis System Launch &amp; Commercial Scale Up</w:t>
      </w:r>
    </w:p>
    <w:p>
      <w:pPr>
        <w:spacing w:after="0" w:line="190"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We have mapped the phases of our go-to-market strategy against specific technology development milestones which we believe will allow us to build the value proposition of our technology early, and to grow it in conjunction with our Nautilus platform enhancements over time. Our strategy to utilize our Nautilus platform early in its formal development cycle through partnerships is an important component, and in part can be attributed to the inherent flexibility we have to employ commercially available reagents for targeted applications of single-molecule proteomics that drive new and significant discovery value. Further, as we advance from low-cycle targeted applications towards longer runs with increasing data output, we believe each of the milestones on our development plan are potentially new and unprecedented advancements we can leverage to build commercial momentum.</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2240" w:h="15840" w:orient="portrait"/>
          <w:cols w:equalWidth="0" w:num="1">
            <w:col w:w="10240"/>
          </w:cols>
          <w:pgMar w:left="1000" w:top="793" w:right="1000" w:bottom="0" w:gutter="0" w:footer="0" w:header="0"/>
          <w:type w:val="continuous"/>
        </w:sectPr>
      </w:pPr>
    </w:p>
    <w:bookmarkStart w:id="33" w:name="page34"/>
    <w:bookmarkEnd w:id="33"/>
    <w:p>
      <w:pPr>
        <w:ind w:left="360"/>
        <w:spacing w:after="0"/>
        <w:rPr>
          <w:sz w:val="20"/>
          <w:szCs w:val="20"/>
          <w:color w:val="auto"/>
        </w:rPr>
      </w:pPr>
      <w:r>
        <w:rPr>
          <w:rFonts w:ascii="Times New Roman" w:cs="Times New Roman" w:eastAsia="Times New Roman" w:hAnsi="Times New Roman"/>
          <w:sz w:val="20"/>
          <w:szCs w:val="20"/>
          <w:color w:val="auto"/>
        </w:rPr>
        <w:t>Aligning Go-to-Market Strategy with Research and Development Milestone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160020</wp:posOffset>
            </wp:positionV>
            <wp:extent cx="6515100" cy="3438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a:extLst>
                        <a:ext uri="{28A0092B-C50C-407E-A947-70E740481C1C}"/>
                      </a:extLst>
                    </a:blip>
                    <a:srcRect/>
                    <a:stretch>
                      <a:fillRect/>
                    </a:stretch>
                  </pic:blipFill>
                  <pic:spPr bwMode="auto">
                    <a:xfrm>
                      <a:off x="0" y="0"/>
                      <a:ext cx="6515100" cy="343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Collaborations &amp; Partnerships</w:t>
      </w:r>
    </w:p>
    <w:p>
      <w:pPr>
        <w:spacing w:after="0" w:line="194"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We believe that directly engaging the market early, well before system launch, has the potential to be a very important differentiator to raise awareness of our novel Nautilus platform as it matures throughout the formal development process, and to build credibility as we educate the community on our scientific approach through the value of our data. We believe the most effective way to engage our future customers now is through partnerships and collaborations, with the primary purpose of driving new and meaningful biological insights while demonstrating our technology’s performance, unique characteristics, and capabilities. We have launched a formal partnering program with the goal of establishing multiple research collaborations generating data and publications in high impact research areas. We also believe we can use these collaborations to improve the performance characteristics of our technology during development, and we can shape the system and run parameters to more precisely meet our customer’s needs. We intend to target projects with these engagements that will help to define and validate our product applications, which we expect will further aid in the rapid adoption of such applications once directly commercialized as products.</w:t>
      </w:r>
    </w:p>
    <w:p>
      <w:pPr>
        <w:spacing w:after="0" w:line="1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Early Access Program</w:t>
      </w:r>
    </w:p>
    <w:p>
      <w:pPr>
        <w:spacing w:after="0" w:line="194"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20"/>
          <w:szCs w:val="20"/>
          <w:color w:val="auto"/>
        </w:rPr>
        <w:t>Following the important Collaboration and Partnership work necessary to lay a foundation of publications describing our technology and the initial product applications, we believe we will have a body of scientific evidence sufficient to start building demand for our technology and the single-molecule proteomic data it generates. We then intend to initiate our pre-sales activities, which include the launch of an Early Access Program comprised of a service offering that will generate data on customer biological samples using our prototype systems run by Nautilus staff in our facilities. Using this Early Access Program, we intend to begin building a pipeline of customer engagements, supporting their evaluations of our technology through proof of concept and pilot studies, and giving them access to our data to begin establishing interest in our proteome analysis system leading up to launch.</w:t>
      </w:r>
    </w:p>
    <w:p>
      <w:pPr>
        <w:spacing w:after="0" w:line="153" w:lineRule="exact"/>
        <w:rPr>
          <w:sz w:val="20"/>
          <w:szCs w:val="20"/>
          <w:color w:val="auto"/>
        </w:rPr>
      </w:pPr>
    </w:p>
    <w:p>
      <w:pPr>
        <w:ind w:right="120" w:firstLine="360"/>
        <w:spacing w:after="0" w:line="258" w:lineRule="auto"/>
        <w:rPr>
          <w:sz w:val="20"/>
          <w:szCs w:val="20"/>
          <w:color w:val="auto"/>
        </w:rPr>
      </w:pPr>
      <w:r>
        <w:rPr>
          <w:rFonts w:ascii="Times New Roman" w:cs="Times New Roman" w:eastAsia="Times New Roman" w:hAnsi="Times New Roman"/>
          <w:sz w:val="20"/>
          <w:szCs w:val="20"/>
          <w:color w:val="auto"/>
        </w:rPr>
        <w:t>We further intend to build on the momentum of our Early Access Program by expanding it to include a small group of target customers for the sales and subsequent testing of our first generation proteome analysis system on site at their facilities. Our goal in the planned proteome analysis system Early Access Program is to establish this influential group of customers as reference sites ahead of our broader commercial launch, and to integrate the learnings from our system performance outside of our own laboratories to improve the performance and robustness of our system and process design.</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Proteome Analysis System Launch and Commercial Scale Up</w:t>
      </w:r>
    </w:p>
    <w:p>
      <w:pPr>
        <w:spacing w:after="0" w:line="194" w:lineRule="exact"/>
        <w:rPr>
          <w:sz w:val="20"/>
          <w:szCs w:val="20"/>
          <w:color w:val="auto"/>
        </w:rPr>
      </w:pPr>
    </w:p>
    <w:p>
      <w:pPr>
        <w:ind w:right="400" w:firstLine="360"/>
        <w:spacing w:after="0" w:line="309" w:lineRule="auto"/>
        <w:rPr>
          <w:sz w:val="20"/>
          <w:szCs w:val="20"/>
          <w:color w:val="auto"/>
        </w:rPr>
      </w:pPr>
      <w:r>
        <w:rPr>
          <w:rFonts w:ascii="Times New Roman" w:cs="Times New Roman" w:eastAsia="Times New Roman" w:hAnsi="Times New Roman"/>
          <w:sz w:val="19"/>
          <w:szCs w:val="19"/>
          <w:color w:val="auto"/>
        </w:rPr>
        <w:t>At full commercial proteome analysis system launch, we expect to continue offering our Proteomic Data Early Access Program, and to maintain the laboratory services to continue supporting proof of concept and pilot projects for an extended</w:t>
      </w:r>
    </w:p>
    <w:p>
      <w:pPr>
        <w:sectPr>
          <w:pgSz w:w="12240" w:h="15840" w:orient="portrait"/>
          <w:cols w:equalWidth="0" w:num="1">
            <w:col w:w="10220"/>
          </w:cols>
          <w:pgMar w:left="1000" w:top="793" w:right="1020" w:bottom="0" w:gutter="0" w:footer="0" w:header="0"/>
        </w:sect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2240" w:h="15840" w:orient="portrait"/>
          <w:cols w:equalWidth="0" w:num="1">
            <w:col w:w="10220"/>
          </w:cols>
          <w:pgMar w:left="1000" w:top="793" w:right="1020" w:bottom="0" w:gutter="0" w:footer="0" w:header="0"/>
          <w:type w:val="continuous"/>
        </w:sectPr>
      </w:pPr>
    </w:p>
    <w:bookmarkStart w:id="34" w:name="page35"/>
    <w:bookmarkEnd w:id="34"/>
    <w:p>
      <w:pPr>
        <w:spacing w:after="0" w:line="254" w:lineRule="auto"/>
        <w:rPr>
          <w:sz w:val="20"/>
          <w:szCs w:val="20"/>
          <w:color w:val="auto"/>
        </w:rPr>
      </w:pPr>
      <w:r>
        <w:rPr>
          <w:rFonts w:ascii="Times New Roman" w:cs="Times New Roman" w:eastAsia="Times New Roman" w:hAnsi="Times New Roman"/>
          <w:sz w:val="20"/>
          <w:szCs w:val="20"/>
          <w:color w:val="auto"/>
        </w:rPr>
        <w:t>period of time to continue building our sales funnel. Our proteome analysis system launch is expected to be coupled with a substantial scale up of our commercial sales and marketing workforce. We intend to employ a “land and expand” sales model to promote high value cutting edge technology adoption, where we will first establish a presence in key accounts across our customer demographics, then work to broaden and expand our value and contributions across those key account organizations while concurrently growing our customer base through an increasing salesforce. We expect to commercialize directly in the United States, and in the future to expand commercial operations to the Asia Pacific and European regions. Following our initial proteome analysis system commercial launch, we expect future system upgrades and enhancements periodically over time that will further drive discovery potential and our business with each incremental advancement.</w:t>
      </w:r>
    </w:p>
    <w:p>
      <w:pPr>
        <w:spacing w:after="0" w:line="153" w:lineRule="exact"/>
        <w:rPr>
          <w:sz w:val="20"/>
          <w:szCs w:val="20"/>
          <w:color w:val="auto"/>
        </w:rPr>
      </w:pPr>
    </w:p>
    <w:p>
      <w:pPr>
        <w:ind w:right="140" w:firstLine="360"/>
        <w:spacing w:after="0" w:line="266" w:lineRule="auto"/>
        <w:rPr>
          <w:sz w:val="20"/>
          <w:szCs w:val="20"/>
          <w:color w:val="auto"/>
        </w:rPr>
      </w:pPr>
      <w:r>
        <w:rPr>
          <w:rFonts w:ascii="Times New Roman" w:cs="Times New Roman" w:eastAsia="Times New Roman" w:hAnsi="Times New Roman"/>
          <w:sz w:val="20"/>
          <w:szCs w:val="20"/>
          <w:color w:val="auto"/>
        </w:rPr>
        <w:t>Our planned commercialization strategy and technology are designed to offer a highly differentiated and defensible position in the market we intend to capitalize on. We believe we will have significant competitive advantages if we are able to execute on the following opportunities:</w:t>
      </w:r>
    </w:p>
    <w:p>
      <w:pPr>
        <w:spacing w:after="0" w:line="135" w:lineRule="exact"/>
        <w:rPr>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Being first to market with a novel protein and proteoform detection platform;</w:t>
      </w:r>
    </w:p>
    <w:p>
      <w:pPr>
        <w:spacing w:after="0" w:line="190" w:lineRule="exact"/>
        <w:rPr>
          <w:rFonts w:ascii="Times New Roman" w:cs="Times New Roman" w:eastAsia="Times New Roman" w:hAnsi="Times New Roman"/>
          <w:sz w:val="20"/>
          <w:szCs w:val="20"/>
          <w:color w:val="auto"/>
        </w:rPr>
      </w:pPr>
    </w:p>
    <w:p>
      <w:pPr>
        <w:ind w:left="720" w:right="100" w:hanging="370"/>
        <w:spacing w:after="0" w:line="281"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Demonstrating the ability to unlock new sources of primary biological information with proteoform mapping and rare protein detection;</w:t>
      </w:r>
    </w:p>
    <w:p>
      <w:pPr>
        <w:spacing w:after="0" w:line="121" w:lineRule="exact"/>
        <w:rPr>
          <w:rFonts w:ascii="Times New Roman" w:cs="Times New Roman" w:eastAsia="Times New Roman" w:hAnsi="Times New Roman"/>
          <w:sz w:val="20"/>
          <w:szCs w:val="20"/>
          <w:color w:val="auto"/>
        </w:rPr>
      </w:pPr>
    </w:p>
    <w:p>
      <w:pPr>
        <w:ind w:left="720" w:right="560" w:hanging="370"/>
        <w:spacing w:after="0" w:line="281"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immense data production capacity, driving discovery by enabling large scale studies and building our database to become a strategic asset;</w:t>
      </w:r>
    </w:p>
    <w:p>
      <w:pPr>
        <w:spacing w:after="0" w:line="12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Implementing a proven commercial model with an efficient direct salesforce; and</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Expanding our impact in translational research for clinical applications, precision medicine and diagnostics.</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Partnerships</w:t>
      </w:r>
    </w:p>
    <w:p>
      <w:pPr>
        <w:spacing w:after="0" w:line="199"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20"/>
          <w:szCs w:val="20"/>
          <w:color w:val="auto"/>
        </w:rPr>
        <w:t>In December of 2020, we signed a research collaboration agreement with Genentech to engage in a pilot study using our technology. We are collaborating with Genentech using our proteome analysis system to analyze and map the proteoform landscape of a Genentech protein target of interest. In October 2021, we entered into a research collaboration agreement with Amgen in which the Nautilus platform will be used across a number of projects to investigate proteins and proteoforms of interest to the both organizations. In October 2021, we signed a research agreement with The University of Texas MD Anderson Cancer Center. In this research collaboration the Nautilus platform will be applied in measuring the quantity and patterns of post-translational modifications on specific oncology protein targets of interest across different settings, such as pre-and post treatment. And, in January of 2023, we entered into a research collaboration with the Translational Genomics Research Institute, which is a Phoenix, Arizona-based nonprofit organization dedicated to conducting groundbreaking research with life-changing results. Translational Genomics Research Institute is part of City of Hope, a world-renowned independent research and treatment center for cancer, diabetes and other life-threatening diseases. All of the above research collaborations are consistent with our objectives in Phase I of our commercial go-to-market strategy to establish external collaborations and relationships that produce data and publications exploring the utility and strengths of our Nautilus platform technology.</w:t>
      </w:r>
    </w:p>
    <w:p>
      <w:pPr>
        <w:spacing w:after="0" w:line="1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Commercial Organization</w:t>
      </w:r>
    </w:p>
    <w:p>
      <w:pPr>
        <w:spacing w:after="0" w:line="199" w:lineRule="exact"/>
        <w:rPr>
          <w:sz w:val="20"/>
          <w:szCs w:val="20"/>
          <w:color w:val="auto"/>
        </w:rPr>
      </w:pPr>
    </w:p>
    <w:p>
      <w:pPr>
        <w:ind w:right="80" w:firstLine="360"/>
        <w:spacing w:after="0" w:line="255" w:lineRule="auto"/>
        <w:rPr>
          <w:sz w:val="20"/>
          <w:szCs w:val="20"/>
          <w:color w:val="auto"/>
        </w:rPr>
      </w:pPr>
      <w:r>
        <w:rPr>
          <w:rFonts w:ascii="Times New Roman" w:cs="Times New Roman" w:eastAsia="Times New Roman" w:hAnsi="Times New Roman"/>
          <w:sz w:val="20"/>
          <w:szCs w:val="20"/>
          <w:color w:val="auto"/>
        </w:rPr>
        <w:t>We plan to build out a world-class commercial organization, focused on delivering value and support through every stage of the sales cycle. Our company is driven by the advancement of science and the improvement of human health, and we anticipate our commercial organization to be scientifically oriented to align with the goals and objectives of our customers. We believe strongly in building an exceptional support infrastructure, which we believe will be particularly important for our customers given the scale and novelty of data we anticipate our systems will provide. We aim to build long-term loyalty with our customers by enhancing their individual research programs, enabling their successes, and driving growth within their organizations through their successful use of our technologies.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MANUFACTURING AND SUPPLY</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Reagent and Flow Cell Consumables</w:t>
      </w:r>
    </w:p>
    <w:p>
      <w:pPr>
        <w:spacing w:after="0" w:line="199" w:lineRule="exact"/>
        <w:rPr>
          <w:sz w:val="20"/>
          <w:szCs w:val="20"/>
          <w:color w:val="auto"/>
        </w:rPr>
      </w:pPr>
    </w:p>
    <w:p>
      <w:pPr>
        <w:ind w:right="20" w:firstLine="360"/>
        <w:spacing w:after="0" w:line="271" w:lineRule="auto"/>
        <w:rPr>
          <w:sz w:val="20"/>
          <w:szCs w:val="20"/>
          <w:color w:val="auto"/>
        </w:rPr>
      </w:pPr>
      <w:r>
        <w:rPr>
          <w:rFonts w:ascii="Times New Roman" w:cs="Times New Roman" w:eastAsia="Times New Roman" w:hAnsi="Times New Roman"/>
          <w:sz w:val="19"/>
          <w:szCs w:val="19"/>
          <w:color w:val="auto"/>
        </w:rPr>
        <w:t>We have designed and sourced our consumables primarily from third-party suppliers. While some of these components are sourced from a single supplier, we have qualified second sources for several of our critical reagents. We currently source base nanoarray chips and flow cell components, sample preparation and assay reagents. We believe that our suppliers have sufficient capacity to meet our near-term development needs through to commercialization. We believe it may be advantageous to have multiple sources for our consumable components and reagents in the future, to help reduce the risk of production delays or quality issues that may cause a disruption to our development timelines or pre-commercial activities. For further discussion of the risks relating to our third-party suppliers, see the section titled “</w:t>
      </w:r>
      <w:r>
        <w:rPr>
          <w:rFonts w:ascii="Times New Roman" w:cs="Times New Roman" w:eastAsia="Times New Roman" w:hAnsi="Times New Roman"/>
          <w:sz w:val="19"/>
          <w:szCs w:val="19"/>
          <w:b w:val="1"/>
          <w:bCs w:val="1"/>
          <w:i w:val="1"/>
          <w:iCs w:val="1"/>
          <w:color w:val="auto"/>
        </w:rPr>
        <w:t>Risk Factors— Risks Related to our Business.</w:t>
      </w:r>
      <w:r>
        <w:rPr>
          <w:rFonts w:ascii="Times New Roman" w:cs="Times New Roman" w:eastAsia="Times New Roman" w:hAnsi="Times New Roman"/>
          <w:sz w:val="19"/>
          <w:szCs w:val="19"/>
          <w:color w:val="auto"/>
        </w:rPr>
        <w:t>”</w:t>
      </w:r>
    </w:p>
    <w:p>
      <w:pPr>
        <w:sectPr>
          <w:pgSz w:w="12240" w:h="15840" w:orient="portrait"/>
          <w:cols w:equalWidth="0" w:num="1">
            <w:col w:w="10220"/>
          </w:cols>
          <w:pgMar w:left="1000" w:top="793" w:right="1020" w:bottom="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2240" w:h="15840" w:orient="portrait"/>
          <w:cols w:equalWidth="0" w:num="1">
            <w:col w:w="10220"/>
          </w:cols>
          <w:pgMar w:left="1000" w:top="793" w:right="1020" w:bottom="0" w:gutter="0" w:footer="0" w:header="0"/>
          <w:type w:val="continuous"/>
        </w:sectPr>
      </w:pPr>
    </w:p>
    <w:bookmarkStart w:id="35" w:name="page36"/>
    <w:bookmarkEnd w:id="35"/>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Instrumentation</w:t>
      </w:r>
    </w:p>
    <w:p>
      <w:pPr>
        <w:spacing w:after="0" w:line="199" w:lineRule="exact"/>
        <w:rPr>
          <w:sz w:val="20"/>
          <w:szCs w:val="20"/>
          <w:color w:val="auto"/>
        </w:rPr>
      </w:pPr>
    </w:p>
    <w:p>
      <w:pPr>
        <w:ind w:right="140" w:firstLine="360"/>
        <w:spacing w:after="0" w:line="272" w:lineRule="auto"/>
        <w:rPr>
          <w:sz w:val="20"/>
          <w:szCs w:val="20"/>
          <w:color w:val="auto"/>
        </w:rPr>
      </w:pPr>
      <w:r>
        <w:rPr>
          <w:rFonts w:ascii="Times New Roman" w:cs="Times New Roman" w:eastAsia="Times New Roman" w:hAnsi="Times New Roman"/>
          <w:sz w:val="19"/>
          <w:szCs w:val="19"/>
          <w:color w:val="auto"/>
        </w:rPr>
        <w:t>Our proteome analysis system instrumentation automates the Nautilus assay chemistry concurrent with rapid optical imaging of the flow cell. The current system is an early-stage design, used for optimization of the function and design of each component. We currently source components for our systems from external manufacturers and assemble them in-house at our San Carlos, CA facility or at our manufacturing partner facilities. Once development is completed, we will determine the most appropriate path for high volume production. This may consist of a process developed by contract manufacturing of major system components with final assembly and testing in-house, or fully outsourced production, or some combination of both.</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97"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20"/>
          <w:szCs w:val="20"/>
          <w:color w:val="auto"/>
        </w:rPr>
        <w:t>The life sciences market is highly competitive. There are other companies, both established and early-stage, that have indicated that they are designing, manufacturing and marketing products for, among other things, multiplexed or high-throughput proteomic analysis. Nautilus currently competes with technology and diagnostic companies that supply components, products, and services to customers engaged in proteomics analysis. These companies include Agilent Technologies; Becton, Dickinson and Company; Bruker Corporation; Danaher; Luminex; Olink Proteomics; Quanterix; Standard Biotools (formerly known as SomaLogic); Quantum-Si; and Thermo Fisher Scientific. Nautilus also competes with a number of emerging companies that are developing proteomic products and solutions. Some of these companies may be further along in their commercial and operating plans than we are, including actively commercializing products and growing established marketing and sales forces. Other competitors are earlier than us, and in the process of developing their technologies for the life sciences market which may lead to products that rival or replace our products.</w:t>
      </w:r>
    </w:p>
    <w:p>
      <w:pPr>
        <w:spacing w:after="0" w:line="156" w:lineRule="exact"/>
        <w:rPr>
          <w:sz w:val="20"/>
          <w:szCs w:val="20"/>
          <w:color w:val="auto"/>
        </w:rPr>
      </w:pPr>
    </w:p>
    <w:p>
      <w:pPr>
        <w:ind w:right="180" w:firstLine="360"/>
        <w:spacing w:after="0" w:line="256" w:lineRule="auto"/>
        <w:rPr>
          <w:sz w:val="20"/>
          <w:szCs w:val="20"/>
          <w:color w:val="auto"/>
        </w:rPr>
      </w:pPr>
      <w:r>
        <w:rPr>
          <w:rFonts w:ascii="Times New Roman" w:cs="Times New Roman" w:eastAsia="Times New Roman" w:hAnsi="Times New Roman"/>
          <w:sz w:val="20"/>
          <w:szCs w:val="20"/>
          <w:color w:val="auto"/>
        </w:rPr>
        <w:t>However, we believe we are substantially differentiated from our competitors for many reasons, including our novel approach to high throughput and massively parallel proteomic technology, the unique and proprietary nature of our technologies, the novel detail of protein modification mapping our platform can achieve, our rigorous product development processes and quality of science, our multidisciplinary teams, and our access to an immediate growing market with opportunities to expand into adjacent translational and clinical markets. We believe our customers will favor our products and company because of these differentiators.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197"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The development, testing, manufacturing, marketing, post-market surveillance, distribution, advertising and labeling of certain medical devices are subject to regulation in the United States by the Center for Devices and Radiological Health of the U.S. Food and Drug Administration (FDA) under the Federal Food, Drug, and Cosmetic Act (FDC Act) and comparable state and international agencies. FDA defines a medical device as an instrument, apparatus, implement, machine, contrivance, implant, in vitro reagent or other similar or related article, including any component part or accessory, which is (i) intended for use in the diagnosis of disease or other conditions, or in the cure, mitigation, treatment, or prevention of disease, in man or other animals, or (ii) intended to affect the structure or any function of the body of man or other animals and which does not achieve any of its primary intended purposes through chemical action within or on the body of man or other animals and which is not dependent upon being metabolized for the achievement of any of its primary intended purposes. Medical devices to be commercially distributed in the United States must receive from the FDA either clearance of a premarket notification, known as 510(k), or premarket approval pursuant to the FDC Act prior to marketing, unless subject to an exemption.</w:t>
      </w:r>
    </w:p>
    <w:p>
      <w:pPr>
        <w:spacing w:after="0" w:line="153" w:lineRule="exact"/>
        <w:rPr>
          <w:sz w:val="20"/>
          <w:szCs w:val="20"/>
          <w:color w:val="auto"/>
        </w:rPr>
      </w:pPr>
    </w:p>
    <w:p>
      <w:pPr>
        <w:ind w:right="40" w:firstLine="360"/>
        <w:spacing w:after="0" w:line="254" w:lineRule="auto"/>
        <w:rPr>
          <w:sz w:val="20"/>
          <w:szCs w:val="20"/>
          <w:color w:val="auto"/>
        </w:rPr>
      </w:pPr>
      <w:r>
        <w:rPr>
          <w:rFonts w:ascii="Times New Roman" w:cs="Times New Roman" w:eastAsia="Times New Roman" w:hAnsi="Times New Roman"/>
          <w:sz w:val="20"/>
          <w:szCs w:val="20"/>
          <w:color w:val="auto"/>
        </w:rPr>
        <w:t>We intend to label and sell our products for research purposes only (RUO) and expect to sell them to academic institutions, life sciences and research laboratories that conduct research, and biopharmaceutical and biotechnology companies for non-diagnostic and non-clinical purposes. Our products are not intended or promoted for use in clinical practice in the diagnosis of disease or other conditions, and they are labeled for research use only, not for use in diagnostic procedures. Accordingly, we believe our products, as we intend to market them, are not subject to regulation by FDA. Rather, while FDA regulations require that research use only products be labeled with – “For Research Use Only. Not for use in diagnostic procedures.” – the regulations do not subject such products to the FDA’s jurisdiction or the broader pre- and post-market controls for medical devices.</w:t>
      </w:r>
    </w:p>
    <w:p>
      <w:pPr>
        <w:spacing w:after="0" w:line="153" w:lineRule="exact"/>
        <w:rPr>
          <w:sz w:val="20"/>
          <w:szCs w:val="20"/>
          <w:color w:val="auto"/>
        </w:rPr>
      </w:pPr>
    </w:p>
    <w:p>
      <w:pPr>
        <w:ind w:right="80" w:firstLine="360"/>
        <w:spacing w:after="0" w:line="254" w:lineRule="auto"/>
        <w:rPr>
          <w:sz w:val="20"/>
          <w:szCs w:val="20"/>
          <w:color w:val="auto"/>
        </w:rPr>
      </w:pPr>
      <w:r>
        <w:rPr>
          <w:rFonts w:ascii="Times New Roman" w:cs="Times New Roman" w:eastAsia="Times New Roman" w:hAnsi="Times New Roman"/>
          <w:sz w:val="20"/>
          <w:szCs w:val="20"/>
          <w:color w:val="auto"/>
        </w:rPr>
        <w:t>In November 2013, the FDA issued a final guidance on products labeled RUO, which, among other things, reaffirmed that a company may not make any clinical or diagnostic claims about an RUO product, stating that merely including a labeling statement that the product is for research purposes only will not necessarily render the device exempt from the FDA’s clearance, approval, or other regulatory requirements if the totality of circumstances surrounding the distribution of the product indicates that the manufacturer knows its product is being used by customers for diagnostic uses or the manufacturer intends such a use. These circumstances may include, among other things, written or verbal marketing claims regarding a product’s performance in clinical diagnostic applications and a manufacturer’s provision of technical support for such activities. If FDA were to determine, based on the totality of circumstances, that our products labeled and marketed for RUO are intended for diagnostic purposes, they would be considered medical devices that will require clearance or approval prior to</w:t>
      </w:r>
    </w:p>
    <w:p>
      <w:pPr>
        <w:sectPr>
          <w:pgSz w:w="12240" w:h="15840" w:orient="portrait"/>
          <w:cols w:equalWidth="0" w:num="1">
            <w:col w:w="10240"/>
          </w:cols>
          <w:pgMar w:left="1000" w:top="784" w:right="1000" w:bottom="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2240" w:h="15840" w:orient="portrait"/>
          <w:cols w:equalWidth="0" w:num="1">
            <w:col w:w="10240"/>
          </w:cols>
          <w:pgMar w:left="1000" w:top="784" w:right="1000" w:bottom="0" w:gutter="0" w:footer="0" w:header="0"/>
          <w:type w:val="continuous"/>
        </w:sectPr>
      </w:pPr>
    </w:p>
    <w:bookmarkStart w:id="36" w:name="page37"/>
    <w:bookmarkEnd w:id="36"/>
    <w:p>
      <w:pPr>
        <w:ind w:right="180"/>
        <w:spacing w:after="0" w:line="266" w:lineRule="auto"/>
        <w:rPr>
          <w:sz w:val="20"/>
          <w:szCs w:val="20"/>
          <w:color w:val="auto"/>
        </w:rPr>
      </w:pPr>
      <w:r>
        <w:rPr>
          <w:rFonts w:ascii="Times New Roman" w:cs="Times New Roman" w:eastAsia="Times New Roman" w:hAnsi="Times New Roman"/>
          <w:sz w:val="20"/>
          <w:szCs w:val="20"/>
          <w:color w:val="auto"/>
        </w:rPr>
        <w:t>commercialization. Further, sales of devices for diagnostic purposes may subject us to additional healthcare regulation. We continue to monitor the changing legal and regulatory landscape to ensure our compliance with any applicable rules, laws and regulations.</w:t>
      </w:r>
    </w:p>
    <w:p>
      <w:pPr>
        <w:spacing w:after="0" w:line="135"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In the future, certain of our products or related applications could become subject to regulation as medical devices by the FDA. If we wish to label and expand product lines to address the diagnosis of disease, regulation by governmental authorities in the United States and other countries will become an increasingly significant factor in development, testing, production, and marketing. Products that we may develop in the molecular diagnostic markets, depending on their intended use, may be regulated as medical devices or in vitro diagnostic products (IVDs) by the FDA and comparable agencies in other countries. In the U.S., if we market our products for use in performing clinical diagnostics, such products would be subject to regulation by the FDA under pre-market and post-market control as medical devices, unless an exemption applies, we would be required to obtain either prior 510(k) clearance or prior premarket approval from the FDA before commercializing the product.</w:t>
      </w:r>
    </w:p>
    <w:p>
      <w:pPr>
        <w:spacing w:after="0" w:line="153"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FDC Act. This process, known as 510(k) clearance, requires that the manufacturer demonstrate that the device is substantially equivalent to a previously cleared and legally marketed 510(k) device or a “pre-amendment” class III device for which pre-market approval applications (PMAs) have not been required by the FDA. This FDA review process typically takes from four to twelve months, although it can take longer. Most class I devices are exempted from this 510(k) premarket submission requirement. If no legally marketed predicate can be identified for a new device to enable the use of the 510(k) pathway, the device is automatically classified under the FDC Act as class III, which generally requires PMA approval. However, FDA can reclassify or use “de novo classification” for a device that meets the FDC Act standards for a class II device, permitting the device to be marketed without PMA approval. To grant such a reclassification, FDA must determine that the FDC Act’s general controls alone, or general controls and special controls together, are sufficient to provide a reasonable assurance of the device’s safety and effectiveness. The de novo classification route is generally less burdensome than the PMA approval process.</w:t>
      </w:r>
    </w:p>
    <w:p>
      <w:pPr>
        <w:spacing w:after="0" w:line="148" w:lineRule="exact"/>
        <w:rPr>
          <w:sz w:val="20"/>
          <w:szCs w:val="20"/>
          <w:color w:val="auto"/>
        </w:rPr>
      </w:pPr>
    </w:p>
    <w:p>
      <w:pPr>
        <w:ind w:right="100" w:firstLine="360"/>
        <w:spacing w:after="0" w:line="253" w:lineRule="auto"/>
        <w:rPr>
          <w:sz w:val="20"/>
          <w:szCs w:val="20"/>
          <w:color w:val="auto"/>
        </w:rPr>
      </w:pPr>
      <w:r>
        <w:rPr>
          <w:rFonts w:ascii="Times New Roman" w:cs="Times New Roman" w:eastAsia="Times New Roman" w:hAnsi="Times New Roman"/>
          <w:sz w:val="20"/>
          <w:szCs w:val="20"/>
          <w:color w:val="auto"/>
        </w:rPr>
        <w:t>Devices deemed by the FDA to pose the greatest risk, such as life-sustaining, life-supporting, or implantable devices, or those deemed not substantially equivalent to a legally marketed predicate device, are placed in class III. Class III devices typically require PMA approval. To obtain PMA approval, an applicant must demonstrate the reasonable safety and effectiveness of the device based, in part, on data obtained in clinical studies. All clinical studies of investigational medical devices to determine safety and effectiveness must be conducted in accordance with FDA’s investigational device exemption (IDE) regulations, including the requirement for the study sponsor to submit an IDE application to FDA, unless exempt, which must become effective prior to commencing human clinical studies. PMA reviews generally last between one and two years, although they can take longer. Both the 510(k) and the PMA processes can be expensive and lengthy and may not result in clearance or approval. If we are required to submit our products for pre-market review by the FDA, we may be required to delay marketing and commercialization while we obtain premarket clearance or approval from the FDA. There would be no assurance that we could ever obtain such clearance or approval.</w:t>
      </w:r>
    </w:p>
    <w:p>
      <w:pPr>
        <w:spacing w:after="0" w:line="153" w:lineRule="exact"/>
        <w:rPr>
          <w:sz w:val="20"/>
          <w:szCs w:val="20"/>
          <w:color w:val="auto"/>
        </w:rPr>
      </w:pPr>
    </w:p>
    <w:p>
      <w:pPr>
        <w:ind w:right="40" w:firstLine="360"/>
        <w:spacing w:after="0" w:line="254" w:lineRule="auto"/>
        <w:rPr>
          <w:sz w:val="20"/>
          <w:szCs w:val="20"/>
          <w:color w:val="auto"/>
        </w:rPr>
      </w:pPr>
      <w:r>
        <w:rPr>
          <w:rFonts w:ascii="Times New Roman" w:cs="Times New Roman" w:eastAsia="Times New Roman" w:hAnsi="Times New Roman"/>
          <w:sz w:val="20"/>
          <w:szCs w:val="20"/>
          <w:color w:val="auto"/>
        </w:rPr>
        <w:t>All medical devices, including IVDs, that are regulated by the FDA are also subject to the quality system regulation. Obtaining the requisite regulatory approvals, including the FDA quality system inspections that are required for PMA approval, can be expensive and may involve considerable delay. The regulatory approval process for such products may be significantly delayed, may be significantly more expensive than anticipated, and may conclude without such products being approved by the FDA. Without timely regulatory approval, we will not be able to launch or successfully commercialize such diagnostic products. Changes to the current regulatory framework, including the imposition of additional or new regulations, could arise at any time during the development or marketing of our products. This may negatively affect our ability to obtain or maintain FDA or comparable regulatory clearance or approval of our products in the future. In addition, regulatory agencies may introduce new requirements that may change the regulatory requirements for us or our customers, or both.</w:t>
      </w:r>
    </w:p>
    <w:p>
      <w:pPr>
        <w:spacing w:after="0" w:line="149" w:lineRule="exact"/>
        <w:rPr>
          <w:sz w:val="20"/>
          <w:szCs w:val="20"/>
          <w:color w:val="auto"/>
        </w:rPr>
      </w:pPr>
    </w:p>
    <w:p>
      <w:pPr>
        <w:ind w:right="580" w:firstLine="360"/>
        <w:spacing w:after="0" w:line="258" w:lineRule="auto"/>
        <w:rPr>
          <w:sz w:val="20"/>
          <w:szCs w:val="20"/>
          <w:color w:val="auto"/>
        </w:rPr>
      </w:pPr>
      <w:r>
        <w:rPr>
          <w:rFonts w:ascii="Times New Roman" w:cs="Times New Roman" w:eastAsia="Times New Roman" w:hAnsi="Times New Roman"/>
          <w:sz w:val="20"/>
          <w:szCs w:val="20"/>
          <w:color w:val="auto"/>
        </w:rPr>
        <w:t>As noted above, although our products are currently labeled and sold for research purposes only, the regulatory requirements related to marketing, selling, and supporting such products could be uncertain and depend on the totality of circumstances. This uncertainty exists even if such use by our customers occurs without our consent. If the FDA or other regulatory authorities assert that any of our RUO products are subject to regulatory clearance or approval, our business, financial condition, or results of operations could be adversely affected.</w:t>
      </w:r>
    </w:p>
    <w:p>
      <w:pPr>
        <w:spacing w:after="0" w:line="144" w:lineRule="exact"/>
        <w:rPr>
          <w:sz w:val="20"/>
          <w:szCs w:val="20"/>
          <w:color w:val="auto"/>
        </w:rPr>
      </w:pPr>
    </w:p>
    <w:p>
      <w:pPr>
        <w:ind w:right="80" w:firstLine="360"/>
        <w:spacing w:after="0" w:line="275" w:lineRule="auto"/>
        <w:rPr>
          <w:sz w:val="20"/>
          <w:szCs w:val="20"/>
          <w:color w:val="auto"/>
        </w:rPr>
      </w:pPr>
      <w:r>
        <w:rPr>
          <w:rFonts w:ascii="Times New Roman" w:cs="Times New Roman" w:eastAsia="Times New Roman" w:hAnsi="Times New Roman"/>
          <w:sz w:val="19"/>
          <w:szCs w:val="19"/>
          <w:color w:val="auto"/>
        </w:rPr>
        <w:t>For example, in some cases, our customers may use our RUO products in their own laboratory-developed tests (LDTs) or in other FDA-regulated products for clinical diagnostic use. The FDA has historically exercised enforcement discretion in not enforcing the medical device regulations against LDTs and LDT manufacturers. However, on October 3, 2014, the FDA issued two draft guidance documents that set forth the FDA’s proposed risk-based framework for regulating LDTs, which are designed, manufactured, and used within a single laboratory. The FDA has issued warning letters to genomics labs for illegally</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2240" w:h="15840" w:orient="portrait"/>
          <w:cols w:equalWidth="0" w:num="1">
            <w:col w:w="10240"/>
          </w:cols>
          <w:pgMar w:left="1000" w:top="793" w:right="1000" w:bottom="0" w:gutter="0" w:footer="0" w:header="0"/>
          <w:type w:val="continuous"/>
        </w:sectPr>
      </w:pPr>
    </w:p>
    <w:bookmarkStart w:id="37" w:name="page38"/>
    <w:bookmarkEnd w:id="37"/>
    <w:p>
      <w:pPr>
        <w:spacing w:after="0" w:line="252" w:lineRule="auto"/>
        <w:rPr>
          <w:sz w:val="20"/>
          <w:szCs w:val="20"/>
          <w:color w:val="auto"/>
        </w:rPr>
      </w:pPr>
      <w:r>
        <w:rPr>
          <w:rFonts w:ascii="Times New Roman" w:cs="Times New Roman" w:eastAsia="Times New Roman" w:hAnsi="Times New Roman"/>
          <w:sz w:val="20"/>
          <w:szCs w:val="20"/>
          <w:color w:val="auto"/>
        </w:rPr>
        <w:t>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 Legislative and administrative proposals to amend the FDA's oversight of LDTs have been introduced in recent years, including the Verifying Accurate Leading-edge IVCT Development Act of 2021 (VALID Act), which aims to create a new category of medical products separate from medical devices called “in vitro clinical tests,” or IVCTs, and bring all such products within the scope of the FDA’s oversight. To date, Congress has not passed the VALID Act, but may revisit the VALID Act or similar policy riders and enact other FDA programmatic reforms in the future. In October 2023, through rulemaking, the FDA proposed to amend the definition of “in vitro diagnostic products” in FDA regulations to include laboratories that manufacture such products and to phase out the FDA’s general enforcement discretion approach for LDTs so that IVDs manufactured by a laboratory would be regulated similarly to IVDs. It is unclear when the FDA will finalize and begin enforcing such rule and how current and future judicial challenges and legislation by the federal and state governments will impact the industry, including our business and that of our customers. As laboratories and manufacturers develop more complex genetic tests and diagnostic software, FDA may increase its regulation of LDTs. Any future legislative or administrative rule making or oversight of LDTs and LDT manufacturers, if and when finalized, may impact the sales of our products and how customers use our products, and may require us to change our business model in order to maintain compliance with these laws. We would become subject to additional FDA requirements if our products are determined to be medical devices or if we elect to seek 510(k) clearance or premarket approval. If our products become subject to FDA regulation as medical devices, we would need to invest significant time and resources to ensure ongoing compliance with FDA quality system regulations and other post-market regulatory requirements.</w:t>
      </w:r>
    </w:p>
    <w:p>
      <w:pPr>
        <w:spacing w:after="0" w:line="152" w:lineRule="exact"/>
        <w:rPr>
          <w:sz w:val="20"/>
          <w:szCs w:val="20"/>
          <w:color w:val="auto"/>
        </w:rPr>
      </w:pPr>
    </w:p>
    <w:p>
      <w:pPr>
        <w:ind w:right="40" w:firstLine="360"/>
        <w:spacing w:after="0" w:line="254" w:lineRule="auto"/>
        <w:rPr>
          <w:sz w:val="20"/>
          <w:szCs w:val="20"/>
          <w:color w:val="auto"/>
        </w:rPr>
      </w:pPr>
      <w:r>
        <w:rPr>
          <w:rFonts w:ascii="Times New Roman" w:cs="Times New Roman" w:eastAsia="Times New Roman" w:hAnsi="Times New Roman"/>
          <w:sz w:val="20"/>
          <w:szCs w:val="20"/>
          <w:color w:val="auto"/>
        </w:rPr>
        <w:t>International sales of medical devices are subject to foreign government regulations, which vary substantially from country to country. In the future, if we decide to distribute or market our diagnostic products as IVDs in Europe, such products will be subject to regulation under the IVD Medical Device Regulation (IVDR) European Union (EU) 2017/746. The EU IVDR was entered into application on May 26, 2022, which replaced the IVD Directive and aims to improve the quality, safety and reliability of in vitro diagnostic medical devices with a new risk-based device classification system, provide for more detailed and stringent rules on the evaluation of device performance, and to enhance vigilance and post-market surveillance, among other changes. Outside of the EU, regulatory authorization needs to be sought on a country-by-country basis in order to market medical devices. Although there is a trend towards harmonization of quality system, standards and regulations in each country may vary substantially which can affect timelines of introduction.</w:t>
      </w:r>
    </w:p>
    <w:p>
      <w:pPr>
        <w:spacing w:after="0" w:line="149"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In the future, to the extent we develop any clinical diagnostic assays, we may pursue payment for such products through a diverse and broad range of channels and seek coverage and reimbursement by government health insurance programs and commercial third-party payors for such products. In the United States, there is no uniform coverage for clinical laboratory tests. The extent of coverage and rate of payment for covered services or items vary from payor to payor. Obtaining coverage and reimbursement for such products can be uncertain, time-consuming, and expensive, and, even if favorable coverage and reimbursement status were attained for our tests, to the extent applicable, less favorable coverage policies and reimbursement rates may be implemented in the future. Changes in healthcare regulatory policies could also increase our costs and subject us to additional regulatory requirements that may interrupt commercialization of our products, decrease our revenue and adversely impact sales of, and pricing of and reimbursement for, our products.</w:t>
      </w:r>
    </w:p>
    <w:p>
      <w:pPr>
        <w:spacing w:after="0" w:line="146" w:lineRule="exact"/>
        <w:rPr>
          <w:sz w:val="20"/>
          <w:szCs w:val="20"/>
          <w:color w:val="auto"/>
        </w:rPr>
      </w:pPr>
    </w:p>
    <w:p>
      <w:pPr>
        <w:ind w:right="160" w:firstLine="360"/>
        <w:spacing w:after="0" w:line="286" w:lineRule="auto"/>
        <w:rPr>
          <w:sz w:val="20"/>
          <w:szCs w:val="20"/>
          <w:color w:val="auto"/>
        </w:rPr>
      </w:pPr>
      <w:r>
        <w:rPr>
          <w:rFonts w:ascii="Times New Roman" w:cs="Times New Roman" w:eastAsia="Times New Roman" w:hAnsi="Times New Roman"/>
          <w:sz w:val="20"/>
          <w:szCs w:val="20"/>
          <w:color w:val="auto"/>
        </w:rPr>
        <w:t>For further discussion of the risks we face relating to regulation, see the section titled “</w:t>
      </w:r>
      <w:r>
        <w:rPr>
          <w:rFonts w:ascii="Times New Roman" w:cs="Times New Roman" w:eastAsia="Times New Roman" w:hAnsi="Times New Roman"/>
          <w:sz w:val="20"/>
          <w:szCs w:val="20"/>
          <w:b w:val="1"/>
          <w:bCs w:val="1"/>
          <w:i w:val="1"/>
          <w:iCs w:val="1"/>
          <w:color w:val="auto"/>
        </w:rPr>
        <w:t>Risk factors— Risks Related to our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Business— Risks Related to Regulatory and Legal Compliance Matters.</w:t>
      </w:r>
      <w:r>
        <w:rPr>
          <w:rFonts w:ascii="Times New Roman" w:cs="Times New Roman" w:eastAsia="Times New Roman" w:hAnsi="Times New Roman"/>
          <w:sz w:val="20"/>
          <w:szCs w:val="20"/>
          <w:color w:val="auto"/>
        </w:rPr>
        <w:t>”</w:t>
      </w:r>
    </w:p>
    <w:p>
      <w:pPr>
        <w:spacing w:after="0" w:line="116" w:lineRule="exact"/>
        <w:rPr>
          <w:sz w:val="20"/>
          <w:szCs w:val="20"/>
          <w:color w:val="auto"/>
        </w:rPr>
      </w:pPr>
    </w:p>
    <w:p>
      <w:pPr>
        <w:ind w:right="120" w:firstLine="360"/>
        <w:spacing w:after="0" w:line="254" w:lineRule="auto"/>
        <w:rPr>
          <w:sz w:val="20"/>
          <w:szCs w:val="20"/>
          <w:color w:val="auto"/>
        </w:rPr>
      </w:pPr>
      <w:r>
        <w:rPr>
          <w:rFonts w:ascii="Times New Roman" w:cs="Times New Roman" w:eastAsia="Times New Roman" w:hAnsi="Times New Roman"/>
          <w:sz w:val="20"/>
          <w:szCs w:val="20"/>
          <w:color w:val="auto"/>
        </w:rPr>
        <w:t>The federal Health Insurance Portability and Accountability Act of 1996 (HIPAA), as amended by the Health Information Technology for Economic and Clinical Health Act of 2009 (HITECH), and their implementing regulations, which impose obligations, including mandatory contractual terms, with respect to safeguarding the transmission, security and privacy of protected health information by covered entities subject to HIPAA, such as health plans, health care clearinghouses and healthcare providers, and their respective business associates that access protected health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149" w:lineRule="exact"/>
        <w:rPr>
          <w:sz w:val="20"/>
          <w:szCs w:val="20"/>
          <w:color w:val="auto"/>
        </w:rPr>
      </w:pPr>
    </w:p>
    <w:p>
      <w:pPr>
        <w:ind w:right="40" w:firstLine="360"/>
        <w:spacing w:after="0" w:line="255" w:lineRule="auto"/>
        <w:rPr>
          <w:sz w:val="20"/>
          <w:szCs w:val="20"/>
          <w:color w:val="auto"/>
        </w:rPr>
      </w:pPr>
      <w:r>
        <w:rPr>
          <w:rFonts w:ascii="Times New Roman" w:cs="Times New Roman" w:eastAsia="Times New Roman" w:hAnsi="Times New Roman"/>
          <w:sz w:val="20"/>
          <w:szCs w:val="20"/>
          <w:color w:val="auto"/>
        </w:rPr>
        <w:t>In addition, in the U.S., numerous federal and state laws and regulations, including state data breach notification laws, state health information privacy laws, and federal and state consumer protection laws, govern the collection, use, disclosure, and protection of health-related and other personal information. For example, in June 2018, the State of California enacted the CCPA, which came into effect on January 1, 2020 and provides new data privacy rights for consumers and new operational requirements for companies. The California Privacy Rights Act (CPRA), whose substantive provisions go into effect in 2023, revises and expands the CCPA. While we are not currently subject to the CCPA, we may in the future be required to comply with the CCPA, which may increase our compliance costs and potential liability. Furthermore, the CCPA could mark the</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2240" w:h="15840" w:orient="portrait"/>
          <w:cols w:equalWidth="0" w:num="1">
            <w:col w:w="10240"/>
          </w:cols>
          <w:pgMar w:left="1000" w:top="793" w:right="1000" w:bottom="0" w:gutter="0" w:footer="0" w:header="0"/>
          <w:type w:val="continuous"/>
        </w:sectPr>
      </w:pPr>
    </w:p>
    <w:bookmarkStart w:id="38" w:name="page39"/>
    <w:bookmarkEnd w:id="38"/>
    <w:p>
      <w:pPr>
        <w:ind w:right="80"/>
        <w:spacing w:after="0" w:line="281" w:lineRule="auto"/>
        <w:rPr>
          <w:sz w:val="20"/>
          <w:szCs w:val="20"/>
          <w:color w:val="auto"/>
        </w:rPr>
      </w:pPr>
      <w:r>
        <w:rPr>
          <w:rFonts w:ascii="Times New Roman" w:cs="Times New Roman" w:eastAsia="Times New Roman" w:hAnsi="Times New Roman"/>
          <w:sz w:val="20"/>
          <w:szCs w:val="20"/>
          <w:color w:val="auto"/>
        </w:rPr>
        <w:t>beginning of a trend toward more stringent state privacy legislation in the U.S., which could increase our potential liability and adversely affect our business.</w:t>
      </w:r>
    </w:p>
    <w:p>
      <w:pPr>
        <w:spacing w:after="0" w:line="121" w:lineRule="exact"/>
        <w:rPr>
          <w:sz w:val="20"/>
          <w:szCs w:val="20"/>
          <w:color w:val="auto"/>
        </w:rPr>
      </w:pPr>
    </w:p>
    <w:p>
      <w:pPr>
        <w:ind w:right="100" w:firstLine="360"/>
        <w:spacing w:after="0" w:line="252" w:lineRule="auto"/>
        <w:rPr>
          <w:sz w:val="20"/>
          <w:szCs w:val="20"/>
          <w:color w:val="auto"/>
        </w:rPr>
      </w:pPr>
      <w:r>
        <w:rPr>
          <w:rFonts w:ascii="Times New Roman" w:cs="Times New Roman" w:eastAsia="Times New Roman" w:hAnsi="Times New Roman"/>
          <w:sz w:val="20"/>
          <w:szCs w:val="20"/>
          <w:color w:val="auto"/>
        </w:rPr>
        <w:t>Furthermore, the collection, use, storage, disclosure, transfer, or other processing of personal data regarding individuals in the European Economic Area (EEA),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155" w:lineRule="exact"/>
        <w:rPr>
          <w:sz w:val="20"/>
          <w:szCs w:val="20"/>
          <w:color w:val="auto"/>
        </w:rPr>
      </w:pPr>
    </w:p>
    <w:p>
      <w:pPr>
        <w:ind w:right="160" w:firstLine="360"/>
        <w:spacing w:after="0" w:line="260" w:lineRule="auto"/>
        <w:rPr>
          <w:sz w:val="20"/>
          <w:szCs w:val="20"/>
          <w:color w:val="auto"/>
        </w:rPr>
      </w:pPr>
      <w:r>
        <w:rPr>
          <w:rFonts w:ascii="Times New Roman" w:cs="Times New Roman" w:eastAsia="Times New Roman" w:hAnsi="Times New Roman"/>
          <w:sz w:val="20"/>
          <w:szCs w:val="20"/>
          <w:color w:val="auto"/>
        </w:rPr>
        <w:t>Further, with the end of the United Kingdom’s transition period to leave the European Union, or the Brexit transition period, on December 31, 2020, there is uncertainty with regard to medical device and data protection regulations as well as other regulations that may apply to our industry in the United Kingdom, including new guidance, rules, and regulations by the Medicines and Healthcare products Regulatory Agency (MHRA).</w:t>
      </w:r>
    </w:p>
    <w:p>
      <w:pPr>
        <w:spacing w:after="0" w:line="143" w:lineRule="exact"/>
        <w:rPr>
          <w:sz w:val="20"/>
          <w:szCs w:val="20"/>
          <w:color w:val="auto"/>
        </w:rPr>
      </w:pPr>
    </w:p>
    <w:p>
      <w:pPr>
        <w:ind w:right="60" w:firstLine="360"/>
        <w:spacing w:after="0" w:line="255" w:lineRule="auto"/>
        <w:rPr>
          <w:sz w:val="20"/>
          <w:szCs w:val="20"/>
          <w:color w:val="auto"/>
        </w:rPr>
      </w:pPr>
      <w:r>
        <w:rPr>
          <w:rFonts w:ascii="Times New Roman" w:cs="Times New Roman" w:eastAsia="Times New Roman" w:hAnsi="Times New Roman"/>
          <w:sz w:val="20"/>
          <w:szCs w:val="20"/>
          <w:color w:val="auto"/>
        </w:rPr>
        <w:t>Our research and development processes involve the controlled use of hazardous materials, including select chemicals that may be flammables, toxic or corrosives, which subject us to a variety of federal, state and local environmental and safety laws and regulations. Some of the regulations governing hazardous materials under the current regulatory structure provide for strict liability, holding a party potentially liable without regard to fault or negligence. We could be held liable for damages, remediation costs, and fines as a result of our, or our agents’ or contractors’, business operations should contamination of the environment or individual exposure to hazardous materials occur. We cannot predict how changes in laws or development of new regulations will affect our business operations or the cost of compliance.</w:t>
      </w:r>
    </w:p>
    <w:p>
      <w:pPr>
        <w:spacing w:after="0" w:line="146" w:lineRule="exact"/>
        <w:rPr>
          <w:sz w:val="20"/>
          <w:szCs w:val="20"/>
          <w:color w:val="auto"/>
        </w:rPr>
      </w:pPr>
    </w:p>
    <w:p>
      <w:pPr>
        <w:ind w:right="140" w:firstLine="360"/>
        <w:spacing w:after="0" w:line="286" w:lineRule="auto"/>
        <w:rPr>
          <w:sz w:val="20"/>
          <w:szCs w:val="20"/>
          <w:color w:val="auto"/>
        </w:rPr>
      </w:pPr>
      <w:r>
        <w:rPr>
          <w:rFonts w:ascii="Times New Roman" w:cs="Times New Roman" w:eastAsia="Times New Roman" w:hAnsi="Times New Roman"/>
          <w:sz w:val="20"/>
          <w:szCs w:val="20"/>
          <w:color w:val="auto"/>
        </w:rPr>
        <w:t>For further discussion of the risks we face relating to regulation, see the section titled “</w:t>
      </w:r>
      <w:r>
        <w:rPr>
          <w:rFonts w:ascii="Times New Roman" w:cs="Times New Roman" w:eastAsia="Times New Roman" w:hAnsi="Times New Roman"/>
          <w:sz w:val="20"/>
          <w:szCs w:val="20"/>
          <w:b w:val="1"/>
          <w:bCs w:val="1"/>
          <w:i w:val="1"/>
          <w:iCs w:val="1"/>
          <w:color w:val="auto"/>
        </w:rPr>
        <w:t>Risk factors— Risks Related to our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Business— Risks Related to Regulatory and Legal Compliance Matters.</w:t>
      </w:r>
      <w:r>
        <w:rPr>
          <w:rFonts w:ascii="Times New Roman" w:cs="Times New Roman" w:eastAsia="Times New Roman" w:hAnsi="Times New Roman"/>
          <w:sz w:val="20"/>
          <w:szCs w:val="20"/>
          <w:color w:val="auto"/>
        </w:rPr>
        <w: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Patents</w:t>
      </w:r>
    </w:p>
    <w:p>
      <w:pPr>
        <w:spacing w:after="0" w:line="199" w:lineRule="exact"/>
        <w:rPr>
          <w:sz w:val="20"/>
          <w:szCs w:val="20"/>
          <w:color w:val="auto"/>
        </w:rPr>
      </w:pPr>
    </w:p>
    <w:p>
      <w:pPr>
        <w:ind w:right="220" w:firstLine="360"/>
        <w:spacing w:after="0" w:line="309" w:lineRule="auto"/>
        <w:rPr>
          <w:sz w:val="20"/>
          <w:szCs w:val="20"/>
          <w:color w:val="auto"/>
        </w:rPr>
      </w:pPr>
      <w:r>
        <w:rPr>
          <w:rFonts w:ascii="Times New Roman" w:cs="Times New Roman" w:eastAsia="Times New Roman" w:hAnsi="Times New Roman"/>
          <w:sz w:val="19"/>
          <w:szCs w:val="19"/>
          <w:color w:val="auto"/>
        </w:rPr>
        <w:t>We strive to obtain and maintain intellectual protection for our products and technology by using a variety of intellectual protection strategies, such as patents, trademarks, trade secrets and other methods of protecting proprietary information.</w:t>
      </w:r>
    </w:p>
    <w:p>
      <w:pPr>
        <w:spacing w:after="0" w:line="97" w:lineRule="exact"/>
        <w:rPr>
          <w:sz w:val="20"/>
          <w:szCs w:val="20"/>
          <w:color w:val="auto"/>
        </w:rPr>
      </w:pPr>
    </w:p>
    <w:p>
      <w:pPr>
        <w:ind w:right="140" w:firstLine="360"/>
        <w:spacing w:after="0" w:line="256" w:lineRule="auto"/>
        <w:rPr>
          <w:sz w:val="20"/>
          <w:szCs w:val="20"/>
          <w:color w:val="auto"/>
        </w:rPr>
      </w:pPr>
      <w:r>
        <w:rPr>
          <w:rFonts w:ascii="Times New Roman" w:cs="Times New Roman" w:eastAsia="Times New Roman" w:hAnsi="Times New Roman"/>
          <w:sz w:val="20"/>
          <w:szCs w:val="20"/>
          <w:color w:val="auto"/>
        </w:rPr>
        <w:t>As of December 31, 2023, we owned seventeen issued U.S. patents, approximately thirty-eight pending U.S. non-provisional patent applications, approximately twenty-three pending U.S. provisional patent applications, approximately four granted foreign patents, and approximately eighty-two pending foreign patent applications, including nineteen international patent applications filed under the Patent Cooperation Treaty (PCT application). Our owned patents and patent applications, if issued, are expected to expire between 2037 and 2044, in each case absent any patent term adjustments or extensions and assuming payment of all appropriate maintenance, renewal, annuity, or other governmental fees.</w:t>
      </w:r>
    </w:p>
    <w:p>
      <w:pPr>
        <w:spacing w:after="0" w:line="148" w:lineRule="exact"/>
        <w:rPr>
          <w:sz w:val="20"/>
          <w:szCs w:val="20"/>
          <w:color w:val="auto"/>
        </w:rPr>
      </w:pPr>
    </w:p>
    <w:p>
      <w:pPr>
        <w:ind w:right="160" w:firstLine="360"/>
        <w:spacing w:after="0" w:line="258" w:lineRule="auto"/>
        <w:rPr>
          <w:sz w:val="20"/>
          <w:szCs w:val="20"/>
          <w:color w:val="auto"/>
        </w:rPr>
      </w:pPr>
      <w:r>
        <w:rPr>
          <w:rFonts w:ascii="Times New Roman" w:cs="Times New Roman" w:eastAsia="Times New Roman" w:hAnsi="Times New Roman"/>
          <w:sz w:val="20"/>
          <w:szCs w:val="20"/>
          <w:color w:val="auto"/>
        </w:rPr>
        <w:t>Our solely owned patents and patent applications contain, among others, claims directed to our core platform technology, such as compositions, methods, and systems directed to identifying and quantifying proteins utilizing probes that can bind different epitopes of the proteins with different degrees of binding non-specificity; reagents and materials; instruments; arrays and other consumables; sample preparation; high throughput decoding algorithms, and algorithms for secondary analysis of proteins and proteomes, amongst other things.</w:t>
      </w:r>
    </w:p>
    <w:p>
      <w:pPr>
        <w:spacing w:after="0" w:line="1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Trade Secrets</w:t>
      </w:r>
    </w:p>
    <w:p>
      <w:pPr>
        <w:spacing w:after="0" w:line="199" w:lineRule="exact"/>
        <w:rPr>
          <w:sz w:val="20"/>
          <w:szCs w:val="20"/>
          <w:color w:val="auto"/>
        </w:rPr>
      </w:pPr>
    </w:p>
    <w:p>
      <w:pPr>
        <w:ind w:firstLine="360"/>
        <w:spacing w:after="0" w:line="281" w:lineRule="auto"/>
        <w:rPr>
          <w:sz w:val="20"/>
          <w:szCs w:val="20"/>
          <w:color w:val="auto"/>
        </w:rPr>
      </w:pPr>
      <w:r>
        <w:rPr>
          <w:rFonts w:ascii="Times New Roman" w:cs="Times New Roman" w:eastAsia="Times New Roman" w:hAnsi="Times New Roman"/>
          <w:sz w:val="20"/>
          <w:szCs w:val="20"/>
          <w:color w:val="auto"/>
        </w:rPr>
        <w:t>In addition to patents, we utilize trade secrets and proprietary know-how to boost our competitive position. Specifically, we rely on trade secrets to protect aspects of our business that are not amenable to, or that we do not consider appropriate for,</w:t>
      </w:r>
    </w:p>
    <w:p>
      <w:pPr>
        <w:sectPr>
          <w:pgSz w:w="12240" w:h="15840" w:orient="portrait"/>
          <w:cols w:equalWidth="0" w:num="1">
            <w:col w:w="10220"/>
          </w:cols>
          <w:pgMar w:left="1000" w:top="793" w:right="1020" w:bottom="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2240" w:h="15840" w:orient="portrait"/>
          <w:cols w:equalWidth="0" w:num="1">
            <w:col w:w="10220"/>
          </w:cols>
          <w:pgMar w:left="1000" w:top="793" w:right="1020" w:bottom="0" w:gutter="0" w:footer="0" w:header="0"/>
          <w:type w:val="continuous"/>
        </w:sectPr>
      </w:pPr>
    </w:p>
    <w:bookmarkStart w:id="39" w:name="page40"/>
    <w:bookmarkEnd w:id="39"/>
    <w:p>
      <w:pPr>
        <w:ind w:right="20"/>
        <w:spacing w:after="0" w:line="256" w:lineRule="auto"/>
        <w:rPr>
          <w:sz w:val="20"/>
          <w:szCs w:val="20"/>
          <w:color w:val="auto"/>
        </w:rPr>
      </w:pPr>
      <w:r>
        <w:rPr>
          <w:rFonts w:ascii="Times New Roman" w:cs="Times New Roman" w:eastAsia="Times New Roman" w:hAnsi="Times New Roman"/>
          <w:sz w:val="20"/>
          <w:szCs w:val="20"/>
          <w:color w:val="auto"/>
        </w:rPr>
        <w:t>patent protection. We protect trade secrets and know-how by establishing confidentiality agreements and invention assignment agreements with our employees, consultants, scientific advisors, contractors and partners. These agreements generally provide that all confidential information developed or made known during the course of an individual or entity’s relationship with us must be kept confidential during and after the relationship. These agreements also generally provide that all inventions resulting from work performed for us or relating to our business and conceived or completed during the period of employment or assignment, as applicable, shall be our exclusive property.</w:t>
      </w:r>
    </w:p>
    <w:p>
      <w:pPr>
        <w:spacing w:after="0" w:line="1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Trademarks</w:t>
      </w:r>
    </w:p>
    <w:p>
      <w:pPr>
        <w:spacing w:after="0" w:line="199" w:lineRule="exact"/>
        <w:rPr>
          <w:sz w:val="20"/>
          <w:szCs w:val="20"/>
          <w:color w:val="auto"/>
        </w:rPr>
      </w:pPr>
    </w:p>
    <w:p>
      <w:pPr>
        <w:ind w:right="100" w:firstLine="360"/>
        <w:spacing w:after="0" w:line="260" w:lineRule="auto"/>
        <w:rPr>
          <w:sz w:val="20"/>
          <w:szCs w:val="20"/>
          <w:color w:val="auto"/>
        </w:rPr>
      </w:pPr>
      <w:r>
        <w:rPr>
          <w:rFonts w:ascii="Times New Roman" w:cs="Times New Roman" w:eastAsia="Times New Roman" w:hAnsi="Times New Roman"/>
          <w:sz w:val="20"/>
          <w:szCs w:val="20"/>
          <w:color w:val="auto"/>
        </w:rPr>
        <w:t>As of December 31, 2023, we owned approximately nine registered trademarks in Australia, China, Israel, the United Kingdom, and Europe. In addition, we have approximately thirty-four pending trademark applications covering seven different marks in the U.S., Australia, Brazil, Canada, China, the European Union, India, Israel, Japan, Korea, Mexico, Singapore, Switzerland, and the United Kingdom.</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Collaboration Agreements</w:t>
      </w:r>
    </w:p>
    <w:p>
      <w:pPr>
        <w:spacing w:after="0" w:line="197"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20"/>
          <w:szCs w:val="20"/>
          <w:color w:val="auto"/>
        </w:rPr>
        <w:t>We have entered into research collaboration agreements with Genentech in December 2020, with Amgen in October 2021, with The University of Texas MD Anderson Cancer Center in October 2021, and with Translational Genomics Research Institute in January 2023. Under each of these agreements, respective research collaboration teams are using the Nautilus platform to analyze and map proteoforms of interest to the specific collaborator. These agreements are for research only and we will not generate any revenue under the agreements.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Scientific Advisory Board</w:t>
      </w:r>
    </w:p>
    <w:p>
      <w:pPr>
        <w:spacing w:after="0" w:line="197" w:lineRule="exact"/>
        <w:rPr>
          <w:sz w:val="20"/>
          <w:szCs w:val="20"/>
          <w:color w:val="auto"/>
        </w:rPr>
      </w:pPr>
    </w:p>
    <w:p>
      <w:pPr>
        <w:ind w:right="20" w:firstLine="360"/>
        <w:spacing w:after="0" w:line="281" w:lineRule="auto"/>
        <w:rPr>
          <w:sz w:val="20"/>
          <w:szCs w:val="20"/>
          <w:color w:val="auto"/>
        </w:rPr>
      </w:pPr>
      <w:r>
        <w:rPr>
          <w:rFonts w:ascii="Times New Roman" w:cs="Times New Roman" w:eastAsia="Times New Roman" w:hAnsi="Times New Roman"/>
          <w:sz w:val="20"/>
          <w:szCs w:val="20"/>
          <w:color w:val="auto"/>
        </w:rPr>
        <w:t>We have assembled a highly qualified scientific advisory board composed of advisors who have deep expertise in the fields of proteomics, medicine, regulatory compliance and data science. Our scientific advisory board is composed of:</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Ruedi Aebersold, Ph.D.</w:t>
      </w:r>
    </w:p>
    <w:p>
      <w:pPr>
        <w:spacing w:after="0" w:line="194" w:lineRule="exact"/>
        <w:rPr>
          <w:sz w:val="20"/>
          <w:szCs w:val="20"/>
          <w:color w:val="auto"/>
        </w:rPr>
      </w:pPr>
    </w:p>
    <w:p>
      <w:pPr>
        <w:jc w:val="both"/>
        <w:ind w:right="80" w:firstLine="360"/>
        <w:spacing w:after="0" w:line="266" w:lineRule="auto"/>
        <w:rPr>
          <w:sz w:val="20"/>
          <w:szCs w:val="20"/>
          <w:color w:val="auto"/>
        </w:rPr>
      </w:pPr>
      <w:r>
        <w:rPr>
          <w:rFonts w:ascii="Times New Roman" w:cs="Times New Roman" w:eastAsia="Times New Roman" w:hAnsi="Times New Roman"/>
          <w:sz w:val="20"/>
          <w:szCs w:val="20"/>
          <w:color w:val="auto"/>
        </w:rPr>
        <w:t>Dr. Aebersold is Professor of Systems Biology at the Institute of Molecular Systems Biology in ETH Zurich (IMSB). He is widely considered a pioneer in the field of proteomics and has served as the head of the biology/disease branch of the human proteome project.</w:t>
      </w:r>
    </w:p>
    <w:p>
      <w:pPr>
        <w:spacing w:after="0" w:line="1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Lee Hartwell, Ph.D.</w:t>
      </w:r>
    </w:p>
    <w:p>
      <w:pPr>
        <w:spacing w:after="0" w:line="194" w:lineRule="exact"/>
        <w:rPr>
          <w:sz w:val="20"/>
          <w:szCs w:val="20"/>
          <w:color w:val="auto"/>
        </w:rPr>
      </w:pPr>
    </w:p>
    <w:p>
      <w:pPr>
        <w:ind w:right="240" w:firstLine="360"/>
        <w:spacing w:after="0" w:line="309" w:lineRule="auto"/>
        <w:rPr>
          <w:sz w:val="20"/>
          <w:szCs w:val="20"/>
          <w:color w:val="auto"/>
        </w:rPr>
      </w:pPr>
      <w:r>
        <w:rPr>
          <w:rFonts w:ascii="Times New Roman" w:cs="Times New Roman" w:eastAsia="Times New Roman" w:hAnsi="Times New Roman"/>
          <w:sz w:val="19"/>
          <w:szCs w:val="19"/>
          <w:color w:val="auto"/>
        </w:rPr>
        <w:t>Dr. Hartwell is the President and Director Emeritus of the Fred Hutchinson Cancer Research Center. He is a 2001 Co-recipient Nobel Prize in Physiology and Medicine for his discovery of the protein molecules that control the division of cells.</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Joshua LaBaer, MD, Ph.D.</w:t>
      </w:r>
    </w:p>
    <w:p>
      <w:pPr>
        <w:spacing w:after="0" w:line="194" w:lineRule="exact"/>
        <w:rPr>
          <w:sz w:val="20"/>
          <w:szCs w:val="20"/>
          <w:color w:val="auto"/>
        </w:rPr>
      </w:pPr>
    </w:p>
    <w:p>
      <w:pPr>
        <w:jc w:val="both"/>
        <w:ind w:right="280" w:firstLine="360"/>
        <w:spacing w:after="0" w:line="266" w:lineRule="auto"/>
        <w:rPr>
          <w:sz w:val="20"/>
          <w:szCs w:val="20"/>
          <w:color w:val="auto"/>
        </w:rPr>
      </w:pPr>
      <w:r>
        <w:rPr>
          <w:rFonts w:ascii="Times New Roman" w:cs="Times New Roman" w:eastAsia="Times New Roman" w:hAnsi="Times New Roman"/>
          <w:sz w:val="20"/>
          <w:szCs w:val="20"/>
          <w:color w:val="auto"/>
        </w:rPr>
        <w:t>Dr. LaBaer is the Executive Director of the Biodesign Institute at Arizona State University. He is a leading researcher in cancer and personalized medicine and the inventor of the novel protein microarray technology, Nucleic Acid Programmable Protein Array (NAPPA), which has been used widely for biomedical research.</w:t>
      </w:r>
    </w:p>
    <w:p>
      <w:pPr>
        <w:spacing w:after="0" w:line="1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Emma Lundberg, Ph.D.</w:t>
      </w:r>
    </w:p>
    <w:p>
      <w:pPr>
        <w:spacing w:after="0" w:line="194" w:lineRule="exact"/>
        <w:rPr>
          <w:sz w:val="20"/>
          <w:szCs w:val="20"/>
          <w:color w:val="auto"/>
        </w:rPr>
      </w:pPr>
    </w:p>
    <w:p>
      <w:pPr>
        <w:ind w:right="80" w:firstLine="360"/>
        <w:spacing w:after="0" w:line="266" w:lineRule="auto"/>
        <w:rPr>
          <w:sz w:val="20"/>
          <w:szCs w:val="20"/>
          <w:color w:val="auto"/>
        </w:rPr>
      </w:pPr>
      <w:r>
        <w:rPr>
          <w:rFonts w:ascii="Times New Roman" w:cs="Times New Roman" w:eastAsia="Times New Roman" w:hAnsi="Times New Roman"/>
          <w:sz w:val="20"/>
          <w:szCs w:val="20"/>
          <w:color w:val="auto"/>
        </w:rPr>
        <w:t>Dr. Lundberg is a Professor in cell biology proteomics at KTH Royal Institute of Technology, Sweden, and Director of the Cell Atlas of the Human Protein Atlas, an international proteomics and cell mapping project. Dr. Lundberg also holds the positions of Director of the Cell Profiling facility at the Science for Life Laboratory (SciLifeLab) in Sweden.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Employees and Human Capital</w:t>
      </w:r>
    </w:p>
    <w:p>
      <w:pPr>
        <w:spacing w:after="0" w:line="197" w:lineRule="exact"/>
        <w:rPr>
          <w:sz w:val="20"/>
          <w:szCs w:val="20"/>
          <w:color w:val="auto"/>
        </w:rPr>
      </w:pPr>
    </w:p>
    <w:p>
      <w:pPr>
        <w:ind w:right="100" w:firstLine="360"/>
        <w:spacing w:after="0" w:line="286" w:lineRule="auto"/>
        <w:rPr>
          <w:sz w:val="20"/>
          <w:szCs w:val="20"/>
          <w:color w:val="auto"/>
        </w:rPr>
      </w:pPr>
      <w:r>
        <w:rPr>
          <w:rFonts w:ascii="Times New Roman" w:cs="Times New Roman" w:eastAsia="Times New Roman" w:hAnsi="Times New Roman"/>
          <w:sz w:val="19"/>
          <w:szCs w:val="19"/>
          <w:color w:val="auto"/>
        </w:rPr>
        <w:t>As of December 31, 2023, we had 167 employees, all based in the United States, 59 of whom hold doctorate degrees. Of these employees, 120 were engaged in research and development activities, and 47 were engaged in general and administrative activities. None of our employees are represented by a labor union or covered under a collective bargaining agreement.</w:t>
      </w:r>
    </w:p>
    <w:p>
      <w:pPr>
        <w:spacing w:after="0" w:line="119" w:lineRule="exact"/>
        <w:rPr>
          <w:sz w:val="20"/>
          <w:szCs w:val="20"/>
          <w:color w:val="auto"/>
        </w:rPr>
      </w:pPr>
    </w:p>
    <w:p>
      <w:pPr>
        <w:ind w:right="160" w:firstLine="360"/>
        <w:spacing w:after="0" w:line="258" w:lineRule="auto"/>
        <w:rPr>
          <w:sz w:val="20"/>
          <w:szCs w:val="20"/>
          <w:color w:val="auto"/>
        </w:rPr>
      </w:pPr>
      <w:r>
        <w:rPr>
          <w:rFonts w:ascii="Times New Roman" w:cs="Times New Roman" w:eastAsia="Times New Roman" w:hAnsi="Times New Roman"/>
          <w:sz w:val="20"/>
          <w:szCs w:val="20"/>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2240" w:h="15840" w:orient="portrait"/>
          <w:cols w:equalWidth="0" w:num="1">
            <w:col w:w="10240"/>
          </w:cols>
          <w:pgMar w:left="1000" w:top="793" w:right="1000" w:bottom="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20"/>
          <w:szCs w:val="20"/>
          <w:b w:val="1"/>
          <w:bCs w:val="1"/>
          <w:color w:val="auto"/>
        </w:rPr>
        <w:t>Corporate and Available Information</w:t>
      </w:r>
    </w:p>
    <w:p>
      <w:pPr>
        <w:spacing w:after="0" w:line="197" w:lineRule="exact"/>
        <w:rPr>
          <w:sz w:val="20"/>
          <w:szCs w:val="20"/>
          <w:color w:val="auto"/>
        </w:rPr>
      </w:pPr>
    </w:p>
    <w:p>
      <w:pPr>
        <w:ind w:right="80" w:firstLine="360"/>
        <w:spacing w:after="0" w:line="256" w:lineRule="auto"/>
        <w:rPr>
          <w:sz w:val="20"/>
          <w:szCs w:val="20"/>
          <w:color w:val="auto"/>
        </w:rPr>
      </w:pPr>
      <w:r>
        <w:rPr>
          <w:rFonts w:ascii="Times New Roman" w:cs="Times New Roman" w:eastAsia="Times New Roman" w:hAnsi="Times New Roman"/>
          <w:sz w:val="20"/>
          <w:szCs w:val="20"/>
          <w:color w:val="auto"/>
        </w:rPr>
        <w:t>We were incorporated as a Cayman Islands exempted company in March 2020 as a blank check company under the name ARYA Sciences Acquisition Corp III. On June 9, 2021, we consummated the Business Combination pursuant to the terms of the Business Combination Agreement. Pursuant to the terms of the Business Combination Agreement, on the Closing Date, (i) we changed our jurisdiction of incorporation by deregistering as a Cayman Islands exempted company and continuing and domesticating as a corporation incorporated under the laws of the State of Delaware, upon which we changed our name to Nautilus Biotechnology, Inc.</w:t>
      </w:r>
    </w:p>
    <w:p>
      <w:pPr>
        <w:spacing w:after="0" w:line="148" w:lineRule="exact"/>
        <w:rPr>
          <w:sz w:val="20"/>
          <w:szCs w:val="20"/>
          <w:color w:val="auto"/>
        </w:rPr>
      </w:pPr>
    </w:p>
    <w:p>
      <w:pPr>
        <w:ind w:right="80" w:firstLine="360"/>
        <w:spacing w:after="0" w:line="266" w:lineRule="auto"/>
        <w:rPr>
          <w:sz w:val="20"/>
          <w:szCs w:val="20"/>
          <w:color w:val="auto"/>
        </w:rPr>
      </w:pPr>
      <w:r>
        <w:rPr>
          <w:rFonts w:ascii="Times New Roman" w:cs="Times New Roman" w:eastAsia="Times New Roman" w:hAnsi="Times New Roman"/>
          <w:sz w:val="20"/>
          <w:szCs w:val="20"/>
          <w:color w:val="auto"/>
        </w:rPr>
        <w:t>Our principal executive offices are located at 2701 Eastlake Avenue East Seattle, Washington, 98102, and our telephone number is (206) 333-2001. Our investor relations website is located at https://investors.nautilus.bio/. Information contained on the website is not incorporated by reference into this Form 10-K or any other filings we make with the SEC.</w:t>
      </w:r>
    </w:p>
    <w:p>
      <w:pPr>
        <w:spacing w:after="0" w:line="135"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We use our investor relations website to post important information for investors, including news releases, analyst presentations, and supplemental financial information, and as a means of disclosing material non-public information and for complying with our disclosure obligations under Regulation FD. Accordingly, investors should monitor our investor relations website, in addition to following press releases, SEC filings and public conference calls and webcasts. We also make available, free of charge, on our investor relations website under “Financial Information—SEC Filings,” our Annual Reports on Form 10-K, Quarterly Reports on Form 10-Q, Current Reports on Form 8-K and amendments to these reports as soon as reasonably practicable after electronically filing or furnishing those reports to the SEC.</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93" w:lineRule="exact"/>
        <w:rPr>
          <w:sz w:val="20"/>
          <w:szCs w:val="20"/>
          <w:color w:val="auto"/>
        </w:rPr>
      </w:pPr>
    </w:p>
    <w:p>
      <w:pPr>
        <w:ind w:right="20" w:firstLine="360"/>
        <w:spacing w:after="0" w:line="280" w:lineRule="auto"/>
        <w:rPr>
          <w:sz w:val="20"/>
          <w:szCs w:val="20"/>
          <w:color w:val="auto"/>
        </w:rPr>
      </w:pPr>
      <w:r>
        <w:rPr>
          <w:rFonts w:ascii="Times New Roman" w:cs="Times New Roman" w:eastAsia="Times New Roman" w:hAnsi="Times New Roman"/>
          <w:sz w:val="19"/>
          <w:szCs w:val="19"/>
          <w:b w:val="1"/>
          <w:bCs w:val="1"/>
          <w:i w:val="1"/>
          <w:iCs w:val="1"/>
          <w:color w:val="auto"/>
        </w:rPr>
        <w:t>You should consider carefully the following information about the risks described below, together with the other information contained in this Annual Report on Form 10-K and in our other public filings, in evaluating our business. If any of the following risks actually occurs, our business, financial condition, results of operations, and future growth prospects would likely be materially and adversely affected. In these circumstances, the market price of our common stock would likely decline.</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Summary Risk Factors</w:t>
      </w:r>
    </w:p>
    <w:p>
      <w:pPr>
        <w:spacing w:after="0" w:line="197" w:lineRule="exact"/>
        <w:rPr>
          <w:sz w:val="20"/>
          <w:szCs w:val="20"/>
          <w:color w:val="auto"/>
        </w:rPr>
      </w:pPr>
    </w:p>
    <w:p>
      <w:pPr>
        <w:jc w:val="both"/>
        <w:ind w:right="180" w:firstLine="360"/>
        <w:spacing w:after="0" w:line="266" w:lineRule="auto"/>
        <w:rPr>
          <w:sz w:val="20"/>
          <w:szCs w:val="20"/>
          <w:color w:val="auto"/>
        </w:rPr>
      </w:pPr>
      <w:r>
        <w:rPr>
          <w:rFonts w:ascii="Times New Roman" w:cs="Times New Roman" w:eastAsia="Times New Roman" w:hAnsi="Times New Roman"/>
          <w:sz w:val="20"/>
          <w:szCs w:val="20"/>
          <w:color w:val="auto"/>
        </w:rPr>
        <w:t>Our business is subject to numerous risks and uncertainties that you should consider before investing in our company, as more fully described below. The principal factors and uncertainties that make investing in our company risky include, among others:</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Risks Related to Our Business</w:t>
      </w:r>
    </w:p>
    <w:p>
      <w:pPr>
        <w:spacing w:after="0" w:line="197" w:lineRule="exact"/>
        <w:rPr>
          <w:sz w:val="20"/>
          <w:szCs w:val="20"/>
          <w:color w:val="auto"/>
        </w:rPr>
      </w:pPr>
    </w:p>
    <w:p>
      <w:pPr>
        <w:ind w:right="100" w:firstLine="350"/>
        <w:spacing w:after="0" w:line="281"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a development stage company that has incurred net losses in every period to date, has not yet commercialized any products, and expects to continue to incur significant losses as we develop our business.</w:t>
      </w:r>
    </w:p>
    <w:p>
      <w:pPr>
        <w:spacing w:after="0" w:line="121" w:lineRule="exact"/>
        <w:rPr>
          <w:rFonts w:ascii="Times New Roman" w:cs="Times New Roman" w:eastAsia="Times New Roman" w:hAnsi="Times New Roman"/>
          <w:sz w:val="20"/>
          <w:szCs w:val="20"/>
          <w:color w:val="auto"/>
        </w:rPr>
      </w:pPr>
    </w:p>
    <w:p>
      <w:pPr>
        <w:ind w:right="140" w:firstLine="350"/>
        <w:spacing w:after="0" w:line="266"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is entirely dependent on the successful development and commercialization of our proteomics platform (the “Nautilus platform”), which remains in the development stage and could be subject to delays, technical challenges and market acceptance challenges.</w:t>
      </w:r>
    </w:p>
    <w:p>
      <w:pPr>
        <w:spacing w:after="0" w:line="135"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not compete successfully with our initial or future products in the highly competitive life sciences technology</w:t>
      </w:r>
    </w:p>
    <w:p>
      <w:pPr>
        <w:spacing w:after="0" w:line="41"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market.</w:t>
      </w:r>
    </w:p>
    <w:p>
      <w:pPr>
        <w:spacing w:after="0" w:line="169" w:lineRule="exact"/>
        <w:rPr>
          <w:rFonts w:ascii="Times New Roman" w:cs="Times New Roman" w:eastAsia="Times New Roman" w:hAnsi="Times New Roman"/>
          <w:sz w:val="19"/>
          <w:szCs w:val="19"/>
          <w:color w:val="auto"/>
        </w:rPr>
      </w:pPr>
    </w:p>
    <w:p>
      <w:pPr>
        <w:ind w:right="360" w:firstLine="350"/>
        <w:spacing w:after="0" w:line="281"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dependent upon third parties for certain aspects of the development and commercialization of the Nautilus platform.</w:t>
      </w:r>
    </w:p>
    <w:p>
      <w:pPr>
        <w:spacing w:after="0" w:line="121" w:lineRule="exact"/>
        <w:rPr>
          <w:rFonts w:ascii="Times New Roman" w:cs="Times New Roman" w:eastAsia="Times New Roman" w:hAnsi="Times New Roman"/>
          <w:sz w:val="20"/>
          <w:szCs w:val="20"/>
          <w:color w:val="auto"/>
        </w:rPr>
      </w:pPr>
    </w:p>
    <w:p>
      <w:pPr>
        <w:ind w:right="20" w:firstLine="350"/>
        <w:spacing w:after="0" w:line="281"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depends significantly on research and development spending by pharmaceutical companies as well as by academic institutions and other research institutions and any reduction in spending could limit demand for our products.</w:t>
      </w:r>
    </w:p>
    <w:p>
      <w:pPr>
        <w:spacing w:after="0" w:line="121" w:lineRule="exact"/>
        <w:rPr>
          <w:rFonts w:ascii="Times New Roman" w:cs="Times New Roman" w:eastAsia="Times New Roman" w:hAnsi="Times New Roman"/>
          <w:sz w:val="20"/>
          <w:szCs w:val="20"/>
          <w:color w:val="auto"/>
        </w:rPr>
      </w:pPr>
    </w:p>
    <w:p>
      <w:pPr>
        <w:ind w:right="480" w:firstLine="350"/>
        <w:spacing w:after="0" w:line="281"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able to launch our Nautilus platform successfully and even if it is successful, we may experience material delays in our commercialization program relative to current expectations.</w:t>
      </w:r>
    </w:p>
    <w:p>
      <w:pPr>
        <w:spacing w:after="0" w:line="121" w:lineRule="exact"/>
        <w:rPr>
          <w:rFonts w:ascii="Times New Roman" w:cs="Times New Roman" w:eastAsia="Times New Roman" w:hAnsi="Times New Roman"/>
          <w:sz w:val="20"/>
          <w:szCs w:val="20"/>
          <w:color w:val="auto"/>
        </w:rPr>
      </w:pPr>
    </w:p>
    <w:p>
      <w:pPr>
        <w:ind w:right="300" w:firstLine="350"/>
        <w:spacing w:after="0" w:line="281"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operating results may fluctuate significantly in the future, which makes our future operating results difficult to predict and could cause our operating results to fall below expectations or our guidance.</w:t>
      </w:r>
    </w:p>
    <w:p>
      <w:pPr>
        <w:spacing w:after="0" w:line="12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need to raise additional capital to fund our development and commercialization plans.</w:t>
      </w:r>
    </w:p>
    <w:p>
      <w:pPr>
        <w:spacing w:after="0" w:line="1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w:t>
      </w:r>
    </w:p>
    <w:p>
      <w:pPr>
        <w:sectPr>
          <w:pgSz w:w="12240" w:h="15840" w:orient="portrait"/>
          <w:cols w:equalWidth="0" w:num="1">
            <w:col w:w="10180"/>
          </w:cols>
          <w:pgMar w:left="1000" w:top="786"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39</w:t>
      </w:r>
    </w:p>
    <w:p>
      <w:pPr>
        <w:sectPr>
          <w:pgSz w:w="12240" w:h="15840" w:orient="portrait"/>
          <w:cols w:equalWidth="0" w:num="1">
            <w:col w:w="10180"/>
          </w:cols>
          <w:pgMar w:left="1000" w:top="786" w:right="1060" w:bottom="0" w:gutter="0" w:footer="0" w:header="0"/>
          <w:type w:val="continuous"/>
        </w:sectPr>
      </w:pPr>
    </w:p>
    <w:bookmarkStart w:id="41" w:name="page42"/>
    <w:bookmarkEnd w:id="41"/>
    <w:p>
      <w:pPr>
        <w:ind w:right="200" w:firstLine="350"/>
        <w:spacing w:after="0" w:line="266"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w:t>
      </w:r>
    </w:p>
    <w:p>
      <w:pPr>
        <w:spacing w:after="0" w:line="135"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able to protect our intellectual property and proprietary rights throughout the world.</w:t>
      </w:r>
    </w:p>
    <w:p>
      <w:pPr>
        <w:spacing w:after="0" w:line="1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Risks Related to Litigation</w:t>
      </w:r>
    </w:p>
    <w:p>
      <w:pPr>
        <w:spacing w:after="0" w:line="197" w:lineRule="exact"/>
        <w:rPr>
          <w:sz w:val="20"/>
          <w:szCs w:val="20"/>
          <w:color w:val="auto"/>
        </w:rPr>
      </w:pPr>
    </w:p>
    <w:p>
      <w:pPr>
        <w:ind w:firstLine="350"/>
        <w:spacing w:after="0" w:line="281"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become involved in litigation to enforce or defend our intellectual property rights, or to defend ourselves from claims that we infringe the intellectual property rights of others.</w:t>
      </w:r>
    </w:p>
    <w:p>
      <w:pPr>
        <w:spacing w:after="0" w:line="12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face liability and/or negative publicity for any unknown defects or errors in our products.</w:t>
      </w:r>
    </w:p>
    <w:p>
      <w:pPr>
        <w:spacing w:after="0" w:line="1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Risks Related to Regulatory and Legal Compliance Matters</w:t>
      </w:r>
    </w:p>
    <w:p>
      <w:pPr>
        <w:spacing w:after="0" w:line="197" w:lineRule="exact"/>
        <w:rPr>
          <w:sz w:val="20"/>
          <w:szCs w:val="20"/>
          <w:color w:val="auto"/>
        </w:rPr>
      </w:pPr>
    </w:p>
    <w:p>
      <w:pPr>
        <w:ind w:left="720" w:hanging="37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products may, in the future, be subject to regulation by the FDA or other regulatory authorities.</w:t>
      </w:r>
    </w:p>
    <w:p>
      <w:pPr>
        <w:spacing w:after="0" w:line="190" w:lineRule="exact"/>
        <w:rPr>
          <w:rFonts w:ascii="Times New Roman" w:cs="Times New Roman" w:eastAsia="Times New Roman" w:hAnsi="Times New Roman"/>
          <w:sz w:val="20"/>
          <w:szCs w:val="20"/>
          <w:color w:val="auto"/>
        </w:rPr>
      </w:pPr>
    </w:p>
    <w:p>
      <w:pPr>
        <w:jc w:val="both"/>
        <w:ind w:right="640" w:firstLine="350"/>
        <w:spacing w:after="0" w:line="266"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currently subject to, and may in the future become subject to additional, U.S. federal and state laws and regulations, as well as the laws and regulations of other countries, relating to how we collect, store and process personal information.</w:t>
      </w:r>
    </w:p>
    <w:p>
      <w:pPr>
        <w:spacing w:after="0" w:line="135" w:lineRule="exact"/>
        <w:rPr>
          <w:rFonts w:ascii="Times New Roman" w:cs="Times New Roman" w:eastAsia="Times New Roman" w:hAnsi="Times New Roman"/>
          <w:sz w:val="20"/>
          <w:szCs w:val="20"/>
          <w:color w:val="auto"/>
        </w:rPr>
      </w:pPr>
    </w:p>
    <w:p>
      <w:pPr>
        <w:ind w:right="140" w:firstLine="350"/>
        <w:spacing w:after="0" w:line="266"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Future expansion of our development and commercialization activities outside of the United States, may subject us to an increased risk of inadvertently conducting activities in a manner that violates the U.S. Foreign Corrupt Practices Act and similar laws.</w:t>
      </w:r>
    </w:p>
    <w:p>
      <w:pPr>
        <w:spacing w:after="0" w:line="135" w:lineRule="exact"/>
        <w:rPr>
          <w:rFonts w:ascii="Times New Roman" w:cs="Times New Roman" w:eastAsia="Times New Roman" w:hAnsi="Times New Roman"/>
          <w:sz w:val="20"/>
          <w:szCs w:val="20"/>
          <w:color w:val="auto"/>
        </w:rPr>
      </w:pPr>
    </w:p>
    <w:p>
      <w:pPr>
        <w:ind w:right="680" w:firstLine="350"/>
        <w:spacing w:after="0" w:line="281"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Environmental and health safety laws, including any failure to comply with such laws, may result in liabilities, expenses and restrictions on our operations.</w:t>
      </w:r>
    </w:p>
    <w:p>
      <w:pPr>
        <w:spacing w:after="0" w:line="121" w:lineRule="exact"/>
        <w:rPr>
          <w:rFonts w:ascii="Times New Roman" w:cs="Times New Roman" w:eastAsia="Times New Roman" w:hAnsi="Times New Roman"/>
          <w:sz w:val="20"/>
          <w:szCs w:val="20"/>
          <w:color w:val="auto"/>
        </w:rPr>
      </w:pPr>
    </w:p>
    <w:p>
      <w:pPr>
        <w:ind w:right="320" w:firstLine="350"/>
        <w:spacing w:after="0" w:line="281"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employees, independent contractors, consultants, commercial partners, distributors and vendors may engage in misconduct or other improper activities, including noncompliance with regulatory standards and requirements.</w:t>
      </w:r>
    </w:p>
    <w:p>
      <w:pPr>
        <w:spacing w:after="0" w:line="1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Risks Related to our Operations</w:t>
      </w:r>
    </w:p>
    <w:p>
      <w:pPr>
        <w:spacing w:after="0" w:line="197" w:lineRule="exact"/>
        <w:rPr>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experience a significant disruption in our information technology systems or breaches of data security.</w:t>
      </w:r>
    </w:p>
    <w:p>
      <w:pPr>
        <w:spacing w:after="0" w:line="190" w:lineRule="exact"/>
        <w:rPr>
          <w:rFonts w:ascii="Times New Roman" w:cs="Times New Roman" w:eastAsia="Times New Roman" w:hAnsi="Times New Roman"/>
          <w:sz w:val="20"/>
          <w:szCs w:val="20"/>
          <w:color w:val="auto"/>
        </w:rPr>
      </w:pPr>
    </w:p>
    <w:p>
      <w:pPr>
        <w:ind w:right="60" w:firstLine="350"/>
        <w:spacing w:after="0" w:line="281"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highly dependent on our key personnel, and if we are unable to recruit and retain key executives and scientists, we may not be able to achieve our goals.</w:t>
      </w:r>
    </w:p>
    <w:p>
      <w:pPr>
        <w:spacing w:after="0" w:line="121" w:lineRule="exact"/>
        <w:rPr>
          <w:rFonts w:ascii="Times New Roman" w:cs="Times New Roman" w:eastAsia="Times New Roman" w:hAnsi="Times New Roman"/>
          <w:sz w:val="20"/>
          <w:szCs w:val="20"/>
          <w:color w:val="auto"/>
        </w:rPr>
      </w:pPr>
    </w:p>
    <w:p>
      <w:pPr>
        <w:ind w:right="20" w:firstLine="350"/>
        <w:spacing w:after="0" w:line="281"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operations and financial results could be adversely impacted by global and national events, such as the COVID-19 pandemic, conflicts in Eastern Europe and the Middle East, and general economic downturns.</w:t>
      </w:r>
    </w:p>
    <w:p>
      <w:pPr>
        <w:spacing w:after="0" w:line="12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Global supply chain interruptions may negatively impact the development and commercialization of our products.</w:t>
      </w:r>
    </w:p>
    <w:p>
      <w:pPr>
        <w:spacing w:after="0" w:line="1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Risks Related to Our Common Stock</w:t>
      </w:r>
    </w:p>
    <w:p>
      <w:pPr>
        <w:spacing w:after="0" w:line="197" w:lineRule="exact"/>
        <w:rPr>
          <w:sz w:val="20"/>
          <w:szCs w:val="20"/>
          <w:color w:val="auto"/>
        </w:rPr>
      </w:pPr>
    </w:p>
    <w:p>
      <w:pPr>
        <w:ind w:right="160" w:firstLine="350"/>
        <w:spacing w:after="0" w:line="281"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price of and market for our Common Stock may be volatile, which could result in substantial losses for investors and/or an inability to readily trade in our Common Stock.</w:t>
      </w:r>
    </w:p>
    <w:p>
      <w:pPr>
        <w:spacing w:after="0" w:line="1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General Risk Factors</w:t>
      </w:r>
    </w:p>
    <w:p>
      <w:pPr>
        <w:spacing w:after="0" w:line="197" w:lineRule="exact"/>
        <w:rPr>
          <w:sz w:val="20"/>
          <w:szCs w:val="20"/>
          <w:color w:val="auto"/>
        </w:rPr>
      </w:pPr>
    </w:p>
    <w:p>
      <w:pPr>
        <w:ind w:right="360" w:firstLine="350"/>
        <w:spacing w:after="0" w:line="281"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will continue to incur significant increased costs and management resources as a result of operating as a public company.</w:t>
      </w:r>
    </w:p>
    <w:p>
      <w:pPr>
        <w:spacing w:after="0" w:line="121" w:lineRule="exact"/>
        <w:rPr>
          <w:rFonts w:ascii="Times New Roman" w:cs="Times New Roman" w:eastAsia="Times New Roman" w:hAnsi="Times New Roman"/>
          <w:sz w:val="20"/>
          <w:szCs w:val="20"/>
          <w:color w:val="auto"/>
        </w:rPr>
      </w:pPr>
    </w:p>
    <w:p>
      <w:pPr>
        <w:ind w:firstLine="350"/>
        <w:spacing w:after="0" w:line="281"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Reports published by analysts, including projections in those reports that differ from our actual results, could adversely affect the price and trading volume of our common shares.</w:t>
      </w:r>
    </w:p>
    <w:p>
      <w:pPr>
        <w:spacing w:after="0" w:line="121" w:lineRule="exact"/>
        <w:rPr>
          <w:rFonts w:ascii="Times New Roman" w:cs="Times New Roman" w:eastAsia="Times New Roman" w:hAnsi="Times New Roman"/>
          <w:sz w:val="20"/>
          <w:szCs w:val="20"/>
          <w:color w:val="auto"/>
        </w:rPr>
      </w:pPr>
    </w:p>
    <w:p>
      <w:pPr>
        <w:ind w:right="140" w:firstLine="350"/>
        <w:spacing w:after="0" w:line="309" w:lineRule="auto"/>
        <w:tabs>
          <w:tab w:leader="none" w:pos="72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timely and accurately report our financial results and projections as a public company may be impacted by the effectiveness of our internal controls, and our estimates and judgments relating to critical accounting policies.</w:t>
      </w:r>
    </w:p>
    <w:p>
      <w:pPr>
        <w:spacing w:after="0" w:line="97" w:lineRule="exact"/>
        <w:rPr>
          <w:sz w:val="20"/>
          <w:szCs w:val="20"/>
          <w:color w:val="auto"/>
        </w:rPr>
      </w:pPr>
    </w:p>
    <w:p>
      <w:pPr>
        <w:ind w:right="20" w:firstLine="360"/>
        <w:spacing w:after="0" w:line="281" w:lineRule="auto"/>
        <w:rPr>
          <w:sz w:val="20"/>
          <w:szCs w:val="20"/>
          <w:color w:val="auto"/>
        </w:rPr>
      </w:pPr>
      <w:r>
        <w:rPr>
          <w:rFonts w:ascii="Times New Roman" w:cs="Times New Roman" w:eastAsia="Times New Roman" w:hAnsi="Times New Roman"/>
          <w:sz w:val="20"/>
          <w:szCs w:val="20"/>
          <w:color w:val="auto"/>
        </w:rPr>
        <w:t>Our risk factors are not guarantees that no such conditions exist as of the date of this report and should not be interpreted as an affirmative statement that such risks or conditions have not materialized, in whole or in part.</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2240" w:h="15840" w:orient="portrait"/>
          <w:cols w:equalWidth="0" w:num="1">
            <w:col w:w="10240"/>
          </w:cols>
          <w:pgMar w:left="1000" w:top="793" w:right="1000" w:bottom="0" w:gutter="0" w:footer="0" w:header="0"/>
          <w:type w:val="continuous"/>
        </w:sectPr>
      </w:pPr>
    </w:p>
    <w:bookmarkStart w:id="42" w:name="page43"/>
    <w:bookmarkEnd w:id="42"/>
    <w:p>
      <w:pPr>
        <w:ind w:left="360"/>
        <w:spacing w:after="0"/>
        <w:rPr>
          <w:sz w:val="20"/>
          <w:szCs w:val="20"/>
          <w:color w:val="auto"/>
        </w:rPr>
      </w:pPr>
      <w:r>
        <w:rPr>
          <w:rFonts w:ascii="Times New Roman" w:cs="Times New Roman" w:eastAsia="Times New Roman" w:hAnsi="Times New Roman"/>
          <w:sz w:val="20"/>
          <w:szCs w:val="20"/>
          <w:b w:val="1"/>
          <w:bCs w:val="1"/>
          <w:color w:val="auto"/>
        </w:rPr>
        <w:t>Risks Related to Our Business</w:t>
      </w:r>
    </w:p>
    <w:p>
      <w:pPr>
        <w:spacing w:after="0" w:line="188" w:lineRule="exact"/>
        <w:rPr>
          <w:sz w:val="20"/>
          <w:szCs w:val="20"/>
          <w:color w:val="auto"/>
        </w:rPr>
      </w:pPr>
    </w:p>
    <w:p>
      <w:pPr>
        <w:ind w:right="320" w:firstLine="36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are a development stage company that has incurred net losses in every period to date, has not yet commercialized any products, and expects to continue to incur significant losses as we develop our business. We may never achieve profitability.</w:t>
      </w:r>
    </w:p>
    <w:p>
      <w:pPr>
        <w:spacing w:after="0" w:line="136" w:lineRule="exact"/>
        <w:rPr>
          <w:sz w:val="20"/>
          <w:szCs w:val="20"/>
          <w:color w:val="auto"/>
        </w:rPr>
      </w:pPr>
    </w:p>
    <w:p>
      <w:pPr>
        <w:ind w:right="40" w:firstLine="360"/>
        <w:spacing w:after="0" w:line="253" w:lineRule="auto"/>
        <w:rPr>
          <w:sz w:val="20"/>
          <w:szCs w:val="20"/>
          <w:color w:val="auto"/>
        </w:rPr>
      </w:pPr>
      <w:r>
        <w:rPr>
          <w:rFonts w:ascii="Times New Roman" w:cs="Times New Roman" w:eastAsia="Times New Roman" w:hAnsi="Times New Roman"/>
          <w:sz w:val="20"/>
          <w:szCs w:val="20"/>
          <w:color w:val="auto"/>
        </w:rPr>
        <w:t>We are a development stage company that has incurred net losses in each quarterly and annual period since inception and that has not yet generated any revenue. We expect to incur increasing costs as we continue to devote substantially all of our resources towards the development and anticipated future commercialization of our Nautilus platform, which includes our end-to-end solution comprised of instruments, consumables, and software analysis. We cannot be certain if we will ever generate revenue or if or when we will produce sufficient revenue from operations to support our costs. Even if profitability is achieved, we may not be able to sustain profitability. We incurred net losses of $63.7 million and $57.9 million during the years ended December 31, 2023 and 2022, respectively. As of December 31, 2023, we had an accumulated deficit of $202.2 million. These losses and accumulated deficit were primarily due to the substantial investments we made in the scientific and technological development of our Nautilus platform. We expect to incur substantial losses and negative cash flows for the foreseeable future. In addition, as a public company, we will continue to incur significant legal, accounting, and other expenses that we did not incur as a private company. These increased expenses will make it harder for us to achieve and sustain future profitability. We may incur significant losses in the future for a number of reasons, many of which are beyond our control, including the other risks described in this Annual Report on Form 10-K.</w:t>
      </w:r>
    </w:p>
    <w:p>
      <w:pPr>
        <w:spacing w:after="0" w:line="139" w:lineRule="exact"/>
        <w:rPr>
          <w:sz w:val="20"/>
          <w:szCs w:val="20"/>
          <w:color w:val="auto"/>
        </w:rPr>
      </w:pPr>
    </w:p>
    <w:p>
      <w:pPr>
        <w:ind w:firstLine="36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Our business is entirely dependent on the success of our Nautilus platform, which remains in the development stage and subject to scientific and technical validation. If we are unable to develop and commercialize our Nautilus platform successfully and in a manner that provides currently anticipated functionality and levels of performance, we may never be able to recognize any revenue, and our business, operating results, and financial condition will suffer.</w:t>
      </w:r>
    </w:p>
    <w:p>
      <w:pPr>
        <w:spacing w:after="0" w:line="141" w:lineRule="exact"/>
        <w:rPr>
          <w:sz w:val="20"/>
          <w:szCs w:val="20"/>
          <w:color w:val="auto"/>
        </w:rPr>
      </w:pPr>
    </w:p>
    <w:p>
      <w:pPr>
        <w:ind w:right="20" w:firstLine="360"/>
        <w:spacing w:after="0" w:line="266" w:lineRule="auto"/>
        <w:rPr>
          <w:sz w:val="20"/>
          <w:szCs w:val="20"/>
          <w:color w:val="auto"/>
        </w:rPr>
      </w:pPr>
      <w:r>
        <w:rPr>
          <w:rFonts w:ascii="Times New Roman" w:cs="Times New Roman" w:eastAsia="Times New Roman" w:hAnsi="Times New Roman"/>
          <w:sz w:val="19"/>
          <w:szCs w:val="19"/>
          <w:color w:val="auto"/>
        </w:rPr>
        <w:t>Our future success is entirely dependent on our ability to successfully develop and commercialize our Nautilus platform, which is based on innovative yet complex and unproven technologies and which is anticipated to be used in demanding scientific research that requires substantial levels of accuracy and precision. We are investing substantially all of our management efforts and financial resources in the development and commercialization of our Nautilus platform. Additionally, in developing our platform technology, we currently rely on co-development partners to assist us in the development of certain component technologies in our platform. We have experienced difficulties with some of these partners successfully delivering these component technologies on time and to our specifications, and these partners may not be successful in delivering these component technologies on time, to our specifications, or at all, in the future, which could have an adverse impact on our ability to meet our development timelines, and/or our products’ level of currently anticipated functionality and performance. While our goal is to leverage our Nautilus platform to comprehensively measure the human proteome, the human proteome is dynamic and far more complex and diverse in structure, composition and number of variants than either the genome or transcriptome. If we cannot successfully complete platform development, if we are unable to achieve our goals for mapping the proteome, if our products fail to deliver currently anticipated functionality and levels of performance, if our products are found by a court of law to infringe the intellectual property of another party, or if we are unable to obtain broad scientific and market acceptance of our products and technologies, we may never recognize material revenue and may be unable to continue our operations.</w:t>
      </w:r>
    </w:p>
    <w:p>
      <w:pPr>
        <w:spacing w:after="0" w:line="139" w:lineRule="exact"/>
        <w:rPr>
          <w:sz w:val="20"/>
          <w:szCs w:val="20"/>
          <w:color w:val="auto"/>
        </w:rPr>
      </w:pPr>
    </w:p>
    <w:p>
      <w:pPr>
        <w:jc w:val="both"/>
        <w:ind w:right="340" w:firstLine="36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have not yet commercially launched our Nautilus platform. We may not be able to launch our Nautilus platform successfully and even if it is successful, we may experience material delays in our commercialization program relative to current expectations.</w:t>
      </w:r>
    </w:p>
    <w:p>
      <w:pPr>
        <w:spacing w:after="0" w:line="136" w:lineRule="exact"/>
        <w:rPr>
          <w:sz w:val="20"/>
          <w:szCs w:val="20"/>
          <w:color w:val="auto"/>
        </w:rPr>
      </w:pPr>
    </w:p>
    <w:p>
      <w:pPr>
        <w:ind w:right="20" w:firstLine="360"/>
        <w:spacing w:after="0" w:line="267" w:lineRule="auto"/>
        <w:rPr>
          <w:sz w:val="20"/>
          <w:szCs w:val="20"/>
          <w:color w:val="auto"/>
        </w:rPr>
      </w:pPr>
      <w:r>
        <w:rPr>
          <w:rFonts w:ascii="Times New Roman" w:cs="Times New Roman" w:eastAsia="Times New Roman" w:hAnsi="Times New Roman"/>
          <w:sz w:val="19"/>
          <w:szCs w:val="19"/>
          <w:color w:val="auto"/>
        </w:rPr>
        <w:t>We anticipate commercializing our Nautilus platform in three phases involving first collaboration with biopharmaceutical companies and key opinion leaders to validate the performance and utility of our product, during which we do not expect to recognize significant revenue, if any; secondly an early access limited release phase in which we expect to recognize limited revenue; and finally a broader commercial launch phase. We are currently in the collaboration phase during which we have entered into collaborations with a small number of research customers, including with biopharmaceutical companies and key opinion leaders in proteomics whose assessment and validation of our products can significantly influence other researchers in their respective markets and/or fields. We do not anticipate that these activities will result in any material revenue. During the second, early access phase, we expect to work closely with early access customers to demonstrate a unique value proposition for our Nautilus platform. During this phase, we plan to provide early access program partners with broad-scale analysis and profiling of samples analyzed in our facility and shared via a cloud platform. We anticipate early access engagements and associated revenue in 2025. We expect this second phase to lead into the third phase of broad commercialization and launch of our proteome analysis platform in 2025. Voice of customer studies have suggested that there is market demand for a proteomics platform with specifications that are initially lower than what we have previously disclosed, for example, around characteristics such as sample input and proteome coverage. Consequently, as we balance our time to market goals with our evolving view of</w:t>
      </w:r>
    </w:p>
    <w:p>
      <w:pPr>
        <w:sectPr>
          <w:pgSz w:w="12240" w:h="15840" w:orient="portrait"/>
          <w:cols w:equalWidth="0" w:num="1">
            <w:col w:w="10240"/>
          </w:cols>
          <w:pgMar w:left="1000" w:top="78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2240" w:h="15840" w:orient="portrait"/>
          <w:cols w:equalWidth="0" w:num="1">
            <w:col w:w="10240"/>
          </w:cols>
          <w:pgMar w:left="1000" w:top="786" w:right="1000" w:bottom="0" w:gutter="0" w:footer="0" w:header="0"/>
          <w:type w:val="continuous"/>
        </w:sectPr>
      </w:pPr>
    </w:p>
    <w:bookmarkStart w:id="43" w:name="page44"/>
    <w:bookmarkEnd w:id="43"/>
    <w:p>
      <w:pPr>
        <w:ind w:right="160"/>
        <w:spacing w:after="0" w:line="281" w:lineRule="auto"/>
        <w:rPr>
          <w:sz w:val="20"/>
          <w:szCs w:val="20"/>
          <w:color w:val="auto"/>
        </w:rPr>
      </w:pPr>
      <w:r>
        <w:rPr>
          <w:rFonts w:ascii="Times New Roman" w:cs="Times New Roman" w:eastAsia="Times New Roman" w:hAnsi="Times New Roman"/>
          <w:sz w:val="20"/>
          <w:szCs w:val="20"/>
          <w:color w:val="auto"/>
        </w:rPr>
        <w:t>customer requirements, we are refining our initial launch specifications. We believe that subsequent consumable releases will enable our platform to meet or exceed our previously announced product specifications.</w:t>
      </w:r>
    </w:p>
    <w:p>
      <w:pPr>
        <w:spacing w:after="0" w:line="121" w:lineRule="exact"/>
        <w:rPr>
          <w:sz w:val="20"/>
          <w:szCs w:val="20"/>
          <w:color w:val="auto"/>
        </w:rPr>
      </w:pPr>
    </w:p>
    <w:p>
      <w:pPr>
        <w:ind w:right="100" w:firstLine="360"/>
        <w:spacing w:after="0" w:line="255" w:lineRule="auto"/>
        <w:rPr>
          <w:sz w:val="20"/>
          <w:szCs w:val="20"/>
          <w:color w:val="auto"/>
        </w:rPr>
      </w:pPr>
      <w:r>
        <w:rPr>
          <w:rFonts w:ascii="Times New Roman" w:cs="Times New Roman" w:eastAsia="Times New Roman" w:hAnsi="Times New Roman"/>
          <w:sz w:val="20"/>
          <w:szCs w:val="20"/>
          <w:color w:val="auto"/>
        </w:rPr>
        <w:t>Achieving the scientific and commercial objectives identified above within currently anticipated timelines will require substantial investments in our technologies and in the underlying science. Scientific and technological development of the nature being undertaken by us is extraordinarily complex, and there can be no assurances that any of these phases of commercial development will be successful or that they will be completed within the timelines currently anticipated. Given the scientific and technical complexity of our products, we could experience material delays in product development and commercial launch. If our research and product development efforts do not result in commercially viable products within the anticipated timelines, our business, operating results, and financial condition will be adversely affected.</w:t>
      </w:r>
    </w:p>
    <w:p>
      <w:pPr>
        <w:spacing w:after="0" w:line="140" w:lineRule="exact"/>
        <w:rPr>
          <w:sz w:val="20"/>
          <w:szCs w:val="20"/>
          <w:color w:val="auto"/>
        </w:rPr>
      </w:pPr>
    </w:p>
    <w:p>
      <w:pPr>
        <w:ind w:right="260" w:firstLine="3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The commercialization of our products will require us to establish relationships and successfully collaborate with leading life science companies and research institutions, initially to test and validate our products and subsequently as we seek to expand the markets for our products. We may be unable to establish sufficient collaborations of this nature, and such collaborations could result in agreements that limit or otherwise impair our flexibility to pursue other strategic opportunities.</w:t>
      </w:r>
    </w:p>
    <w:p>
      <w:pPr>
        <w:spacing w:after="0" w:line="148"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20"/>
          <w:szCs w:val="20"/>
          <w:color w:val="auto"/>
        </w:rPr>
        <w:t>As noted above, establishing collaborations and partnerships with large pharmaceutical and biotechnology companies and with major research institutions is a material element of our commercialization strategy. While early collaborations are expected to focus on the assessment and validation of our Nautilus platform with a focus in part on publication of results in peer-reviewed scientific journals, we also intend to pursue additional, potentially revenue-generating collaborations in areas of biological interest. Among other examples, we may pursue collaborations relating to the development and commercialization of therapeutic product candidates targeting proteins identified by our Nautilus platform.</w:t>
      </w:r>
    </w:p>
    <w:p>
      <w:pPr>
        <w:spacing w:after="0" w:line="148" w:lineRule="exact"/>
        <w:rPr>
          <w:sz w:val="20"/>
          <w:szCs w:val="20"/>
          <w:color w:val="auto"/>
        </w:rPr>
      </w:pPr>
    </w:p>
    <w:p>
      <w:pPr>
        <w:ind w:right="60" w:firstLine="360"/>
        <w:spacing w:after="0" w:line="254" w:lineRule="auto"/>
        <w:rPr>
          <w:sz w:val="20"/>
          <w:szCs w:val="20"/>
          <w:color w:val="auto"/>
        </w:rPr>
      </w:pPr>
      <w:r>
        <w:rPr>
          <w:rFonts w:ascii="Times New Roman" w:cs="Times New Roman" w:eastAsia="Times New Roman" w:hAnsi="Times New Roman"/>
          <w:sz w:val="20"/>
          <w:szCs w:val="20"/>
          <w:color w:val="auto"/>
        </w:rPr>
        <w:t>There can be no assurance that we will be successful in developing or maintaining collaborations or that, if established, these collaborations will achieve the desired objectives. Establishing collaborations is difficult and time-consuming. Discussions may not lead to collaborations on favorable terms, if at all, and particularly where we are negotiating against major pharmaceutical companies, we may have relatively less leverage in negotiating favorable terms. To the extent we agree to work exclusively with a party in a given field, our opportunities to collaborate with others in that field would be limited. Certain parties may seek to partner with other companies in addition to us in connection with a project. This, in turn, may limit the commercial potential of any products that are the subject of such collaborations. Potential collaborators may elect not to work with us based upon their assessment of our financial, regulatory, commercial or intellectual property position.</w:t>
      </w:r>
    </w:p>
    <w:p>
      <w:pPr>
        <w:spacing w:after="0" w:line="153" w:lineRule="exact"/>
        <w:rPr>
          <w:sz w:val="20"/>
          <w:szCs w:val="20"/>
          <w:color w:val="auto"/>
        </w:rPr>
      </w:pPr>
    </w:p>
    <w:p>
      <w:pPr>
        <w:ind w:right="420" w:firstLine="360"/>
        <w:spacing w:after="0" w:line="281" w:lineRule="auto"/>
        <w:rPr>
          <w:sz w:val="20"/>
          <w:szCs w:val="20"/>
          <w:color w:val="auto"/>
        </w:rPr>
      </w:pPr>
      <w:r>
        <w:rPr>
          <w:rFonts w:ascii="Times New Roman" w:cs="Times New Roman" w:eastAsia="Times New Roman" w:hAnsi="Times New Roman"/>
          <w:sz w:val="20"/>
          <w:szCs w:val="20"/>
          <w:color w:val="auto"/>
        </w:rPr>
        <w:t>Even if we are successful in entering into collaborations, the success of such collaborations will depend heavily on the efforts and activities of our collaborators.</w:t>
      </w:r>
    </w:p>
    <w:p>
      <w:pPr>
        <w:spacing w:after="0" w:line="1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Scientific collaborations of the nature we propose to pursue are subject to numerous risks, including that:</w:t>
      </w:r>
    </w:p>
    <w:p>
      <w:pPr>
        <w:spacing w:after="0" w:line="190" w:lineRule="exact"/>
        <w:rPr>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collaborators may have significant discretion in determining the efforts and resources that they will apply to a specific</w:t>
      </w:r>
    </w:p>
    <w:p>
      <w:pPr>
        <w:spacing w:after="0" w:line="30"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project;</w:t>
      </w:r>
    </w:p>
    <w:p>
      <w:pPr>
        <w:spacing w:after="0" w:line="169" w:lineRule="exact"/>
        <w:rPr>
          <w:rFonts w:ascii="Times New Roman" w:cs="Times New Roman" w:eastAsia="Times New Roman" w:hAnsi="Times New Roman"/>
          <w:sz w:val="20"/>
          <w:szCs w:val="20"/>
          <w:color w:val="auto"/>
        </w:rPr>
      </w:pPr>
    </w:p>
    <w:p>
      <w:pPr>
        <w:ind w:right="80" w:firstLine="350"/>
        <w:spacing w:after="0" w:line="260"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collaborators may not pursue development and commercialization of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143" w:lineRule="exact"/>
        <w:rPr>
          <w:rFonts w:ascii="Times New Roman" w:cs="Times New Roman" w:eastAsia="Times New Roman" w:hAnsi="Times New Roman"/>
          <w:sz w:val="20"/>
          <w:szCs w:val="20"/>
          <w:color w:val="auto"/>
        </w:rPr>
      </w:pPr>
    </w:p>
    <w:p>
      <w:pPr>
        <w:ind w:right="400" w:firstLine="350"/>
        <w:spacing w:after="0" w:line="281"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collaborators may own intellectual property covering products that result from our collaboration with them, and in such cases, we would not have the right to develop or commercialize such intellectual property;</w:t>
      </w:r>
    </w:p>
    <w:p>
      <w:pPr>
        <w:spacing w:after="0" w:line="121" w:lineRule="exact"/>
        <w:rPr>
          <w:rFonts w:ascii="Times New Roman" w:cs="Times New Roman" w:eastAsia="Times New Roman" w:hAnsi="Times New Roman"/>
          <w:sz w:val="20"/>
          <w:szCs w:val="20"/>
          <w:color w:val="auto"/>
        </w:rPr>
      </w:pPr>
    </w:p>
    <w:p>
      <w:pPr>
        <w:ind w:right="140" w:firstLine="350"/>
        <w:spacing w:after="0" w:line="281"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collaborators may co-own intellectual property covering products that result from our collaboration with them, and in such cases, we would not have the right to exclude others from developing or commercializing such intellectual property;</w:t>
      </w:r>
    </w:p>
    <w:p>
      <w:pPr>
        <w:spacing w:after="0" w:line="121" w:lineRule="exact"/>
        <w:rPr>
          <w:rFonts w:ascii="Times New Roman" w:cs="Times New Roman" w:eastAsia="Times New Roman" w:hAnsi="Times New Roman"/>
          <w:sz w:val="20"/>
          <w:szCs w:val="20"/>
          <w:color w:val="auto"/>
        </w:rPr>
      </w:pPr>
    </w:p>
    <w:p>
      <w:pPr>
        <w:ind w:right="200" w:firstLine="350"/>
        <w:spacing w:after="0" w:line="281"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collaborators could independently develop, or develop with third parties, products that compete directly or indirectly with product candidates that are being developed under the collaboration with us;</w:t>
      </w:r>
    </w:p>
    <w:p>
      <w:pPr>
        <w:spacing w:after="0" w:line="121" w:lineRule="exact"/>
        <w:rPr>
          <w:rFonts w:ascii="Times New Roman" w:cs="Times New Roman" w:eastAsia="Times New Roman" w:hAnsi="Times New Roman"/>
          <w:sz w:val="20"/>
          <w:szCs w:val="20"/>
          <w:color w:val="auto"/>
        </w:rPr>
      </w:pPr>
    </w:p>
    <w:p>
      <w:pPr>
        <w:ind w:right="720" w:firstLine="350"/>
        <w:spacing w:after="0" w:line="281"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collaborator with marketing, manufacturing, and distribution rights to one or more products may not commit sufficient resources to or otherwise not perform satisfactorily in carrying out these activities;</w:t>
      </w:r>
    </w:p>
    <w:p>
      <w:pPr>
        <w:spacing w:after="0" w:line="12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could grant exclusive rights to our collaborators that would prevent us from collaborating with others;</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2240" w:h="15840" w:orient="portrait"/>
          <w:cols w:equalWidth="0" w:num="1">
            <w:col w:w="10240"/>
          </w:cols>
          <w:pgMar w:left="1000" w:top="793" w:right="1000" w:bottom="0" w:gutter="0" w:footer="0" w:header="0"/>
          <w:type w:val="continuous"/>
        </w:sectPr>
      </w:pPr>
    </w:p>
    <w:bookmarkStart w:id="44" w:name="page45"/>
    <w:bookmarkEnd w:id="44"/>
    <w:p>
      <w:pPr>
        <w:ind w:right="60" w:firstLine="350"/>
        <w:spacing w:after="0" w:line="266"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35" w:lineRule="exact"/>
        <w:rPr>
          <w:rFonts w:ascii="Times New Roman" w:cs="Times New Roman" w:eastAsia="Times New Roman" w:hAnsi="Times New Roman"/>
          <w:sz w:val="20"/>
          <w:szCs w:val="20"/>
          <w:color w:val="auto"/>
        </w:rPr>
      </w:pPr>
    </w:p>
    <w:p>
      <w:pPr>
        <w:jc w:val="both"/>
        <w:ind w:right="140" w:firstLine="350"/>
        <w:spacing w:after="0" w:line="309" w:lineRule="auto"/>
        <w:tabs>
          <w:tab w:leader="none" w:pos="72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disputes may arise between us and a collaborator that cause the delay or termination of the research, development, or commercialization of products or that result in costly litigation or arbitration that diverts management attention and resources;</w:t>
      </w:r>
    </w:p>
    <w:p>
      <w:pPr>
        <w:spacing w:after="0" w:line="97" w:lineRule="exact"/>
        <w:rPr>
          <w:rFonts w:ascii="Times New Roman" w:cs="Times New Roman" w:eastAsia="Times New Roman" w:hAnsi="Times New Roman"/>
          <w:sz w:val="19"/>
          <w:szCs w:val="19"/>
          <w:color w:val="auto"/>
        </w:rPr>
      </w:pPr>
    </w:p>
    <w:p>
      <w:pPr>
        <w:ind w:right="380" w:firstLine="350"/>
        <w:spacing w:after="0" w:line="281"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collaborations may be terminated, and, if terminated, in addition to reducing our revenue, may reduce exposure to research and clinical trials that facilitate the collection and incorporation of new information into our platform; and</w:t>
      </w:r>
    </w:p>
    <w:p>
      <w:pPr>
        <w:spacing w:after="0" w:line="121" w:lineRule="exact"/>
        <w:rPr>
          <w:rFonts w:ascii="Times New Roman" w:cs="Times New Roman" w:eastAsia="Times New Roman" w:hAnsi="Times New Roman"/>
          <w:sz w:val="20"/>
          <w:szCs w:val="20"/>
          <w:color w:val="auto"/>
        </w:rPr>
      </w:pPr>
    </w:p>
    <w:p>
      <w:pPr>
        <w:ind w:right="460" w:firstLine="350"/>
        <w:spacing w:after="0" w:line="281"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collaborator’s sales and marketing activities or other operations may not be in compliance with applicable laws resulting in civil or criminal proceedings.</w:t>
      </w:r>
    </w:p>
    <w:p>
      <w:pPr>
        <w:spacing w:after="0" w:line="121"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20"/>
          <w:szCs w:val="20"/>
          <w:color w:val="auto"/>
        </w:rPr>
        <w:t>In addition, before obtaining marketing approval from regulatory authorities for the sale of product candidates subject to future collaborations, our collaborators must conduct extensive clinical trials to demonstrate the safety and efficacy of the product candidates. If clinical trials of product candidates resulting from collaborations are prolonged or delayed, collaborators may be unable to obtain required regulatory approvals and therefore be unable to commercialize product candidates on a timely basis or at all, which may have a material impact on the revenue recognized from such collaborations.</w:t>
      </w:r>
    </w:p>
    <w:p>
      <w:pPr>
        <w:spacing w:after="0" w:line="135" w:lineRule="exact"/>
        <w:rPr>
          <w:sz w:val="20"/>
          <w:szCs w:val="20"/>
          <w:color w:val="auto"/>
        </w:rPr>
      </w:pPr>
    </w:p>
    <w:p>
      <w:pPr>
        <w:ind w:right="480" w:firstLine="3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Even if we are able to complete development of our Nautilus platform, we may not achieve or maintain significant commercial market acceptance.</w:t>
      </w:r>
    </w:p>
    <w:p>
      <w:pPr>
        <w:spacing w:after="0" w:line="117" w:lineRule="exact"/>
        <w:rPr>
          <w:sz w:val="20"/>
          <w:szCs w:val="20"/>
          <w:color w:val="auto"/>
        </w:rPr>
      </w:pPr>
    </w:p>
    <w:p>
      <w:pPr>
        <w:ind w:right="220" w:firstLine="360"/>
        <w:spacing w:after="0" w:line="253" w:lineRule="auto"/>
        <w:rPr>
          <w:sz w:val="20"/>
          <w:szCs w:val="20"/>
          <w:color w:val="auto"/>
        </w:rPr>
      </w:pPr>
      <w:r>
        <w:rPr>
          <w:rFonts w:ascii="Times New Roman" w:cs="Times New Roman" w:eastAsia="Times New Roman" w:hAnsi="Times New Roman"/>
          <w:sz w:val="20"/>
          <w:szCs w:val="20"/>
          <w:color w:val="auto"/>
        </w:rPr>
        <w:t>Even if we are able to complete development of our Nautilus platform, the platform will be subject to market forces and adoption curves common to new technologies. The market for novel proteomics technologies and products like those being developed by us is in the early stages of development. While these technologies present the potential to displace legacy products, changing long-standing scientific workflows with new instruments requiring substantial capital expenditures will require us to invest substantial financial and management resources to educate potential customers on the benefits of our Nautilus platform relative to existing technologies and to validate our Nautilus platform’s ability to meet customer requirements. In that regard, we anticipate that our initial market focus will be pharmaceutical development and associated research, which are characterized by demanding and exacting requirements for product performance and accuracy. If widespread adoption of our Nautilus platform takes longer than anticipated or does not occur, our business will be materially and adversely affected.</w:t>
      </w:r>
    </w:p>
    <w:p>
      <w:pPr>
        <w:spacing w:after="0" w:line="156"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More specifically, the successful introduction of new technologies in life science markets requires substantial engagement with the scientific community in order to encourage community acceptance of the utility, performance, and cost of the technology relative to its benefits in the applicable field or fields of research. The life sciences scientific community is often led by a small number of early adopters and key opinion leaders who significantly influence the larger community through publications in peer-reviewed journals. In these journal publications, the researchers describe not only their discoveries but also the methods and typically the products used to fuel these discoveries. We expect that references to the use of our Nautilus platform in peer-reviewed journal publications will be critical to our ability to obtain widespread acceptance within the scientific community. In addition, continuing collaborative relationships with key opinion leaders will be vital to maintaining any market acceptance we achieve. If too few researchers describe the use of our products, too many researchers shift to a competing product and publish research outlining their use of that product, or too many researchers negatively describe the use of our products in publications, customers may be less willing to engage with us concerning our products, which could materially delay our commercialization plan and/or substantially extend our sales cycles. Moreover, these customers may ultimately be less willing to purchase our products, which would adversely affect our business and future revenue.</w:t>
      </w:r>
    </w:p>
    <w:p>
      <w:pPr>
        <w:spacing w:after="0" w:line="1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Specific, material factors that will influence our ability to achieve market acceptance include the following:</w:t>
      </w:r>
    </w:p>
    <w:p>
      <w:pPr>
        <w:spacing w:after="0" w:line="190" w:lineRule="exact"/>
        <w:rPr>
          <w:sz w:val="20"/>
          <w:szCs w:val="20"/>
          <w:color w:val="auto"/>
        </w:rPr>
      </w:pPr>
    </w:p>
    <w:p>
      <w:pPr>
        <w:ind w:right="600" w:firstLine="350"/>
        <w:spacing w:after="0" w:line="281"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of our marketing and engagement initiatives to increase awareness of the capabilities of our Nautilus platform;</w:t>
      </w:r>
    </w:p>
    <w:p>
      <w:pPr>
        <w:spacing w:after="0" w:line="121" w:lineRule="exact"/>
        <w:rPr>
          <w:rFonts w:ascii="Times New Roman" w:cs="Times New Roman" w:eastAsia="Times New Roman" w:hAnsi="Times New Roman"/>
          <w:sz w:val="20"/>
          <w:szCs w:val="20"/>
          <w:color w:val="auto"/>
        </w:rPr>
      </w:pPr>
    </w:p>
    <w:p>
      <w:pPr>
        <w:ind w:right="360" w:firstLine="350"/>
        <w:spacing w:after="0" w:line="281"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of our Nautilus platform to demonstrate reliable performance in intended use applications, in particular, when the platform is used by customers in their own research;</w:t>
      </w:r>
    </w:p>
    <w:p>
      <w:pPr>
        <w:spacing w:after="0" w:line="121" w:lineRule="exact"/>
        <w:rPr>
          <w:rFonts w:ascii="Times New Roman" w:cs="Times New Roman" w:eastAsia="Times New Roman" w:hAnsi="Times New Roman"/>
          <w:sz w:val="20"/>
          <w:szCs w:val="20"/>
          <w:color w:val="auto"/>
        </w:rPr>
      </w:pPr>
    </w:p>
    <w:p>
      <w:pPr>
        <w:ind w:right="580" w:firstLine="350"/>
        <w:spacing w:after="0" w:line="281"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demonstrate that the functionality and performance of our Nautilus platform relative to alternative products and technologies justifies the substantial anticipated cost of the platform;</w:t>
      </w:r>
    </w:p>
    <w:p>
      <w:pPr>
        <w:spacing w:after="0" w:line="12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willingness of prospective customers to adopt new products and workflows;</w:t>
      </w:r>
    </w:p>
    <w:p>
      <w:pPr>
        <w:spacing w:after="0" w:line="190" w:lineRule="exact"/>
        <w:rPr>
          <w:rFonts w:ascii="Times New Roman" w:cs="Times New Roman" w:eastAsia="Times New Roman" w:hAnsi="Times New Roman"/>
          <w:sz w:val="20"/>
          <w:szCs w:val="20"/>
          <w:color w:val="auto"/>
        </w:rPr>
      </w:pPr>
    </w:p>
    <w:p>
      <w:pPr>
        <w:ind w:right="600" w:firstLine="350"/>
        <w:spacing w:after="0" w:line="281"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ease of use of our Nautilus platform and whether it reliably provides significant advantages over alternative products and technologies;</w:t>
      </w:r>
    </w:p>
    <w:p>
      <w:pPr>
        <w:sectPr>
          <w:pgSz w:w="12240" w:h="15840" w:orient="portrait"/>
          <w:cols w:equalWidth="0" w:num="1">
            <w:col w:w="10200"/>
          </w:cols>
          <w:pgMar w:left="1000" w:top="793" w:right="1040" w:bottom="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ectPr>
          <w:pgSz w:w="12240" w:h="15840" w:orient="portrait"/>
          <w:cols w:equalWidth="0" w:num="1">
            <w:col w:w="10200"/>
          </w:cols>
          <w:pgMar w:left="1000" w:top="793" w:right="1040" w:bottom="0" w:gutter="0" w:footer="0" w:header="0"/>
          <w:type w:val="continuous"/>
        </w:sectPr>
      </w:pPr>
    </w:p>
    <w:bookmarkStart w:id="45" w:name="page46"/>
    <w:bookmarkEnd w:id="45"/>
    <w:p>
      <w:pPr>
        <w:ind w:left="720" w:hanging="37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rate of adoption of our Nautilus platform by biopharmaceutical companies, laboratories, academic institutions and</w:t>
      </w:r>
    </w:p>
    <w:p>
      <w:pPr>
        <w:spacing w:after="0" w:line="30"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others;</w:t>
      </w:r>
    </w:p>
    <w:p>
      <w:pPr>
        <w:spacing w:after="0" w:line="169"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prices at which we will be able to sell our Nautilus platform instruments and consumables;</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develop new products, workflows, and solutions that meet customer requirements;</w:t>
      </w:r>
    </w:p>
    <w:p>
      <w:pPr>
        <w:spacing w:after="0" w:line="190" w:lineRule="exact"/>
        <w:rPr>
          <w:rFonts w:ascii="Times New Roman" w:cs="Times New Roman" w:eastAsia="Times New Roman" w:hAnsi="Times New Roman"/>
          <w:sz w:val="20"/>
          <w:szCs w:val="20"/>
          <w:color w:val="auto"/>
        </w:rPr>
      </w:pPr>
    </w:p>
    <w:p>
      <w:pPr>
        <w:ind w:right="220" w:firstLine="350"/>
        <w:spacing w:after="0" w:line="281"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introduction or development and commercialization by competitors of new products or enhancements to existing products with functionality and/or performance similar to our Nautilus platform; and</w:t>
      </w:r>
    </w:p>
    <w:p>
      <w:pPr>
        <w:spacing w:after="0" w:line="12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our investments in product innovation and commercial growth.</w:t>
      </w:r>
    </w:p>
    <w:p>
      <w:pPr>
        <w:spacing w:after="0" w:line="190" w:lineRule="exact"/>
        <w:rPr>
          <w:sz w:val="20"/>
          <w:szCs w:val="20"/>
          <w:color w:val="auto"/>
        </w:rPr>
      </w:pPr>
    </w:p>
    <w:p>
      <w:pPr>
        <w:jc w:val="both"/>
        <w:ind w:right="380" w:firstLine="360"/>
        <w:spacing w:after="0" w:line="266" w:lineRule="auto"/>
        <w:rPr>
          <w:sz w:val="20"/>
          <w:szCs w:val="20"/>
          <w:color w:val="auto"/>
        </w:rPr>
      </w:pPr>
      <w:r>
        <w:rPr>
          <w:rFonts w:ascii="Times New Roman" w:cs="Times New Roman" w:eastAsia="Times New Roman" w:hAnsi="Times New Roman"/>
          <w:sz w:val="20"/>
          <w:szCs w:val="20"/>
          <w:color w:val="auto"/>
        </w:rPr>
        <w:t>We cannot assure you that we will be successful in addressing any of these criteria or any additional criteria that might affect the market acceptance of our products. If we are unsuccessful in achieving and maintaining market acceptance of our Nautilus platform, our business, financial condition and results of operations would be adversely affected.</w:t>
      </w:r>
    </w:p>
    <w:p>
      <w:pPr>
        <w:spacing w:after="0" w:line="126" w:lineRule="exact"/>
        <w:rPr>
          <w:sz w:val="20"/>
          <w:szCs w:val="20"/>
          <w:color w:val="auto"/>
        </w:rPr>
      </w:pPr>
    </w:p>
    <w:p>
      <w:pPr>
        <w:ind w:right="140" w:firstLine="36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have no experience in manufacturing our products at commercial scale. If we are unable to establish manufacturing capacity by ourselves or with partners in a timely manner after completing development, commercialization of our Nautilus platform would be delayed, which would result in lost revenue and harm our business.</w:t>
      </w:r>
    </w:p>
    <w:p>
      <w:pPr>
        <w:spacing w:after="0" w:line="136"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19"/>
          <w:szCs w:val="19"/>
          <w:color w:val="auto"/>
        </w:rPr>
        <w:t>In order for us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including our proteome analysis system and related consumables. Among other factors, we will need to develop reliable supply chains for the various components in our platform instruments and consumables to support large-scale commercial production. In connection with our Nautilus platform, we may utilize long lead time instrument system components, such as cameras and lasers, and as a result, it may impact our ability to consistently source such components. Additionally, we intend to utilize over 300 complex reagents and various antibodies in order to generate deep proteomic information at the speed and scale which we expect our Nautilus platform to perform. Such reagents and antibodies are expected to be more difficult to manufacture and more expensive to procure. There are no assurances that we will be able to build manufacturing or consumable production capacity internally or find one or more suitable manufacturing or production partners, or both, to meet the volume and quality requirements necessary to be successful in the proteomics market. In addition, in connection with establishing third party relationships or sourcing component supplies, including with respect to instrument components, reagents and antibodies, we may incur costs that are higher than currently expected and that may adversely affect our gross margins and operating results following commercialization. Assuming we complete development of our Nautilus platform, we may experience manufacturing and product quality issues as we increase the scale of our production. Any delay or inability in establishing or expanding our manufacturing capacity could diminish our ability to develop or sell our products, result in increased or unanticipated costs, result in lost revenue, and seriously harm our business, results of operations and financial condition.</w:t>
      </w:r>
    </w:p>
    <w:p>
      <w:pPr>
        <w:spacing w:after="0" w:line="372" w:lineRule="exact"/>
        <w:rPr>
          <w:sz w:val="20"/>
          <w:szCs w:val="20"/>
          <w:color w:val="auto"/>
        </w:rPr>
      </w:pPr>
    </w:p>
    <w:p>
      <w:pPr>
        <w:ind w:right="220" w:firstLine="3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establish an effective commercial organization, including effective distribution channels and sales and marketing functions, we may not be successful in commercializing our Nautilus platform.</w:t>
      </w:r>
    </w:p>
    <w:p>
      <w:pPr>
        <w:spacing w:after="0" w:line="117" w:lineRule="exact"/>
        <w:rPr>
          <w:sz w:val="20"/>
          <w:szCs w:val="20"/>
          <w:color w:val="auto"/>
        </w:rPr>
      </w:pPr>
    </w:p>
    <w:p>
      <w:pPr>
        <w:ind w:right="40" w:firstLine="360"/>
        <w:spacing w:after="0" w:line="254" w:lineRule="auto"/>
        <w:rPr>
          <w:sz w:val="20"/>
          <w:szCs w:val="20"/>
          <w:color w:val="auto"/>
        </w:rPr>
      </w:pPr>
      <w:r>
        <w:rPr>
          <w:rFonts w:ascii="Times New Roman" w:cs="Times New Roman" w:eastAsia="Times New Roman" w:hAnsi="Times New Roman"/>
          <w:sz w:val="20"/>
          <w:szCs w:val="20"/>
          <w:color w:val="auto"/>
        </w:rPr>
        <w:t>We are only beginning to establish an internal organization focused specifically on the commercialization of our Nautilus platform. Our initial hiring has focused on senior commercial leadership, and although this leadership has considerable industry experience, in order to achieve substantial revenue growth and profitability, we will be required to develop sales, marketing, distribution, customer service, and customer support capabilities. Staffing of these functions will frequently require individuals with the requisite technical and scientific expertise to establish and support sales of a sophisticated and complex platform for life sciences experimentation. We will be required to expend substantial financial resources to hire personnel and develop our commercial operations prior to commercial launch of our Nautilus platform. Accordingly, these initiatives will adversely affect our operating expenses prior to us having material off-setting revenue, if any.</w:t>
      </w:r>
    </w:p>
    <w:p>
      <w:pPr>
        <w:spacing w:after="0" w:line="1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To develop these functions successfully, we will face a number of additional risks, including:</w:t>
      </w:r>
    </w:p>
    <w:p>
      <w:pPr>
        <w:spacing w:after="0" w:line="190" w:lineRule="exact"/>
        <w:rPr>
          <w:sz w:val="20"/>
          <w:szCs w:val="20"/>
          <w:color w:val="auto"/>
        </w:rPr>
      </w:pPr>
    </w:p>
    <w:p>
      <w:pPr>
        <w:ind w:right="140" w:firstLine="350"/>
        <w:spacing w:after="0" w:line="266"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attract, retain, and manage the sales, marketing, customer service, and customer support force necessary to commercialize and gain market acceptance for our technology, with the additional challenge that many of these new hires will require specific scientific and technological expertise that may be more difficult to find; and</w:t>
      </w:r>
    </w:p>
    <w:p>
      <w:pPr>
        <w:spacing w:after="0" w:line="135"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time and cost of establishing a specialized sales, marketing and customer service and support force.</w:t>
      </w:r>
    </w:p>
    <w:p>
      <w:pPr>
        <w:spacing w:after="0" w:line="190" w:lineRule="exact"/>
        <w:rPr>
          <w:sz w:val="20"/>
          <w:szCs w:val="20"/>
          <w:color w:val="auto"/>
        </w:rPr>
      </w:pPr>
    </w:p>
    <w:p>
      <w:pPr>
        <w:ind w:firstLine="360"/>
        <w:spacing w:after="0" w:line="281" w:lineRule="auto"/>
        <w:rPr>
          <w:sz w:val="20"/>
          <w:szCs w:val="20"/>
          <w:color w:val="auto"/>
        </w:rPr>
      </w:pPr>
      <w:r>
        <w:rPr>
          <w:rFonts w:ascii="Times New Roman" w:cs="Times New Roman" w:eastAsia="Times New Roman" w:hAnsi="Times New Roman"/>
          <w:sz w:val="20"/>
          <w:szCs w:val="20"/>
          <w:color w:val="auto"/>
        </w:rPr>
        <w:t>In addition to our internal organization, we may seek to enlist one or more third parties to assist with sales, distribution, and customer service and support globally or in certain regions of the world. In certain markets, we could seek to establish</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2240" w:h="15840" w:orient="portrait"/>
          <w:cols w:equalWidth="0" w:num="1">
            <w:col w:w="10240"/>
          </w:cols>
          <w:pgMar w:left="1000" w:top="793" w:right="1000" w:bottom="0" w:gutter="0" w:footer="0" w:header="0"/>
          <w:type w:val="continuous"/>
        </w:sectPr>
      </w:pPr>
    </w:p>
    <w:bookmarkStart w:id="46" w:name="page47"/>
    <w:bookmarkEnd w:id="46"/>
    <w:p>
      <w:pPr>
        <w:ind w:right="100"/>
        <w:spacing w:after="0" w:line="258" w:lineRule="auto"/>
        <w:rPr>
          <w:sz w:val="20"/>
          <w:szCs w:val="20"/>
          <w:color w:val="auto"/>
        </w:rPr>
      </w:pPr>
      <w:r>
        <w:rPr>
          <w:rFonts w:ascii="Times New Roman" w:cs="Times New Roman" w:eastAsia="Times New Roman" w:hAnsi="Times New Roman"/>
          <w:sz w:val="20"/>
          <w:szCs w:val="20"/>
          <w:color w:val="auto"/>
        </w:rPr>
        <w:t>partnerships with larger market participants to provide access to their distribution channels and which could also involve scientific or technological collaboration. There is no guarantee, if we do seek to enter into any of these arrangements, that we will be successful in attracting desirable partners or that we will be able to enter into such arrangements on commercially favorable terms. If our commercialization efforts, or those of any third-party partners, are not successful, our Nautilus platform may not gain market acceptance, which could materially impact our business and results of operations.</w:t>
      </w:r>
    </w:p>
    <w:p>
      <w:pPr>
        <w:spacing w:after="0" w:line="135" w:lineRule="exact"/>
        <w:rPr>
          <w:sz w:val="20"/>
          <w:szCs w:val="20"/>
          <w:color w:val="auto"/>
        </w:rPr>
      </w:pPr>
    </w:p>
    <w:p>
      <w:pPr>
        <w:ind w:right="20" w:firstLine="3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size of the markets for our Nautilus platform may be smaller than estimated, and new market opportunities may not develop as quickly as we expect, or at all, limiting our ability to successfully sell our products.</w:t>
      </w:r>
    </w:p>
    <w:p>
      <w:pPr>
        <w:spacing w:after="0" w:line="117" w:lineRule="exact"/>
        <w:rPr>
          <w:sz w:val="20"/>
          <w:szCs w:val="20"/>
          <w:color w:val="auto"/>
        </w:rPr>
      </w:pPr>
    </w:p>
    <w:p>
      <w:pPr>
        <w:ind w:firstLine="360"/>
        <w:spacing w:after="0" w:line="251" w:lineRule="auto"/>
        <w:rPr>
          <w:sz w:val="20"/>
          <w:szCs w:val="20"/>
          <w:color w:val="auto"/>
        </w:rPr>
      </w:pPr>
      <w:r>
        <w:rPr>
          <w:rFonts w:ascii="Times New Roman" w:cs="Times New Roman" w:eastAsia="Times New Roman" w:hAnsi="Times New Roman"/>
          <w:sz w:val="20"/>
          <w:szCs w:val="20"/>
          <w:color w:val="auto"/>
        </w:rPr>
        <w:t>The market for proteomics technologies and products is evolving, making it difficult to predict with any accuracy the size of the markets for our current and future products, including our Nautilus platform. Our estimates of the total addressable market for our current and future products, including with respect to the proteomics market, the diagnostic market, and the mass spectrometry market,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 is an innovative new product, and while we draw comparisons between the evolution and growth of the genomics market, the proteomics market may develop more slowly or differently. In addition, our Nautilus platform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spacing w:after="0" w:line="168"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20"/>
          <w:szCs w:val="20"/>
          <w:color w:val="auto"/>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spacing w:after="0" w:line="138" w:lineRule="exact"/>
        <w:rPr>
          <w:sz w:val="20"/>
          <w:szCs w:val="20"/>
          <w:color w:val="auto"/>
        </w:rPr>
      </w:pPr>
    </w:p>
    <w:p>
      <w:pPr>
        <w:ind w:right="160" w:firstLine="360"/>
        <w:spacing w:after="0" w:line="284" w:lineRule="auto"/>
        <w:rPr>
          <w:sz w:val="20"/>
          <w:szCs w:val="20"/>
          <w:color w:val="auto"/>
        </w:rPr>
      </w:pPr>
      <w:r>
        <w:rPr>
          <w:rFonts w:ascii="Times New Roman" w:cs="Times New Roman" w:eastAsia="Times New Roman" w:hAnsi="Times New Roman"/>
          <w:sz w:val="20"/>
          <w:szCs w:val="20"/>
          <w:b w:val="1"/>
          <w:bCs w:val="1"/>
          <w:i w:val="1"/>
          <w:iCs w:val="1"/>
          <w:color w:val="auto"/>
        </w:rPr>
        <w:t>We are dependent on single source suppliers for some of the components and materials used in our Nautilus platform, and the loss of any of these suppliers could harm our business.</w:t>
      </w:r>
    </w:p>
    <w:p>
      <w:pPr>
        <w:spacing w:after="0" w:line="122"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20"/>
          <w:szCs w:val="20"/>
          <w:color w:val="auto"/>
        </w:rPr>
        <w:t>We rely on single source suppliers for certain components and materials used in our Nautilus platform, including our click-reagent modified oligos, glass or silicon that is nano-fabricated into our biochips and high-speed stage used in the instrument. The loss of any of these single source suppliers would require us to expend significant time and effort to locate and qualify an alternative source of supply for these components. Though we do not currently have contracts for third parties to provide manufacturing capabilities for each component of our Nautilus platform for which we expect to employ such third party manufacturers, if we are successful in reaching the point of manufacturing our products for commercialization, we may rely on a single company for such manufacturing. Any contractual disputes between us and such manufacturer or loss of manufacturing ability by such manufacturer could similarly require significant time, effort and expense to locate and qualify an alternative source of manufacturing, which could materially harm our business.</w:t>
      </w:r>
    </w:p>
    <w:p>
      <w:pPr>
        <w:spacing w:after="0" w:line="149" w:lineRule="exact"/>
        <w:rPr>
          <w:sz w:val="20"/>
          <w:szCs w:val="20"/>
          <w:color w:val="auto"/>
        </w:rPr>
      </w:pPr>
    </w:p>
    <w:p>
      <w:pPr>
        <w:ind w:right="60" w:firstLine="360"/>
        <w:spacing w:after="0" w:line="270" w:lineRule="auto"/>
        <w:rPr>
          <w:sz w:val="20"/>
          <w:szCs w:val="20"/>
          <w:color w:val="auto"/>
        </w:rPr>
      </w:pPr>
      <w:r>
        <w:rPr>
          <w:rFonts w:ascii="Times New Roman" w:cs="Times New Roman" w:eastAsia="Times New Roman" w:hAnsi="Times New Roman"/>
          <w:sz w:val="19"/>
          <w:szCs w:val="19"/>
          <w:color w:val="auto"/>
        </w:rPr>
        <w:t>We also rely, and expect to continue to rely, on third-party manufacturers and, in many cases, single third-party manufacturers for the production of certain reagents and antibodies needed to generate the deep proteomic information at the speed and scale which we expect our Nautilus platform to perform. With respect to any antibodies or reagents that are single sourced, the loss of any suppliers would require significant time and effort to locate and qualify an alternative source of supply. Such reagents and antibodies may also become scarce, more expensive to procure, or not meet quality standards, and we may not be able to obtain favorable terms in agreements with suppliers. Given their complexity, our suppliers may not be able to provide these reagents and antibodies in a cost-effective manner or in a time frame that is consistent with our expected future needs. If our suppliers cease or interrupt production or if suppliers fail to supply materials, products or services to us for any</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2240" w:h="15840" w:orient="portrait"/>
          <w:cols w:equalWidth="0" w:num="1">
            <w:col w:w="10240"/>
          </w:cols>
          <w:pgMar w:left="1000" w:top="793" w:right="1000" w:bottom="0" w:gutter="0" w:footer="0" w:header="0"/>
          <w:type w:val="continuous"/>
        </w:sectPr>
      </w:pPr>
    </w:p>
    <w:bookmarkStart w:id="47" w:name="page48"/>
    <w:bookmarkEnd w:id="47"/>
    <w:p>
      <w:pPr>
        <w:ind w:right="60"/>
        <w:spacing w:after="0" w:line="260" w:lineRule="auto"/>
        <w:rPr>
          <w:sz w:val="20"/>
          <w:szCs w:val="20"/>
          <w:color w:val="auto"/>
        </w:rPr>
      </w:pPr>
      <w:r>
        <w:rPr>
          <w:rFonts w:ascii="Times New Roman" w:cs="Times New Roman" w:eastAsia="Times New Roman" w:hAnsi="Times New Roman"/>
          <w:sz w:val="20"/>
          <w:szCs w:val="20"/>
          <w:color w:val="auto"/>
        </w:rPr>
        <w:t>reason, such interruption could delay development, or interrupt the commercial supply, with the potential for additional costs and lost revenue. If this were to occur, we might also need to seek alternative means to fulfill our manufacturing needs. Any such transition would require significant efforts in testing and validation and could result in delays or other issues, which could materially harm our business.</w:t>
      </w:r>
    </w:p>
    <w:p>
      <w:pPr>
        <w:spacing w:after="0" w:line="134" w:lineRule="exact"/>
        <w:rPr>
          <w:sz w:val="20"/>
          <w:szCs w:val="20"/>
          <w:color w:val="auto"/>
        </w:rPr>
      </w:pPr>
    </w:p>
    <w:p>
      <w:pPr>
        <w:ind w:right="200" w:firstLine="3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life sciences technology market is highly competitive. If we fail to compete effectively, our business and results of operation will suffer.</w:t>
      </w:r>
    </w:p>
    <w:p>
      <w:pPr>
        <w:spacing w:after="0" w:line="117" w:lineRule="exact"/>
        <w:rPr>
          <w:sz w:val="20"/>
          <w:szCs w:val="20"/>
          <w:color w:val="auto"/>
        </w:rPr>
      </w:pPr>
    </w:p>
    <w:p>
      <w:pPr>
        <w:ind w:right="300" w:firstLine="360"/>
        <w:spacing w:after="0" w:line="258" w:lineRule="auto"/>
        <w:rPr>
          <w:sz w:val="20"/>
          <w:szCs w:val="20"/>
          <w:color w:val="auto"/>
        </w:rPr>
      </w:pPr>
      <w:r>
        <w:rPr>
          <w:rFonts w:ascii="Times New Roman" w:cs="Times New Roman" w:eastAsia="Times New Roman" w:hAnsi="Times New Roman"/>
          <w:sz w:val="20"/>
          <w:szCs w:val="20"/>
          <w:color w:val="auto"/>
        </w:rPr>
        <w:t>We face significant competition in the life sciences technology market. We currently compete with technology and diagnostic companies that supply components, products, and services to customers engaged in proteomics analysis. These companies include Agilent Technologies; Becton, Dickinson and Company; Bruker Corporation; Danaher; Luminex; Olink Proteomics; Quanterix; Standard Biotools (formerly known as SomaLogic); Quantum-Si; and Thermo Fisher Scientific. We also compete with a number of emerging companies that are developing proteomic products and solutions.</w:t>
      </w:r>
    </w:p>
    <w:p>
      <w:pPr>
        <w:spacing w:after="0" w:line="144" w:lineRule="exact"/>
        <w:rPr>
          <w:sz w:val="20"/>
          <w:szCs w:val="20"/>
          <w:color w:val="auto"/>
        </w:rPr>
      </w:pPr>
    </w:p>
    <w:p>
      <w:pPr>
        <w:ind w:right="120" w:firstLine="360"/>
        <w:spacing w:after="0" w:line="281" w:lineRule="auto"/>
        <w:rPr>
          <w:sz w:val="20"/>
          <w:szCs w:val="20"/>
          <w:color w:val="auto"/>
        </w:rPr>
      </w:pPr>
      <w:r>
        <w:rPr>
          <w:rFonts w:ascii="Times New Roman" w:cs="Times New Roman" w:eastAsia="Times New Roman" w:hAnsi="Times New Roman"/>
          <w:sz w:val="20"/>
          <w:szCs w:val="20"/>
          <w:color w:val="auto"/>
        </w:rPr>
        <w:t>Some of our current competitors are large publicly-traded companies, or are divisions of large publicly-traded companies, and enjoy a number of competitive advantages over us, including:</w:t>
      </w:r>
    </w:p>
    <w:p>
      <w:pPr>
        <w:spacing w:after="0" w:line="121" w:lineRule="exact"/>
        <w:rPr>
          <w:sz w:val="20"/>
          <w:szCs w:val="20"/>
          <w:color w:val="auto"/>
        </w:rPr>
      </w:pPr>
    </w:p>
    <w:p>
      <w:pPr>
        <w:ind w:left="720" w:hanging="370"/>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greater name and brand recognition;</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greater financial and human resources;</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broader product lines;</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larger sales forces and more established distributor networks;</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substantial intellectual property portfolios;</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larger and more established customer bases and relationships; and</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better established, larger scale and lower cost manufacturing capabilities.</w:t>
      </w:r>
    </w:p>
    <w:p>
      <w:pPr>
        <w:spacing w:after="0" w:line="190"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We cannot assure investors that our products will compete favorably or that we will be successful in the face of increasing competition from products and technologies introduced by our existing or future competitors or by companies entering our markets or that are developed by our customers internally. In addition, we cannot assure investors that our competitors do not have or will not develop products or technologies that currently or in the future will enable them to produce competitive products with superior functionality or performance or at lower costs than ours or that are able to run comparable experiments at a lower total experiment cost. Any failure to compete effectively could materially and adversely affect our business, financial condition and operating results.</w:t>
      </w:r>
    </w:p>
    <w:p>
      <w:pPr>
        <w:spacing w:after="0" w:line="140" w:lineRule="exact"/>
        <w:rPr>
          <w:sz w:val="20"/>
          <w:szCs w:val="20"/>
          <w:color w:val="auto"/>
        </w:rPr>
      </w:pPr>
    </w:p>
    <w:p>
      <w:pPr>
        <w:ind w:right="480" w:firstLine="3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Even if our Nautilus platform is commercialized and achieves broad scientific and market acceptance, if we fail to improve it or introduce compelling new products, our revenue and our prospects could be harmed.</w:t>
      </w:r>
    </w:p>
    <w:p>
      <w:pPr>
        <w:spacing w:after="0" w:line="117" w:lineRule="exact"/>
        <w:rPr>
          <w:sz w:val="20"/>
          <w:szCs w:val="20"/>
          <w:color w:val="auto"/>
        </w:rPr>
      </w:pPr>
    </w:p>
    <w:p>
      <w:pPr>
        <w:ind w:right="40" w:firstLine="360"/>
        <w:spacing w:after="0" w:line="253" w:lineRule="auto"/>
        <w:rPr>
          <w:sz w:val="20"/>
          <w:szCs w:val="20"/>
          <w:color w:val="auto"/>
        </w:rPr>
      </w:pPr>
      <w:r>
        <w:rPr>
          <w:rFonts w:ascii="Times New Roman" w:cs="Times New Roman" w:eastAsia="Times New Roman" w:hAnsi="Times New Roman"/>
          <w:sz w:val="20"/>
          <w:szCs w:val="20"/>
          <w:color w:val="auto"/>
        </w:rPr>
        <w:t>The life sciences industry is characterized by rapid and significant technological changes, frequent new product introductions and enhancements and evolving industry standards. Even if we are able to commercialize our Nautilus platform and achieve broad scientific and market acceptance, our ability to attract new customers and increase revenue from existing customers will depend in large part on our ability to enhance and improve our Nautilus platform and to introduce compelling new products. The success of any enhancement to our Nautilus platform or introduction of new products depends on several factors, including timely completion and delivery, competitive pricing, adequate quality testing, integration with existing technologies, freedom from intellectual property encumbrance, appropriately timed and staged introduction and overall market acceptance. Any new product or enhancement to our Nautilus platform that we develop may not be introduced in a timely or cost-effective manner, may contain defects, errors, vulnerabilities or bugs, or may not achieve the market acceptance necessary to generate significant revenue.</w:t>
      </w:r>
    </w:p>
    <w:p>
      <w:pPr>
        <w:spacing w:after="0" w:line="156" w:lineRule="exact"/>
        <w:rPr>
          <w:sz w:val="20"/>
          <w:szCs w:val="20"/>
          <w:color w:val="auto"/>
        </w:rPr>
      </w:pPr>
    </w:p>
    <w:p>
      <w:pPr>
        <w:ind w:right="40" w:firstLine="360"/>
        <w:spacing w:after="0" w:line="254" w:lineRule="auto"/>
        <w:rPr>
          <w:sz w:val="20"/>
          <w:szCs w:val="20"/>
          <w:color w:val="auto"/>
        </w:rPr>
      </w:pPr>
      <w:r>
        <w:rPr>
          <w:rFonts w:ascii="Times New Roman" w:cs="Times New Roman" w:eastAsia="Times New Roman" w:hAnsi="Times New Roman"/>
          <w:sz w:val="20"/>
          <w:szCs w:val="20"/>
          <w:color w:val="auto"/>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enhance our proteomics product platform to meet customer requirements, compete with alternative products, or otherwise gain and maintain market acceptance, our business, results of operations and financial condition could be harmed.</w:t>
      </w:r>
    </w:p>
    <w:p>
      <w:pPr>
        <w:sectPr>
          <w:pgSz w:w="12240" w:h="15840" w:orient="portrait"/>
          <w:cols w:equalWidth="0" w:num="1">
            <w:col w:w="10200"/>
          </w:cols>
          <w:pgMar w:left="1000" w:top="793" w:right="1040" w:bottom="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ectPr>
          <w:pgSz w:w="12240" w:h="15840" w:orient="portrait"/>
          <w:cols w:equalWidth="0" w:num="1">
            <w:col w:w="10200"/>
          </w:cols>
          <w:pgMar w:left="1000" w:top="793" w:right="1040" w:bottom="0" w:gutter="0" w:footer="0" w:header="0"/>
          <w:type w:val="continuous"/>
        </w:sectPr>
      </w:pPr>
    </w:p>
    <w:bookmarkStart w:id="48" w:name="page49"/>
    <w:bookmarkEnd w:id="48"/>
    <w:p>
      <w:pPr>
        <w:jc w:val="both"/>
        <w:ind w:right="500" w:firstLine="36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rely on third parties for development of certain aspects of the Nautilus platform, and any failure of these third parties to perform their respective obligations in a timely manner or to our specifications could negatively impact our timelines, costs or product performance.</w:t>
      </w:r>
    </w:p>
    <w:p>
      <w:pPr>
        <w:spacing w:after="0" w:line="136"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We are engaged with a number of third party collaborators who assist us in co-development of certain aspects of the Nautilus platform, including, for example, certain affinity reagents and array chip substrates. Our agreements with these third party collaborators include obligations for these third parties to deliver certain aspects of technology to be used in the Nautilus platform in accordance with certain defined timelines, in accordance with defined specifications, and in accordance with certain cost limitations. We have also sought to include redundancy and contingency planning with respect to the efforts of our third party collaborators where practicable. Despite our contractual assurances and contingency planning, it is possible that one or more of our third party collaborators may fail to deliver their respective technologies to us on time or in accordance with our specifications, and such failure could negatively impact the timing of the commercialization of the Nautilus platform, its performance, or its cost.</w:t>
      </w:r>
    </w:p>
    <w:p>
      <w:pPr>
        <w:spacing w:after="0" w:line="140" w:lineRule="exact"/>
        <w:rPr>
          <w:sz w:val="20"/>
          <w:szCs w:val="20"/>
          <w:color w:val="auto"/>
        </w:rPr>
      </w:pPr>
    </w:p>
    <w:p>
      <w:pPr>
        <w:jc w:val="both"/>
        <w:ind w:right="100" w:firstLine="36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business will depend significantly on research and development spending by pharmaceutical companies as well as by academic and other research institutions. Any reduction in spending could limit demand for our products and adversely affect our business, results of operations, financial condition and prospects.</w:t>
      </w:r>
    </w:p>
    <w:p>
      <w:pPr>
        <w:spacing w:after="0" w:line="136"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We expect that our revenue in the foreseeable future will be derived primarily from sales of our Nautilus platform to biotechnology companies and life science laboratories worldwide, and to a lesser extent, academic institutions and non-profit organizations. Our success will depend upon demand for and use of our products. Accordingly, the spending policies of these customers could have a significant effect on the demand for our technology. These policies may be based on a wide variety of factors, including the resources available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expenditures by these customers may result in lower than expected system sales and, similarly, reductions in operating expenditures by these customers could result in lower than expected sales of our Nautilus platform. These reductions and delays may result from factors that are not within our control, such as:</w:t>
      </w:r>
    </w:p>
    <w:p>
      <w:pPr>
        <w:spacing w:after="0" w:line="148" w:lineRule="exact"/>
        <w:rPr>
          <w:sz w:val="20"/>
          <w:szCs w:val="20"/>
          <w:color w:val="auto"/>
        </w:rPr>
      </w:pPr>
    </w:p>
    <w:p>
      <w:pPr>
        <w:ind w:left="720" w:hanging="370"/>
        <w:spacing w:after="0"/>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decreases in government funding of research and development;</w:t>
      </w:r>
    </w:p>
    <w:p>
      <w:pPr>
        <w:spacing w:after="0" w:line="190" w:lineRule="exact"/>
        <w:rPr>
          <w:rFonts w:ascii="Times New Roman" w:cs="Times New Roman" w:eastAsia="Times New Roman" w:hAnsi="Times New Roman"/>
          <w:sz w:val="20"/>
          <w:szCs w:val="20"/>
          <w:color w:val="auto"/>
        </w:rPr>
      </w:pPr>
    </w:p>
    <w:p>
      <w:pPr>
        <w:ind w:right="380" w:firstLine="350"/>
        <w:spacing w:after="0" w:line="281"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economic conditions, including recessionary effects, inflationary pressures and instability in the global financial markets, including with respect to any future financial institution failures;</w:t>
      </w:r>
    </w:p>
    <w:p>
      <w:pPr>
        <w:spacing w:after="0" w:line="121" w:lineRule="exact"/>
        <w:rPr>
          <w:rFonts w:ascii="Times New Roman" w:cs="Times New Roman" w:eastAsia="Times New Roman" w:hAnsi="Times New Roman"/>
          <w:sz w:val="20"/>
          <w:szCs w:val="20"/>
          <w:color w:val="auto"/>
        </w:rPr>
      </w:pPr>
    </w:p>
    <w:p>
      <w:pPr>
        <w:ind w:firstLine="350"/>
        <w:spacing w:after="0" w:line="266"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government programs that provide funding to research institutions and companies, including changes in the amount of funds allocated to different areas of research or changes that have the effect of increasing the length of time of the funding process;</w:t>
      </w:r>
    </w:p>
    <w:p>
      <w:pPr>
        <w:spacing w:after="0" w:line="135" w:lineRule="exact"/>
        <w:rPr>
          <w:rFonts w:ascii="Times New Roman" w:cs="Times New Roman" w:eastAsia="Times New Roman" w:hAnsi="Times New Roman"/>
          <w:sz w:val="20"/>
          <w:szCs w:val="20"/>
          <w:color w:val="auto"/>
        </w:rPr>
      </w:pPr>
    </w:p>
    <w:p>
      <w:pPr>
        <w:ind w:right="840" w:firstLine="350"/>
        <w:spacing w:after="0" w:line="281"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regulatory environment affecting life science and Ag-Bio companies engaged in research and commercial activities;</w:t>
      </w:r>
    </w:p>
    <w:p>
      <w:pPr>
        <w:spacing w:after="0" w:line="12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differences in budget cycles across various geographies and industries;</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market-driven pressures on companies to consolidate operations and reduce costs;</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mergers and acquisitions in the life science and Ag-Bio industries; and</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factors affecting research and development spending.</w:t>
      </w:r>
    </w:p>
    <w:p>
      <w:pPr>
        <w:spacing w:after="0" w:line="190" w:lineRule="exact"/>
        <w:rPr>
          <w:sz w:val="20"/>
          <w:szCs w:val="20"/>
          <w:color w:val="auto"/>
        </w:rPr>
      </w:pPr>
    </w:p>
    <w:p>
      <w:pPr>
        <w:jc w:val="both"/>
        <w:ind w:right="840" w:firstLine="360"/>
        <w:spacing w:after="0" w:line="266" w:lineRule="auto"/>
        <w:rPr>
          <w:sz w:val="20"/>
          <w:szCs w:val="20"/>
          <w:color w:val="auto"/>
        </w:rPr>
      </w:pPr>
      <w:r>
        <w:rPr>
          <w:rFonts w:ascii="Times New Roman" w:cs="Times New Roman" w:eastAsia="Times New Roman" w:hAnsi="Times New Roman"/>
          <w:sz w:val="20"/>
          <w:szCs w:val="20"/>
          <w:color w:val="auto"/>
        </w:rPr>
        <w:t>Any decrease in our customers’ budgets or expenditures or in the size, scope or frequency of capital or operating expenditures as a result of the foregoing or other factors could materially and adversely affect our business, results of operations, financial condition, and prospects.</w:t>
      </w:r>
    </w:p>
    <w:p>
      <w:pPr>
        <w:spacing w:after="0" w:line="126" w:lineRule="exact"/>
        <w:rPr>
          <w:sz w:val="20"/>
          <w:szCs w:val="20"/>
          <w:color w:val="auto"/>
        </w:rPr>
      </w:pPr>
    </w:p>
    <w:p>
      <w:pPr>
        <w:ind w:right="340" w:firstLine="3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17" w:lineRule="exact"/>
        <w:rPr>
          <w:sz w:val="20"/>
          <w:szCs w:val="20"/>
          <w:color w:val="auto"/>
        </w:rPr>
      </w:pPr>
    </w:p>
    <w:p>
      <w:pPr>
        <w:ind w:right="120" w:firstLine="360"/>
        <w:spacing w:after="0" w:line="286" w:lineRule="auto"/>
        <w:rPr>
          <w:sz w:val="20"/>
          <w:szCs w:val="20"/>
          <w:color w:val="auto"/>
        </w:rPr>
      </w:pPr>
      <w:r>
        <w:rPr>
          <w:rFonts w:ascii="Times New Roman" w:cs="Times New Roman" w:eastAsia="Times New Roman" w:hAnsi="Times New Roman"/>
          <w:sz w:val="19"/>
          <w:szCs w:val="19"/>
          <w:color w:val="auto"/>
        </w:rPr>
        <w:t>Our quarterly and annual operating results may fluctuate significantly, which makes it difficult for us to predict our future operating results. In the near term, as we devote substantially all of our resources towards the development and anticipated future commercialization of our Nautilus platform, specific factors that may result in fluctuations include, without limitation:</w:t>
      </w:r>
    </w:p>
    <w:p>
      <w:pPr>
        <w:sectPr>
          <w:pgSz w:w="12240" w:h="15840" w:orient="portrait"/>
          <w:cols w:equalWidth="0" w:num="1">
            <w:col w:w="10200"/>
          </w:cols>
          <w:pgMar w:left="1000" w:top="784" w:right="1040" w:bottom="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ectPr>
          <w:pgSz w:w="12240" w:h="15840" w:orient="portrait"/>
          <w:cols w:equalWidth="0" w:num="1">
            <w:col w:w="10200"/>
          </w:cols>
          <w:pgMar w:left="1000" w:top="784" w:right="1040" w:bottom="0" w:gutter="0" w:footer="0" w:header="0"/>
          <w:type w:val="continuous"/>
        </w:sectPr>
      </w:pPr>
    </w:p>
    <w:bookmarkStart w:id="49" w:name="page50"/>
    <w:bookmarkEnd w:id="49"/>
    <w:p>
      <w:pPr>
        <w:ind w:right="120" w:firstLine="350"/>
        <w:spacing w:after="0" w:line="281"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and cost of, and level of investment in, research and development and commercialization activities relating to our Nautilus platform;</w:t>
      </w:r>
    </w:p>
    <w:p>
      <w:pPr>
        <w:spacing w:after="0" w:line="121" w:lineRule="exact"/>
        <w:rPr>
          <w:rFonts w:ascii="Times New Roman" w:cs="Times New Roman" w:eastAsia="Times New Roman" w:hAnsi="Times New Roman"/>
          <w:sz w:val="20"/>
          <w:szCs w:val="20"/>
          <w:color w:val="auto"/>
        </w:rPr>
      </w:pPr>
    </w:p>
    <w:p>
      <w:pPr>
        <w:ind w:right="460" w:firstLine="350"/>
        <w:spacing w:after="0" w:line="281"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establish and successfully maintain appropriate collaborations and derive revenue from those collaborations;</w:t>
      </w:r>
    </w:p>
    <w:p>
      <w:pPr>
        <w:spacing w:after="0" w:line="12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that economic inflation may have on our costs for manufacturing our products;</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litigation or governmental investigations involving us, our industry or both; and</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develop and commercialize our Nautilus platform on our anticipated timeline.</w:t>
      </w:r>
    </w:p>
    <w:p>
      <w:pPr>
        <w:spacing w:after="0" w:line="190" w:lineRule="exact"/>
        <w:rPr>
          <w:sz w:val="20"/>
          <w:szCs w:val="20"/>
          <w:color w:val="auto"/>
        </w:rPr>
      </w:pPr>
    </w:p>
    <w:p>
      <w:pPr>
        <w:ind w:right="340" w:firstLine="360"/>
        <w:spacing w:after="0" w:line="266" w:lineRule="auto"/>
        <w:rPr>
          <w:sz w:val="20"/>
          <w:szCs w:val="20"/>
          <w:color w:val="auto"/>
        </w:rPr>
      </w:pPr>
      <w:r>
        <w:rPr>
          <w:rFonts w:ascii="Times New Roman" w:cs="Times New Roman" w:eastAsia="Times New Roman" w:hAnsi="Times New Roman"/>
          <w:sz w:val="20"/>
          <w:szCs w:val="20"/>
          <w:color w:val="auto"/>
        </w:rPr>
        <w:t>As we transition from a company with a focus on research and development to a company capable of supporting manufacturing, these fluctuations may also occur due to a variety of other factors, many of which are outside of our control, including, but not limited to:</w:t>
      </w:r>
    </w:p>
    <w:p>
      <w:pPr>
        <w:spacing w:after="0" w:line="135" w:lineRule="exact"/>
        <w:rPr>
          <w:sz w:val="20"/>
          <w:szCs w:val="20"/>
          <w:color w:val="auto"/>
        </w:rPr>
      </w:pPr>
    </w:p>
    <w:p>
      <w:pPr>
        <w:ind w:firstLine="350"/>
        <w:spacing w:after="0" w:line="281" w:lineRule="auto"/>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level of demand for any products we are able to commercialize, particularly our Nautilus platform, which may vary significantly from period to period;</w:t>
      </w:r>
    </w:p>
    <w:p>
      <w:pPr>
        <w:spacing w:after="0" w:line="121" w:lineRule="exact"/>
        <w:rPr>
          <w:rFonts w:ascii="Times New Roman" w:cs="Times New Roman" w:eastAsia="Times New Roman" w:hAnsi="Times New Roman"/>
          <w:sz w:val="20"/>
          <w:szCs w:val="20"/>
          <w:color w:val="auto"/>
        </w:rPr>
      </w:pPr>
    </w:p>
    <w:p>
      <w:pPr>
        <w:ind w:right="300" w:firstLine="350"/>
        <w:spacing w:after="0" w:line="281" w:lineRule="auto"/>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drive adoption of our Nautilus platform in our target markets and our ability to expand into any future target markets;</w:t>
      </w:r>
    </w:p>
    <w:p>
      <w:pPr>
        <w:spacing w:after="0" w:line="12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that economic inflation may have on our costs for manufacturing our products;</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prices at which we will be able to sell our Nautilus platform;</w:t>
      </w:r>
    </w:p>
    <w:p>
      <w:pPr>
        <w:spacing w:after="0" w:line="190" w:lineRule="exact"/>
        <w:rPr>
          <w:rFonts w:ascii="Times New Roman" w:cs="Times New Roman" w:eastAsia="Times New Roman" w:hAnsi="Times New Roman"/>
          <w:sz w:val="20"/>
          <w:szCs w:val="20"/>
          <w:color w:val="auto"/>
        </w:rPr>
      </w:pPr>
    </w:p>
    <w:p>
      <w:pPr>
        <w:ind w:right="160" w:firstLine="350"/>
        <w:spacing w:after="0" w:line="281" w:lineRule="auto"/>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volume and mix of our sales between consumables, instruments and software, or changes in the manufacturing or sales costs related to our products;</w:t>
      </w:r>
    </w:p>
    <w:p>
      <w:pPr>
        <w:spacing w:after="0" w:line="121" w:lineRule="exact"/>
        <w:rPr>
          <w:rFonts w:ascii="Times New Roman" w:cs="Times New Roman" w:eastAsia="Times New Roman" w:hAnsi="Times New Roman"/>
          <w:sz w:val="20"/>
          <w:szCs w:val="20"/>
          <w:color w:val="auto"/>
        </w:rPr>
      </w:pPr>
    </w:p>
    <w:p>
      <w:pPr>
        <w:ind w:firstLine="350"/>
        <w:spacing w:after="0" w:line="281" w:lineRule="auto"/>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and amount of expenditures that we may incur to develop, commercialize or acquire additional products and technologies or for other purposes, such as the expansion of our facilities;</w:t>
      </w:r>
    </w:p>
    <w:p>
      <w:pPr>
        <w:spacing w:after="0" w:line="12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governmental funding of life sciences research and development or changes that impact budgets and budget</w:t>
      </w:r>
    </w:p>
    <w:p>
      <w:pPr>
        <w:spacing w:after="0" w:line="41"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cycles;</w:t>
      </w:r>
    </w:p>
    <w:p>
      <w:pPr>
        <w:spacing w:after="0" w:line="169" w:lineRule="exact"/>
        <w:rPr>
          <w:rFonts w:ascii="Times New Roman" w:cs="Times New Roman" w:eastAsia="Times New Roman" w:hAnsi="Times New Roman"/>
          <w:sz w:val="19"/>
          <w:szCs w:val="19"/>
          <w:color w:val="auto"/>
        </w:rPr>
      </w:pPr>
    </w:p>
    <w:p>
      <w:pPr>
        <w:ind w:left="720" w:hanging="370"/>
        <w:spacing w:after="0"/>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seasonal spending patterns of our customers;</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of when we recognize any revenue;</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future accounting pronouncements or changes in our accounting policies;</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higher than anticipated service, replacement and warranty costs;</w:t>
      </w:r>
    </w:p>
    <w:p>
      <w:pPr>
        <w:spacing w:after="0" w:line="190" w:lineRule="exact"/>
        <w:rPr>
          <w:rFonts w:ascii="Times New Roman" w:cs="Times New Roman" w:eastAsia="Times New Roman" w:hAnsi="Times New Roman"/>
          <w:sz w:val="20"/>
          <w:szCs w:val="20"/>
          <w:color w:val="auto"/>
        </w:rPr>
      </w:pPr>
    </w:p>
    <w:p>
      <w:pPr>
        <w:ind w:right="180" w:firstLine="350"/>
        <w:spacing w:after="0" w:line="286" w:lineRule="auto"/>
        <w:tabs>
          <w:tab w:leader="none" w:pos="72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impact of the COVID-19 pandemic, the conflicts in Eastern Europe and the Middle East, recent and any potential future financial institution failures, and other national and global events on the economy, investment in life sciences and research industries, our business operations, and resources and operations of our customers, suppliers, and distributors; and</w:t>
      </w:r>
    </w:p>
    <w:p>
      <w:pPr>
        <w:spacing w:after="0" w:line="118" w:lineRule="exact"/>
        <w:rPr>
          <w:rFonts w:ascii="Times New Roman" w:cs="Times New Roman" w:eastAsia="Times New Roman" w:hAnsi="Times New Roman"/>
          <w:sz w:val="19"/>
          <w:szCs w:val="19"/>
          <w:color w:val="auto"/>
        </w:rPr>
      </w:pPr>
    </w:p>
    <w:p>
      <w:pPr>
        <w:ind w:right="580" w:firstLine="350"/>
        <w:spacing w:after="0" w:line="281" w:lineRule="auto"/>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industry, economic and market conditions and other factors, including factors unrelated to our operating performance or the operating performance of our competitors.</w:t>
      </w:r>
    </w:p>
    <w:p>
      <w:pPr>
        <w:spacing w:after="0" w:line="121" w:lineRule="exact"/>
        <w:rPr>
          <w:sz w:val="20"/>
          <w:szCs w:val="20"/>
          <w:color w:val="auto"/>
        </w:rPr>
      </w:pPr>
    </w:p>
    <w:p>
      <w:pPr>
        <w:ind w:right="40" w:firstLine="360"/>
        <w:spacing w:after="0" w:line="266" w:lineRule="auto"/>
        <w:rPr>
          <w:sz w:val="20"/>
          <w:szCs w:val="20"/>
          <w:color w:val="auto"/>
        </w:rPr>
      </w:pPr>
      <w:r>
        <w:rPr>
          <w:rFonts w:ascii="Times New Roman" w:cs="Times New Roman" w:eastAsia="Times New Roman" w:hAnsi="Times New Roman"/>
          <w:sz w:val="20"/>
          <w:szCs w:val="20"/>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35" w:lineRule="exact"/>
        <w:rPr>
          <w:sz w:val="20"/>
          <w:szCs w:val="20"/>
          <w:color w:val="auto"/>
        </w:rPr>
      </w:pPr>
    </w:p>
    <w:p>
      <w:pPr>
        <w:ind w:right="80" w:firstLine="360"/>
        <w:spacing w:after="0" w:line="260" w:lineRule="auto"/>
        <w:rPr>
          <w:sz w:val="20"/>
          <w:szCs w:val="20"/>
          <w:color w:val="auto"/>
        </w:rPr>
      </w:pPr>
      <w:r>
        <w:rPr>
          <w:rFonts w:ascii="Times New Roman" w:cs="Times New Roman" w:eastAsia="Times New Roman" w:hAnsi="Times New Roman"/>
          <w:sz w:val="20"/>
          <w:szCs w:val="20"/>
          <w:color w:val="auto"/>
        </w:rPr>
        <w:t>This variability and unpredictability could also result in us failing to meet the expectations of industry or financial analysts or investors for any period. If we are unable to commercialize products or generate revenue, or if our operating results fall below the expectations of analysts or investors or below any guidance we may provide, or if the guidance we provide is below the expectations of analysts or investors, it could cause the market price of our Common Stock to decline.</w:t>
      </w:r>
    </w:p>
    <w:p>
      <w:pPr>
        <w:spacing w:after="0" w:line="134" w:lineRule="exact"/>
        <w:rPr>
          <w:sz w:val="20"/>
          <w:szCs w:val="20"/>
          <w:color w:val="auto"/>
        </w:rPr>
      </w:pPr>
    </w:p>
    <w:p>
      <w:pPr>
        <w:ind w:right="140" w:firstLine="3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have a limited operating history, which may make it difficult to evaluate our current business and the prospects for our future viability, and to predict our future performance.</w:t>
      </w:r>
    </w:p>
    <w:p>
      <w:pPr>
        <w:spacing w:after="0" w:line="117" w:lineRule="exact"/>
        <w:rPr>
          <w:sz w:val="20"/>
          <w:szCs w:val="20"/>
          <w:color w:val="auto"/>
        </w:rPr>
      </w:pPr>
    </w:p>
    <w:p>
      <w:pPr>
        <w:ind w:right="20" w:firstLine="360"/>
        <w:spacing w:after="0" w:line="309" w:lineRule="auto"/>
        <w:rPr>
          <w:sz w:val="20"/>
          <w:szCs w:val="20"/>
          <w:color w:val="auto"/>
        </w:rPr>
      </w:pPr>
      <w:r>
        <w:rPr>
          <w:rFonts w:ascii="Times New Roman" w:cs="Times New Roman" w:eastAsia="Times New Roman" w:hAnsi="Times New Roman"/>
          <w:sz w:val="19"/>
          <w:szCs w:val="19"/>
          <w:color w:val="auto"/>
        </w:rPr>
        <w:t>We are a life sciences technology company with a limited operating history. We have not completed development of our Nautilus platform or any other products and have not generated any revenue to date. Our operations to date have been limited to</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2240" w:h="15840" w:orient="portrait"/>
          <w:cols w:equalWidth="0" w:num="1">
            <w:col w:w="10240"/>
          </w:cols>
          <w:pgMar w:left="1000" w:top="793" w:right="1000" w:bottom="0" w:gutter="0" w:footer="0" w:header="0"/>
          <w:type w:val="continuous"/>
        </w:sectPr>
      </w:pPr>
    </w:p>
    <w:bookmarkStart w:id="50" w:name="page51"/>
    <w:bookmarkEnd w:id="50"/>
    <w:p>
      <w:pPr>
        <w:ind w:right="60"/>
        <w:spacing w:after="0" w:line="260" w:lineRule="auto"/>
        <w:rPr>
          <w:sz w:val="20"/>
          <w:szCs w:val="20"/>
          <w:color w:val="auto"/>
        </w:rPr>
      </w:pPr>
      <w:r>
        <w:rPr>
          <w:rFonts w:ascii="Times New Roman" w:cs="Times New Roman" w:eastAsia="Times New Roman" w:hAnsi="Times New Roman"/>
          <w:sz w:val="20"/>
          <w:szCs w:val="20"/>
          <w:color w:val="auto"/>
        </w:rPr>
        <w:t>developing our Nautilus platform. Our prospects must be considered in light of the uncertainties, risks, expenses, and difficulties frequently encountered by companies in their early stages of operations. Consequently, predictions about our future success or viability are highly uncertain and may not be as accurate as they could be if we had a longer operating history or a company history of successfully developing and commercializing products.</w:t>
      </w:r>
    </w:p>
    <w:p>
      <w:pPr>
        <w:spacing w:after="0" w:line="143" w:lineRule="exact"/>
        <w:rPr>
          <w:sz w:val="20"/>
          <w:szCs w:val="20"/>
          <w:color w:val="auto"/>
        </w:rPr>
      </w:pPr>
    </w:p>
    <w:p>
      <w:pPr>
        <w:ind w:right="140" w:firstLine="360"/>
        <w:spacing w:after="0" w:line="254" w:lineRule="auto"/>
        <w:rPr>
          <w:sz w:val="20"/>
          <w:szCs w:val="20"/>
          <w:color w:val="auto"/>
        </w:rPr>
      </w:pPr>
      <w:r>
        <w:rPr>
          <w:rFonts w:ascii="Times New Roman" w:cs="Times New Roman" w:eastAsia="Times New Roman" w:hAnsi="Times New Roman"/>
          <w:sz w:val="20"/>
          <w:szCs w:val="20"/>
          <w:color w:val="auto"/>
        </w:rPr>
        <w:t>In addition, as a business with a limited operating history, we may encounter unforeseen expenses, difficulties, complications, delays and other known and unknown obstacles. We will eventually need to transition from a company with a focus on research and development to a company capable of supporting manufacturing and commercial activities as well, and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1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We may need to raise additional capital to fund our development and commercialization plans.</w:t>
      </w:r>
    </w:p>
    <w:p>
      <w:pPr>
        <w:spacing w:after="0" w:line="199" w:lineRule="exact"/>
        <w:rPr>
          <w:sz w:val="20"/>
          <w:szCs w:val="20"/>
          <w:color w:val="auto"/>
        </w:rPr>
      </w:pPr>
    </w:p>
    <w:p>
      <w:pPr>
        <w:ind w:right="320" w:firstLine="360"/>
        <w:spacing w:after="0" w:line="256" w:lineRule="auto"/>
        <w:rPr>
          <w:sz w:val="20"/>
          <w:szCs w:val="20"/>
          <w:color w:val="auto"/>
        </w:rPr>
      </w:pPr>
      <w:r>
        <w:rPr>
          <w:rFonts w:ascii="Times New Roman" w:cs="Times New Roman" w:eastAsia="Times New Roman" w:hAnsi="Times New Roman"/>
          <w:sz w:val="20"/>
          <w:szCs w:val="20"/>
          <w:color w:val="auto"/>
        </w:rPr>
        <w:t>Based on our current plans, we believe that our available resources and existing cash, cash equivalents and short-term investments, will be sufficient to meet our anticipated cash requirements for at least 12 months from the date of this Annual Report on Form 10-K. If our available resources and existing cash and cash equivalents and short-term investments are insufficient to satisfy our liquidity requirements, including because of the realization of other risks described in this Annual Report on Form 10-K, we may be required to raise additional capital prior to such time through issuances of equity or convertible debt securities, enter into a credit facility or another form of third-party funding or seek other debt financing.</w:t>
      </w:r>
    </w:p>
    <w:p>
      <w:pPr>
        <w:spacing w:after="0" w:line="148" w:lineRule="exact"/>
        <w:rPr>
          <w:sz w:val="20"/>
          <w:szCs w:val="20"/>
          <w:color w:val="auto"/>
        </w:rPr>
      </w:pPr>
    </w:p>
    <w:p>
      <w:pPr>
        <w:ind w:firstLine="360"/>
        <w:spacing w:after="0" w:line="281" w:lineRule="auto"/>
        <w:rPr>
          <w:sz w:val="20"/>
          <w:szCs w:val="20"/>
          <w:color w:val="auto"/>
        </w:rPr>
      </w:pPr>
      <w:r>
        <w:rPr>
          <w:rFonts w:ascii="Times New Roman" w:cs="Times New Roman" w:eastAsia="Times New Roman" w:hAnsi="Times New Roman"/>
          <w:sz w:val="20"/>
          <w:szCs w:val="20"/>
          <w:color w:val="auto"/>
        </w:rPr>
        <w:t>We expect that we will need to raise additional capital in the future to expand our business, to pursue strategic investments, to take advantage of financing or acquisition opportunities or for other reasons, including:</w:t>
      </w:r>
    </w:p>
    <w:p>
      <w:pPr>
        <w:spacing w:after="0" w:line="121" w:lineRule="exact"/>
        <w:rPr>
          <w:sz w:val="20"/>
          <w:szCs w:val="20"/>
          <w:color w:val="auto"/>
        </w:rPr>
      </w:pPr>
    </w:p>
    <w:p>
      <w:pPr>
        <w:ind w:left="720" w:hanging="370"/>
        <w:spacing w:after="0"/>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funding development and marketing efforts of our Nautilus platform or any other future products;</w:t>
      </w:r>
    </w:p>
    <w:p>
      <w:pPr>
        <w:spacing w:after="0" w:line="190" w:lineRule="exact"/>
        <w:rPr>
          <w:rFonts w:ascii="Times New Roman" w:cs="Times New Roman" w:eastAsia="Times New Roman" w:hAnsi="Times New Roman"/>
          <w:sz w:val="20"/>
          <w:szCs w:val="20"/>
          <w:color w:val="auto"/>
        </w:rPr>
      </w:pPr>
    </w:p>
    <w:p>
      <w:pPr>
        <w:ind w:right="520" w:firstLine="350"/>
        <w:spacing w:after="0" w:line="281"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increasing our sales and marketing and other commercialization efforts to drive market adoption of our Nautilus platform, once commercialized;</w:t>
      </w:r>
    </w:p>
    <w:p>
      <w:pPr>
        <w:spacing w:after="0" w:line="12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expanding our technologies into additional markets;</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preparing, filing, prosecuting, defending and enforcing any patent claims and other intellectual property rights;</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acquiring, licensing or defending against third party intellectual property rights;</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acquiring or investing in complementary technologies, businesses or assets; and</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financing capital expenditures and general and administrative expenses.</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Our present and future funding requirements will depend on many factors, including:</w:t>
      </w:r>
    </w:p>
    <w:p>
      <w:pPr>
        <w:spacing w:after="0" w:line="190" w:lineRule="exact"/>
        <w:rPr>
          <w:sz w:val="20"/>
          <w:szCs w:val="20"/>
          <w:color w:val="auto"/>
        </w:rPr>
      </w:pPr>
    </w:p>
    <w:p>
      <w:pPr>
        <w:ind w:left="720" w:hanging="370"/>
        <w:spacing w:after="0"/>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execution of our development plans;</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scope and timing of our investment in our sales, marketing, and distribution capabilities;</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we may make to our business that affect ongoing operating expenses;</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filing, prosecuting, defending and enforcing any patent claims and other intellectual property rights;</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we may make in our business or commercialization strategy;</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we may make in our research and development spending plans;</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competing technological and market developments;</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need to implement additional infrastructure and internal systems;</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the COVID-19 pandemic, the conflicts in Eastern Europe and the Middle East; and</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items affecting our forecasted level of expenditures and use of cash resources including potential acquisitions.</w:t>
      </w:r>
    </w:p>
    <w:p>
      <w:pPr>
        <w:sectPr>
          <w:pgSz w:w="12240" w:h="15840" w:orient="portrait"/>
          <w:cols w:equalWidth="0" w:num="1">
            <w:col w:w="10200"/>
          </w:cols>
          <w:pgMar w:left="1000" w:top="793"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ectPr>
          <w:pgSz w:w="12240" w:h="15840" w:orient="portrait"/>
          <w:cols w:equalWidth="0" w:num="1">
            <w:col w:w="10200"/>
          </w:cols>
          <w:pgMar w:left="1000" w:top="793" w:right="1040" w:bottom="0" w:gutter="0" w:footer="0" w:header="0"/>
          <w:type w:val="continuous"/>
        </w:sectPr>
      </w:pPr>
    </w:p>
    <w:bookmarkStart w:id="51" w:name="page52"/>
    <w:bookmarkEnd w:id="51"/>
    <w:p>
      <w:pPr>
        <w:ind w:right="40" w:firstLine="360"/>
        <w:spacing w:after="0" w:line="256" w:lineRule="auto"/>
        <w:rPr>
          <w:sz w:val="20"/>
          <w:szCs w:val="20"/>
          <w:color w:val="auto"/>
        </w:rPr>
      </w:pPr>
      <w:r>
        <w:rPr>
          <w:rFonts w:ascii="Times New Roman" w:cs="Times New Roman" w:eastAsia="Times New Roman" w:hAnsi="Times New Roman"/>
          <w:sz w:val="20"/>
          <w:szCs w:val="20"/>
          <w:color w:val="auto"/>
        </w:rPr>
        <w:t>The various ways we could raise additional capital carry potential risks. If we raise funds by issuing equity securities, dilution to our stockholders could result. If we raise funds by issuing debt securities, those debt securities could have rights, preferences and privileges senior to those of holders of our Common Stock. The terms of debt securities issued or borrowings pursuant to a credit agreement could impose significant restrictions on our operations. If we raise funds through collaborations or licensing arrangements, we might be required to relinquish significant rights to our technologies or products or grant licenses on terms that are not favorable to us.</w:t>
      </w:r>
    </w:p>
    <w:p>
      <w:pPr>
        <w:spacing w:after="0" w:line="148" w:lineRule="exact"/>
        <w:rPr>
          <w:sz w:val="20"/>
          <w:szCs w:val="20"/>
          <w:color w:val="auto"/>
        </w:rPr>
      </w:pPr>
    </w:p>
    <w:p>
      <w:pPr>
        <w:ind w:right="80" w:firstLine="360"/>
        <w:spacing w:after="0" w:line="255" w:lineRule="auto"/>
        <w:rPr>
          <w:sz w:val="20"/>
          <w:szCs w:val="20"/>
          <w:color w:val="auto"/>
        </w:rPr>
      </w:pPr>
      <w:r>
        <w:rPr>
          <w:rFonts w:ascii="Times New Roman" w:cs="Times New Roman" w:eastAsia="Times New Roman" w:hAnsi="Times New Roman"/>
          <w:sz w:val="20"/>
          <w:szCs w:val="20"/>
          <w:color w:val="auto"/>
        </w:rPr>
        <w:t>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ongoing COVID</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19 pandemic, the conflicts in Eastern Europe and the Middle East, and otherwise. 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149" w:lineRule="exact"/>
        <w:rPr>
          <w:sz w:val="20"/>
          <w:szCs w:val="20"/>
          <w:color w:val="auto"/>
        </w:rPr>
      </w:pPr>
    </w:p>
    <w:p>
      <w:pPr>
        <w:ind w:right="80" w:firstLine="360"/>
        <w:spacing w:after="0" w:line="258" w:lineRule="auto"/>
        <w:rPr>
          <w:sz w:val="20"/>
          <w:szCs w:val="20"/>
          <w:color w:val="auto"/>
        </w:rPr>
      </w:pPr>
      <w:r>
        <w:rPr>
          <w:rFonts w:ascii="Times New Roman" w:cs="Times New Roman" w:eastAsia="Times New Roman" w:hAnsi="Times New Roman"/>
          <w:sz w:val="20"/>
          <w:szCs w:val="20"/>
          <w:color w:val="auto"/>
        </w:rPr>
        <w:t>In addition, actual events involving limited liquidity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the collapse of Silicon Valley Bank and other financial institutions in March 2023 has caused and could continue to cause instability in the global financial markets.</w:t>
      </w:r>
    </w:p>
    <w:p>
      <w:pPr>
        <w:spacing w:after="0" w:line="144"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 Credit and banking costs, generally, may also be adversely impacted by these factors, resulting in higher costs for the Company. For example, as part of our efforts to diversify our banking and credit arrangements following the collapse of Silicon Valley Bank, we have incurred higher banking related costs.</w:t>
      </w:r>
    </w:p>
    <w:p>
      <w:pPr>
        <w:spacing w:after="0" w:line="153" w:lineRule="exact"/>
        <w:rPr>
          <w:sz w:val="20"/>
          <w:szCs w:val="20"/>
          <w:color w:val="auto"/>
        </w:rPr>
      </w:pPr>
    </w:p>
    <w:p>
      <w:pPr>
        <w:ind w:right="200" w:firstLine="360"/>
        <w:spacing w:after="0" w:line="260" w:lineRule="auto"/>
        <w:rPr>
          <w:sz w:val="20"/>
          <w:szCs w:val="20"/>
          <w:color w:val="auto"/>
        </w:rPr>
      </w:pPr>
      <w:r>
        <w:rPr>
          <w:rFonts w:ascii="Times New Roman" w:cs="Times New Roman" w:eastAsia="Times New Roman" w:hAnsi="Times New Roman"/>
          <w:sz w:val="20"/>
          <w:szCs w:val="20"/>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w:t>
      </w:r>
    </w:p>
    <w:p>
      <w:pPr>
        <w:spacing w:after="0" w:line="188" w:lineRule="exact"/>
        <w:rPr>
          <w:sz w:val="20"/>
          <w:szCs w:val="20"/>
          <w:color w:val="auto"/>
        </w:rPr>
      </w:pPr>
    </w:p>
    <w:p>
      <w:pPr>
        <w:ind w:right="40" w:firstLine="36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 and our ability to successfully commercialize our products may be impaired.</w:t>
      </w:r>
    </w:p>
    <w:p>
      <w:pPr>
        <w:spacing w:after="0" w:line="141" w:lineRule="exact"/>
        <w:rPr>
          <w:sz w:val="20"/>
          <w:szCs w:val="20"/>
          <w:color w:val="auto"/>
        </w:rPr>
      </w:pPr>
    </w:p>
    <w:p>
      <w:pPr>
        <w:ind w:right="40" w:firstLine="360"/>
        <w:spacing w:after="0" w:line="255" w:lineRule="auto"/>
        <w:rPr>
          <w:sz w:val="20"/>
          <w:szCs w:val="20"/>
          <w:color w:val="auto"/>
        </w:rPr>
      </w:pPr>
      <w:r>
        <w:rPr>
          <w:rFonts w:ascii="Times New Roman" w:cs="Times New Roman" w:eastAsia="Times New Roman" w:hAnsi="Times New Roman"/>
          <w:sz w:val="20"/>
          <w:szCs w:val="20"/>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If we fail to obtain, maintain and protect our intellectual property, third parties may be able to compete more effectively against us. In addition, we may incur substantial costs related to litigation or other patent proceedings in our attempts to recover or restrict use of our intellectual property.</w:t>
      </w:r>
    </w:p>
    <w:p>
      <w:pPr>
        <w:spacing w:after="0" w:line="150"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20"/>
          <w:szCs w:val="20"/>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results of operations and prospects. Both the patent application process and the process of managing patent and other intellectual property disputes are generally unpredictable, time-consuming and expensive.</w:t>
      </w:r>
    </w:p>
    <w:p>
      <w:pPr>
        <w:spacing w:after="0" w:line="144" w:lineRule="exact"/>
        <w:rPr>
          <w:sz w:val="20"/>
          <w:szCs w:val="20"/>
          <w:color w:val="auto"/>
        </w:rPr>
      </w:pPr>
    </w:p>
    <w:p>
      <w:pPr>
        <w:ind w:right="580" w:firstLine="360"/>
        <w:spacing w:after="0" w:line="309" w:lineRule="auto"/>
        <w:rPr>
          <w:sz w:val="20"/>
          <w:szCs w:val="20"/>
          <w:color w:val="auto"/>
        </w:rPr>
      </w:pPr>
      <w:r>
        <w:rPr>
          <w:rFonts w:ascii="Times New Roman" w:cs="Times New Roman" w:eastAsia="Times New Roman" w:hAnsi="Times New Roman"/>
          <w:sz w:val="19"/>
          <w:szCs w:val="19"/>
          <w:color w:val="auto"/>
        </w:rPr>
        <w:t>Our success depends in large part on our and any future licensor’s ability to obtain and maintain protection of the intellectual property we may own or license, whether solely or jointly, particularly patents, in the United States and other</w:t>
      </w:r>
    </w:p>
    <w:p>
      <w:pPr>
        <w:sectPr>
          <w:pgSz w:w="12240" w:h="15840" w:orient="portrait"/>
          <w:cols w:equalWidth="0" w:num="1">
            <w:col w:w="10240"/>
          </w:cols>
          <w:pgMar w:left="1000" w:top="793" w:right="1000" w:bottom="0"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2240" w:h="15840" w:orient="portrait"/>
          <w:cols w:equalWidth="0" w:num="1">
            <w:col w:w="10240"/>
          </w:cols>
          <w:pgMar w:left="1000" w:top="793" w:right="1000" w:bottom="0" w:gutter="0" w:footer="0" w:header="0"/>
          <w:type w:val="continuous"/>
        </w:sectPr>
      </w:pPr>
    </w:p>
    <w:bookmarkStart w:id="52" w:name="page53"/>
    <w:bookmarkEnd w:id="52"/>
    <w:p>
      <w:pPr>
        <w:ind w:right="20"/>
        <w:spacing w:after="0" w:line="253" w:lineRule="auto"/>
        <w:rPr>
          <w:sz w:val="20"/>
          <w:szCs w:val="20"/>
          <w:color w:val="auto"/>
        </w:rPr>
      </w:pPr>
      <w:r>
        <w:rPr>
          <w:rFonts w:ascii="Times New Roman" w:cs="Times New Roman" w:eastAsia="Times New Roman" w:hAnsi="Times New Roman"/>
          <w:sz w:val="20"/>
          <w:szCs w:val="20"/>
          <w:color w:val="auto"/>
        </w:rPr>
        <w:t>countries with respect to our products and technologies. We apply for patents to protect our products, technologies and commercial activities,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which may be licensed from or to third parties. In connection with any future licensing arrangements with third parties, these patents and applications may not be prosecuted and enforced by such third parties in a manner consistent with the best interests of our business.</w:t>
      </w:r>
    </w:p>
    <w:p>
      <w:pPr>
        <w:spacing w:after="0" w:line="153"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jurisdictions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issued, the patents may not provide a basis for intellectual property protection of commercially viable products or services, may not provide us with any competitive advantages, or may be challenged, narrowed or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to compete with us. Some of our owned or any future licensed patents or patent applications may be challenged at a future point in time and we may not be successful in defending any such challenges made against our patents or patent applications. Any successful third-party challenge to our patents could result in diminished or lost rights, for example, due to narrowing, unenforceability or invalidity of such patents and increased competition to our business. The outcome of patent litigation or other proceedings is generally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spacing w:after="0" w:line="146" w:lineRule="exact"/>
        <w:rPr>
          <w:sz w:val="20"/>
          <w:szCs w:val="20"/>
          <w:color w:val="auto"/>
        </w:rPr>
      </w:pPr>
    </w:p>
    <w:p>
      <w:pPr>
        <w:ind w:right="140" w:firstLine="3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17" w:lineRule="exact"/>
        <w:rPr>
          <w:sz w:val="20"/>
          <w:szCs w:val="20"/>
          <w:color w:val="auto"/>
        </w:rPr>
      </w:pPr>
    </w:p>
    <w:p>
      <w:pPr>
        <w:ind w:right="40" w:firstLine="360"/>
        <w:spacing w:after="0" w:line="254" w:lineRule="auto"/>
        <w:rPr>
          <w:sz w:val="20"/>
          <w:szCs w:val="20"/>
          <w:color w:val="auto"/>
        </w:rPr>
      </w:pPr>
      <w:r>
        <w:rPr>
          <w:rFonts w:ascii="Times New Roman" w:cs="Times New Roman" w:eastAsia="Times New Roman" w:hAnsi="Times New Roman"/>
          <w:sz w:val="20"/>
          <w:szCs w:val="20"/>
          <w:color w:val="auto"/>
        </w:rPr>
        <w:t>Changes in either the patent laws or interpretation of the patent laws in the United States or in other jurisdictions could increase the uncertainties and costs surrounding the prosecution of patent applications and the enforcement or defense of issued patents. In the last decade, the US Congress made sweeping changes to patent law in passing the America Invents Act (AIA). These changes include, among others, allowing third-party submission of prior art to the United States Patent and Trademark Office (USPTO) during patent prosecution and additional procedures to challenge the validity of a patent by USPTO administered post-grant proceedings, including post-grant review, inter partes review and derivation proceedings. The changes brought about by the AIA have not been extensively tested, and therefore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49" w:lineRule="exact"/>
        <w:rPr>
          <w:sz w:val="20"/>
          <w:szCs w:val="20"/>
          <w:color w:val="auto"/>
        </w:rPr>
      </w:pPr>
    </w:p>
    <w:p>
      <w:pPr>
        <w:ind w:right="160" w:firstLine="360"/>
        <w:spacing w:after="0" w:line="255" w:lineRule="auto"/>
        <w:rPr>
          <w:sz w:val="20"/>
          <w:szCs w:val="20"/>
          <w:color w:val="auto"/>
        </w:rPr>
      </w:pPr>
      <w:r>
        <w:rPr>
          <w:rFonts w:ascii="Times New Roman" w:cs="Times New Roman" w:eastAsia="Times New Roman" w:hAnsi="Times New Roman"/>
          <w:sz w:val="20"/>
          <w:szCs w:val="20"/>
          <w:color w:val="auto"/>
        </w:rPr>
        <w:t>Various courts, including the U.S. Supreme Court, have recently rendered decisions that impact the scope of patentability of certain inventions or discoveries relating to our technology and commercial goals. Specifically, these decisions have substantially increased the probability that patent claims will be ruled patent ineligible for reciting a natural phenomenon, law of nature or abstract idea. Furthermore, in view of these decisions, since December 2014, the USPTO has published and continues to publish revised guidelines for patent examiners to apply when examining claims for patent eligibility. Patent claims relating to software algorithms, biologically-derived reagents, methods for analyzing biological systems and other subject matters that underlies our technology and commercial goals are impacted by these changes.</w:t>
      </w:r>
    </w:p>
    <w:p>
      <w:pPr>
        <w:spacing w:after="0" w:line="150" w:lineRule="exact"/>
        <w:rPr>
          <w:sz w:val="20"/>
          <w:szCs w:val="20"/>
          <w:color w:val="auto"/>
        </w:rPr>
      </w:pPr>
    </w:p>
    <w:p>
      <w:pPr>
        <w:ind w:right="40" w:firstLine="360"/>
        <w:spacing w:after="0" w:line="255" w:lineRule="auto"/>
        <w:rPr>
          <w:sz w:val="20"/>
          <w:szCs w:val="20"/>
          <w:color w:val="auto"/>
        </w:rPr>
      </w:pPr>
      <w:r>
        <w:rPr>
          <w:rFonts w:ascii="Times New Roman" w:cs="Times New Roman" w:eastAsia="Times New Roman" w:hAnsi="Times New Roman"/>
          <w:sz w:val="20"/>
          <w:szCs w:val="20"/>
          <w:color w:val="auto"/>
        </w:rPr>
        <w:t>Actions taken by the U.S. Congress, federal courts and USPTO have from time to time narrowed the scope of patent protection available in certain circumstances and weakened the rights of patent owners in certain situations. Similar changes have been made by authorities in other jurisdictions. In addition to increasing uncertainty with regard to our ability to obtain patents in the future, such changes create uncertainty with respect to the value of patents, once obtained. Depending on decisions by authorities in various jurisdictions, the laws and regulations governing patents could change in unpredictable ways that may have a material adverse effect on our ability to obtain new patents and to defend and enforce our existing patents and patents that we might obtain in the future.</w:t>
      </w:r>
    </w:p>
    <w:p>
      <w:pPr>
        <w:sectPr>
          <w:pgSz w:w="12240" w:h="15840" w:orient="portrait"/>
          <w:cols w:equalWidth="0" w:num="1">
            <w:col w:w="10220"/>
          </w:cols>
          <w:pgMar w:left="1000" w:top="793"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ectPr>
          <w:pgSz w:w="12240" w:h="15840" w:orient="portrait"/>
          <w:cols w:equalWidth="0" w:num="1">
            <w:col w:w="10220"/>
          </w:cols>
          <w:pgMar w:left="1000" w:top="793" w:right="1020" w:bottom="0" w:gutter="0" w:footer="0" w:header="0"/>
          <w:type w:val="continuous"/>
        </w:sectPr>
      </w:pPr>
    </w:p>
    <w:bookmarkStart w:id="53" w:name="page54"/>
    <w:bookmarkEnd w:id="53"/>
    <w:p>
      <w:pPr>
        <w:ind w:right="40" w:firstLine="360"/>
        <w:spacing w:after="0" w:line="256" w:lineRule="auto"/>
        <w:rPr>
          <w:sz w:val="20"/>
          <w:szCs w:val="20"/>
          <w:color w:val="auto"/>
        </w:rPr>
      </w:pPr>
      <w:r>
        <w:rPr>
          <w:rFonts w:ascii="Times New Roman" w:cs="Times New Roman" w:eastAsia="Times New Roman" w:hAnsi="Times New Roman"/>
          <w:sz w:val="20"/>
          <w:szCs w:val="20"/>
          <w:color w:val="auto"/>
        </w:rPr>
        <w:t>We cannot assure you that our patent portfolio will not be negatively impacted by the current uncertain state of the law, new court rulings or changes in guidance or procedures issued by governments or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our business, financial condition, prospects and results of operations.</w:t>
      </w:r>
    </w:p>
    <w:p>
      <w:pPr>
        <w:spacing w:after="0" w:line="1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protect our intellectual property rights throughout the world.</w:t>
      </w:r>
    </w:p>
    <w:p>
      <w:pPr>
        <w:spacing w:after="0" w:line="199" w:lineRule="exact"/>
        <w:rPr>
          <w:sz w:val="20"/>
          <w:szCs w:val="20"/>
          <w:color w:val="auto"/>
        </w:rPr>
      </w:pPr>
    </w:p>
    <w:p>
      <w:pPr>
        <w:ind w:right="280" w:firstLine="360"/>
        <w:spacing w:after="0" w:line="266" w:lineRule="auto"/>
        <w:rPr>
          <w:sz w:val="20"/>
          <w:szCs w:val="20"/>
          <w:color w:val="auto"/>
        </w:rPr>
      </w:pPr>
      <w:r>
        <w:rPr>
          <w:rFonts w:ascii="Times New Roman" w:cs="Times New Roman" w:eastAsia="Times New Roman" w:hAnsi="Times New Roman"/>
          <w:sz w:val="20"/>
          <w:szCs w:val="20"/>
          <w:color w:val="auto"/>
        </w:rPr>
        <w:t>Filing, prosecuting and defending patents on our Nautilus platform in all countries throughout the world would be prohibitively expensive, and our intellectual property rights in some countries outside the United States can be less extensive than those in the United States.</w:t>
      </w:r>
    </w:p>
    <w:p>
      <w:pPr>
        <w:spacing w:after="0" w:line="135" w:lineRule="exact"/>
        <w:rPr>
          <w:sz w:val="20"/>
          <w:szCs w:val="20"/>
          <w:color w:val="auto"/>
        </w:rPr>
      </w:pPr>
    </w:p>
    <w:p>
      <w:pPr>
        <w:ind w:right="60" w:firstLine="360"/>
        <w:spacing w:after="0" w:line="253" w:lineRule="auto"/>
        <w:rPr>
          <w:sz w:val="20"/>
          <w:szCs w:val="20"/>
          <w:color w:val="auto"/>
        </w:rPr>
      </w:pPr>
      <w:r>
        <w:rPr>
          <w:rFonts w:ascii="Times New Roman" w:cs="Times New Roman" w:eastAsia="Times New Roman" w:hAnsi="Times New Roman"/>
          <w:sz w:val="20"/>
          <w:szCs w:val="20"/>
          <w:color w:val="auto"/>
        </w:rPr>
        <w:t>The laws of some foreign countries do not protect intellectual property rights to the same extent as the laws of the United States, and we and any future licensor may encounter difficulties in protecting and defending such rights in foreign jurisdictions. Consequently, we and any future licensor may not be able to prevent third parties from practicing our inventions in some or all countries outside the United States, or from selling or importing products made using our or any future licensor’s inventions in and into the United States or other jurisdictions. Competitors and other third parties may be able to use our technologies in jurisdictions where we have not obtained patent protection to develop our own products and technologies and may also export infringing products to territories where we have patent protection, but enforcement is not as strong as that in the United States. These products may compete with our products. We and any future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51"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companies or companies headquartered in particular jurisdictions over our patents and other intellectual property protection.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spacing w:after="0" w:line="149" w:lineRule="exact"/>
        <w:rPr>
          <w:sz w:val="20"/>
          <w:szCs w:val="20"/>
          <w:color w:val="auto"/>
        </w:rPr>
      </w:pPr>
    </w:p>
    <w:p>
      <w:pPr>
        <w:ind w:firstLine="360"/>
        <w:spacing w:after="0" w:line="268" w:lineRule="auto"/>
        <w:rPr>
          <w:sz w:val="20"/>
          <w:szCs w:val="20"/>
          <w:color w:val="auto"/>
        </w:rPr>
      </w:pPr>
      <w:r>
        <w:rPr>
          <w:rFonts w:ascii="Times New Roman" w:cs="Times New Roman" w:eastAsia="Times New Roman" w:hAnsi="Times New Roman"/>
          <w:sz w:val="19"/>
          <w:szCs w:val="19"/>
          <w:color w:val="auto"/>
        </w:rPr>
        <w:t>Proceedings to enforce our or any future licensor’s patent rights in foreign jurisdictions could result in substantial cost and divert our efforts and attention from other aspects of our business, could put our and any future licensor’s patents at risk of being invalidated or interpreted narrowly and our and any future licensor’s patent applications at risk of not issuing, and could provoke third parties to assert claims against us. We and any future licensor may not prevail in any lawsuits that we and any future licensor initiates, or that are initiated against us or any future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131" w:lineRule="exact"/>
        <w:rPr>
          <w:sz w:val="20"/>
          <w:szCs w:val="20"/>
          <w:color w:val="auto"/>
        </w:rPr>
      </w:pPr>
    </w:p>
    <w:p>
      <w:pPr>
        <w:jc w:val="both"/>
        <w:ind w:right="320" w:firstLine="36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36" w:lineRule="exact"/>
        <w:rPr>
          <w:sz w:val="20"/>
          <w:szCs w:val="20"/>
          <w:color w:val="auto"/>
        </w:rPr>
      </w:pPr>
    </w:p>
    <w:p>
      <w:pPr>
        <w:ind w:right="60" w:firstLine="360"/>
        <w:spacing w:after="0" w:line="269" w:lineRule="auto"/>
        <w:rPr>
          <w:sz w:val="20"/>
          <w:szCs w:val="20"/>
          <w:color w:val="auto"/>
        </w:rPr>
      </w:pPr>
      <w:r>
        <w:rPr>
          <w:rFonts w:ascii="Times New Roman" w:cs="Times New Roman" w:eastAsia="Times New Roman" w:hAnsi="Times New Roman"/>
          <w:sz w:val="19"/>
          <w:szCs w:val="19"/>
          <w:color w:val="auto"/>
        </w:rPr>
        <w:t>Litigation may be necessary for us to enforce our patent and proprietary rights and/or to determine the scope, coverage and validity of others’ proprietary rights. Litigation on these matters has been prevalent in our industry and we expect that this will continue. To determine the priority of inventions, we may have to initiate and participate in interference proceedings declared by the USPTO that could result in substantial legal fees and could substantially affect the scope of our patent protection. Also, our intellectual property may be subject to significant administrative and litigation proceedings such as invalidity, unenforceability, re-examination and opposition proceedings against our patents. The outcome of any litigation or other proceeding is inherently uncertain and might not be favorable to us, and we might not be able to obtain licenses to technology that we require or a competitor may have already obtained an exclusive license to such technology in all fields. Even if such licenses are obtainable, they may not be available at a reasonable cost. We could therefore incur substantial costs related to</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2240" w:h="15840" w:orient="portrait"/>
          <w:cols w:equalWidth="0" w:num="1">
            <w:col w:w="10240"/>
          </w:cols>
          <w:pgMar w:left="1000" w:top="793" w:right="1000" w:bottom="0" w:gutter="0" w:footer="0" w:header="0"/>
          <w:type w:val="continuous"/>
        </w:sectPr>
      </w:pPr>
    </w:p>
    <w:bookmarkStart w:id="54" w:name="page55"/>
    <w:bookmarkEnd w:id="54"/>
    <w:p>
      <w:pPr>
        <w:jc w:val="both"/>
        <w:ind w:right="220"/>
        <w:spacing w:after="0" w:line="266" w:lineRule="auto"/>
        <w:rPr>
          <w:sz w:val="20"/>
          <w:szCs w:val="20"/>
          <w:color w:val="auto"/>
        </w:rPr>
      </w:pPr>
      <w:r>
        <w:rPr>
          <w:rFonts w:ascii="Times New Roman" w:cs="Times New Roman" w:eastAsia="Times New Roman" w:hAnsi="Times New Roman"/>
          <w:sz w:val="20"/>
          <w:szCs w:val="20"/>
          <w:color w:val="auto"/>
        </w:rPr>
        <w:t>royalty payments for licenses obtained from third parties, which could negatively affect our gross margins. In some cases, the outcome of litigation may be to enjoin us from commercializing a patent protected technology. We could encounter delays in product introductions, or interruptions in product sales, as we develop alternative methods or products.</w:t>
      </w:r>
    </w:p>
    <w:p>
      <w:pPr>
        <w:spacing w:after="0" w:line="135" w:lineRule="exact"/>
        <w:rPr>
          <w:sz w:val="20"/>
          <w:szCs w:val="20"/>
          <w:color w:val="auto"/>
        </w:rPr>
      </w:pPr>
    </w:p>
    <w:p>
      <w:pPr>
        <w:ind w:right="220" w:firstLine="360"/>
        <w:spacing w:after="0" w:line="266" w:lineRule="auto"/>
        <w:rPr>
          <w:sz w:val="20"/>
          <w:szCs w:val="20"/>
          <w:color w:val="auto"/>
        </w:rPr>
      </w:pPr>
      <w:r>
        <w:rPr>
          <w:rFonts w:ascii="Times New Roman" w:cs="Times New Roman" w:eastAsia="Times New Roman" w:hAnsi="Times New Roman"/>
          <w:sz w:val="20"/>
          <w:szCs w:val="20"/>
          <w:color w:val="auto"/>
        </w:rPr>
        <w:t>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w:t>
      </w:r>
    </w:p>
    <w:p>
      <w:pPr>
        <w:spacing w:after="0" w:line="135" w:lineRule="exact"/>
        <w:rPr>
          <w:sz w:val="20"/>
          <w:szCs w:val="20"/>
          <w:color w:val="auto"/>
        </w:rPr>
      </w:pPr>
    </w:p>
    <w:p>
      <w:pPr>
        <w:ind w:right="60" w:firstLine="360"/>
        <w:spacing w:after="0" w:line="254" w:lineRule="auto"/>
        <w:rPr>
          <w:sz w:val="20"/>
          <w:szCs w:val="20"/>
          <w:color w:val="auto"/>
        </w:rPr>
      </w:pPr>
      <w:r>
        <w:rPr>
          <w:rFonts w:ascii="Times New Roman" w:cs="Times New Roman" w:eastAsia="Times New Roman" w:hAnsi="Times New Roman"/>
          <w:sz w:val="20"/>
          <w:szCs w:val="20"/>
          <w:color w:val="auto"/>
        </w:rPr>
        <w:t>Our commercial success may depend in part on our non-infringement of the patents or proprietary rights of third parties. Numerous significant intellectual property issues have been litigated, and will likely continue to be litigated, between existing and new participants in the life sciences market and competitors may assert that our products infringe their intellectual property rights as part of a business strategy to impede our successful entry into those markets. Third parties may assert that we are employing our proprietary technology without authorization. We are aware that there are issued third party patents that are in the general proteomics field. Specifically, we are aware of various U.S. patents and U.S. non-provisional applications assigned to Washington University and the National Institute of Health, with claims directed to characterizing and identifying a polypeptide strand.</w:t>
      </w:r>
    </w:p>
    <w:p>
      <w:pPr>
        <w:spacing w:after="0" w:line="153"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19"/>
          <w:szCs w:val="19"/>
          <w:color w:val="auto"/>
        </w:rPr>
        <w:t>In addition, our competitors and others may have patents or may in the future obtain patents and may claim that use of our products infringes these patents. For example, we have received and may from time to time in the future receive letters, notices or “invitations to license” related to the use of intellectual property in our products or services, or may become the subject of claims that our products and business operations infringe or violate the intellectual property rights of others. For example, on December 14, 2023, we filed suit in the United States District Court for the Northern District of California against Somalogic, Inc. (Somalogic) which recently merged with and is now part of “Standard Biotools, Inc.”, and the California Institute of Technology. This suit seeks declaratory judgment that we do not infringe any claims of US Patent No. 7,842,793 related to DNA origami structures (the ‘793 Patent), which Somalogic has allegedly licensed from the California Institute of Technology through its purchase of Palamedrix, Inc. We took this action in response to Somalogic’s allegations that our proteome analysis platform infringes the claims of the ‘793 Patent. Notwithstanding our belief as to the strength of our claims, litigation generally, and patent litigation in particular, can be unpredictable. If we do not succeed in establishing that our products or services do not infringe the claims of the ‘793 Patent, it could negatively impact our business by imposing royalties on our products or services, requiring significant redevelopment of certain aspects of our products and/or preventing us from making, using or selling our products or services. Even if we were to prevail in this or any future litigation, litigation could also result in substantial costs and diversion of resources and could have a material adverse effect on our business, operating results or financial condition.</w:t>
      </w:r>
    </w:p>
    <w:p>
      <w:pPr>
        <w:spacing w:after="0" w:line="148" w:lineRule="exact"/>
        <w:rPr>
          <w:sz w:val="20"/>
          <w:szCs w:val="20"/>
          <w:color w:val="auto"/>
        </w:rPr>
      </w:pPr>
    </w:p>
    <w:p>
      <w:pPr>
        <w:ind w:right="100" w:firstLine="360"/>
        <w:spacing w:after="0" w:line="256" w:lineRule="auto"/>
        <w:rPr>
          <w:sz w:val="20"/>
          <w:szCs w:val="20"/>
          <w:color w:val="auto"/>
        </w:rPr>
      </w:pPr>
      <w:r>
        <w:rPr>
          <w:rFonts w:ascii="Times New Roman" w:cs="Times New Roman" w:eastAsia="Times New Roman" w:hAnsi="Times New Roman"/>
          <w:sz w:val="20"/>
          <w:szCs w:val="20"/>
          <w:color w:val="auto"/>
        </w:rPr>
        <w:t>As we move into new markets and applications for our products, incumbent participants in such markets may assert their patents and other proprietary rights against us, alleging that our products or services infringe, misappropriate or otherwise violate their intellectual property rights, including patents and trade secrets, as a means of slowing or preventing our entry into such markets, or as a means to extract substantial license and royalty payments from us. The defense of these matters can be time consuming, costly to defend in litigation, divert management’s attention and resources, damage our reputation and brand and cause us to incur significant expenses or make substantial payments.</w:t>
      </w:r>
    </w:p>
    <w:p>
      <w:pPr>
        <w:spacing w:after="0" w:line="1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Issued patents covering our products could be found invalid or unenforceable if challenged.</w:t>
      </w:r>
    </w:p>
    <w:p>
      <w:pPr>
        <w:spacing w:after="0" w:line="199" w:lineRule="exact"/>
        <w:rPr>
          <w:sz w:val="20"/>
          <w:szCs w:val="20"/>
          <w:color w:val="auto"/>
        </w:rPr>
      </w:pPr>
    </w:p>
    <w:p>
      <w:pPr>
        <w:ind w:right="40" w:firstLine="360"/>
        <w:spacing w:after="0" w:line="266" w:lineRule="auto"/>
        <w:rPr>
          <w:sz w:val="20"/>
          <w:szCs w:val="20"/>
          <w:color w:val="auto"/>
        </w:rPr>
      </w:pPr>
      <w:r>
        <w:rPr>
          <w:rFonts w:ascii="Times New Roman" w:cs="Times New Roman" w:eastAsia="Times New Roman" w:hAnsi="Times New Roman"/>
          <w:sz w:val="19"/>
          <w:szCs w:val="19"/>
          <w:color w:val="auto"/>
        </w:rPr>
        <w:t xml:space="preserve">Our owned and any future licensed patents and patent applications may be subject to validity, enforceability and priority disputes. The issuance of a patent is not conclusive as to its inventorship, scope, validity or enforceability. Some of our patents or patent applications may be challenged at a future point in time in opposition, derivation, reexamination, </w:t>
      </w:r>
      <w:r>
        <w:rPr>
          <w:rFonts w:ascii="Times New Roman" w:cs="Times New Roman" w:eastAsia="Times New Roman" w:hAnsi="Times New Roman"/>
          <w:sz w:val="19"/>
          <w:szCs w:val="19"/>
          <w:b w:val="1"/>
          <w:bCs w:val="1"/>
          <w:i w:val="1"/>
          <w:iCs w:val="1"/>
          <w:color w:val="auto"/>
        </w:rPr>
        <w:t>inter partes</w:t>
      </w:r>
      <w:r>
        <w:rPr>
          <w:rFonts w:ascii="Times New Roman" w:cs="Times New Roman" w:eastAsia="Times New Roman" w:hAnsi="Times New Roman"/>
          <w:sz w:val="19"/>
          <w:szCs w:val="19"/>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any future licensor initiates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but not limited to, lack of novelty, obviousness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ex parte re-examination, </w:t>
      </w:r>
      <w:r>
        <w:rPr>
          <w:rFonts w:ascii="Times New Roman" w:cs="Times New Roman" w:eastAsia="Times New Roman" w:hAnsi="Times New Roman"/>
          <w:sz w:val="19"/>
          <w:szCs w:val="19"/>
          <w:b w:val="1"/>
          <w:bCs w:val="1"/>
          <w:i w:val="1"/>
          <w:iCs w:val="1"/>
          <w:color w:val="auto"/>
        </w:rPr>
        <w:t>inter partes</w:t>
      </w:r>
      <w:r>
        <w:rPr>
          <w:rFonts w:ascii="Times New Roman" w:cs="Times New Roman" w:eastAsia="Times New Roman" w:hAnsi="Times New Roman"/>
          <w:sz w:val="19"/>
          <w:szCs w:val="19"/>
          <w:color w:val="auto"/>
        </w:rPr>
        <w:t xml:space="preserve"> review, post-grant review, derivation and equivalent proceedings in non-U.S. jurisdictions, such as opposition proceedings. Such proceedings could result in revocation of or amendment to our patents in such a way that they no longer cover and protect our products. With respect to the validity of our patents, for example, we cannot be certain that there is no invalidating prior art of</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2240" w:h="15840" w:orient="portrait"/>
          <w:cols w:equalWidth="0" w:num="1">
            <w:col w:w="10240"/>
          </w:cols>
          <w:pgMar w:left="1000" w:top="793" w:right="1000" w:bottom="0" w:gutter="0" w:footer="0" w:header="0"/>
          <w:type w:val="continuous"/>
        </w:sectPr>
      </w:pPr>
    </w:p>
    <w:bookmarkStart w:id="55" w:name="page56"/>
    <w:bookmarkEnd w:id="55"/>
    <w:p>
      <w:pPr>
        <w:ind w:right="160"/>
        <w:spacing w:after="0" w:line="255" w:lineRule="auto"/>
        <w:rPr>
          <w:sz w:val="20"/>
          <w:szCs w:val="20"/>
          <w:color w:val="auto"/>
        </w:rPr>
      </w:pPr>
      <w:r>
        <w:rPr>
          <w:rFonts w:ascii="Times New Roman" w:cs="Times New Roman" w:eastAsia="Times New Roman" w:hAnsi="Times New Roman"/>
          <w:sz w:val="20"/>
          <w:szCs w:val="20"/>
          <w:color w:val="auto"/>
        </w:rPr>
        <w:t>which us, any future licensor, our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for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150"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in the last decade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spacing w:after="0" w:line="150" w:lineRule="exact"/>
        <w:rPr>
          <w:sz w:val="20"/>
          <w:szCs w:val="20"/>
          <w:color w:val="auto"/>
        </w:rPr>
      </w:pPr>
    </w:p>
    <w:p>
      <w:pPr>
        <w:ind w:right="560" w:firstLine="3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protect the confidentiality of our trade secrets, the value of our technology could be materially adversely affected, and our business could be harmed.</w:t>
      </w:r>
    </w:p>
    <w:p>
      <w:pPr>
        <w:spacing w:after="0" w:line="117" w:lineRule="exact"/>
        <w:rPr>
          <w:sz w:val="20"/>
          <w:szCs w:val="20"/>
          <w:color w:val="auto"/>
        </w:rPr>
      </w:pPr>
    </w:p>
    <w:p>
      <w:pPr>
        <w:ind w:right="60" w:firstLine="360"/>
        <w:spacing w:after="0" w:line="256" w:lineRule="auto"/>
        <w:rPr>
          <w:sz w:val="20"/>
          <w:szCs w:val="20"/>
          <w:color w:val="auto"/>
        </w:rPr>
      </w:pPr>
      <w:r>
        <w:rPr>
          <w:rFonts w:ascii="Times New Roman" w:cs="Times New Roman" w:eastAsia="Times New Roman" w:hAnsi="Times New Roman"/>
          <w:sz w:val="20"/>
          <w:szCs w:val="20"/>
          <w:color w:val="auto"/>
        </w:rPr>
        <w:t>We rely heavily on trade secrets and confidentiality agreements to protect our unpatented know-how, technology and other proprietary information, including parts of our Nautilus platform,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academic and industry scientific positions.</w:t>
      </w:r>
    </w:p>
    <w:p>
      <w:pPr>
        <w:spacing w:after="0" w:line="148"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adversely impact our ability to establish or maintain a competitive advantage in the market, business, financial condition, results of operations and prospects.</w:t>
      </w:r>
    </w:p>
    <w:p>
      <w:pPr>
        <w:spacing w:after="0" w:line="151" w:lineRule="exact"/>
        <w:rPr>
          <w:sz w:val="20"/>
          <w:szCs w:val="20"/>
          <w:color w:val="auto"/>
        </w:rPr>
      </w:pPr>
    </w:p>
    <w:p>
      <w:pPr>
        <w:ind w:right="140" w:firstLine="360"/>
        <w:spacing w:after="0" w:line="260" w:lineRule="auto"/>
        <w:rPr>
          <w:sz w:val="20"/>
          <w:szCs w:val="20"/>
          <w:color w:val="auto"/>
        </w:rPr>
      </w:pPr>
      <w:r>
        <w:rPr>
          <w:rFonts w:ascii="Times New Roman" w:cs="Times New Roman" w:eastAsia="Times New Roman" w:hAnsi="Times New Roman"/>
          <w:sz w:val="20"/>
          <w:szCs w:val="20"/>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spacing w:after="0" w:line="143" w:lineRule="exact"/>
        <w:rPr>
          <w:sz w:val="20"/>
          <w:szCs w:val="20"/>
          <w:color w:val="auto"/>
        </w:rPr>
      </w:pPr>
    </w:p>
    <w:p>
      <w:pPr>
        <w:ind w:right="120" w:firstLine="360"/>
        <w:spacing w:after="0" w:line="270" w:lineRule="auto"/>
        <w:rPr>
          <w:sz w:val="20"/>
          <w:szCs w:val="20"/>
          <w:color w:val="auto"/>
        </w:rPr>
      </w:pPr>
      <w:r>
        <w:rPr>
          <w:rFonts w:ascii="Times New Roman" w:cs="Times New Roman" w:eastAsia="Times New Roman" w:hAnsi="Times New Roman"/>
          <w:sz w:val="19"/>
          <w:szCs w:val="19"/>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2240" w:h="15840" w:orient="portrait"/>
          <w:cols w:equalWidth="0" w:num="1">
            <w:col w:w="10240"/>
          </w:cols>
          <w:pgMar w:left="1000" w:top="793" w:right="1000" w:bottom="0" w:gutter="0" w:footer="0" w:header="0"/>
          <w:type w:val="continuous"/>
        </w:sectPr>
      </w:pPr>
    </w:p>
    <w:bookmarkStart w:id="56" w:name="page57"/>
    <w:bookmarkEnd w:id="56"/>
    <w:p>
      <w:pPr>
        <w:spacing w:after="0" w:line="281" w:lineRule="auto"/>
        <w:rPr>
          <w:sz w:val="20"/>
          <w:szCs w:val="20"/>
          <w:color w:val="auto"/>
        </w:rPr>
      </w:pPr>
      <w:r>
        <w:rPr>
          <w:rFonts w:ascii="Times New Roman" w:cs="Times New Roman" w:eastAsia="Times New Roman" w:hAnsi="Times New Roman"/>
          <w:sz w:val="20"/>
          <w:szCs w:val="20"/>
          <w:color w:val="auto"/>
        </w:rPr>
        <w:t>trade secrets. If any of our trade secrets were to be disclosed to or independently discovered by a competitor or other third party, it could materially and adversely affect our business, financial condition, results of operations and prospects.</w:t>
      </w:r>
    </w:p>
    <w:p>
      <w:pPr>
        <w:spacing w:after="0" w:line="1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We may be subject to claims challenging the inventorship of our patents and other intellectual property.</w:t>
      </w:r>
    </w:p>
    <w:p>
      <w:pPr>
        <w:spacing w:after="0" w:line="199"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We or any future licensor may be subject to claims that former employees, collaborators or other third parties have an interest in our patents, trade secrets or other intellectual property. For example, us or any future licensor may have inventorship disputes arise from conflicting obligations of employees, consultants or others who are involved in developing our products. In addition, counterparties to our consulting, software development, and other agreements may assert that they have an ownership interest in intellectual property developed under such arrangements. Litigation may be necessary to defend against claims challenging ownership or inventorship of our or any future licensor’s ownership of our patents, trade secrets or other intellectual property. If we or any future licensor fails in defending any such claims, in addition to paying monetary damages, we may lose valuable intellectual property rights, such as exclusive ownership of, or right to use, intellectual property that is important to our Nautilus platform, including our software, workflows, consumables and reagent kits.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or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149" w:lineRule="exact"/>
        <w:rPr>
          <w:sz w:val="20"/>
          <w:szCs w:val="20"/>
          <w:color w:val="auto"/>
        </w:rPr>
      </w:pPr>
    </w:p>
    <w:p>
      <w:pPr>
        <w:ind w:right="20" w:firstLine="3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protect and enforce our trademarks and trade names or build name recognition in our markets of interest thereby harming our competitive position.</w:t>
      </w:r>
    </w:p>
    <w:p>
      <w:pPr>
        <w:spacing w:after="0" w:line="117"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Further, we have and may in the future enter into agreements with owners of such third-party trade names or trademarks to avoid potential trademark litigation which may limit our ability to use our trade names or trademarks in certain fields of business. Over the long term, if we are unable to establish name recognition based on our trademarks and trade names, then we may not be able to compete effectively, and our business, financial condition, results of operations and prospects may be adversely affected. Our efforts to enforce or protect our proprietary rights related to trademarks,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pacing w:after="0" w:line="150" w:lineRule="exact"/>
        <w:rPr>
          <w:sz w:val="20"/>
          <w:szCs w:val="20"/>
          <w:color w:val="auto"/>
        </w:rPr>
      </w:pPr>
    </w:p>
    <w:p>
      <w:pPr>
        <w:ind w:right="40" w:firstLine="3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Patent terms may be inadequate to protect our competitive position on our Nautilus platform for an adequate amount of time.</w:t>
      </w:r>
    </w:p>
    <w:p>
      <w:pPr>
        <w:spacing w:after="0" w:line="117"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20"/>
          <w:szCs w:val="20"/>
          <w:color w:val="auto"/>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spacing w:after="0" w:line="144" w:lineRule="exact"/>
        <w:rPr>
          <w:sz w:val="20"/>
          <w:szCs w:val="20"/>
          <w:color w:val="auto"/>
        </w:rPr>
      </w:pPr>
    </w:p>
    <w:p>
      <w:pPr>
        <w:ind w:right="200" w:firstLine="36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136" w:lineRule="exact"/>
        <w:rPr>
          <w:sz w:val="20"/>
          <w:szCs w:val="20"/>
          <w:color w:val="auto"/>
        </w:rPr>
      </w:pPr>
    </w:p>
    <w:p>
      <w:pPr>
        <w:ind w:right="220" w:firstLine="360"/>
        <w:spacing w:after="0" w:line="286" w:lineRule="auto"/>
        <w:rPr>
          <w:sz w:val="20"/>
          <w:szCs w:val="20"/>
          <w:color w:val="auto"/>
        </w:rPr>
      </w:pPr>
      <w:r>
        <w:rPr>
          <w:rFonts w:ascii="Times New Roman" w:cs="Times New Roman" w:eastAsia="Times New Roman" w:hAnsi="Times New Roman"/>
          <w:sz w:val="19"/>
          <w:szCs w:val="19"/>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w:t>
      </w:r>
    </w:p>
    <w:p>
      <w:pPr>
        <w:sectPr>
          <w:pgSz w:w="12240" w:h="15840" w:orient="portrait"/>
          <w:cols w:equalWidth="0" w:num="1">
            <w:col w:w="10240"/>
          </w:cols>
          <w:pgMar w:left="1000" w:top="793" w:right="1000" w:bottom="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2240" w:h="15840" w:orient="portrait"/>
          <w:cols w:equalWidth="0" w:num="1">
            <w:col w:w="10240"/>
          </w:cols>
          <w:pgMar w:left="1000" w:top="793" w:right="1000" w:bottom="0" w:gutter="0" w:footer="0" w:header="0"/>
          <w:type w:val="continuous"/>
        </w:sectPr>
      </w:pPr>
    </w:p>
    <w:bookmarkStart w:id="57" w:name="page58"/>
    <w:bookmarkEnd w:id="57"/>
    <w:p>
      <w:pPr>
        <w:ind w:right="40"/>
        <w:spacing w:after="0" w:line="254" w:lineRule="auto"/>
        <w:rPr>
          <w:sz w:val="20"/>
          <w:szCs w:val="20"/>
          <w:color w:val="auto"/>
        </w:rPr>
      </w:pPr>
      <w:r>
        <w:rPr>
          <w:rFonts w:ascii="Times New Roman" w:cs="Times New Roman" w:eastAsia="Times New Roman" w:hAnsi="Times New Roman"/>
          <w:sz w:val="20"/>
          <w:szCs w:val="20"/>
          <w:color w:val="auto"/>
        </w:rPr>
        <w:t>compliance with a number of procedural, documentary, fee payment and other similar provisions during the patent application process. In certain circumstances, we may rely on any future licensor to pay these fees due to the U.S. and non-U.S. patent agencies and to take the necessary action to comply with these requirements with respect to any future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spacing w:after="0" w:line="144" w:lineRule="exact"/>
        <w:rPr>
          <w:sz w:val="20"/>
          <w:szCs w:val="20"/>
          <w:color w:val="auto"/>
        </w:rPr>
      </w:pPr>
    </w:p>
    <w:p>
      <w:pPr>
        <w:ind w:right="200" w:firstLine="36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trade secrets of our former employers.</w:t>
      </w:r>
    </w:p>
    <w:p>
      <w:pPr>
        <w:spacing w:after="0" w:line="136"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We have employed and expect to employ individuals who were previously employed at universities or other companies, including, for example, our competitors or potential competitors. Although we try to ensure that our employees, consultants, advisors and independent contractors do not use the proprietary information or know-how of others in their work for us, we may be subject to claims that our employees, advisors, consultants or independent contractors have inadvertently or otherwise used or disclosed intellectual property, including trade secrets or other proprietary information of their former employers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spacing w:after="0" w:line="159"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20"/>
          <w:szCs w:val="20"/>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spacing w:after="0" w:line="149"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Furthermore, we or any future licensor may in the future be subject to claims by former or current employees, consultants or other third parties asserting an ownership right or inventorship in our owned, or any future licensed, patents or patent applications. For example, our Founder and Chief Scientist is employed by Stanford University and a member of the Stanford Cancer Institute. Stanford University and the Stanford Cancer Institute may assert an ownership right in any of our owned patents or patent applications. We may have other consultants that are or have been employed by third parties, which may assert an ownership right in any of our owned patents or patent applications. In addition, we are aware that we might not be able to obtain ownership of or seek a license to any intellectual property developed during a research collaboration with a third party.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without infringing third-party patent rights. Any of the foregoing could harm our business, financial condition, results of operations and prospects.</w:t>
      </w:r>
    </w:p>
    <w:p>
      <w:pPr>
        <w:spacing w:after="0" w:line="139" w:lineRule="exact"/>
        <w:rPr>
          <w:sz w:val="20"/>
          <w:szCs w:val="20"/>
          <w:color w:val="auto"/>
        </w:rPr>
      </w:pPr>
    </w:p>
    <w:p>
      <w:pPr>
        <w:ind w:right="140" w:firstLine="3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cannot license rights to use technologies on reasonable terms, we may not be able to commercialize new products in the future.</w:t>
      </w:r>
    </w:p>
    <w:p>
      <w:pPr>
        <w:spacing w:after="0" w:line="117" w:lineRule="exact"/>
        <w:rPr>
          <w:sz w:val="20"/>
          <w:szCs w:val="20"/>
          <w:color w:val="auto"/>
        </w:rPr>
      </w:pPr>
    </w:p>
    <w:p>
      <w:pPr>
        <w:ind w:right="120" w:firstLine="360"/>
        <w:spacing w:after="0" w:line="275" w:lineRule="auto"/>
        <w:rPr>
          <w:sz w:val="20"/>
          <w:szCs w:val="20"/>
          <w:color w:val="auto"/>
        </w:rPr>
      </w:pPr>
      <w:r>
        <w:rPr>
          <w:rFonts w:ascii="Times New Roman" w:cs="Times New Roman" w:eastAsia="Times New Roman" w:hAnsi="Times New Roman"/>
          <w:sz w:val="19"/>
          <w:szCs w:val="19"/>
          <w:color w:val="auto"/>
        </w:rPr>
        <w:t>We may identify third-party technology that we may need to license or acquire in order to develop or commercialize our products or technologies, including our Nautilus platform.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or</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2240" w:h="15840" w:orient="portrait"/>
          <w:cols w:equalWidth="0" w:num="1">
            <w:col w:w="10240"/>
          </w:cols>
          <w:pgMar w:left="1000" w:top="793" w:right="1000" w:bottom="0" w:gutter="0" w:footer="0" w:header="0"/>
          <w:type w:val="continuous"/>
        </w:sectPr>
      </w:pPr>
    </w:p>
    <w:bookmarkStart w:id="58" w:name="page59"/>
    <w:bookmarkEnd w:id="58"/>
    <w:p>
      <w:pPr>
        <w:ind w:right="420"/>
        <w:spacing w:after="0" w:line="281" w:lineRule="auto"/>
        <w:rPr>
          <w:sz w:val="20"/>
          <w:szCs w:val="20"/>
          <w:color w:val="auto"/>
        </w:rPr>
      </w:pPr>
      <w:r>
        <w:rPr>
          <w:rFonts w:ascii="Times New Roman" w:cs="Times New Roman" w:eastAsia="Times New Roman" w:hAnsi="Times New Roman"/>
          <w:sz w:val="20"/>
          <w:szCs w:val="20"/>
          <w:color w:val="auto"/>
        </w:rPr>
        <w:t>greater development and commercialization capabilities. In addition, companies that perceive us to be a competitor may be unwilling to assign or license rights to us.</w:t>
      </w:r>
    </w:p>
    <w:p>
      <w:pPr>
        <w:spacing w:after="0" w:line="121"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w:t>
      </w:r>
    </w:p>
    <w:p>
      <w:pPr>
        <w:spacing w:after="0" w:line="144" w:lineRule="exact"/>
        <w:rPr>
          <w:sz w:val="20"/>
          <w:szCs w:val="20"/>
          <w:color w:val="auto"/>
        </w:rPr>
      </w:pPr>
    </w:p>
    <w:p>
      <w:pPr>
        <w:ind w:right="140" w:firstLine="360"/>
        <w:spacing w:after="0" w:line="316" w:lineRule="auto"/>
        <w:rPr>
          <w:sz w:val="20"/>
          <w:szCs w:val="20"/>
          <w:color w:val="auto"/>
        </w:rPr>
      </w:pPr>
      <w:r>
        <w:rPr>
          <w:rFonts w:ascii="Times New Roman" w:cs="Times New Roman" w:eastAsia="Times New Roman" w:hAnsi="Times New Roman"/>
          <w:sz w:val="19"/>
          <w:szCs w:val="19"/>
          <w:b w:val="1"/>
          <w:bCs w:val="1"/>
          <w:i w:val="1"/>
          <w:iCs w:val="1"/>
          <w:color w:val="auto"/>
        </w:rPr>
        <w:t>Our use of open source software and failure to comply with the terms of the underlying open source software licenses could impose limitations on our ability to commercialize our products and provide third parties to our proprietary software.</w:t>
      </w:r>
    </w:p>
    <w:p>
      <w:pPr>
        <w:spacing w:after="0" w:line="94" w:lineRule="exact"/>
        <w:rPr>
          <w:sz w:val="20"/>
          <w:szCs w:val="20"/>
          <w:color w:val="auto"/>
        </w:rPr>
      </w:pPr>
    </w:p>
    <w:p>
      <w:pPr>
        <w:ind w:right="20" w:firstLine="360"/>
        <w:spacing w:after="0" w:line="252" w:lineRule="auto"/>
        <w:rPr>
          <w:sz w:val="20"/>
          <w:szCs w:val="20"/>
          <w:color w:val="auto"/>
        </w:rPr>
      </w:pPr>
      <w:r>
        <w:rPr>
          <w:rFonts w:ascii="Times New Roman" w:cs="Times New Roman" w:eastAsia="Times New Roman" w:hAnsi="Times New Roman"/>
          <w:sz w:val="20"/>
          <w:szCs w:val="20"/>
          <w:color w:val="auto"/>
        </w:rPr>
        <w:t>Our products utilize open source software that contain modules licensed for use from third-party authors under open source licenses. In particular, some of the software may be provided under license arrangements that allow use of the software for research or other noncommercial purposes.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155"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20"/>
          <w:szCs w:val="20"/>
          <w:color w:val="auto"/>
        </w:rPr>
        <w:t>Although we review and monitors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spacing w:after="0" w:line="1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Intellectual property rights do not necessarily address all potential threats.</w:t>
      </w:r>
    </w:p>
    <w:p>
      <w:pPr>
        <w:spacing w:after="0" w:line="199" w:lineRule="exact"/>
        <w:rPr>
          <w:sz w:val="20"/>
          <w:szCs w:val="20"/>
          <w:color w:val="auto"/>
        </w:rPr>
      </w:pPr>
    </w:p>
    <w:p>
      <w:pPr>
        <w:jc w:val="both"/>
        <w:ind w:right="60" w:firstLine="360"/>
        <w:spacing w:after="0" w:line="309" w:lineRule="auto"/>
        <w:rPr>
          <w:sz w:val="20"/>
          <w:szCs w:val="20"/>
          <w:color w:val="auto"/>
        </w:rPr>
      </w:pPr>
      <w:r>
        <w:rPr>
          <w:rFonts w:ascii="Times New Roman" w:cs="Times New Roman" w:eastAsia="Times New Roman" w:hAnsi="Times New Roman"/>
          <w:sz w:val="19"/>
          <w:szCs w:val="19"/>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97" w:lineRule="exact"/>
        <w:rPr>
          <w:sz w:val="20"/>
          <w:szCs w:val="20"/>
          <w:color w:val="auto"/>
        </w:rPr>
      </w:pPr>
    </w:p>
    <w:p>
      <w:pPr>
        <w:ind w:right="220" w:firstLine="350"/>
        <w:spacing w:after="0" w:line="281" w:lineRule="auto"/>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others may be able to make products that are similar to products and technologies we may develop or may be able to utilize similar technologies that are not covered by the claims of the patents that we own or licenses now or in the future;</w:t>
      </w:r>
    </w:p>
    <w:p>
      <w:pPr>
        <w:spacing w:after="0" w:line="121" w:lineRule="exact"/>
        <w:rPr>
          <w:rFonts w:ascii="Times New Roman" w:cs="Times New Roman" w:eastAsia="Times New Roman" w:hAnsi="Times New Roman"/>
          <w:sz w:val="20"/>
          <w:szCs w:val="20"/>
          <w:color w:val="auto"/>
        </w:rPr>
      </w:pPr>
    </w:p>
    <w:p>
      <w:pPr>
        <w:ind w:right="480" w:firstLine="350"/>
        <w:spacing w:after="0" w:line="281" w:lineRule="auto"/>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or any future licensor(s), might not have been the first to make the inventions covered by the issued patent or pending patent application that we license or may own in the future;</w:t>
      </w:r>
    </w:p>
    <w:p>
      <w:pPr>
        <w:spacing w:after="0" w:line="121" w:lineRule="exact"/>
        <w:rPr>
          <w:rFonts w:ascii="Times New Roman" w:cs="Times New Roman" w:eastAsia="Times New Roman" w:hAnsi="Times New Roman"/>
          <w:sz w:val="20"/>
          <w:szCs w:val="20"/>
          <w:color w:val="auto"/>
        </w:rPr>
      </w:pPr>
    </w:p>
    <w:p>
      <w:pPr>
        <w:ind w:right="300" w:firstLine="350"/>
        <w:spacing w:after="0" w:line="281" w:lineRule="auto"/>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or any future licensor(s), might not have been the first to file patent applications covering certain of our or their inventions;</w:t>
      </w:r>
    </w:p>
    <w:p>
      <w:pPr>
        <w:spacing w:after="0" w:line="121" w:lineRule="exact"/>
        <w:rPr>
          <w:rFonts w:ascii="Times New Roman" w:cs="Times New Roman" w:eastAsia="Times New Roman" w:hAnsi="Times New Roman"/>
          <w:sz w:val="20"/>
          <w:szCs w:val="20"/>
          <w:color w:val="auto"/>
        </w:rPr>
      </w:pPr>
    </w:p>
    <w:p>
      <w:pPr>
        <w:ind w:right="420" w:firstLine="350"/>
        <w:spacing w:after="0" w:line="281" w:lineRule="auto"/>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others may independently develop similar or alternative technologies or duplicate any of our technologies without infringing, misappropriating or otherwise violating our owned or future licensed intellectual property rights;</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2240" w:h="15840" w:orient="portrait"/>
          <w:cols w:equalWidth="0" w:num="1">
            <w:col w:w="10240"/>
          </w:cols>
          <w:pgMar w:left="1000" w:top="793" w:right="1000" w:bottom="0" w:gutter="0" w:footer="0" w:header="0"/>
          <w:type w:val="continuous"/>
        </w:sectPr>
      </w:pPr>
    </w:p>
    <w:bookmarkStart w:id="59" w:name="page60"/>
    <w:bookmarkEnd w:id="59"/>
    <w:p>
      <w:pPr>
        <w:ind w:right="400" w:firstLine="350"/>
        <w:spacing w:after="0" w:line="281" w:lineRule="auto"/>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possible that our pending patent applications or those that we may license or own in the future will not lead to issued patents;</w:t>
      </w:r>
    </w:p>
    <w:p>
      <w:pPr>
        <w:spacing w:after="0" w:line="121" w:lineRule="exact"/>
        <w:rPr>
          <w:rFonts w:ascii="Times New Roman" w:cs="Times New Roman" w:eastAsia="Times New Roman" w:hAnsi="Times New Roman"/>
          <w:sz w:val="20"/>
          <w:szCs w:val="20"/>
          <w:color w:val="auto"/>
        </w:rPr>
      </w:pPr>
    </w:p>
    <w:p>
      <w:pPr>
        <w:ind w:right="140" w:firstLine="350"/>
        <w:spacing w:after="0" w:line="281" w:lineRule="auto"/>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issued patents that we hold rights to may be held invalid or unenforceable, including as a result of legal challenges by our competitors;</w:t>
      </w:r>
    </w:p>
    <w:p>
      <w:pPr>
        <w:spacing w:after="0" w:line="121" w:lineRule="exact"/>
        <w:rPr>
          <w:rFonts w:ascii="Times New Roman" w:cs="Times New Roman" w:eastAsia="Times New Roman" w:hAnsi="Times New Roman"/>
          <w:sz w:val="20"/>
          <w:szCs w:val="20"/>
          <w:color w:val="auto"/>
        </w:rPr>
      </w:pPr>
    </w:p>
    <w:p>
      <w:pPr>
        <w:jc w:val="both"/>
        <w:ind w:firstLine="350"/>
        <w:spacing w:after="0" w:line="309" w:lineRule="auto"/>
        <w:tabs>
          <w:tab w:leader="none" w:pos="72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97" w:lineRule="exact"/>
        <w:rPr>
          <w:rFonts w:ascii="Times New Roman" w:cs="Times New Roman" w:eastAsia="Times New Roman" w:hAnsi="Times New Roman"/>
          <w:sz w:val="19"/>
          <w:szCs w:val="19"/>
          <w:color w:val="auto"/>
        </w:rPr>
      </w:pPr>
    </w:p>
    <w:p>
      <w:pPr>
        <w:ind w:left="720" w:hanging="370"/>
        <w:spacing w:after="0"/>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develop additional proprietary technologies that are patentable;</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patents of others may harm our business; and</w:t>
      </w:r>
    </w:p>
    <w:p>
      <w:pPr>
        <w:spacing w:after="0" w:line="190" w:lineRule="exact"/>
        <w:rPr>
          <w:rFonts w:ascii="Times New Roman" w:cs="Times New Roman" w:eastAsia="Times New Roman" w:hAnsi="Times New Roman"/>
          <w:sz w:val="20"/>
          <w:szCs w:val="20"/>
          <w:color w:val="auto"/>
        </w:rPr>
      </w:pPr>
    </w:p>
    <w:p>
      <w:pPr>
        <w:ind w:right="160" w:firstLine="350"/>
        <w:spacing w:after="0" w:line="281" w:lineRule="auto"/>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choose not to file a patent for certain trade secrets or know-how, and a third party may independently derive, use, commercialize, publish or patent such intellectual property.</w:t>
      </w:r>
    </w:p>
    <w:p>
      <w:pPr>
        <w:spacing w:after="0" w:line="121" w:lineRule="exact"/>
        <w:rPr>
          <w:sz w:val="20"/>
          <w:szCs w:val="20"/>
          <w:color w:val="auto"/>
        </w:rPr>
      </w:pPr>
    </w:p>
    <w:p>
      <w:pPr>
        <w:ind w:right="660" w:firstLine="360"/>
        <w:spacing w:after="0" w:line="281" w:lineRule="auto"/>
        <w:rPr>
          <w:sz w:val="20"/>
          <w:szCs w:val="20"/>
          <w:color w:val="auto"/>
        </w:rPr>
      </w:pPr>
      <w:r>
        <w:rPr>
          <w:rFonts w:ascii="Times New Roman" w:cs="Times New Roman" w:eastAsia="Times New Roman" w:hAnsi="Times New Roman"/>
          <w:sz w:val="20"/>
          <w:szCs w:val="20"/>
          <w:color w:val="auto"/>
        </w:rPr>
        <w:t>Should any of these events occur, they could materially adversely affect our business, financial condition, results of operations and prospects.</w:t>
      </w:r>
    </w:p>
    <w:p>
      <w:pPr>
        <w:spacing w:after="0" w:line="1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Risks Related to Litigation</w:t>
      </w:r>
    </w:p>
    <w:p>
      <w:pPr>
        <w:spacing w:after="0" w:line="188" w:lineRule="exact"/>
        <w:rPr>
          <w:sz w:val="20"/>
          <w:szCs w:val="20"/>
          <w:color w:val="auto"/>
        </w:rPr>
      </w:pPr>
    </w:p>
    <w:p>
      <w:pPr>
        <w:ind w:right="120" w:firstLine="36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We may become involved in litigation to enforce or defend our intellectual property rights, or defend ourselves from claims that we infringe the intellectual property rights of others, which litigation could consume significant resources and management time, and in which an adverse result could result in loss of our intellectual property rights, a requirement that we pay significant damages, and could prevent us from selling our products.</w:t>
      </w:r>
    </w:p>
    <w:p>
      <w:pPr>
        <w:spacing w:after="0" w:line="141"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The life sciences industry is highly competitive, and companies in this industry routinely engage in litigation and governmental proceedings to enforce and defend the intellectual property rights that they believe they possess. We may become involved in litigation or governmental and/or administrative proceedings to enforce or defend our intellectual property rights. Additionally, we have and may continue to become involved in litigation and/or governmental or administrative proceedings to defend ourselves from claims that our products or services infringe the intellectual property rights of others, or to challenge the claimed intellectual property rights of others where we believe they may not be entitled to such rights. Such litigation and governmental proceedings are inherently unpredictable and costly, and can require significant time and attention of management. In addition to the costs and distraction of litigation, if we are unsuccessful in enforcing our intellectual property rights, or in defending our intellectual property rights from challenges of others, wit could result in our loss of our ability to exclude others from practicing aspects of our technology which could lead to greater competition for our products and services. Additionally, if we are unable to successfully defend ourselves from claims that we infringe the intellectual property rights of others and are unable to develop non-infringing alternative approaches for our products and services, we may be required to pay significant damages and ongoing royalties, or we may be prohibited from selling our products and services. Our success depends upon our ability to successfully enforce and defend our own intellectual property rights, and to defend ourselves from claims that we infringe the intellectual property rights of others.</w:t>
      </w:r>
    </w:p>
    <w:p>
      <w:pPr>
        <w:spacing w:after="0" w:line="149" w:lineRule="exact"/>
        <w:rPr>
          <w:sz w:val="20"/>
          <w:szCs w:val="20"/>
          <w:color w:val="auto"/>
        </w:rPr>
      </w:pPr>
    </w:p>
    <w:p>
      <w:pPr>
        <w:ind w:right="540" w:firstLine="3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products could have unknown defects or errors, which may give rise to claims against us and adversely affect market adoption of our Nautilus platform.</w:t>
      </w:r>
    </w:p>
    <w:p>
      <w:pPr>
        <w:spacing w:after="0" w:line="117" w:lineRule="exact"/>
        <w:rPr>
          <w:sz w:val="20"/>
          <w:szCs w:val="20"/>
          <w:color w:val="auto"/>
        </w:rPr>
      </w:pPr>
    </w:p>
    <w:p>
      <w:pPr>
        <w:ind w:firstLine="360"/>
        <w:spacing w:after="0" w:line="272" w:lineRule="auto"/>
        <w:rPr>
          <w:sz w:val="20"/>
          <w:szCs w:val="20"/>
          <w:color w:val="auto"/>
        </w:rPr>
      </w:pPr>
      <w:r>
        <w:rPr>
          <w:rFonts w:ascii="Times New Roman" w:cs="Times New Roman" w:eastAsia="Times New Roman" w:hAnsi="Times New Roman"/>
          <w:sz w:val="19"/>
          <w:szCs w:val="19"/>
          <w:color w:val="auto"/>
        </w:rPr>
        <w:t>Our Nautilus platform utilizes novel and complex technology applied on a microscopic scale, using key components that are not amenable to full characterization or quality assessment using conventional techniques or instrumentation, and such systems may develop or contain undetected defects or errors. We cannot assure you that material performance problems, defects or errors will not arise, and as we increase the density and integration of our Nautilus platform, these risks may increase. We expect to provide warranties that our Nautilus platform will meet performance expectations or be free from defects. The costs incurred in correcting any defects or errors may be substantial and could adversely affect our operating margins.</w:t>
      </w:r>
    </w:p>
    <w:p>
      <w:pPr>
        <w:spacing w:after="0" w:line="134" w:lineRule="exact"/>
        <w:rPr>
          <w:sz w:val="20"/>
          <w:szCs w:val="20"/>
          <w:color w:val="auto"/>
        </w:rPr>
      </w:pPr>
    </w:p>
    <w:p>
      <w:pPr>
        <w:ind w:right="20" w:firstLine="360"/>
        <w:spacing w:after="0" w:line="260" w:lineRule="auto"/>
        <w:rPr>
          <w:sz w:val="20"/>
          <w:szCs w:val="20"/>
          <w:color w:val="auto"/>
        </w:rPr>
      </w:pPr>
      <w:r>
        <w:rPr>
          <w:rFonts w:ascii="Times New Roman" w:cs="Times New Roman" w:eastAsia="Times New Roman" w:hAnsi="Times New Roman"/>
          <w:sz w:val="20"/>
          <w:szCs w:val="20"/>
          <w:color w:val="auto"/>
        </w:rPr>
        <w:t>In manufacturing our Nautilus platform, we depend upon third parties for the supply of various components. Many of these components require a significant degree of technical expertise to produce. If our suppliers fail to produce components to specification, or if the suppliers, or we, use defective materials or workmanship in the manufacturing process, the reliability and performance of our products will be compromised.</w:t>
      </w:r>
    </w:p>
    <w:p>
      <w:pPr>
        <w:spacing w:after="0" w:line="1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If our products contain defects, we may experience:</w:t>
      </w:r>
    </w:p>
    <w:p>
      <w:pPr>
        <w:spacing w:after="0" w:line="190" w:lineRule="exact"/>
        <w:rPr>
          <w:sz w:val="20"/>
          <w:szCs w:val="20"/>
          <w:color w:val="auto"/>
        </w:rPr>
      </w:pPr>
    </w:p>
    <w:p>
      <w:pPr>
        <w:ind w:left="720" w:hanging="370"/>
        <w:spacing w:after="0"/>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failure to achieve market acceptance or expansion of our product sales;</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of customer orders and delay in order fulfillment;</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2240" w:h="15840" w:orient="portrait"/>
          <w:cols w:equalWidth="0" w:num="1">
            <w:col w:w="10240"/>
          </w:cols>
          <w:pgMar w:left="1000" w:top="793" w:right="1000" w:bottom="0" w:gutter="0" w:footer="0" w:header="0"/>
          <w:type w:val="continuous"/>
        </w:sectPr>
      </w:pPr>
    </w:p>
    <w:bookmarkStart w:id="60" w:name="page61"/>
    <w:bookmarkEnd w:id="60"/>
    <w:p>
      <w:pPr>
        <w:ind w:left="720" w:hanging="370"/>
        <w:spacing w:after="0"/>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damage to our brand reputation;</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cost of our warranty program due to product repair or replacement;</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recalls or replacements;</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attract new customers;</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diversion of resources from our manufacturing and research and development departments into our service department;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w:t>
      </w:r>
    </w:p>
    <w:p>
      <w:pPr>
        <w:spacing w:after="0" w:line="170" w:lineRule="exact"/>
        <w:rPr>
          <w:sz w:val="20"/>
          <w:szCs w:val="20"/>
          <w:color w:val="auto"/>
        </w:rPr>
      </w:pPr>
    </w:p>
    <w:p>
      <w:pPr>
        <w:ind w:right="320" w:firstLine="350"/>
        <w:spacing w:after="0" w:line="281" w:lineRule="auto"/>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legal claims against us, including product liability claims, which could be costly and time consuming to defend and result in substantial damages.</w:t>
      </w:r>
    </w:p>
    <w:p>
      <w:pPr>
        <w:spacing w:after="0" w:line="121" w:lineRule="exact"/>
        <w:rPr>
          <w:sz w:val="20"/>
          <w:szCs w:val="20"/>
          <w:color w:val="auto"/>
        </w:rPr>
      </w:pPr>
    </w:p>
    <w:p>
      <w:pPr>
        <w:ind w:right="80" w:firstLine="360"/>
        <w:spacing w:after="0" w:line="281" w:lineRule="auto"/>
        <w:rPr>
          <w:sz w:val="20"/>
          <w:szCs w:val="20"/>
          <w:color w:val="auto"/>
        </w:rPr>
      </w:pPr>
      <w:r>
        <w:rPr>
          <w:rFonts w:ascii="Times New Roman" w:cs="Times New Roman" w:eastAsia="Times New Roman" w:hAnsi="Times New Roman"/>
          <w:sz w:val="20"/>
          <w:szCs w:val="20"/>
          <w:color w:val="auto"/>
        </w:rPr>
        <w:t>The occurrence of any one or more of the foregoing could negatively affect our business, financial condition and results of operations.</w:t>
      </w:r>
    </w:p>
    <w:p>
      <w:pPr>
        <w:spacing w:after="0" w:line="1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If we are sued for product liability, we could face substantial liabilities that exceed our resources.</w:t>
      </w:r>
    </w:p>
    <w:p>
      <w:pPr>
        <w:spacing w:after="0" w:line="199" w:lineRule="exact"/>
        <w:rPr>
          <w:sz w:val="20"/>
          <w:szCs w:val="20"/>
          <w:color w:val="auto"/>
        </w:rPr>
      </w:pPr>
    </w:p>
    <w:p>
      <w:pPr>
        <w:ind w:right="40" w:firstLine="360"/>
        <w:spacing w:after="0" w:line="253" w:lineRule="auto"/>
        <w:rPr>
          <w:sz w:val="20"/>
          <w:szCs w:val="20"/>
          <w:color w:val="auto"/>
        </w:rPr>
      </w:pPr>
      <w:r>
        <w:rPr>
          <w:rFonts w:ascii="Times New Roman" w:cs="Times New Roman" w:eastAsia="Times New Roman" w:hAnsi="Times New Roman"/>
          <w:sz w:val="20"/>
          <w:szCs w:val="20"/>
          <w:color w:val="auto"/>
        </w:rPr>
        <w:t>The marketing, sale and use of our products could lead to the filing of product liability claims were someone to allege that our products identified inaccurate or incomplete information regarding the proteins analyzed or otherwise failed to perform as designed. We may also be subject to liability for errors in, a misunderstanding of or inappropriate reliance upon, the information we provide in the ordinary course of our business activities. A product liability claim could result in substantial damages and be costly and time-consuming for us to defend. 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 Additionally, any product liability lawsuit could damage our reputation, or cause current customers to terminate existing agreements and potential partners to seek other partners, any of which could adversely impact our business, financial condition and results of operations.</w:t>
      </w:r>
    </w:p>
    <w:p>
      <w:pPr>
        <w:spacing w:after="0" w:line="1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Risks Related to Regulatory and Legal Compliance Matters</w:t>
      </w:r>
    </w:p>
    <w:p>
      <w:pPr>
        <w:spacing w:after="0" w:line="188" w:lineRule="exact"/>
        <w:rPr>
          <w:sz w:val="20"/>
          <w:szCs w:val="20"/>
          <w:color w:val="auto"/>
        </w:rPr>
      </w:pPr>
    </w:p>
    <w:p>
      <w:pPr>
        <w:ind w:right="80" w:firstLine="3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Although our products currently are not labeled or intended for any use which would subject us to regulation by the FDA or other regulatory authorities, if we elect to label and promote any of our products as clinical or medical device products, we would be subject to regulation in the future and would be required to obtain prior approval or clearance by the FDA or other regulatory authorities, which could take significant time and expense and could fail to result in FDA clearance or approval for the intended uses we believe are commercially attractive.</w:t>
      </w:r>
    </w:p>
    <w:p>
      <w:pPr>
        <w:spacing w:after="0" w:line="148" w:lineRule="exact"/>
        <w:rPr>
          <w:sz w:val="20"/>
          <w:szCs w:val="20"/>
          <w:color w:val="auto"/>
        </w:rPr>
      </w:pPr>
    </w:p>
    <w:p>
      <w:pPr>
        <w:ind w:right="140" w:firstLine="360"/>
        <w:spacing w:after="0" w:line="258" w:lineRule="auto"/>
        <w:rPr>
          <w:sz w:val="20"/>
          <w:szCs w:val="20"/>
          <w:color w:val="auto"/>
        </w:rPr>
      </w:pPr>
      <w:r>
        <w:rPr>
          <w:rFonts w:ascii="Times New Roman" w:cs="Times New Roman" w:eastAsia="Times New Roman" w:hAnsi="Times New Roman"/>
          <w:sz w:val="20"/>
          <w:szCs w:val="20"/>
          <w:color w:val="auto"/>
        </w:rPr>
        <w:t>Our products are currently labeled and promoted, and are, and in the near-future will be, sold primarily to research companies and academic and research institutions as research use only (“RUO”) products, and are not currently intended to be used, for clinical diagnostic tests or as medical devices. 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w:t>
      </w:r>
    </w:p>
    <w:p>
      <w:pPr>
        <w:spacing w:after="0" w:line="144"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application, and some of the requirements of the FDA’s Quality System Regulations (the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50"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20"/>
          <w:szCs w:val="20"/>
          <w:color w:val="auto"/>
        </w:rPr>
        <w:t>In addition, we may in the future submit 510(k) premarket notification applications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de novo application is required for some of our products. If such applications were required, greater time and investment would be required to obtain FDA approval. Even if the FDA agreed that a 510(k) was appropriate, FDA clearance can be expensive and time consuming. It can take a significant amount of time to prepare and submit a 510(k) application,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2240" w:h="15840" w:orient="portrait"/>
          <w:cols w:equalWidth="0" w:num="1">
            <w:col w:w="10240"/>
          </w:cols>
          <w:pgMar w:left="1000" w:top="793" w:right="1000" w:bottom="0" w:gutter="0" w:footer="0" w:header="0"/>
          <w:type w:val="continuous"/>
        </w:sectPr>
      </w:pPr>
    </w:p>
    <w:bookmarkStart w:id="61" w:name="page62"/>
    <w:bookmarkEnd w:id="61"/>
    <w:p>
      <w:pPr>
        <w:spacing w:after="0" w:line="270" w:lineRule="auto"/>
        <w:rPr>
          <w:sz w:val="20"/>
          <w:szCs w:val="20"/>
          <w:color w:val="auto"/>
        </w:rPr>
      </w:pPr>
      <w:r>
        <w:rPr>
          <w:rFonts w:ascii="Times New Roman" w:cs="Times New Roman" w:eastAsia="Times New Roman" w:hAnsi="Times New Roman"/>
          <w:sz w:val="19"/>
          <w:szCs w:val="19"/>
          <w:color w:val="auto"/>
        </w:rPr>
        <w:t>commercially attractive. There can be no assurance that future products for which we may seek premarket clearance or approval will be cleared or approved by the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134"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20"/>
          <w:szCs w:val="20"/>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may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49" w:lineRule="exact"/>
        <w:rPr>
          <w:sz w:val="20"/>
          <w:szCs w:val="20"/>
          <w:color w:val="auto"/>
        </w:rPr>
      </w:pPr>
    </w:p>
    <w:p>
      <w:pPr>
        <w:ind w:right="100" w:firstLine="360"/>
        <w:spacing w:after="0" w:line="253" w:lineRule="auto"/>
        <w:rPr>
          <w:sz w:val="20"/>
          <w:szCs w:val="20"/>
          <w:color w:val="auto"/>
        </w:rPr>
      </w:pPr>
      <w:r>
        <w:rPr>
          <w:rFonts w:ascii="Times New Roman" w:cs="Times New Roman" w:eastAsia="Times New Roman" w:hAnsi="Times New Roman"/>
          <w:sz w:val="20"/>
          <w:szCs w:val="20"/>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Following Brexit, medical device products entering the U.K. market will have to comply with the regulatory requirements of the Medicines and Healthcare products Regulatory Agency (the “MHRA”), including the new UK Medical Device Regulations, which are scheduled to go into effect by July 2024. In July 2023, MHRA updated its guidance to reflect that the government now aims to delay implementation of the core aspects of the regulations to July 2025. These foreign regulations and any future requirements that may be implemented by regulatory authorities will increase the difficulty of obtaining and maintaining regulatory approvals and compliance in Europe in the future. In addition, the FDA regulates exports of medical devices. Failure to comply with these regulatory requirements or obtain and maintain required approvals, clearances or certifications could impair our ability to commercialize our products for diagnostic use outside of the United States.</w:t>
      </w:r>
    </w:p>
    <w:p>
      <w:pPr>
        <w:spacing w:after="0" w:line="139" w:lineRule="exact"/>
        <w:rPr>
          <w:sz w:val="20"/>
          <w:szCs w:val="20"/>
          <w:color w:val="auto"/>
        </w:rPr>
      </w:pPr>
    </w:p>
    <w:p>
      <w:pPr>
        <w:ind w:right="180" w:firstLine="360"/>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p>
    <w:p>
      <w:pPr>
        <w:spacing w:after="0" w:line="133"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19"/>
          <w:szCs w:val="19"/>
          <w:color w:val="auto"/>
        </w:rPr>
        <w:t>We do not currently expect our Nautilus platform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While the FDA has traditionally exercised enforcement discretion with LDTs, the FDA could take the view that our sale of our RUO labeled products were made with the knowledge that the products will be used as medical devices, and could therefore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spacing w:after="0" w:line="148" w:lineRule="exact"/>
        <w:rPr>
          <w:sz w:val="20"/>
          <w:szCs w:val="20"/>
          <w:color w:val="auto"/>
        </w:rPr>
      </w:pPr>
    </w:p>
    <w:p>
      <w:pPr>
        <w:ind w:right="60" w:firstLine="360"/>
        <w:spacing w:after="0" w:line="275" w:lineRule="auto"/>
        <w:rPr>
          <w:sz w:val="20"/>
          <w:szCs w:val="20"/>
          <w:color w:val="auto"/>
        </w:rPr>
      </w:pPr>
      <w:r>
        <w:rPr>
          <w:rFonts w:ascii="Times New Roman" w:cs="Times New Roman" w:eastAsia="Times New Roman" w:hAnsi="Times New Roman"/>
          <w:sz w:val="19"/>
          <w:szCs w:val="19"/>
          <w:color w:val="auto"/>
        </w:rPr>
        <w:t xml:space="preserve">The FDA has historically exercised enforcement discretion in not enforcing the medical device regulations against laboratories offering LDTs. FDA recently issued a proposed rule that, if finalized, will amend FDA’s regulations to make explicit that </w:t>
      </w:r>
      <w:r>
        <w:rPr>
          <w:rFonts w:ascii="Times New Roman" w:cs="Times New Roman" w:eastAsia="Times New Roman" w:hAnsi="Times New Roman"/>
          <w:sz w:val="19"/>
          <w:szCs w:val="19"/>
          <w:b w:val="1"/>
          <w:bCs w:val="1"/>
          <w:i w:val="1"/>
          <w:iCs w:val="1"/>
          <w:color w:val="auto"/>
        </w:rPr>
        <w:t>in vitro</w:t>
      </w:r>
      <w:r>
        <w:rPr>
          <w:rFonts w:ascii="Times New Roman" w:cs="Times New Roman" w:eastAsia="Times New Roman" w:hAnsi="Times New Roman"/>
          <w:sz w:val="19"/>
          <w:szCs w:val="19"/>
          <w:color w:val="auto"/>
        </w:rPr>
        <w:t xml:space="preserve"> diagnostis (“IVDs”) are devices under the Federal Food, Drug, and Cosmetic Act, including when the manufacturer of the IVD is a laboratory and will phase out its enforcement discretion for LDTs. It is unclear how this proposed rule, if finalized, as well as future legislation by the government will impact the industry, including our business and that of our</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2240" w:h="15840" w:orient="portrait"/>
          <w:cols w:equalWidth="0" w:num="1">
            <w:col w:w="10240"/>
          </w:cols>
          <w:pgMar w:left="1000" w:top="793" w:right="1000" w:bottom="0" w:gutter="0" w:footer="0" w:header="0"/>
          <w:type w:val="continuous"/>
        </w:sectPr>
      </w:pPr>
    </w:p>
    <w:bookmarkStart w:id="62" w:name="page63"/>
    <w:bookmarkEnd w:id="62"/>
    <w:p>
      <w:pPr>
        <w:ind w:right="20"/>
        <w:spacing w:after="0" w:line="260" w:lineRule="auto"/>
        <w:rPr>
          <w:sz w:val="20"/>
          <w:szCs w:val="20"/>
          <w:color w:val="auto"/>
        </w:rPr>
      </w:pPr>
      <w:r>
        <w:rPr>
          <w:rFonts w:ascii="Times New Roman" w:cs="Times New Roman" w:eastAsia="Times New Roman" w:hAnsi="Times New Roman"/>
          <w:sz w:val="20"/>
          <w:szCs w:val="20"/>
          <w:color w:val="auto"/>
        </w:rPr>
        <w:t>customers. Any restrictions on LDTs by the FDA, Congress, or regulatory authorities may decrease the demand for our products. The adoption of new restrictions on RUO products, whether by the FDA or Congress, could adversely affect demand for our specialized reagents and instruments. Further, we could be required to obtain premarket clearance or approval before we can sell our products to certain customers.</w:t>
      </w:r>
    </w:p>
    <w:p>
      <w:pPr>
        <w:spacing w:after="0" w:line="143"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the Physician Payments Sunshine Act and related transparency and manufacturer reporting laws, and other laws and regulations applicable to medical device manufacturers. If our operations are found to be in violation of any applicable FDA or healthcare laws and regulations, we may be subject to penalties, monetary damages, disgorgement, imprisonment, the curtailment or restructuring of our operations, loss of eligibility to obtain clearance or approvals from the FDA, fees from regulators, fines, significant settlements or judgments, or exclusion from participation in government contracting, healthcare reimbursement or other government programs, including Medicare and Medicaid, or other restrictions on our operations, any of which could adversely impact our financial results. Any action against us for an alleged or suspected violation by a private party or governmental agency could cause us to incur significant legal expenses, adversely impact our reputation,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48" w:lineRule="exact"/>
        <w:rPr>
          <w:sz w:val="20"/>
          <w:szCs w:val="20"/>
          <w:color w:val="auto"/>
        </w:rPr>
      </w:pPr>
    </w:p>
    <w:p>
      <w:pPr>
        <w:ind w:right="100" w:firstLine="360"/>
        <w:spacing w:after="0" w:line="254" w:lineRule="auto"/>
        <w:rPr>
          <w:sz w:val="20"/>
          <w:szCs w:val="20"/>
          <w:color w:val="auto"/>
        </w:rPr>
      </w:pPr>
      <w:r>
        <w:rPr>
          <w:rFonts w:ascii="Times New Roman" w:cs="Times New Roman" w:eastAsia="Times New Roman" w:hAnsi="Times New Roman"/>
          <w:sz w:val="20"/>
          <w:szCs w:val="20"/>
          <w:color w:val="auto"/>
        </w:rPr>
        <w:t>Additionally, on November 25, 2013, the FDA issued Final Guidance “Distribution of In Vitro Diagnostic Products Labeled for Research Use Only.” This guidance emphasizes that the FDA will review the totality of the circumstances when it comes to evaluating whether equipment and testing components are properly labeled as RUO. This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49" w:lineRule="exact"/>
        <w:rPr>
          <w:sz w:val="20"/>
          <w:szCs w:val="20"/>
          <w:color w:val="auto"/>
        </w:rPr>
      </w:pPr>
    </w:p>
    <w:p>
      <w:pPr>
        <w:ind w:right="40" w:firstLine="360"/>
        <w:spacing w:after="0" w:line="256" w:lineRule="auto"/>
        <w:rPr>
          <w:sz w:val="20"/>
          <w:szCs w:val="20"/>
          <w:color w:val="auto"/>
        </w:rPr>
      </w:pPr>
      <w:r>
        <w:rPr>
          <w:rFonts w:ascii="Times New Roman" w:cs="Times New Roman" w:eastAsia="Times New Roman" w:hAnsi="Times New Roman"/>
          <w:sz w:val="20"/>
          <w:szCs w:val="20"/>
          <w:color w:val="auto"/>
        </w:rPr>
        <w:t>Even if the FDA does not modify its policy of enforcement discretion, whether due to changes in FDA policy or legislative action, the FDA may disagree with the marketing of our current products in the United States. We may also be required to conduct clinical studies to support our currently marketed products or planned product launches. If we are required to conduct such clinical trials or to obtain regulatory authorization, delays in the commencement of our product launches or our changes to our current marketing strategy could significantly increase our costs and delay our commercialization plans, which could harm our financial prospects.</w:t>
      </w:r>
    </w:p>
    <w:p>
      <w:pPr>
        <w:spacing w:after="0" w:line="139" w:lineRule="exact"/>
        <w:rPr>
          <w:sz w:val="20"/>
          <w:szCs w:val="20"/>
          <w:color w:val="auto"/>
        </w:rPr>
      </w:pPr>
    </w:p>
    <w:p>
      <w:pPr>
        <w:ind w:firstLine="36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We are currently subject to, and may in the future become subject to additional, U.S. federal and state laws and regulations imposing obligations on how we collect, store and processes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141"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20"/>
          <w:szCs w:val="20"/>
          <w:color w:val="auto"/>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us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56" w:lineRule="exact"/>
        <w:rPr>
          <w:sz w:val="20"/>
          <w:szCs w:val="20"/>
          <w:color w:val="auto"/>
        </w:rPr>
      </w:pPr>
    </w:p>
    <w:p>
      <w:pPr>
        <w:ind w:right="40" w:firstLine="360"/>
        <w:spacing w:after="0" w:line="270" w:lineRule="auto"/>
        <w:rPr>
          <w:sz w:val="20"/>
          <w:szCs w:val="20"/>
          <w:color w:val="auto"/>
        </w:rPr>
      </w:pPr>
      <w:r>
        <w:rPr>
          <w:rFonts w:ascii="Times New Roman" w:cs="Times New Roman" w:eastAsia="Times New Roman" w:hAnsi="Times New Roman"/>
          <w:sz w:val="19"/>
          <w:szCs w:val="19"/>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(the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2240" w:h="15840" w:orient="portrait"/>
          <w:cols w:equalWidth="0" w:num="1">
            <w:col w:w="10240"/>
          </w:cols>
          <w:pgMar w:left="1000" w:top="793" w:right="1000" w:bottom="0" w:gutter="0" w:footer="0" w:header="0"/>
          <w:type w:val="continuous"/>
        </w:sectPr>
      </w:pPr>
    </w:p>
    <w:bookmarkStart w:id="63" w:name="page64"/>
    <w:bookmarkEnd w:id="63"/>
    <w:p>
      <w:pPr>
        <w:spacing w:after="0" w:line="252" w:lineRule="auto"/>
        <w:rPr>
          <w:sz w:val="20"/>
          <w:szCs w:val="20"/>
          <w:color w:val="auto"/>
        </w:rPr>
      </w:pPr>
      <w:r>
        <w:rPr>
          <w:rFonts w:ascii="Times New Roman" w:cs="Times New Roman" w:eastAsia="Times New Roman" w:hAnsi="Times New Roman"/>
          <w:sz w:val="20"/>
          <w:szCs w:val="20"/>
          <w:color w:val="auto"/>
        </w:rPr>
        <w:t>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passed the California Privacy Rights Act (the “CPRA”), which amended and expanded the CCPA as of January 1, 2023. Although the CCPA includes exemptions for certain clinical trial data, the law may increase our compliance costs and potential liability with respect to other personal information we collect about California customers. It is possible that these consumer, health-related and data protection laws may be interpreted and applied in a manner that is inconsistent with our practices. If so, this could result in government-imposed fines or orders requiring that we change our practices, which could adversely affect our business. In addition to the CCPA, numerous other states’ legislatures are considering or have enacted similar data privacy laws. For example, Virginia, Colorado, Utah and Connecticut have each passed laws similar to but different from the CCPA and CPRA that have taken effect in 2023; Florida, Montana, Oregon and Texas have enacted similar laws that go into effect in 2024; Tennessee, Delaware and Iowa have enacted similar laws that go into effect in 2025; and Indiana has enacted a similar law that will go into effect in 2026. Additionally, certain other state laws govern the privacy and security of health information in certain circumstances, such as Washington’s My Health, My Data Act, which contains a private right of action. These new state laws will require ongoing compliance efforts and investment.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spacing w:after="0" w:line="153"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Furthermore, regulations promulgated pursuant to the Health Insurance Portability and Accountability Act of 1996 (the “HIPAA”), establish privacy and security standards that limit the use and disclosure of certain individually identifiable health information defined in HIPAA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subject to a security incident, or otherwise compromised or disrupted due to various causes, including employee error, malfeasance or other malicious or inadvertent actions. Any such breach, incident, compromise or disruption could compromise our networks and the information stored there could be accessed by unauthorized parties, manipulated, publicly disclosed, lost, stolen, corrupted, made unavailable, or misused or otherwise processed without authorization. Any such access, breach or other loss of information could result in legal claims or proceedings, and liability under federal or state laws that protect the privacy of personal information, such as the HIPAA, the Health Information Technology for Economic and Clinical Health Act,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155"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We are in the process of evaluating compliance needs but do not currently have in place formal policies and procedures related to the storage, collection and processing of information, and have not conducted any internal or external data privacy audits to fully assess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contractual obligations or any other actual or asserted obligations relating to data privacy and security could result in damage to our reputation, as well as claims, demands, proceedings or litigation by governmental agencies or other third parties, including class action privacy litigation in certain jurisdictions, which would subject us to significant fines, sanctions, awards, penalties, judgments and other liabilities, all of which could have a material adverse effect on our business, financial condition, results of operations and prospects.</w:t>
      </w:r>
    </w:p>
    <w:p>
      <w:pPr>
        <w:spacing w:after="0" w:line="1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Our use of artificial intelligence and machine learning technologies may result in reputational harm or liability.</w:t>
      </w:r>
    </w:p>
    <w:p>
      <w:pPr>
        <w:spacing w:after="0" w:line="199" w:lineRule="exact"/>
        <w:rPr>
          <w:sz w:val="20"/>
          <w:szCs w:val="20"/>
          <w:color w:val="auto"/>
        </w:rPr>
      </w:pPr>
    </w:p>
    <w:p>
      <w:pPr>
        <w:ind w:right="140" w:firstLine="360"/>
        <w:spacing w:after="0" w:line="275" w:lineRule="auto"/>
        <w:rPr>
          <w:sz w:val="20"/>
          <w:szCs w:val="20"/>
          <w:color w:val="auto"/>
        </w:rPr>
      </w:pPr>
      <w:r>
        <w:rPr>
          <w:rFonts w:ascii="Times New Roman" w:cs="Times New Roman" w:eastAsia="Times New Roman" w:hAnsi="Times New Roman"/>
          <w:sz w:val="19"/>
          <w:szCs w:val="19"/>
          <w:color w:val="auto"/>
        </w:rPr>
        <w:t>We have incorporated and may continue to incorporate additional artificial intelligence and machine learning, or AIML, technologies into our platform, including within our decoding pipelines and otherwise within our business, and these solutions and features are key elements of our technological approach and to our future growth over time. We rely and expect to rely on AIML technologies in our platform, but there can be no assurance that we will realize the desired or anticipated benefits from AIML or any at all. We may also fail to properly implement or utilize AIML technologies. Our competitors or other third</w:t>
      </w:r>
    </w:p>
    <w:p>
      <w:pPr>
        <w:sectPr>
          <w:pgSz w:w="12240" w:h="15840" w:orient="portrait"/>
          <w:cols w:equalWidth="0" w:num="1">
            <w:col w:w="10240"/>
          </w:cols>
          <w:pgMar w:left="1000" w:top="793" w:right="1000" w:bottom="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2240" w:h="15840" w:orient="portrait"/>
          <w:cols w:equalWidth="0" w:num="1">
            <w:col w:w="10240"/>
          </w:cols>
          <w:pgMar w:left="1000" w:top="793" w:right="1000" w:bottom="0" w:gutter="0" w:footer="0" w:header="0"/>
          <w:type w:val="continuous"/>
        </w:sectPr>
      </w:pPr>
    </w:p>
    <w:bookmarkStart w:id="64" w:name="page65"/>
    <w:bookmarkEnd w:id="64"/>
    <w:p>
      <w:pPr>
        <w:spacing w:after="0" w:line="252" w:lineRule="auto"/>
        <w:rPr>
          <w:sz w:val="20"/>
          <w:szCs w:val="20"/>
          <w:color w:val="auto"/>
        </w:rPr>
      </w:pPr>
      <w:r>
        <w:rPr>
          <w:rFonts w:ascii="Times New Roman" w:cs="Times New Roman" w:eastAsia="Times New Roman" w:hAnsi="Times New Roman"/>
          <w:sz w:val="20"/>
          <w:szCs w:val="20"/>
          <w:color w:val="auto"/>
        </w:rPr>
        <w:t>parties may incorporate AIML into their products and services or otherwise within their business more quickly or more successfully than us, which could impair our ability to compete effectively and adversely affect our results of operations. Additionally, our use of AIML technologies may expose us to additional claims, demands and proceedings by private parties and regulatory authorities and subject us to legal liability as well as brand and reputational harm. For example, if output from AIML technologies or that they assist in producing are or are alleged to be deficient, inaccurate, or biased, or for such output, or such technologies or their development or deployment, including the collection, use, or other processing of data used to train or create such AIML technologies, to alleged to infringe upon or to have misappropriated third-party intellectual property rights or to violate applicable laws, regulations, or other actual or asserted legal obligations to which we are or may become subject, then our business, financial condition, and results of operations may be adversely affected. The legal, regulatory, and policy environments around AIML are evolving rapidly, and we may become subject to new and evolving legal and other obligations. These and other developments may require us to make significant changes to our use of AIML, including by limiting or restricting our use of AIML, and may require us to make significant changes to our policies and practices, which may necessitate expenditure of significant time, expense, and other resources, AIML also presents emerging ethical issues, and if our use of AIML becomes controversial, we may experience brand or reputational harm.</w:t>
      </w:r>
    </w:p>
    <w:p>
      <w:pPr>
        <w:spacing w:after="0" w:line="150" w:lineRule="exact"/>
        <w:rPr>
          <w:sz w:val="20"/>
          <w:szCs w:val="20"/>
          <w:color w:val="auto"/>
        </w:rPr>
      </w:pPr>
    </w:p>
    <w:p>
      <w:pPr>
        <w:jc w:val="both"/>
        <w:ind w:right="180" w:firstLine="36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we commercialize our Nautilus platform outside of the United States, our international business could expose us to business, tax, regulatory, political, operational, financial, and economic risks associated with doing business outside of the United States.</w:t>
      </w:r>
    </w:p>
    <w:p>
      <w:pPr>
        <w:spacing w:after="0" w:line="136" w:lineRule="exact"/>
        <w:rPr>
          <w:sz w:val="20"/>
          <w:szCs w:val="20"/>
          <w:color w:val="auto"/>
        </w:rPr>
      </w:pPr>
    </w:p>
    <w:p>
      <w:pPr>
        <w:ind w:right="420" w:firstLine="360"/>
        <w:spacing w:after="0" w:line="266" w:lineRule="auto"/>
        <w:rPr>
          <w:sz w:val="20"/>
          <w:szCs w:val="20"/>
          <w:color w:val="auto"/>
        </w:rPr>
      </w:pPr>
      <w:r>
        <w:rPr>
          <w:rFonts w:ascii="Times New Roman" w:cs="Times New Roman" w:eastAsia="Times New Roman" w:hAnsi="Times New Roman"/>
          <w:sz w:val="20"/>
          <w:szCs w:val="20"/>
          <w:color w:val="auto"/>
        </w:rPr>
        <w:t>If we commercialize our Nautilus platform outside of the United States, our international business may be adversely affected by changing economic, political and regulatory conditions in foreign countries. Engaging in international business inherently involves a number of difficulties and risks, including:</w:t>
      </w:r>
    </w:p>
    <w:p>
      <w:pPr>
        <w:spacing w:after="0" w:line="135" w:lineRule="exact"/>
        <w:rPr>
          <w:sz w:val="20"/>
          <w:szCs w:val="20"/>
          <w:color w:val="auto"/>
        </w:rPr>
      </w:pPr>
    </w:p>
    <w:p>
      <w:pPr>
        <w:ind w:left="720" w:hanging="370"/>
        <w:spacing w:after="0"/>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required compliance with existing and changing foreign regulatory requirements and laws;</w:t>
      </w:r>
    </w:p>
    <w:p>
      <w:pPr>
        <w:spacing w:after="0" w:line="190" w:lineRule="exact"/>
        <w:rPr>
          <w:rFonts w:ascii="Times New Roman" w:cs="Times New Roman" w:eastAsia="Times New Roman" w:hAnsi="Times New Roman"/>
          <w:sz w:val="20"/>
          <w:szCs w:val="20"/>
          <w:color w:val="auto"/>
        </w:rPr>
      </w:pPr>
    </w:p>
    <w:p>
      <w:pPr>
        <w:ind w:right="680" w:firstLine="350"/>
        <w:spacing w:after="0" w:line="281" w:lineRule="auto"/>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required compliance with U.S. laws such as the Foreign Corrupt Practices Act, and other U.S. federal laws and regulations established by the office of Foreign Asset Control;</w:t>
      </w:r>
    </w:p>
    <w:p>
      <w:pPr>
        <w:spacing w:after="0" w:line="12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export or import restrictions;</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laws and business practices favoring local companies;</w:t>
      </w:r>
    </w:p>
    <w:p>
      <w:pPr>
        <w:spacing w:after="0" w:line="190" w:lineRule="exact"/>
        <w:rPr>
          <w:rFonts w:ascii="Times New Roman" w:cs="Times New Roman" w:eastAsia="Times New Roman" w:hAnsi="Times New Roman"/>
          <w:sz w:val="20"/>
          <w:szCs w:val="20"/>
          <w:color w:val="auto"/>
        </w:rPr>
      </w:pPr>
    </w:p>
    <w:p>
      <w:pPr>
        <w:ind w:right="140" w:firstLine="350"/>
        <w:spacing w:after="0" w:line="281" w:lineRule="auto"/>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foreign currency exchange, longer payment cycles and difficulties in enforcing agreements and collecting receivables through certain foreign legal systems;</w:t>
      </w:r>
    </w:p>
    <w:p>
      <w:pPr>
        <w:spacing w:after="0" w:line="12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political and economic instability;</w:t>
      </w:r>
    </w:p>
    <w:p>
      <w:pPr>
        <w:spacing w:after="0" w:line="190" w:lineRule="exact"/>
        <w:rPr>
          <w:rFonts w:ascii="Times New Roman" w:cs="Times New Roman" w:eastAsia="Times New Roman" w:hAnsi="Times New Roman"/>
          <w:sz w:val="20"/>
          <w:szCs w:val="20"/>
          <w:color w:val="auto"/>
        </w:rPr>
      </w:pPr>
    </w:p>
    <w:p>
      <w:pPr>
        <w:ind w:right="140" w:firstLine="350"/>
        <w:spacing w:after="0" w:line="260" w:lineRule="auto"/>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social, economic, and political conditions or in laws, regulations and policies governing foreign trade, intellectual property, manufacturing, research and development, and investment both domestically as well as in the other countries and jurisdictions in which we operate and into which we may sell our products including as a result of the separation of the United Kingdom from the European Union (Brexit);</w:t>
      </w:r>
    </w:p>
    <w:p>
      <w:pPr>
        <w:spacing w:after="0" w:line="143"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potentially adverse tax consequences, tariffs, customs charges, bureaucratic requirements and other trade barriers;</w:t>
      </w:r>
    </w:p>
    <w:p>
      <w:pPr>
        <w:spacing w:after="0" w:line="190" w:lineRule="exact"/>
        <w:rPr>
          <w:rFonts w:ascii="Times New Roman" w:cs="Times New Roman" w:eastAsia="Times New Roman" w:hAnsi="Times New Roman"/>
          <w:sz w:val="20"/>
          <w:szCs w:val="20"/>
          <w:color w:val="auto"/>
        </w:rPr>
      </w:pPr>
    </w:p>
    <w:p>
      <w:pPr>
        <w:ind w:right="380" w:firstLine="350"/>
        <w:spacing w:after="0" w:line="281" w:lineRule="auto"/>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and costs of staffing and managing foreign operations, including compliance with diverse and complex local employment laws and practices; and</w:t>
      </w:r>
    </w:p>
    <w:p>
      <w:pPr>
        <w:spacing w:after="0" w:line="12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protecting, maintaining, enforcing or procuring intellectual property rights.</w:t>
      </w:r>
    </w:p>
    <w:p>
      <w:pPr>
        <w:spacing w:after="0" w:line="190" w:lineRule="exact"/>
        <w:rPr>
          <w:sz w:val="20"/>
          <w:szCs w:val="20"/>
          <w:color w:val="auto"/>
        </w:rPr>
      </w:pPr>
    </w:p>
    <w:p>
      <w:pPr>
        <w:ind w:right="140" w:firstLine="360"/>
        <w:spacing w:after="0" w:line="281" w:lineRule="auto"/>
        <w:rPr>
          <w:sz w:val="20"/>
          <w:szCs w:val="20"/>
          <w:color w:val="auto"/>
        </w:rPr>
      </w:pPr>
      <w:r>
        <w:rPr>
          <w:rFonts w:ascii="Times New Roman" w:cs="Times New Roman" w:eastAsia="Times New Roman" w:hAnsi="Times New Roman"/>
          <w:sz w:val="20"/>
          <w:szCs w:val="20"/>
          <w:color w:val="auto"/>
        </w:rPr>
        <w:t>If one or more of these risks occurs, it could require us to dedicate significant resources to remedy such occurrence, and if we are unsuccessful in finding a solution, our financial results will suffer.</w:t>
      </w:r>
    </w:p>
    <w:p>
      <w:pPr>
        <w:spacing w:after="0" w:line="121"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20"/>
          <w:szCs w:val="20"/>
          <w:color w:val="auto"/>
        </w:rPr>
        <w:t>In addition, if we commercialize our Nautilus platform outside of the United States, we may rely on distributors for sales of our Nautilus platform and related products. To do so we must attract distributors and maintain distributors to maximize the commercial opportunity for our platform. There is no guarantee that we will be successful in attracting or retaining desirable sales and distribution partners or that we will be able to enter into such arrangements on favorable terms. Distributors may not commit the necessary resources to market and sell our Nautilus platform and related products to the level of our expectations or may choose to favor marketing the products of our competitors. If current or future distributors do not perform adequately, or we are unable to enter into effective arrangements with distributors in particular geographic areas, we may not realize long-term international revenue growth and our financial results will suffer.</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2240" w:h="15840" w:orient="portrait"/>
          <w:cols w:equalWidth="0" w:num="1">
            <w:col w:w="10240"/>
          </w:cols>
          <w:pgMar w:left="1000" w:top="793" w:right="1000" w:bottom="0" w:gutter="0" w:footer="0" w:header="0"/>
          <w:type w:val="continuous"/>
        </w:sectPr>
      </w:pPr>
    </w:p>
    <w:bookmarkStart w:id="65" w:name="page66"/>
    <w:bookmarkEnd w:id="65"/>
    <w:p>
      <w:pPr>
        <w:ind w:right="120" w:firstLine="36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If we expand our development and commercialization activities outside of the United States, we will be subject to an increased risk of conducting activities in a manner that violates the U.S. Foreign Corrupt Practices Act and similar laws. If that occurs, we may be subject to civil or criminal penalties and other adverse consequences which could have a material adverse effect on our business, financial condition, results of operations and growth prospects.</w:t>
      </w:r>
    </w:p>
    <w:p>
      <w:pPr>
        <w:spacing w:after="0" w:line="141"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20"/>
          <w:szCs w:val="20"/>
          <w:color w:val="auto"/>
        </w:rPr>
        <w:t>We are subject to the U.S. Foreign Corrupt Practices Act, or the FCPA, and similar anti-corruption laws which generally prohibit companies, their employees, agents, representatives, business partners, and third-party intermediaries from authorizing, offering, or providing, directly or indirectly, improper payments or benefits to recipients in the public or private sector. Specifically, the FCPA which prohibits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We are also subject to the UK Bribery Act, which prohibits both domestic and international bribery, as well as bribery across both public and private sectors.</w:t>
      </w:r>
    </w:p>
    <w:p>
      <w:pPr>
        <w:spacing w:after="0" w:line="153" w:lineRule="exact"/>
        <w:rPr>
          <w:sz w:val="20"/>
          <w:szCs w:val="20"/>
          <w:color w:val="auto"/>
        </w:rPr>
      </w:pPr>
    </w:p>
    <w:p>
      <w:pPr>
        <w:ind w:right="160" w:firstLine="360"/>
        <w:spacing w:after="0" w:line="254" w:lineRule="auto"/>
        <w:rPr>
          <w:sz w:val="20"/>
          <w:szCs w:val="20"/>
          <w:color w:val="auto"/>
        </w:rPr>
      </w:pPr>
      <w:r>
        <w:rPr>
          <w:rFonts w:ascii="Times New Roman" w:cs="Times New Roman" w:eastAsia="Times New Roman" w:hAnsi="Times New Roman"/>
          <w:sz w:val="20"/>
          <w:szCs w:val="20"/>
          <w:color w:val="auto"/>
        </w:rPr>
        <w:t>If we choose to establish and expand our commercial operations outside of the United States we will need to comply with non-U.S. regulatory requirements, may need to establish and expand business relationships with various third parties, and we, our employees, agents, representatives, business partners and third-party intermediaries may interact more frequently with foreign officials, including regulatory authorities, and we may be held liable for the corrupt or other illegal activities of these employees, agents, representatives, business partners or third-party intermediaries, even if we do not explicitly authorize such activities. Any interactions with any such parties or individuals where improper payments are provided that are found to be in violation of such laws could result in substantial fines and penalties and could materially harm our business. We cannot assure you that all of our employees, agents, representatives, business partners and third-party intermediaries will not take actions in violation of applicable law for which we may ultimately be held responsible.</w:t>
      </w:r>
    </w:p>
    <w:p>
      <w:pPr>
        <w:spacing w:after="0" w:line="149" w:lineRule="exact"/>
        <w:rPr>
          <w:sz w:val="20"/>
          <w:szCs w:val="20"/>
          <w:color w:val="auto"/>
        </w:rPr>
      </w:pPr>
    </w:p>
    <w:p>
      <w:pPr>
        <w:ind w:right="60" w:firstLine="360"/>
        <w:spacing w:after="0" w:line="256" w:lineRule="auto"/>
        <w:rPr>
          <w:sz w:val="20"/>
          <w:szCs w:val="20"/>
          <w:color w:val="auto"/>
        </w:rPr>
      </w:pPr>
      <w:r>
        <w:rPr>
          <w:rFonts w:ascii="Times New Roman" w:cs="Times New Roman" w:eastAsia="Times New Roman" w:hAnsi="Times New Roman"/>
          <w:sz w:val="20"/>
          <w:szCs w:val="20"/>
          <w:color w:val="auto"/>
        </w:rPr>
        <w:t>These laws also require that we keep accurate books and records and maintain internal controls and compliance procedures designed to prevent any such actions. While we have policies and procedures to address compliance with such laws, we cannot assure you that none of our employees, agents, representatives, business partners or third-party intermediaries will take actions in violation of our policies and applicable law, for which we may be ultimately held responsible. Further, as we increase our international sales and business, our risks under these laws may increase and expanded programs to maintain compliance with such laws may be costly and may not be effective.</w:t>
      </w:r>
    </w:p>
    <w:p>
      <w:pPr>
        <w:spacing w:after="0" w:line="148"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20"/>
          <w:szCs w:val="20"/>
          <w:color w:val="auto"/>
        </w:rPr>
        <w:t>Furthermore, any finding of a violation under one country’s laws may increase the likelihood that we will be prosecuted and be found to have violated another country’s laws. If our business practices are alleged to be or are found to be in violation of the FCPA, UK Bribery Act or other similar anti-corruption laws, we may be subject to whistleblower complaints, sanctions, settlements, prosecution, enforcement actions, fines, damages, adverse media coverage, investigations, loss of export privileges, significant civil and criminal penalties, or suspension or debarment from government contracts, all of which could have a material adverse effect on our reputation, financial condition and results of operations. Responding to any investigation or action will likely result in materially significant diversion of management’s attention and resources and significant defense costs and other professional fees.</w:t>
      </w:r>
    </w:p>
    <w:p>
      <w:pPr>
        <w:spacing w:after="0" w:line="144" w:lineRule="exact"/>
        <w:rPr>
          <w:sz w:val="20"/>
          <w:szCs w:val="20"/>
          <w:color w:val="auto"/>
        </w:rPr>
      </w:pPr>
    </w:p>
    <w:p>
      <w:pPr>
        <w:ind w:right="240" w:firstLine="3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Environmental and health safety laws may result in liabilities, expenses and restrictions on our operations. Failure to comply with environmental laws and regulations could subject us to significant liability.</w:t>
      </w:r>
    </w:p>
    <w:p>
      <w:pPr>
        <w:spacing w:after="0" w:line="117"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Federal, state, local and foreign laws regarding environmental protection, hazardous substances and human health and safety may adversely affect our business. Our research and development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our operations exposes us to the risk of accidental injury, contamination or other liability from the use, storage, importation, handling or disposal of hazardous materials. If we or our suppliers’ operations result in the contamination of the environment or expose individuals to hazardous substances, we could be liable for damages and fines, and any liability could significantly exceed our insurance coverage and have a material adverse effect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w:t>
      </w:r>
    </w:p>
    <w:p>
      <w:pPr>
        <w:sectPr>
          <w:pgSz w:w="12240" w:h="15840" w:orient="portrait"/>
          <w:cols w:equalWidth="0" w:num="1">
            <w:col w:w="10240"/>
          </w:cols>
          <w:pgMar w:left="1000" w:top="784"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2240" w:h="15840" w:orient="portrait"/>
          <w:cols w:equalWidth="0" w:num="1">
            <w:col w:w="10240"/>
          </w:cols>
          <w:pgMar w:left="1000" w:top="784" w:right="1000" w:bottom="0" w:gutter="0" w:footer="0" w:header="0"/>
          <w:type w:val="continuous"/>
        </w:sectPr>
      </w:pPr>
    </w:p>
    <w:bookmarkStart w:id="66" w:name="page67"/>
    <w:bookmarkEnd w:id="66"/>
    <w:p>
      <w:pPr>
        <w:ind w:right="520"/>
        <w:spacing w:after="0" w:line="281" w:lineRule="auto"/>
        <w:rPr>
          <w:sz w:val="20"/>
          <w:szCs w:val="20"/>
          <w:color w:val="auto"/>
        </w:rPr>
      </w:pPr>
      <w:r>
        <w:rPr>
          <w:rFonts w:ascii="Times New Roman" w:cs="Times New Roman" w:eastAsia="Times New Roman" w:hAnsi="Times New Roman"/>
          <w:sz w:val="20"/>
          <w:szCs w:val="20"/>
          <w:color w:val="auto"/>
        </w:rPr>
        <w:t>equipment failure or other causes. The expense associated with environmental regulation and remediation could harm our financial condition and operating results.</w:t>
      </w:r>
    </w:p>
    <w:p>
      <w:pPr>
        <w:spacing w:after="0" w:line="112" w:lineRule="exact"/>
        <w:rPr>
          <w:sz w:val="20"/>
          <w:szCs w:val="20"/>
          <w:color w:val="auto"/>
        </w:rPr>
      </w:pPr>
    </w:p>
    <w:p>
      <w:pPr>
        <w:ind w:right="380" w:firstLine="3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employees, independent contractors, consultants, commercial partners, distributors and vendors may engage in misconduct or other improper activities, including noncompliance with regulatory standards and requirements.</w:t>
      </w:r>
    </w:p>
    <w:p>
      <w:pPr>
        <w:spacing w:after="0" w:line="117" w:lineRule="exact"/>
        <w:rPr>
          <w:sz w:val="20"/>
          <w:szCs w:val="20"/>
          <w:color w:val="auto"/>
        </w:rPr>
      </w:pPr>
    </w:p>
    <w:p>
      <w:pPr>
        <w:ind w:right="20" w:firstLine="360"/>
        <w:spacing w:after="0" w:line="252" w:lineRule="auto"/>
        <w:rPr>
          <w:sz w:val="20"/>
          <w:szCs w:val="20"/>
          <w:color w:val="auto"/>
        </w:rPr>
      </w:pPr>
      <w:r>
        <w:rPr>
          <w:rFonts w:ascii="Times New Roman" w:cs="Times New Roman" w:eastAsia="Times New Roman" w:hAnsi="Times New Roman"/>
          <w:sz w:val="20"/>
          <w:szCs w:val="20"/>
          <w:color w:val="auto"/>
        </w:rPr>
        <w:t>We are exposed to the risk that our employees, independent contractors, consultants, commercial collaborators, distributors, suppliers and vendors may engage in misconduct or other improper activities. Misconduct by these parties could include failures to comply with applicable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such misconduct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 self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146" w:lineRule="exact"/>
        <w:rPr>
          <w:sz w:val="20"/>
          <w:szCs w:val="20"/>
          <w:color w:val="auto"/>
        </w:rPr>
      </w:pPr>
    </w:p>
    <w:p>
      <w:pPr>
        <w:ind w:right="560" w:firstLine="3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Demand for our technology could be reduced by legal, social and ethical concerns surrounding the use of genetic information and biological materials.</w:t>
      </w:r>
    </w:p>
    <w:p>
      <w:pPr>
        <w:spacing w:after="0" w:line="117" w:lineRule="exact"/>
        <w:rPr>
          <w:sz w:val="20"/>
          <w:szCs w:val="20"/>
          <w:color w:val="auto"/>
        </w:rPr>
      </w:pPr>
    </w:p>
    <w:p>
      <w:pPr>
        <w:ind w:right="100" w:firstLine="360"/>
        <w:spacing w:after="0" w:line="255" w:lineRule="auto"/>
        <w:rPr>
          <w:sz w:val="20"/>
          <w:szCs w:val="20"/>
          <w:color w:val="auto"/>
        </w:rPr>
      </w:pPr>
      <w:r>
        <w:rPr>
          <w:rFonts w:ascii="Times New Roman" w:cs="Times New Roman" w:eastAsia="Times New Roman" w:hAnsi="Times New Roman"/>
          <w:sz w:val="20"/>
          <w:szCs w:val="20"/>
          <w:color w:val="auto"/>
        </w:rPr>
        <w:t>Our products may be used to provide genetic information or analyze biological materials from humans and other living organisms. The information obtained from our products could be used in a variety of applications, which may have underlying legal, social and ethical concerns, including the genetic engineering or modification of agricultural products, testing for genetic predisposition for certain medical conditions and stem cell research. Governmental authorities could, for safety, social or other purposes, call for limits on or impose regulations on the use of genetic testing or the use of certain biological materials. Such concerns or governmental restrictions could limit the use of our products, which could have a material adverse effect on our business, financial condition and results of operations.</w:t>
      </w:r>
    </w:p>
    <w:p>
      <w:pPr>
        <w:spacing w:after="0" w:line="1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Risks Related to our Operations</w:t>
      </w:r>
    </w:p>
    <w:p>
      <w:pPr>
        <w:spacing w:after="0" w:line="188" w:lineRule="exact"/>
        <w:rPr>
          <w:sz w:val="20"/>
          <w:szCs w:val="20"/>
          <w:color w:val="auto"/>
        </w:rPr>
      </w:pPr>
    </w:p>
    <w:p>
      <w:pPr>
        <w:ind w:right="640" w:firstLine="3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experience a significant disruption in our information technology systems or breaches of data security, our business could be adversely affected.</w:t>
      </w:r>
    </w:p>
    <w:p>
      <w:pPr>
        <w:spacing w:after="0" w:line="117"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We rely on information technology systems to keep financial records, facilitate our research and development initiatives, manage our manufacturing operations, maintain quality control, fulfill customer orders, process customer data and information, maintain corporate records, communicate with staff and external parties and operate other critical functions. Our information technology systems and those of our vendors and partners are potentially vulnerable to disruption, failure and compromise due to breakdown, malicious intrusion and computer viruses, ransomware or other malicious software, or other disruptive events, including, but not limited to, natural disasters and catastrophes. Like other life sciences technology companies, we have experienced cybersecurity incidents in the past, and we may experience them again in the future. For example, in January 2024, we experienced an incident involving unauthorized access to an employee account. The Company has worked, and continues to work with external cybersecurity experts, in detecting, blocking, containing, remediating, and investigating any cyber security incidents and risks, and in further enhancing our cybersecurity safeguards. This incident did not, and other incidents have not impacted the availability of our systems, materially disrupted our operations, or had any material impact on our financial or operating results. Cyber security risks are constantly evolving, and as such, we anticipate additional work and expense in the future as we continue to further enhance our security processes and initiatives to meet the changing landscape of cyber security risks. While cyber insurance may be available for companies, any available insurance for cyber events, may be limited in amount, subject to deductibles, and may not be adequate to cover us for all costs arising from cyber security incidents. Given increasing cyber security risks, cyber insurance may not be available to us in the future, or may not be available on commercially reasonable terms.</w:t>
      </w:r>
    </w:p>
    <w:p>
      <w:pPr>
        <w:spacing w:after="0" w:line="155" w:lineRule="exact"/>
        <w:rPr>
          <w:sz w:val="20"/>
          <w:szCs w:val="20"/>
          <w:color w:val="auto"/>
        </w:rPr>
      </w:pPr>
    </w:p>
    <w:p>
      <w:pPr>
        <w:ind w:right="500" w:firstLine="360"/>
        <w:spacing w:after="0" w:line="286" w:lineRule="auto"/>
        <w:rPr>
          <w:sz w:val="20"/>
          <w:szCs w:val="20"/>
          <w:color w:val="auto"/>
        </w:rPr>
      </w:pPr>
      <w:r>
        <w:rPr>
          <w:rFonts w:ascii="Times New Roman" w:cs="Times New Roman" w:eastAsia="Times New Roman" w:hAnsi="Times New Roman"/>
          <w:sz w:val="19"/>
          <w:szCs w:val="19"/>
          <w:color w:val="auto"/>
        </w:rPr>
        <w:t>Cyberattacks and other malicious internet-based activity continue to increase and cloud-based platform providers of services have been and are expected to continue to be targeted. Furthermore, there may be a heightened risk of potential cyberattacks by state actors or others since the escalation of the conflicts in Eastern Europe and intensified conflicts in the</w:t>
      </w:r>
    </w:p>
    <w:p>
      <w:pPr>
        <w:sectPr>
          <w:pgSz w:w="12240" w:h="15840" w:orient="portrait"/>
          <w:cols w:equalWidth="0" w:num="1">
            <w:col w:w="10240"/>
          </w:cols>
          <w:pgMar w:left="1000" w:top="793" w:right="1000" w:bottom="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2240" w:h="15840" w:orient="portrait"/>
          <w:cols w:equalWidth="0" w:num="1">
            <w:col w:w="10240"/>
          </w:cols>
          <w:pgMar w:left="1000" w:top="793" w:right="1000" w:bottom="0" w:gutter="0" w:footer="0" w:header="0"/>
          <w:type w:val="continuous"/>
        </w:sectPr>
      </w:pPr>
    </w:p>
    <w:bookmarkStart w:id="67" w:name="page68"/>
    <w:bookmarkEnd w:id="67"/>
    <w:p>
      <w:pPr>
        <w:ind w:right="20"/>
        <w:spacing w:after="0" w:line="254" w:lineRule="auto"/>
        <w:rPr>
          <w:sz w:val="20"/>
          <w:szCs w:val="20"/>
          <w:color w:val="auto"/>
        </w:rPr>
      </w:pPr>
      <w:r>
        <w:rPr>
          <w:rFonts w:ascii="Times New Roman" w:cs="Times New Roman" w:eastAsia="Times New Roman" w:hAnsi="Times New Roman"/>
          <w:sz w:val="20"/>
          <w:szCs w:val="20"/>
          <w:color w:val="auto"/>
        </w:rPr>
        <w:t>Middle East. Methods of attacks on information technology systems and attempting or effecting data security breaches and incidents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Despite any of our current or future efforts to protect against cybersecurity attacks and data security breaches, there is no guarantee that our efforts are adequate to safeguard against all such attacks and breaches. Moreover, it is possible that we may not be able to anticipate, detect, appropriately react and respond to, or implement effective preventative measures against, all cybersecurity incidents.</w:t>
      </w:r>
    </w:p>
    <w:p>
      <w:pPr>
        <w:spacing w:after="0" w:line="149"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If our security measures, or those of our vendors and partners, are compromised due to cybersecurity attacks or security breaches or incidents, including as a result of third-party action, employee or customer error, malfeasance, stolen or fraudulently obtained log-in credentials or otherwise, or if any of these events is perceived to have occurred, our reputation could be damaged, our business and reputation may be harmed, we could become subject to claims, demands and litigation by private parties, and regulatory investigations and other proceedings, and we could incur significant liability. If we were to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 In addition, our information technology systems, and those of our vendors and partners, are potentially vulnerable to data security breaches and incidents, whether by internal bad actors, such as employees or other third parties with legitimate access to our or our third-party providers’ systems, or external bad actors, which could lead to the exposure of personal data, sensitive data and confidential information to unauthorized persons. Any such data security breaches or incidents could lead to the loss of trade secrets or other intellectual property, or could lead to the loss, unavailability, exposure, unauthorized modification, alteration or other processing of personal information, including sensitive personal information, of our employees, customers and others, any of which could have a material adverse effect on our business, reputation, financial condition and results of operations.</w:t>
      </w:r>
    </w:p>
    <w:p>
      <w:pPr>
        <w:spacing w:after="0" w:line="156"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Furthermore, defending a suit, regardless of its merit, could be costly, divert management’s attention and harm our reputation. In addition, although we seek to detect and investigate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actual or perceived cybersecurity incidents and any steps we take to respond to or remediate such incidents, and if securities analysts or investors perceive these announcements to be negative, it could, among other things, have a material adverse effect on the price of our Common Stock.</w:t>
      </w:r>
    </w:p>
    <w:p>
      <w:pPr>
        <w:spacing w:after="0" w:line="156"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20"/>
          <w:szCs w:val="20"/>
          <w:color w:val="auto"/>
        </w:rPr>
        <w:t>The cost of protecting against, investigating, mitigating and responding to potential breaches of our information technology systems and data security breaches and incidents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w:t>
      </w:r>
    </w:p>
    <w:p>
      <w:pPr>
        <w:spacing w:after="0" w:line="1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We may be unable to manage our anticipated growth effectively.</w:t>
      </w:r>
    </w:p>
    <w:p>
      <w:pPr>
        <w:spacing w:after="0" w:line="199" w:lineRule="exact"/>
        <w:rPr>
          <w:sz w:val="20"/>
          <w:szCs w:val="20"/>
          <w:color w:val="auto"/>
        </w:rPr>
      </w:pPr>
    </w:p>
    <w:p>
      <w:pPr>
        <w:ind w:right="100" w:firstLine="360"/>
        <w:spacing w:after="0" w:line="253" w:lineRule="auto"/>
        <w:rPr>
          <w:sz w:val="20"/>
          <w:szCs w:val="20"/>
          <w:color w:val="auto"/>
        </w:rPr>
      </w:pPr>
      <w:r>
        <w:rPr>
          <w:rFonts w:ascii="Times New Roman" w:cs="Times New Roman" w:eastAsia="Times New Roman" w:hAnsi="Times New Roman"/>
          <w:sz w:val="20"/>
          <w:szCs w:val="20"/>
          <w:color w:val="auto"/>
        </w:rPr>
        <w:t>Our anticipated growth will place significant strains on our management, operational and manufacturing systems and processes, sales and marketing team, financial systems and internal controls and other aspects of our business. We must upgrade our internal business processes and capabilities to create the scalability that a growing business demands. As of December 31, 2023, we had 167 employees. To execute our anticipated growth successfully, we must continue to attract and retain qualified personnel and manage and train them effectively. Developing and commercializing our Nautilus platform will require us to hire and retain scientific, sales and marketing, software, manufacturing, customer service, distribution and quality assurance personnel. In addition, we expect that we will need to hire additional accounting, finance and other personnel as a public company. As a public company, our management and other personnel will need to devote a substantial amount of time towards maintaining compliance with these requirements and effectively manage these growth activities. We may face challenges integrating, developing and motivating our rapidly growing employee base.</w:t>
      </w:r>
    </w:p>
    <w:p>
      <w:pPr>
        <w:sectPr>
          <w:pgSz w:w="12240" w:h="15840" w:orient="portrait"/>
          <w:cols w:equalWidth="0" w:num="1">
            <w:col w:w="10220"/>
          </w:cols>
          <w:pgMar w:left="1000" w:top="793"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ectPr>
          <w:pgSz w:w="12240" w:h="15840" w:orient="portrait"/>
          <w:cols w:equalWidth="0" w:num="1">
            <w:col w:w="10220"/>
          </w:cols>
          <w:pgMar w:left="1000" w:top="793" w:right="1020" w:bottom="0" w:gutter="0" w:footer="0" w:header="0"/>
          <w:type w:val="continuous"/>
        </w:sectPr>
      </w:pPr>
    </w:p>
    <w:bookmarkStart w:id="68" w:name="page69"/>
    <w:bookmarkEnd w:id="68"/>
    <w:p>
      <w:pPr>
        <w:ind w:right="120" w:firstLine="360"/>
        <w:spacing w:after="0" w:line="266" w:lineRule="auto"/>
        <w:rPr>
          <w:sz w:val="20"/>
          <w:szCs w:val="20"/>
          <w:color w:val="auto"/>
        </w:rPr>
      </w:pPr>
      <w:r>
        <w:rPr>
          <w:rFonts w:ascii="Times New Roman" w:cs="Times New Roman" w:eastAsia="Times New Roman" w:hAnsi="Times New Roman"/>
          <w:sz w:val="20"/>
          <w:szCs w:val="20"/>
          <w:color w:val="auto"/>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spacing w:after="0" w:line="135"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20"/>
          <w:szCs w:val="20"/>
          <w:color w:val="auto"/>
        </w:rPr>
        <w:t>Our ability to successfully manage our expected growth is uncertain given the fact that we have been in operation only since 2016. As we continue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anticipated growth, our business, results of operations, financial condition and prospects will be harmed.</w:t>
      </w:r>
    </w:p>
    <w:p>
      <w:pPr>
        <w:spacing w:after="0" w:line="1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If we are unable to recruit and retain key executives and scientists, we may be unable to achieve our goals.</w:t>
      </w:r>
    </w:p>
    <w:p>
      <w:pPr>
        <w:spacing w:after="0" w:line="199" w:lineRule="exact"/>
        <w:rPr>
          <w:sz w:val="20"/>
          <w:szCs w:val="20"/>
          <w:color w:val="auto"/>
        </w:rPr>
      </w:pPr>
    </w:p>
    <w:p>
      <w:pPr>
        <w:jc w:val="both"/>
        <w:ind w:right="20" w:firstLine="360"/>
        <w:spacing w:after="0" w:line="266" w:lineRule="auto"/>
        <w:rPr>
          <w:sz w:val="20"/>
          <w:szCs w:val="20"/>
          <w:color w:val="auto"/>
        </w:rPr>
      </w:pPr>
      <w:r>
        <w:rPr>
          <w:rFonts w:ascii="Times New Roman" w:cs="Times New Roman" w:eastAsia="Times New Roman" w:hAnsi="Times New Roman"/>
          <w:sz w:val="20"/>
          <w:szCs w:val="20"/>
          <w:color w:val="auto"/>
        </w:rPr>
        <w:t>Our performance is substantially dependent on the performance of our senior management and key scientific and technical personnel, particularly Sujal Patel, one of our founders and our Chief Executive Officer, and Parag Mallick, one of our founders and our Chief Scientist.</w:t>
      </w:r>
    </w:p>
    <w:p>
      <w:pPr>
        <w:spacing w:after="0" w:line="135"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20"/>
          <w:szCs w:val="20"/>
          <w:color w:val="auto"/>
        </w:rPr>
        <w:t>The loss of the services of any member of our senior management or our scientific or technical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We do not maintain fixed term employment contracts with any of our employees and do not maintain key man life insurance on any of our employees.</w:t>
      </w:r>
    </w:p>
    <w:p>
      <w:pPr>
        <w:spacing w:after="0" w:line="144"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20"/>
          <w:szCs w:val="20"/>
          <w:color w:val="auto"/>
        </w:rPr>
        <w:t>In addition, our research and product development efforts could be delayed or curtailed if we are unable to attract, train and retain highly skilled employees, particularly, senior scientists and engineers. To expand our research and product development efforts, we need additional people skilled in areas such as molecular and cellular biology, biochemistry, surface chemistry, software, bioinformatics, assay development, mechanical engineering, electrical engineering, optics, fluidics and manufacturing. Competition for these people is intense. Because of the complex and technical nature of our system and the dynamic market in which we compete, any failure to attract and retain a sufficient number of qualified employees could materially harm our ability to develop and commercialize our technology. As part of our retention and incentive efforts, in addition to salary and cash incentives, we have issued stock options that vest over time. The value to employees of stock options that vest over time may be significantly affected by decreases in our stock price (whether or not related to or proportional to our operating performance) and may at any time be insufficient to counteract more lucrative offers from other companies. We may face challenges in retaining and recruiting such individuals due to sustained declines in our stock price that could reduce the retention value of equity awards.</w:t>
      </w:r>
    </w:p>
    <w:p>
      <w:pPr>
        <w:spacing w:after="0" w:line="142" w:lineRule="exact"/>
        <w:rPr>
          <w:sz w:val="20"/>
          <w:szCs w:val="20"/>
          <w:color w:val="auto"/>
        </w:rPr>
      </w:pPr>
    </w:p>
    <w:p>
      <w:pPr>
        <w:ind w:right="160" w:firstLine="3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117" w:lineRule="exact"/>
        <w:rPr>
          <w:sz w:val="20"/>
          <w:szCs w:val="20"/>
          <w:color w:val="auto"/>
        </w:rPr>
      </w:pPr>
    </w:p>
    <w:p>
      <w:pPr>
        <w:ind w:right="40" w:firstLine="360"/>
        <w:spacing w:after="0" w:line="256" w:lineRule="auto"/>
        <w:rPr>
          <w:sz w:val="20"/>
          <w:szCs w:val="20"/>
          <w:color w:val="auto"/>
        </w:rPr>
      </w:pPr>
      <w:r>
        <w:rPr>
          <w:rFonts w:ascii="Times New Roman" w:cs="Times New Roman" w:eastAsia="Times New Roman" w:hAnsi="Times New Roman"/>
          <w:sz w:val="20"/>
          <w:szCs w:val="20"/>
          <w:color w:val="auto"/>
        </w:rPr>
        <w:t>We may in the future seek to acquire or invest in businesses, applications or technologies that we believe could complement or expand our Nautilus platform or future products, enhance our technical capabilities or otherwise offer growth opportunities. The pursuit of potential acquisitions may divert the attention of our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48"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20"/>
          <w:szCs w:val="20"/>
          <w:color w:val="auto"/>
        </w:rPr>
        <w:t>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35" w:lineRule="exact"/>
        <w:rPr>
          <w:sz w:val="20"/>
          <w:szCs w:val="20"/>
          <w:color w:val="auto"/>
        </w:rPr>
      </w:pPr>
    </w:p>
    <w:p>
      <w:pPr>
        <w:ind w:right="200" w:firstLine="36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Unfavorable U.S. or global economic conditions as a result of multiple global events, including the COVID-19 pandemic, the conflicts in Eastern Europe and the Middle East, increasing interest rates, instability in the global financial markets, and general economic downturns, could adversely affect our ability to raise capital and our business, results of operations and financial condition.</w:t>
      </w:r>
    </w:p>
    <w:p>
      <w:pPr>
        <w:spacing w:after="0" w:line="141" w:lineRule="exact"/>
        <w:rPr>
          <w:sz w:val="20"/>
          <w:szCs w:val="20"/>
          <w:color w:val="auto"/>
        </w:rPr>
      </w:pPr>
    </w:p>
    <w:p>
      <w:pPr>
        <w:ind w:right="100" w:firstLine="360"/>
        <w:spacing w:after="0" w:line="258" w:lineRule="auto"/>
        <w:rPr>
          <w:sz w:val="20"/>
          <w:szCs w:val="20"/>
          <w:color w:val="auto"/>
        </w:rPr>
      </w:pPr>
      <w:r>
        <w:rPr>
          <w:rFonts w:ascii="Times New Roman" w:cs="Times New Roman" w:eastAsia="Times New Roman" w:hAnsi="Times New Roman"/>
          <w:sz w:val="20"/>
          <w:szCs w:val="20"/>
          <w:color w:val="auto"/>
        </w:rPr>
        <w:t>While the potential economic impact brought by multiple adverse global circumstances, such as the COVID-19 pandemic, conflicts in Eastern Europe and the Middle East, potential uncertainty related to Taiwan and its relationship with China, increasing interest rates and general economic downturns, and the collapse of Silicon Valley Bank and other financial institutions in March 2023, and related instability in the global financial markets, are difficult to assess or predict, both as to magnitude and duration, these events have resulted in, and may continue to result in, extreme volatility and disruptions in the</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2240" w:h="15840" w:orient="portrait"/>
          <w:cols w:equalWidth="0" w:num="1">
            <w:col w:w="10240"/>
          </w:cols>
          <w:pgMar w:left="1000" w:top="793" w:right="1000" w:bottom="0" w:gutter="0" w:footer="0" w:header="0"/>
          <w:type w:val="continuous"/>
        </w:sectPr>
      </w:pPr>
    </w:p>
    <w:bookmarkStart w:id="69" w:name="page70"/>
    <w:bookmarkEnd w:id="69"/>
    <w:p>
      <w:pPr>
        <w:spacing w:after="0" w:line="252" w:lineRule="auto"/>
        <w:rPr>
          <w:sz w:val="20"/>
          <w:szCs w:val="20"/>
          <w:color w:val="auto"/>
        </w:rPr>
      </w:pPr>
      <w:r>
        <w:rPr>
          <w:rFonts w:ascii="Times New Roman" w:cs="Times New Roman" w:eastAsia="Times New Roman" w:hAnsi="Times New Roman"/>
          <w:sz w:val="20"/>
          <w:szCs w:val="20"/>
          <w:color w:val="auto"/>
        </w:rPr>
        <w:t>capital and credit markets, reducing our ability to raise additional capital through equity, equity-linked or debt financings, which could negatively impact our short-term and long-term liquidity and our ability to operate in accordance with our operating plan, or at all. Additionally, these events have resulted, and in the future may result, in disruptions in our supply chains or the supply chains of those entities providing services or products to us, restrictions in our ability to deploy our workforce in our own facilities, locally, nationally or internationally, restrictions on the operating capacity of the laboratories or research facilities of our customers, decreases in government funding of research and development, or changes to programs that provide funding to research laboratories that may have the impact of redirecting funding to other areas of research, or prolonging or delaying funding cycles, any of which could adversely impact our ability to manufacture and sell our products. Moreover, our results of operations could be adversely affected by general conditions in the global economy and financial markets. A severe or prolonged economic downturn could result in a variety of risks to our business, including weakened demand for our Nautilus platform and our ability to raise additional capital when needed on favorable terms, if at all. A weak or declining economy could strain our customers’ budgets or cause delays in their payments to us. As a result of such events, we or our contractors, partners and/or suppliers could experience shortages, business disruptions or delays for materials sourced or manufactured in countries affected by such events, and their ability to supply us with services or components may be adversely affected. In addition, our contractors and suppliers have raised and may continue to raise prices for goods and services we employ in our research and development efforts and for components or materials used in our Nautilus platform.</w:t>
      </w:r>
    </w:p>
    <w:p>
      <w:pPr>
        <w:spacing w:after="0" w:line="156" w:lineRule="exact"/>
        <w:rPr>
          <w:sz w:val="20"/>
          <w:szCs w:val="20"/>
          <w:color w:val="auto"/>
        </w:rPr>
      </w:pPr>
    </w:p>
    <w:p>
      <w:pPr>
        <w:ind w:right="60" w:firstLine="360"/>
        <w:spacing w:after="0" w:line="256" w:lineRule="auto"/>
        <w:rPr>
          <w:sz w:val="20"/>
          <w:szCs w:val="20"/>
          <w:color w:val="auto"/>
        </w:rPr>
      </w:pPr>
      <w:r>
        <w:rPr>
          <w:rFonts w:ascii="Times New Roman" w:cs="Times New Roman" w:eastAsia="Times New Roman" w:hAnsi="Times New Roman"/>
          <w:sz w:val="20"/>
          <w:szCs w:val="20"/>
          <w:color w:val="auto"/>
        </w:rPr>
        <w:t>Additionally, there is ongoing uncertainty regarding the federal budget and federal spending levels, including the possible impacts of a failure to increase the “debt ceiling.” Any U.S. government default on its debt could have broad macroeconomic effects that could, among other things, disrupt access to capital markets and deepen recessionary conditions. Further, as of December 31, 2023, we had cash, cash equivalents and investments of $264.1 million, consisting of U.S. treasury securities, mutual funds, commercial paper, corporate debt securities, and agency securities. Any default by the U.S. government or credit downgrade of the securities we hold could impact the liquidity or valuation of our investments.</w:t>
      </w:r>
    </w:p>
    <w:p>
      <w:pPr>
        <w:spacing w:after="0" w:line="148" w:lineRule="exact"/>
        <w:rPr>
          <w:sz w:val="20"/>
          <w:szCs w:val="20"/>
          <w:color w:val="auto"/>
        </w:rPr>
      </w:pPr>
    </w:p>
    <w:p>
      <w:pPr>
        <w:ind w:right="40" w:firstLine="360"/>
        <w:spacing w:after="0" w:line="266" w:lineRule="auto"/>
        <w:rPr>
          <w:sz w:val="20"/>
          <w:szCs w:val="20"/>
          <w:color w:val="auto"/>
        </w:rPr>
      </w:pPr>
      <w:r>
        <w:rPr>
          <w:rFonts w:ascii="Times New Roman" w:cs="Times New Roman" w:eastAsia="Times New Roman" w:hAnsi="Times New Roman"/>
          <w:sz w:val="20"/>
          <w:szCs w:val="20"/>
          <w:color w:val="auto"/>
        </w:rPr>
        <w:t>Any of the foregoing could harm our business, financial condition and results of operations, and we cannot anticipate all of the ways in which the current economic climate and financial market conditions could adversely impact our ability to raise capital, business, results of operations and financial condition.</w:t>
      </w:r>
    </w:p>
    <w:p>
      <w:pPr>
        <w:spacing w:after="0" w:line="1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Global supply chain interruptions could adversely affect our ability to develop and commercialize our products</w:t>
      </w:r>
      <w:r>
        <w:rPr>
          <w:rFonts w:ascii="Times New Roman" w:cs="Times New Roman" w:eastAsia="Times New Roman" w:hAnsi="Times New Roman"/>
          <w:sz w:val="20"/>
          <w:szCs w:val="20"/>
          <w:b w:val="1"/>
          <w:bCs w:val="1"/>
          <w:color w:val="auto"/>
        </w:rPr>
        <w:t>.</w:t>
      </w:r>
    </w:p>
    <w:p>
      <w:pPr>
        <w:spacing w:after="0" w:line="199" w:lineRule="exact"/>
        <w:rPr>
          <w:sz w:val="20"/>
          <w:szCs w:val="20"/>
          <w:color w:val="auto"/>
        </w:rPr>
      </w:pPr>
    </w:p>
    <w:p>
      <w:pPr>
        <w:ind w:right="80" w:firstLine="360"/>
        <w:spacing w:after="0" w:line="254" w:lineRule="auto"/>
        <w:rPr>
          <w:sz w:val="20"/>
          <w:szCs w:val="20"/>
          <w:color w:val="auto"/>
        </w:rPr>
      </w:pPr>
      <w:r>
        <w:rPr>
          <w:rFonts w:ascii="Times New Roman" w:cs="Times New Roman" w:eastAsia="Times New Roman" w:hAnsi="Times New Roman"/>
          <w:sz w:val="20"/>
          <w:szCs w:val="20"/>
          <w:color w:val="auto"/>
        </w:rPr>
        <w:t>We may be subject to supply chain interruptions. Current or future supply chain interruptions that could be exacerbated by global political tensions, such as the situation in Eastern Europe, increased conflict in the Middle East, uncertainty related to Taiwan and its relationship with China, and resurgent or new global pandemics could negatively impact our ability to further develop our products or to manufacture and deliver our products or services, which could negatively impact our timelines and business results. For example, we have experienced some supply disruptions due to the COVID-19 pandemic, including closures at certain chip manufacturers, which led to extended lead times for certain chips; diversion of certain lab materials needed to support COVID-19 relief efforts; and lower availability of certain reagents, and delays similar to those we experienced during the COVID-19 pandemic could impact us if they recur or are exacerbated due to the situations in Eastern Europe and/or the Middle East.</w:t>
      </w:r>
    </w:p>
    <w:p>
      <w:pPr>
        <w:spacing w:after="0" w:line="140" w:lineRule="exact"/>
        <w:rPr>
          <w:sz w:val="20"/>
          <w:szCs w:val="20"/>
          <w:color w:val="auto"/>
        </w:rPr>
      </w:pPr>
    </w:p>
    <w:p>
      <w:pPr>
        <w:ind w:right="400" w:firstLine="360"/>
        <w:spacing w:after="0" w:line="316" w:lineRule="auto"/>
        <w:rPr>
          <w:sz w:val="20"/>
          <w:szCs w:val="20"/>
          <w:color w:val="auto"/>
        </w:rPr>
      </w:pPr>
      <w:r>
        <w:rPr>
          <w:rFonts w:ascii="Times New Roman" w:cs="Times New Roman" w:eastAsia="Times New Roman" w:hAnsi="Times New Roman"/>
          <w:sz w:val="19"/>
          <w:szCs w:val="19"/>
          <w:b w:val="1"/>
          <w:bCs w:val="1"/>
          <w:i w:val="1"/>
          <w:iCs w:val="1"/>
          <w:color w:val="auto"/>
        </w:rPr>
        <w:t>If our facilities become unavailable or inoperable, our research and development program and commercialization launch plan could be adversely impacted and manufacturing of our instruments and consumables could be interrupted.</w:t>
      </w:r>
    </w:p>
    <w:p>
      <w:pPr>
        <w:spacing w:after="0" w:line="94" w:lineRule="exact"/>
        <w:rPr>
          <w:sz w:val="20"/>
          <w:szCs w:val="20"/>
          <w:color w:val="auto"/>
        </w:rPr>
      </w:pPr>
    </w:p>
    <w:p>
      <w:pPr>
        <w:ind w:right="60" w:firstLine="360"/>
        <w:spacing w:after="0" w:line="281" w:lineRule="auto"/>
        <w:rPr>
          <w:sz w:val="20"/>
          <w:szCs w:val="20"/>
          <w:color w:val="auto"/>
        </w:rPr>
      </w:pPr>
      <w:r>
        <w:rPr>
          <w:rFonts w:ascii="Times New Roman" w:cs="Times New Roman" w:eastAsia="Times New Roman" w:hAnsi="Times New Roman"/>
          <w:sz w:val="20"/>
          <w:szCs w:val="20"/>
          <w:color w:val="auto"/>
        </w:rPr>
        <w:t>Our Seattle, Washington, facility primarily houses our corporate executive team and our software development operations, while our facilities in San Carlos and San Diego, California primarily house our research and development teams.</w:t>
      </w:r>
    </w:p>
    <w:p>
      <w:pPr>
        <w:spacing w:after="0" w:line="121" w:lineRule="exact"/>
        <w:rPr>
          <w:sz w:val="20"/>
          <w:szCs w:val="20"/>
          <w:color w:val="auto"/>
        </w:rPr>
      </w:pPr>
    </w:p>
    <w:p>
      <w:pPr>
        <w:ind w:firstLine="360"/>
        <w:spacing w:after="0" w:line="268" w:lineRule="auto"/>
        <w:rPr>
          <w:sz w:val="20"/>
          <w:szCs w:val="20"/>
          <w:color w:val="auto"/>
        </w:rPr>
      </w:pPr>
      <w:r>
        <w:rPr>
          <w:rFonts w:ascii="Times New Roman" w:cs="Times New Roman" w:eastAsia="Times New Roman" w:hAnsi="Times New Roman"/>
          <w:sz w:val="19"/>
          <w:szCs w:val="19"/>
          <w:color w:val="auto"/>
        </w:rPr>
        <w:t>Our facilities in Seattle, San Carlos and San Diego are vulnerable to natural disasters, public health crises, including the impact of the COVID-19 pandemic, and other catastrophic events. For example, our San Carlos and San Diego facilities are located near earthquake fault zones and are vulnerable to damage from earthquakes as well as other types of disasters, including fires, floods, power loss, communications failures and similar events. If any disaster, public health crisis or catastrophic event were to occur, our ability to operate our business would be seriously, or potentially completely, impaired. If our facilities become unavailable for any reason, we cannot provide assurances that we will be able to secure alternative facilities with the necessary capabilities and equipment on acceptable terms, if at all. We may encounter particular difficulties in replacing our San Carlos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w:t>
      </w:r>
    </w:p>
    <w:p>
      <w:pPr>
        <w:spacing w:after="0" w:line="140" w:lineRule="exact"/>
        <w:rPr>
          <w:sz w:val="20"/>
          <w:szCs w:val="20"/>
          <w:color w:val="auto"/>
        </w:rPr>
      </w:pPr>
    </w:p>
    <w:p>
      <w:pPr>
        <w:ind w:firstLine="360"/>
        <w:spacing w:after="0" w:line="278" w:lineRule="auto"/>
        <w:rPr>
          <w:sz w:val="20"/>
          <w:szCs w:val="20"/>
          <w:color w:val="auto"/>
        </w:rPr>
      </w:pPr>
      <w:r>
        <w:rPr>
          <w:rFonts w:ascii="Times New Roman" w:cs="Times New Roman" w:eastAsia="Times New Roman" w:hAnsi="Times New Roman"/>
          <w:sz w:val="19"/>
          <w:szCs w:val="19"/>
          <w:color w:val="auto"/>
        </w:rPr>
        <w:t>If our research and development program or planned commercialization program were disrupted by a disaster or catastrophe, the launch of new products, including our Nautilus platform, and the timing of improvements to our products could be significantly delayed and could adversely impact our ability to compete with other available products and solutions. If our capabilities are impaired, we may not be able to manufacture and ship our products in a timely manner, which would adversely</w:t>
      </w:r>
    </w:p>
    <w:p>
      <w:pPr>
        <w:sectPr>
          <w:pgSz w:w="12240" w:h="15840" w:orient="portrait"/>
          <w:cols w:equalWidth="0" w:num="1">
            <w:col w:w="10220"/>
          </w:cols>
          <w:pgMar w:left="1000" w:top="793" w:right="1020" w:bottom="0" w:gutter="0" w:footer="0" w:header="0"/>
        </w:sect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ectPr>
          <w:pgSz w:w="12240" w:h="15840" w:orient="portrait"/>
          <w:cols w:equalWidth="0" w:num="1">
            <w:col w:w="10220"/>
          </w:cols>
          <w:pgMar w:left="1000" w:top="793" w:right="1020" w:bottom="0" w:gutter="0" w:footer="0" w:header="0"/>
          <w:type w:val="continuous"/>
        </w:sectPr>
      </w:pPr>
    </w:p>
    <w:bookmarkStart w:id="70" w:name="page71"/>
    <w:bookmarkEnd w:id="70"/>
    <w:p>
      <w:pPr>
        <w:ind w:right="420"/>
        <w:spacing w:after="0" w:line="266" w:lineRule="auto"/>
        <w:rPr>
          <w:sz w:val="20"/>
          <w:szCs w:val="20"/>
          <w:color w:val="auto"/>
        </w:rPr>
      </w:pPr>
      <w:r>
        <w:rPr>
          <w:rFonts w:ascii="Times New Roman" w:cs="Times New Roman" w:eastAsia="Times New Roman" w:hAnsi="Times New Roman"/>
          <w:sz w:val="20"/>
          <w:szCs w:val="20"/>
          <w:color w:val="auto"/>
        </w:rPr>
        <w:t>impact our business. Although we possess insurance for damage to our property and the disruption of our business, this insurance may not be sufficient to cover all of our potential losses and may not continue to be available to us on acceptable terms, or at all.</w:t>
      </w:r>
    </w:p>
    <w:p>
      <w:pPr>
        <w:spacing w:after="0" w:line="126" w:lineRule="exact"/>
        <w:rPr>
          <w:sz w:val="20"/>
          <w:szCs w:val="20"/>
          <w:color w:val="auto"/>
        </w:rPr>
      </w:pPr>
    </w:p>
    <w:p>
      <w:pPr>
        <w:ind w:right="620" w:firstLine="3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use hazardous chemicals and biological materials in our business. Any claims relating to improper handling, storage or disposal of these materials could be time consuming and costly.</w:t>
      </w:r>
    </w:p>
    <w:p>
      <w:pPr>
        <w:spacing w:after="0" w:line="117"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Our research and development processes involve the controlled use of hazardous materials, including select chemicals that may be flammables, toxic or corrosives, as well as potential biohazard materials. We cannot eliminate the risk of accidental contamination or discharge and any resultant injury from these materials. In addition, our Nautilus platform involves the use of a high-powered laser system, which could result in injury. We may be sued for any injury or contamination that results from our use or the use by third parties of these materials. We do not currently maintain separate environmental liability coverage and any such contamination or discharge could result in significant cost to us in penalties, damages and suspension of our operations.</w:t>
      </w:r>
    </w:p>
    <w:p>
      <w:pPr>
        <w:spacing w:after="0" w:line="1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Risks Related to Our Common Stock</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An active trading market for our Common Stock may never develop or be sustained.</w:t>
      </w:r>
    </w:p>
    <w:p>
      <w:pPr>
        <w:spacing w:after="0" w:line="199" w:lineRule="exact"/>
        <w:rPr>
          <w:sz w:val="20"/>
          <w:szCs w:val="20"/>
          <w:color w:val="auto"/>
        </w:rPr>
      </w:pPr>
    </w:p>
    <w:p>
      <w:pPr>
        <w:ind w:right="60" w:firstLine="360"/>
        <w:spacing w:after="0" w:line="254" w:lineRule="auto"/>
        <w:rPr>
          <w:sz w:val="20"/>
          <w:szCs w:val="20"/>
          <w:color w:val="auto"/>
        </w:rPr>
      </w:pPr>
      <w:r>
        <w:rPr>
          <w:rFonts w:ascii="Times New Roman" w:cs="Times New Roman" w:eastAsia="Times New Roman" w:hAnsi="Times New Roman"/>
          <w:sz w:val="20"/>
          <w:szCs w:val="20"/>
          <w:color w:val="auto"/>
        </w:rPr>
        <w:t>Prior to the Business Combination, there was no public trading market for Legacy Nautilus’ Common Stock. Although our Common Stock is listed on the Nasdaq Global Select Market, the market for our shares has demonstrated varying levels of trading activity. If an active trading market does not develop, or develops but is not maintained, you may have difficulty selling any of our Common Stock due to the limited public float.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 Accordingly, we cannot assure you of your ability to sell your shares of our Common Stock when desired or at prices at or above the price you paid for your shares or at all.</w:t>
      </w:r>
    </w:p>
    <w:p>
      <w:pPr>
        <w:spacing w:after="0" w:line="144" w:lineRule="exact"/>
        <w:rPr>
          <w:sz w:val="20"/>
          <w:szCs w:val="20"/>
          <w:color w:val="auto"/>
        </w:rPr>
      </w:pPr>
    </w:p>
    <w:p>
      <w:pPr>
        <w:ind w:right="440" w:firstLine="3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market price of our Common Stock has been and may continue to be volatile, which could result in substantial losses for investors.</w:t>
      </w:r>
    </w:p>
    <w:p>
      <w:pPr>
        <w:spacing w:after="0" w:line="117" w:lineRule="exact"/>
        <w:rPr>
          <w:sz w:val="20"/>
          <w:szCs w:val="20"/>
          <w:color w:val="auto"/>
        </w:rPr>
      </w:pPr>
    </w:p>
    <w:p>
      <w:pPr>
        <w:ind w:right="500" w:firstLine="360"/>
        <w:spacing w:after="0" w:line="281" w:lineRule="auto"/>
        <w:rPr>
          <w:sz w:val="20"/>
          <w:szCs w:val="20"/>
          <w:color w:val="auto"/>
        </w:rPr>
      </w:pPr>
      <w:r>
        <w:rPr>
          <w:rFonts w:ascii="Times New Roman" w:cs="Times New Roman" w:eastAsia="Times New Roman" w:hAnsi="Times New Roman"/>
          <w:sz w:val="20"/>
          <w:szCs w:val="20"/>
          <w:color w:val="auto"/>
        </w:rPr>
        <w:t>The market price of our Common Stock has been and may continue to be highly volatile and could be subject to wide fluctuations in response to various factors, some of which are beyond our control.</w:t>
      </w:r>
    </w:p>
    <w:p>
      <w:pPr>
        <w:spacing w:after="0" w:line="1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market price of our Common Stock may fluctuate due to a variety of factors, including:</w:t>
      </w:r>
    </w:p>
    <w:p>
      <w:pPr>
        <w:spacing w:after="0" w:line="190" w:lineRule="exact"/>
        <w:rPr>
          <w:sz w:val="20"/>
          <w:szCs w:val="20"/>
          <w:color w:val="auto"/>
        </w:rPr>
      </w:pPr>
    </w:p>
    <w:p>
      <w:pPr>
        <w:ind w:right="1480" w:firstLine="350"/>
        <w:spacing w:after="0" w:line="281" w:lineRule="auto"/>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of the launch and commercialization of our products and degree to which such launch and commercialization meets the expectations of securities analysts and investors;</w:t>
      </w:r>
    </w:p>
    <w:p>
      <w:pPr>
        <w:spacing w:after="0" w:line="12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fluctuations in our operating results, including fluctuations in our quarterly and annual results;</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expenses being more than anticipated;</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or discontinuation of any of our product development and research programs;</w:t>
      </w:r>
    </w:p>
    <w:p>
      <w:pPr>
        <w:spacing w:after="0" w:line="190" w:lineRule="exact"/>
        <w:rPr>
          <w:rFonts w:ascii="Times New Roman" w:cs="Times New Roman" w:eastAsia="Times New Roman" w:hAnsi="Times New Roman"/>
          <w:sz w:val="20"/>
          <w:szCs w:val="20"/>
          <w:color w:val="auto"/>
        </w:rPr>
      </w:pPr>
    </w:p>
    <w:p>
      <w:pPr>
        <w:ind w:right="640" w:firstLine="350"/>
        <w:spacing w:after="0" w:line="281" w:lineRule="auto"/>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structure or funding of research at academic and research laboratories and institutions, including changes that would affect their ability to purchase our instruments or consumables;</w:t>
      </w:r>
    </w:p>
    <w:p>
      <w:pPr>
        <w:spacing w:after="0" w:line="12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success of existing or new competitive businesses or technologies;</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about new research programs or products of our competitors;</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developments or disputes concerning patent applications, issued patents or other proprietary rights;</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recruitment or departure of key personnel;</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litigation and governmental investigations involving us, our industry or both;</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or legal developments in the United States and other countries;</w:t>
      </w:r>
    </w:p>
    <w:p>
      <w:pPr>
        <w:spacing w:after="0" w:line="190" w:lineRule="exact"/>
        <w:rPr>
          <w:rFonts w:ascii="Times New Roman" w:cs="Times New Roman" w:eastAsia="Times New Roman" w:hAnsi="Times New Roman"/>
          <w:sz w:val="20"/>
          <w:szCs w:val="20"/>
          <w:color w:val="auto"/>
        </w:rPr>
      </w:pPr>
    </w:p>
    <w:p>
      <w:pPr>
        <w:ind w:right="440" w:firstLine="350"/>
        <w:spacing w:after="0" w:line="281" w:lineRule="auto"/>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volatility and variations in market conditions in the life sciences technology sector generally, or the proteomics or genomics sectors specifically;</w:t>
      </w:r>
    </w:p>
    <w:p>
      <w:pPr>
        <w:spacing w:after="0" w:line="12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investor perceptions of us or our industry;</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2240" w:h="15840" w:orient="portrait"/>
          <w:cols w:equalWidth="0" w:num="1">
            <w:col w:w="10240"/>
          </w:cols>
          <w:pgMar w:left="1000" w:top="793" w:right="1000" w:bottom="0" w:gutter="0" w:footer="0" w:header="0"/>
          <w:type w:val="continuous"/>
        </w:sectPr>
      </w:pPr>
    </w:p>
    <w:bookmarkStart w:id="71" w:name="page72"/>
    <w:bookmarkEnd w:id="71"/>
    <w:p>
      <w:pPr>
        <w:ind w:left="720" w:hanging="370"/>
        <w:spacing w:after="0"/>
        <w:tabs>
          <w:tab w:leader="none" w:pos="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level of expenses related to any of our research and development programs or products;</w:t>
      </w:r>
    </w:p>
    <w:p>
      <w:pPr>
        <w:spacing w:after="0" w:line="190" w:lineRule="exact"/>
        <w:rPr>
          <w:rFonts w:ascii="Times New Roman" w:cs="Times New Roman" w:eastAsia="Times New Roman" w:hAnsi="Times New Roman"/>
          <w:sz w:val="20"/>
          <w:szCs w:val="20"/>
          <w:color w:val="auto"/>
        </w:rPr>
      </w:pPr>
    </w:p>
    <w:p>
      <w:pPr>
        <w:jc w:val="both"/>
        <w:ind w:right="360" w:firstLine="350"/>
        <w:spacing w:after="0" w:line="286" w:lineRule="auto"/>
        <w:tabs>
          <w:tab w:leader="none" w:pos="72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Common Stock or companies that are perceived to be similar to us;</w:t>
      </w:r>
    </w:p>
    <w:p>
      <w:pPr>
        <w:spacing w:after="0" w:line="118" w:lineRule="exact"/>
        <w:rPr>
          <w:rFonts w:ascii="Times New Roman" w:cs="Times New Roman" w:eastAsia="Times New Roman" w:hAnsi="Times New Roman"/>
          <w:sz w:val="19"/>
          <w:szCs w:val="19"/>
          <w:color w:val="auto"/>
        </w:rPr>
      </w:pPr>
    </w:p>
    <w:p>
      <w:pPr>
        <w:ind w:left="720" w:hanging="370"/>
        <w:spacing w:after="0"/>
        <w:tabs>
          <w:tab w:leader="none" w:pos="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our financial results meet the expectations of securities analysts or investors;</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announcement or expectation of additional financing efforts;</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our Common Stock by us or by our insiders or other stockholders;</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industry and market conditions; and</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COVID-19 pandemic, natural disasters or major catastrophic events.</w:t>
      </w:r>
    </w:p>
    <w:p>
      <w:pPr>
        <w:spacing w:after="0" w:line="190" w:lineRule="exact"/>
        <w:rPr>
          <w:sz w:val="20"/>
          <w:szCs w:val="20"/>
          <w:color w:val="auto"/>
        </w:rPr>
      </w:pPr>
    </w:p>
    <w:p>
      <w:pPr>
        <w:ind w:right="100" w:firstLine="360"/>
        <w:spacing w:after="0" w:line="254" w:lineRule="auto"/>
        <w:rPr>
          <w:sz w:val="20"/>
          <w:szCs w:val="20"/>
          <w:color w:val="auto"/>
        </w:rPr>
      </w:pPr>
      <w:r>
        <w:rPr>
          <w:rFonts w:ascii="Times New Roman" w:cs="Times New Roman" w:eastAsia="Times New Roman" w:hAnsi="Times New Roman"/>
          <w:sz w:val="20"/>
          <w:szCs w:val="20"/>
          <w:color w:val="auto"/>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particularly in light of the current COVID-19 pandemic. Broad market and industry factors may seriously affect the market price of our Common Stock, regardless of our actual operating performance. These fluctuations may be even more pronounced in the trading market for our Common Stock. Following periods of such volatility in the market price of a company’s securities, securities class action litigation has often been brought against that company. Because of the potential volatility of our Common Stock price, we may become the target of securities litigation in the future. Securities litigation could result in substantial costs and divert management’s attention and resources from our business.</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There can be no assurance that we will be able to comply with the continued listing standards of Nasdaq.</w:t>
      </w:r>
    </w:p>
    <w:p>
      <w:pPr>
        <w:spacing w:after="0" w:line="199" w:lineRule="exact"/>
        <w:rPr>
          <w:sz w:val="20"/>
          <w:szCs w:val="20"/>
          <w:color w:val="auto"/>
        </w:rPr>
      </w:pPr>
    </w:p>
    <w:p>
      <w:pPr>
        <w:ind w:right="120" w:firstLine="360"/>
        <w:spacing w:after="0" w:line="281" w:lineRule="auto"/>
        <w:rPr>
          <w:sz w:val="20"/>
          <w:szCs w:val="20"/>
          <w:color w:val="auto"/>
        </w:rPr>
      </w:pPr>
      <w:r>
        <w:rPr>
          <w:rFonts w:ascii="Times New Roman" w:cs="Times New Roman" w:eastAsia="Times New Roman" w:hAnsi="Times New Roman"/>
          <w:sz w:val="20"/>
          <w:szCs w:val="20"/>
          <w:color w:val="auto"/>
        </w:rPr>
        <w:t>If Nasdaq delists our shares of Common Stock from trading on its exchange for failure to meet Nasdaq’s listing standards, we and our stockholders could face significant material adverse consequences including:</w:t>
      </w:r>
    </w:p>
    <w:p>
      <w:pPr>
        <w:spacing w:after="0" w:line="121" w:lineRule="exact"/>
        <w:rPr>
          <w:sz w:val="20"/>
          <w:szCs w:val="20"/>
          <w:color w:val="auto"/>
        </w:rPr>
      </w:pPr>
    </w:p>
    <w:p>
      <w:pPr>
        <w:ind w:left="720" w:hanging="370"/>
        <w:spacing w:after="0"/>
        <w:tabs>
          <w:tab w:leader="none" w:pos="7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limited availability of market quotations for our securities;</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reduced liquidity for our securities;</w:t>
      </w:r>
    </w:p>
    <w:p>
      <w:pPr>
        <w:spacing w:after="0" w:line="190" w:lineRule="exact"/>
        <w:rPr>
          <w:rFonts w:ascii="Times New Roman" w:cs="Times New Roman" w:eastAsia="Times New Roman" w:hAnsi="Times New Roman"/>
          <w:sz w:val="20"/>
          <w:szCs w:val="20"/>
          <w:color w:val="auto"/>
        </w:rPr>
      </w:pPr>
    </w:p>
    <w:p>
      <w:pPr>
        <w:ind w:firstLine="350"/>
        <w:spacing w:after="0" w:line="266" w:lineRule="auto"/>
        <w:tabs>
          <w:tab w:leader="none" w:pos="7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35"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limited amount of new and analyst coverage; and</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decreased ability to issue additional securities or obtain additional financing in the future.</w:t>
      </w:r>
    </w:p>
    <w:p>
      <w:pPr>
        <w:spacing w:after="0" w:line="181" w:lineRule="exact"/>
        <w:rPr>
          <w:sz w:val="20"/>
          <w:szCs w:val="20"/>
          <w:color w:val="auto"/>
        </w:rPr>
      </w:pPr>
    </w:p>
    <w:p>
      <w:pPr>
        <w:ind w:right="360" w:firstLine="3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principal stockholders and management own a significant percentage of our Common Stock and will be able to exercise significant influence over matters subject to stockholder approval.</w:t>
      </w:r>
    </w:p>
    <w:p>
      <w:pPr>
        <w:spacing w:after="0" w:line="117" w:lineRule="exact"/>
        <w:rPr>
          <w:sz w:val="20"/>
          <w:szCs w:val="20"/>
          <w:color w:val="auto"/>
        </w:rPr>
      </w:pPr>
    </w:p>
    <w:p>
      <w:pPr>
        <w:ind w:right="40" w:firstLine="360"/>
        <w:spacing w:after="0" w:line="255" w:lineRule="auto"/>
        <w:rPr>
          <w:sz w:val="20"/>
          <w:szCs w:val="20"/>
          <w:color w:val="auto"/>
        </w:rPr>
      </w:pPr>
      <w:r>
        <w:rPr>
          <w:rFonts w:ascii="Times New Roman" w:cs="Times New Roman" w:eastAsia="Times New Roman" w:hAnsi="Times New Roman"/>
          <w:sz w:val="20"/>
          <w:szCs w:val="20"/>
          <w:color w:val="auto"/>
        </w:rPr>
        <w:t>As of December 31, 2023, our directors, executive officers, holders of more than 5% of our outstanding shares of Common Stock and their respective affiliates beneficially owned, collectively, approximately 68.8% of the outstanding shares of Common Stock. As a result, these stockholders, if they act together, may significantly influence all matters requiring stockholder approval, including the election of directors and approval of significant corporate transactions. This concentration of ownership may have the effect of delaying or preventing a change in control of our company that our other stockholders may believe is in their best interests. This in turn could have a material adverse effect on our stock price and may prevent attempts by our stockholders to replace or remove the board of directors or management.</w:t>
      </w:r>
    </w:p>
    <w:p>
      <w:pPr>
        <w:spacing w:after="0" w:line="140" w:lineRule="exact"/>
        <w:rPr>
          <w:sz w:val="20"/>
          <w:szCs w:val="20"/>
          <w:color w:val="auto"/>
        </w:rPr>
      </w:pPr>
    </w:p>
    <w:p>
      <w:pPr>
        <w:ind w:right="520" w:firstLine="3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sale or the perception of future sales of a substantial number of shares of our Common Stock could cause the market price of our Common Stock to drop significantly, even if our business is doing well.</w:t>
      </w:r>
    </w:p>
    <w:p>
      <w:pPr>
        <w:spacing w:after="0" w:line="117" w:lineRule="exact"/>
        <w:rPr>
          <w:sz w:val="20"/>
          <w:szCs w:val="20"/>
          <w:color w:val="auto"/>
        </w:rPr>
      </w:pPr>
    </w:p>
    <w:p>
      <w:pPr>
        <w:jc w:val="both"/>
        <w:ind w:right="80" w:firstLine="360"/>
        <w:spacing w:after="0" w:line="266" w:lineRule="auto"/>
        <w:rPr>
          <w:sz w:val="20"/>
          <w:szCs w:val="20"/>
          <w:color w:val="auto"/>
        </w:rPr>
      </w:pPr>
      <w:r>
        <w:rPr>
          <w:rFonts w:ascii="Times New Roman" w:cs="Times New Roman" w:eastAsia="Times New Roman" w:hAnsi="Times New Roman"/>
          <w:sz w:val="20"/>
          <w:szCs w:val="20"/>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35" w:lineRule="exact"/>
        <w:rPr>
          <w:sz w:val="20"/>
          <w:szCs w:val="20"/>
          <w:color w:val="auto"/>
        </w:rPr>
      </w:pPr>
    </w:p>
    <w:p>
      <w:pPr>
        <w:ind w:right="220" w:firstLine="360"/>
        <w:spacing w:after="0" w:line="309" w:lineRule="auto"/>
        <w:rPr>
          <w:sz w:val="20"/>
          <w:szCs w:val="20"/>
          <w:color w:val="auto"/>
        </w:rPr>
      </w:pPr>
      <w:r>
        <w:rPr>
          <w:rFonts w:ascii="Times New Roman" w:cs="Times New Roman" w:eastAsia="Times New Roman" w:hAnsi="Times New Roman"/>
          <w:sz w:val="19"/>
          <w:szCs w:val="19"/>
          <w:color w:val="auto"/>
        </w:rPr>
        <w:t>Pursuant to the Amended and Restated Registration Rights and Lock-Up Agreement (the “Registration Rights and Lock-Up Agreement”) and the Subscription Agreements entered into in connection with the PIPE Financing, we have filed resale</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2240" w:h="15840" w:orient="portrait"/>
          <w:cols w:equalWidth="0" w:num="1">
            <w:col w:w="10240"/>
          </w:cols>
          <w:pgMar w:left="1000" w:top="793" w:right="1000" w:bottom="0" w:gutter="0" w:footer="0" w:header="0"/>
          <w:type w:val="continuous"/>
        </w:sectPr>
      </w:pPr>
    </w:p>
    <w:bookmarkStart w:id="72" w:name="page73"/>
    <w:bookmarkEnd w:id="72"/>
    <w:p>
      <w:pPr>
        <w:ind w:right="40"/>
        <w:spacing w:after="0" w:line="260" w:lineRule="auto"/>
        <w:rPr>
          <w:sz w:val="20"/>
          <w:szCs w:val="20"/>
          <w:color w:val="auto"/>
        </w:rPr>
      </w:pPr>
      <w:r>
        <w:rPr>
          <w:rFonts w:ascii="Times New Roman" w:cs="Times New Roman" w:eastAsia="Times New Roman" w:hAnsi="Times New Roman"/>
          <w:sz w:val="20"/>
          <w:szCs w:val="20"/>
          <w:color w:val="auto"/>
        </w:rPr>
        <w:t>registration statements to provide for the resale of the shares issued in the PIPE Financing and the shares of our Common Stock held by the parties to the Registration Rights and Lock-Up Agreement. The market price of our Common Stock could decline if the holders whose shares are registered under such registration statements sell their shares or are perceived by the market as intending to sell their shares.</w:t>
      </w:r>
    </w:p>
    <w:p>
      <w:pPr>
        <w:spacing w:after="0" w:line="134" w:lineRule="exact"/>
        <w:rPr>
          <w:sz w:val="20"/>
          <w:szCs w:val="20"/>
          <w:color w:val="auto"/>
        </w:rPr>
      </w:pPr>
    </w:p>
    <w:p>
      <w:pPr>
        <w:ind w:right="880" w:firstLine="3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do not expect to pay any dividends for the foreseeable future. Investors may never obtain a return on their investment.</w:t>
      </w:r>
    </w:p>
    <w:p>
      <w:pPr>
        <w:spacing w:after="0" w:line="117"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You should not rely on an investment in our Common Stock to provide dividend income. We do not anticipate that we will pay any dividends to holders of our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Common Stock. Accordingly, investors must rely on sales of our Common Stock after price appreciation, which may never occur, as the only way to realize any return on their investment. As a result, investors seeking cash dividends should not purchase our Common Stock.</w:t>
      </w:r>
    </w:p>
    <w:p>
      <w:pPr>
        <w:spacing w:after="0" w:line="140" w:lineRule="exact"/>
        <w:rPr>
          <w:sz w:val="20"/>
          <w:szCs w:val="20"/>
          <w:color w:val="auto"/>
        </w:rPr>
      </w:pPr>
    </w:p>
    <w:p>
      <w:pPr>
        <w:ind w:right="660" w:firstLine="3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148"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Our bylaws provide that, unless we consent in writing to the selection of an alternative forum (an “Alternative Forum Consent”),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our behalf, (ii) any action asserting a claim of breach of a fiduciary duty owed by any of our directors, officers, stockholders or other employees to us or our stockholders, (iii) any action arising pursuant to any provision of the Delaware General Corporation Law or our certificate of incorporation or bylaws (each, as may be amended from time to time), or (iv) any action asserting a claim governed by the internal affairs doctrine of the State of Delaware, except for any claim as to which the court does not have jurisdiction over an indispensable party to that claim. The foregoing shall not apply to any claims under the Exchange Act or the Securities Act of 1933, as amended (the “Securities Act”). In addition, unless we give an Alternative Forum Consent, the federal district courts of the United States shall be the sole and exclusive forum for resolving any action asserting a claim arising under the Securities Act against any person in connection with any offering of the Company’s securities, including any auditor, underwriter, expert, control person or other defendant.</w:t>
      </w:r>
    </w:p>
    <w:p>
      <w:pPr>
        <w:spacing w:after="0" w:line="148" w:lineRule="exact"/>
        <w:rPr>
          <w:sz w:val="20"/>
          <w:szCs w:val="20"/>
          <w:color w:val="auto"/>
        </w:rPr>
      </w:pPr>
    </w:p>
    <w:p>
      <w:pPr>
        <w:ind w:right="260" w:firstLine="360"/>
        <w:spacing w:after="0" w:line="256" w:lineRule="auto"/>
        <w:rPr>
          <w:sz w:val="20"/>
          <w:szCs w:val="20"/>
          <w:color w:val="auto"/>
        </w:rPr>
      </w:pPr>
      <w:r>
        <w:rPr>
          <w:rFonts w:ascii="Times New Roman" w:cs="Times New Roman" w:eastAsia="Times New Roman" w:hAnsi="Times New Roman"/>
          <w:sz w:val="20"/>
          <w:szCs w:val="20"/>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bylaws also provide that, unless we consent in writing to the selection of an alternative forum, the federal district courts of the United States of America will be the exclusive forum for resolving any complaint asserting a cause of action arising under the Securities Act.</w:t>
      </w:r>
    </w:p>
    <w:p>
      <w:pPr>
        <w:spacing w:after="0" w:line="148"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20"/>
          <w:szCs w:val="20"/>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In addition, a stockholder that is unable to bring a claim in the judicial forum of its choosing may be required to incur additional costs in the pursuit of actions which are subject to the exclusive forum provisions described above. Our stockholders will not be deemed to have waived our compliance with the federal securities laws and the rules and regulations thereunder as a result of our exclusive forum provisions. Further, in the event a court finds either exclusive forum provision contained in our bylaws to be unenforceable or inapplicable in an action, we may incur additional costs associated with resolving such action in other jurisdictions, which could harm our results of operations.</w:t>
      </w:r>
    </w:p>
    <w:p>
      <w:pPr>
        <w:spacing w:after="0" w:line="142" w:lineRule="exact"/>
        <w:rPr>
          <w:sz w:val="20"/>
          <w:szCs w:val="20"/>
          <w:color w:val="auto"/>
        </w:rPr>
      </w:pPr>
    </w:p>
    <w:p>
      <w:pPr>
        <w:ind w:right="20" w:firstLine="360"/>
        <w:spacing w:after="0" w:line="316" w:lineRule="auto"/>
        <w:rPr>
          <w:sz w:val="20"/>
          <w:szCs w:val="20"/>
          <w:color w:val="auto"/>
        </w:rPr>
      </w:pPr>
      <w:r>
        <w:rPr>
          <w:rFonts w:ascii="Times New Roman" w:cs="Times New Roman" w:eastAsia="Times New Roman" w:hAnsi="Times New Roman"/>
          <w:sz w:val="19"/>
          <w:szCs w:val="19"/>
          <w:b w:val="1"/>
          <w:bCs w:val="1"/>
          <w:i w:val="1"/>
          <w:iCs w:val="1"/>
          <w:color w:val="auto"/>
        </w:rPr>
        <w:t>Delaware law and provisions in our certificate of incorporation and bylaws might discourage, delay or prevent a change in control of our company or changes in our management and, therefore, depress the trading price of our Common Stock.</w:t>
      </w:r>
    </w:p>
    <w:p>
      <w:pPr>
        <w:spacing w:after="0" w:line="94" w:lineRule="exact"/>
        <w:rPr>
          <w:sz w:val="20"/>
          <w:szCs w:val="20"/>
          <w:color w:val="auto"/>
        </w:rPr>
      </w:pPr>
    </w:p>
    <w:p>
      <w:pPr>
        <w:ind w:right="180" w:firstLine="360"/>
        <w:spacing w:after="0" w:line="309" w:lineRule="auto"/>
        <w:rPr>
          <w:sz w:val="20"/>
          <w:szCs w:val="20"/>
          <w:color w:val="auto"/>
        </w:rPr>
      </w:pPr>
      <w:r>
        <w:rPr>
          <w:rFonts w:ascii="Times New Roman" w:cs="Times New Roman" w:eastAsia="Times New Roman" w:hAnsi="Times New Roman"/>
          <w:sz w:val="19"/>
          <w:szCs w:val="19"/>
          <w:color w:val="auto"/>
        </w:rPr>
        <w:t>Our status as a Delaware corporation and the anti-takeover provisions of the Delaware General Corporation Law may discourage, delay or prevent a change in control by prohibiting us from engaging in a business combination with an interested</w:t>
      </w:r>
    </w:p>
    <w:p>
      <w:pPr>
        <w:sectPr>
          <w:pgSz w:w="12240" w:h="15840" w:orient="portrait"/>
          <w:cols w:equalWidth="0" w:num="1">
            <w:col w:w="10240"/>
          </w:cols>
          <w:pgMar w:left="1000" w:top="793" w:right="1000" w:bottom="0" w:gutter="0" w:footer="0" w:header="0"/>
        </w:sect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2240" w:h="15840" w:orient="portrait"/>
          <w:cols w:equalWidth="0" w:num="1">
            <w:col w:w="10240"/>
          </w:cols>
          <w:pgMar w:left="1000" w:top="793" w:right="1000" w:bottom="0" w:gutter="0" w:footer="0" w:header="0"/>
          <w:type w:val="continuous"/>
        </w:sectPr>
      </w:pPr>
    </w:p>
    <w:bookmarkStart w:id="73" w:name="page74"/>
    <w:bookmarkEnd w:id="73"/>
    <w:p>
      <w:pPr>
        <w:ind w:right="60"/>
        <w:spacing w:after="0" w:line="260" w:lineRule="auto"/>
        <w:rPr>
          <w:sz w:val="20"/>
          <w:szCs w:val="20"/>
          <w:color w:val="auto"/>
        </w:rPr>
      </w:pPr>
      <w:r>
        <w:rPr>
          <w:rFonts w:ascii="Times New Roman" w:cs="Times New Roman" w:eastAsia="Times New Roman" w:hAnsi="Times New Roman"/>
          <w:sz w:val="20"/>
          <w:szCs w:val="20"/>
          <w:color w:val="auto"/>
        </w:rPr>
        <w:t>stockholder for a period of three years after the person becomes an interested stockholder without the approval of holders of 66 2/3% of the voting power of our stockholders other than the interested stockholder, even if a change of control would be beneficial to our existing stockholders. In addition, our certificate of incorporation and bylaws contain provisions that may make the acquisition of our company more difficult, including the following:</w:t>
      </w:r>
    </w:p>
    <w:p>
      <w:pPr>
        <w:spacing w:after="0" w:line="143" w:lineRule="exact"/>
        <w:rPr>
          <w:sz w:val="20"/>
          <w:szCs w:val="20"/>
          <w:color w:val="auto"/>
        </w:rPr>
      </w:pPr>
    </w:p>
    <w:p>
      <w:pPr>
        <w:jc w:val="both"/>
        <w:ind w:firstLine="350"/>
        <w:spacing w:after="0" w:line="266" w:lineRule="auto"/>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board of directors is classified into three classes of directors with staggered three-year terms and directors are only able to be removed from office for cause by the affirmative vote of holders of at least two-thirds of the voting power of our then outstanding capital stock;</w:t>
      </w:r>
    </w:p>
    <w:p>
      <w:pPr>
        <w:spacing w:after="0" w:line="135" w:lineRule="exact"/>
        <w:rPr>
          <w:rFonts w:ascii="Times New Roman" w:cs="Times New Roman" w:eastAsia="Times New Roman" w:hAnsi="Times New Roman"/>
          <w:sz w:val="20"/>
          <w:szCs w:val="20"/>
          <w:color w:val="auto"/>
        </w:rPr>
      </w:pPr>
    </w:p>
    <w:p>
      <w:pPr>
        <w:ind w:right="220" w:firstLine="350"/>
        <w:spacing w:after="0" w:line="281" w:lineRule="auto"/>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amendments to our certificate of incorporation require the approval of stockholders holding two-thirds of the voting power of our then outstanding capital stock;</w:t>
      </w:r>
    </w:p>
    <w:p>
      <w:pPr>
        <w:spacing w:after="0" w:line="121" w:lineRule="exact"/>
        <w:rPr>
          <w:rFonts w:ascii="Times New Roman" w:cs="Times New Roman" w:eastAsia="Times New Roman" w:hAnsi="Times New Roman"/>
          <w:sz w:val="20"/>
          <w:szCs w:val="20"/>
          <w:color w:val="auto"/>
        </w:rPr>
      </w:pPr>
    </w:p>
    <w:p>
      <w:pPr>
        <w:ind w:right="20" w:firstLine="350"/>
        <w:spacing w:after="0" w:line="281" w:lineRule="auto"/>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stockholder-proposed amendment to certain provisions of our bylaws require the approval of stockholders holding two-thirds of the voting power of our then outstanding capital stock;</w:t>
      </w:r>
    </w:p>
    <w:p>
      <w:pPr>
        <w:spacing w:after="0" w:line="121" w:lineRule="exact"/>
        <w:rPr>
          <w:rFonts w:ascii="Times New Roman" w:cs="Times New Roman" w:eastAsia="Times New Roman" w:hAnsi="Times New Roman"/>
          <w:sz w:val="20"/>
          <w:szCs w:val="20"/>
          <w:color w:val="auto"/>
        </w:rPr>
      </w:pPr>
    </w:p>
    <w:p>
      <w:pPr>
        <w:ind w:right="360" w:firstLine="350"/>
        <w:spacing w:after="0" w:line="281" w:lineRule="auto"/>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stockholders are only able to take action at a meeting of stockholders and are not able to take action by written consent for any matter;</w:t>
      </w:r>
    </w:p>
    <w:p>
      <w:pPr>
        <w:spacing w:after="0" w:line="12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vacancies on our board of directors are able to be filled only by our board of directors and not by stockholders;</w:t>
      </w:r>
    </w:p>
    <w:p>
      <w:pPr>
        <w:spacing w:after="0" w:line="190" w:lineRule="exact"/>
        <w:rPr>
          <w:rFonts w:ascii="Times New Roman" w:cs="Times New Roman" w:eastAsia="Times New Roman" w:hAnsi="Times New Roman"/>
          <w:sz w:val="20"/>
          <w:szCs w:val="20"/>
          <w:color w:val="auto"/>
        </w:rPr>
      </w:pPr>
    </w:p>
    <w:p>
      <w:pPr>
        <w:ind w:right="700" w:firstLine="350"/>
        <w:spacing w:after="0" w:line="281" w:lineRule="auto"/>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only the chair of our board of directors, our chief executive officer, our president or a majority of our board of directors are authorized to call a special meeting of stockholders;</w:t>
      </w:r>
    </w:p>
    <w:p>
      <w:pPr>
        <w:spacing w:after="0" w:line="12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litigation against us can only be brought in Delaware;</w:t>
      </w:r>
    </w:p>
    <w:p>
      <w:pPr>
        <w:spacing w:after="0" w:line="190" w:lineRule="exact"/>
        <w:rPr>
          <w:rFonts w:ascii="Times New Roman" w:cs="Times New Roman" w:eastAsia="Times New Roman" w:hAnsi="Times New Roman"/>
          <w:sz w:val="20"/>
          <w:szCs w:val="20"/>
          <w:color w:val="auto"/>
        </w:rPr>
      </w:pPr>
    </w:p>
    <w:p>
      <w:pPr>
        <w:ind w:right="100" w:firstLine="350"/>
        <w:spacing w:after="0" w:line="281" w:lineRule="auto"/>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certificate of incorporation authorizes undesignated preferred stock, the terms of which may be established by our Board and shares of which may be issued, without the approval of the holders of our capital stock; and</w:t>
      </w:r>
    </w:p>
    <w:p>
      <w:pPr>
        <w:spacing w:after="0" w:line="121" w:lineRule="exact"/>
        <w:rPr>
          <w:rFonts w:ascii="Times New Roman" w:cs="Times New Roman" w:eastAsia="Times New Roman" w:hAnsi="Times New Roman"/>
          <w:sz w:val="20"/>
          <w:szCs w:val="20"/>
          <w:color w:val="auto"/>
        </w:rPr>
      </w:pPr>
    </w:p>
    <w:p>
      <w:pPr>
        <w:ind w:right="200" w:firstLine="350"/>
        <w:spacing w:after="0" w:line="281" w:lineRule="auto"/>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 notice procedures apply for stockholders to nominate candidates for election as directors or to bring matters before an annual meeting of stockholders.</w:t>
      </w:r>
    </w:p>
    <w:p>
      <w:pPr>
        <w:spacing w:after="0" w:line="121" w:lineRule="exact"/>
        <w:rPr>
          <w:sz w:val="20"/>
          <w:szCs w:val="20"/>
          <w:color w:val="auto"/>
        </w:rPr>
      </w:pPr>
    </w:p>
    <w:p>
      <w:pPr>
        <w:ind w:right="140" w:firstLine="360"/>
        <w:spacing w:after="0" w:line="260" w:lineRule="auto"/>
        <w:rPr>
          <w:sz w:val="20"/>
          <w:szCs w:val="20"/>
          <w:color w:val="auto"/>
        </w:rPr>
      </w:pPr>
      <w:r>
        <w:rPr>
          <w:rFonts w:ascii="Times New Roman" w:cs="Times New Roman" w:eastAsia="Times New Roman" w:hAnsi="Times New Roman"/>
          <w:sz w:val="20"/>
          <w:szCs w:val="20"/>
          <w:color w:val="auto"/>
        </w:rPr>
        <w:t>These anti-takeover defenses could discourage, delay, or prevent a transaction involving our change in control.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General Risk Factors</w:t>
      </w:r>
    </w:p>
    <w:p>
      <w:pPr>
        <w:spacing w:after="0" w:line="188" w:lineRule="exact"/>
        <w:rPr>
          <w:sz w:val="20"/>
          <w:szCs w:val="20"/>
          <w:color w:val="auto"/>
        </w:rPr>
      </w:pPr>
    </w:p>
    <w:p>
      <w:pPr>
        <w:ind w:right="360" w:firstLine="3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will continue to incur significant increased costs and management resources as a result of operating as a public company.</w:t>
      </w:r>
    </w:p>
    <w:p>
      <w:pPr>
        <w:spacing w:after="0" w:line="117"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20"/>
          <w:szCs w:val="20"/>
          <w:color w:val="auto"/>
        </w:rPr>
        <w:t>As a public company, we will continue to incur significant legal, accounting, compliance and other expenses that we did not incur as a private company and these expenses may increase even more after we are no longer an “emerging growth company.” Our management and other personnel will need to devote a substantial amount of time and incur significant expense in connection with compliance initiatives. As a public company, we will continue to bear all of the internal and external costs of preparing and distributing periodic public reports in compliance with our obligations under the securities laws.</w:t>
      </w:r>
    </w:p>
    <w:p>
      <w:pPr>
        <w:spacing w:after="0" w:line="144"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In addition, regulations and standards relating to corporate governance and public disclosure, including the SOX, and the related rules and regulations implemented by the SEC and The Nasdaq Stock Market LLC,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for our board of directors, particularly to serve on our audit committee and compensation committee, and qualified executive officers.</w:t>
      </w:r>
    </w:p>
    <w:p>
      <w:pPr>
        <w:sectPr>
          <w:pgSz w:w="12240" w:h="15840" w:orient="portrait"/>
          <w:cols w:equalWidth="0" w:num="1">
            <w:col w:w="10220"/>
          </w:cols>
          <w:pgMar w:left="1000" w:top="793"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ectPr>
          <w:pgSz w:w="12240" w:h="15840" w:orient="portrait"/>
          <w:cols w:equalWidth="0" w:num="1">
            <w:col w:w="10220"/>
          </w:cols>
          <w:pgMar w:left="1000" w:top="793" w:right="1020" w:bottom="0" w:gutter="0" w:footer="0" w:header="0"/>
          <w:type w:val="continuous"/>
        </w:sectPr>
      </w:pPr>
    </w:p>
    <w:bookmarkStart w:id="74" w:name="page75"/>
    <w:bookmarkEnd w:id="74"/>
    <w:p>
      <w:pPr>
        <w:ind w:right="240" w:firstLine="3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have broad discretion in the use of the net proceeds from the Business Combination and the PIPE Financing and may not use them effectively.</w:t>
      </w:r>
    </w:p>
    <w:p>
      <w:pPr>
        <w:spacing w:after="0" w:line="117" w:lineRule="exact"/>
        <w:rPr>
          <w:sz w:val="20"/>
          <w:szCs w:val="20"/>
          <w:color w:val="auto"/>
        </w:rPr>
      </w:pPr>
    </w:p>
    <w:p>
      <w:pPr>
        <w:ind w:right="140" w:firstLine="360"/>
        <w:spacing w:after="0" w:line="256" w:lineRule="auto"/>
        <w:rPr>
          <w:sz w:val="20"/>
          <w:szCs w:val="20"/>
          <w:color w:val="auto"/>
        </w:rPr>
      </w:pPr>
      <w:r>
        <w:rPr>
          <w:rFonts w:ascii="Times New Roman" w:cs="Times New Roman" w:eastAsia="Times New Roman" w:hAnsi="Times New Roman"/>
          <w:sz w:val="20"/>
          <w:szCs w:val="20"/>
          <w:color w:val="auto"/>
        </w:rPr>
        <w:t>We cannot specify with certainty the particular uses of the net proceeds we received from the Business Combination and the PIPE Financing. Our management will have broad discretion in the application of the net proceeds. Our management may spend a portion or all of the net proceeds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the Business Combination and the PIPE Financing in a manner that does not produce income or that loses value.</w:t>
      </w:r>
    </w:p>
    <w:p>
      <w:pPr>
        <w:spacing w:after="0" w:line="139" w:lineRule="exact"/>
        <w:rPr>
          <w:sz w:val="20"/>
          <w:szCs w:val="20"/>
          <w:color w:val="auto"/>
        </w:rPr>
      </w:pPr>
    </w:p>
    <w:p>
      <w:pPr>
        <w:ind w:right="160" w:firstLine="3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ability to use net operating losses and certain other tax attributes to offset future taxable income may be subject to certain limitations.</w:t>
      </w:r>
    </w:p>
    <w:p>
      <w:pPr>
        <w:spacing w:after="0" w:line="117" w:lineRule="exact"/>
        <w:rPr>
          <w:sz w:val="20"/>
          <w:szCs w:val="20"/>
          <w:color w:val="auto"/>
        </w:rPr>
      </w:pPr>
    </w:p>
    <w:p>
      <w:pPr>
        <w:ind w:right="140" w:firstLine="360"/>
        <w:spacing w:after="0" w:line="255" w:lineRule="auto"/>
        <w:rPr>
          <w:sz w:val="20"/>
          <w:szCs w:val="20"/>
          <w:color w:val="auto"/>
        </w:rPr>
      </w:pPr>
      <w:r>
        <w:rPr>
          <w:rFonts w:ascii="Times New Roman" w:cs="Times New Roman" w:eastAsia="Times New Roman" w:hAnsi="Times New Roman"/>
          <w:sz w:val="20"/>
          <w:szCs w:val="20"/>
          <w:color w:val="auto"/>
        </w:rPr>
        <w:t>Our U.S. federal and state net operating loss carryforwards, or NOLs, may be unavailable to offset future taxable income because of restrictions under U.S. federal and/or state law. U.S. federal NOLs that arose in tax years ending on or prior to December 31, 2017, are only permitted to be carried forward for 20 years. U.S. federal NOLs that arose in tax years beginning after December 31, 2017, may be carried forward indefinitely, but for taxable years beginning after December 31, 2020, the deductibility of such U.S. federal NOLs will be limited to 80% of our current year taxable income. Our state NOLs may be subject to similar or different limitations. As of December 31, 2023, we had U.S. federal NOLs of $71.2 million, of which $70.6 million do not expire, and state NOLs of $95.5 million that will begin to expire in 2037.</w:t>
      </w:r>
    </w:p>
    <w:p>
      <w:pPr>
        <w:spacing w:after="0" w:line="150" w:lineRule="exact"/>
        <w:rPr>
          <w:sz w:val="20"/>
          <w:szCs w:val="20"/>
          <w:color w:val="auto"/>
        </w:rPr>
      </w:pPr>
    </w:p>
    <w:p>
      <w:pPr>
        <w:ind w:right="100" w:firstLine="360"/>
        <w:spacing w:after="0" w:line="252" w:lineRule="auto"/>
        <w:rPr>
          <w:sz w:val="20"/>
          <w:szCs w:val="20"/>
          <w:color w:val="auto"/>
        </w:rPr>
      </w:pPr>
      <w:r>
        <w:rPr>
          <w:rFonts w:ascii="Times New Roman" w:cs="Times New Roman" w:eastAsia="Times New Roman" w:hAnsi="Times New Roman"/>
          <w:sz w:val="20"/>
          <w:szCs w:val="20"/>
          <w:color w:val="auto"/>
        </w:rPr>
        <w:t>In addition, Section 382 of the Internal Revenue Code of 1986, as amended, or the Code, may limit the NOLs we may use in any year for U.S. federal income tax purposes in the event of certain changes in our ownership. A Code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conducted a Code Section 382 study to determine whether the use of our NOLs is impaired. We may have previously undergone an “ownership change.” In addition,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 liability for income taxes, and also potentially causing those tax attributes to expire unused. States may impose other limitations on the use of our NOLs and other tax attributes. Any limitation on using NOLs could, depending on the extent of such limitations and the NOLs previously used, result in our retaining less cash after payment of U.S. federal and state income taxes during any year in which we have taxable income, rather than losses, than we would be entitled to retain if such NOLs were available as an offset against such taxable income for U.S. federal and state income tax reporting purposes, which could adversely impact our operating results.</w:t>
      </w:r>
    </w:p>
    <w:p>
      <w:pPr>
        <w:spacing w:after="0" w:line="149" w:lineRule="exact"/>
        <w:rPr>
          <w:sz w:val="20"/>
          <w:szCs w:val="20"/>
          <w:color w:val="auto"/>
        </w:rPr>
      </w:pPr>
    </w:p>
    <w:p>
      <w:pPr>
        <w:ind w:right="340" w:firstLine="3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Changes in tax laws could have a material adverse effect on our future business, cash flows, results of operations or financial condition.</w:t>
      </w:r>
    </w:p>
    <w:p>
      <w:pPr>
        <w:spacing w:after="0" w:line="117"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We may in the future be subject to the tax laws, regulations, and policies of several taxing jurisdictions. Changes in tax laws, as well as other factors, could cause us to experience fluctuations in our tax obligations and effective tax rates and otherwise adversely affect our tax positions and/or our tax liabilities. For example, many countries and local jurisdictions and organizations such as the Organisation for Economic Co-operation and Development have proposed or implemented new tax laws or changes to existing tax laws, including additional taxes on payroll or employees and a proposed 15% global minimum tax (Pillar 2) that is being adopted by several countries with implementation beginning in 2024. Any new or changes to tax laws could adversely affect our future effective tax rate, operating results, tax credits or incentives or tax payments, which could have a material adverse effect on our future business, cash flows, results of operations or financial condition if we expand internationally. For example, the United States recently enacted the Inflation Reduction Act of 2022, which implements, among other changes, a 1% non-deductible excise tax on certain stock buybacks effective January 1, 2023. Further, on January 1, 2022, a provision of the Tax Cuts and Jobs Act of 2017 went into effect that eliminates the option to deduct research and development costs in the year incurred and instead requires taxpayers to amortize such costs over five years for domestic and 15 years for foreign costs. Such changes, among others, may adversely affect our future effective tax rate, business, cash flows, results of operations and financial condition.</w:t>
      </w:r>
    </w:p>
    <w:p>
      <w:pPr>
        <w:spacing w:after="0" w:line="150" w:lineRule="exact"/>
        <w:rPr>
          <w:sz w:val="20"/>
          <w:szCs w:val="20"/>
          <w:color w:val="auto"/>
        </w:rPr>
      </w:pPr>
    </w:p>
    <w:p>
      <w:pPr>
        <w:ind w:right="200" w:firstLine="3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fail to maintain an effective system of internal control over financial reporting, we may not be able to accurately report our financial results in a timely manner or prevent fraud, which would harm our business.</w:t>
      </w:r>
    </w:p>
    <w:p>
      <w:pPr>
        <w:spacing w:after="0" w:line="117" w:lineRule="exact"/>
        <w:rPr>
          <w:sz w:val="20"/>
          <w:szCs w:val="20"/>
          <w:color w:val="auto"/>
        </w:rPr>
      </w:pPr>
    </w:p>
    <w:p>
      <w:pPr>
        <w:ind w:right="180" w:firstLine="360"/>
        <w:spacing w:after="0" w:line="286" w:lineRule="auto"/>
        <w:rPr>
          <w:sz w:val="20"/>
          <w:szCs w:val="20"/>
          <w:color w:val="auto"/>
        </w:rPr>
      </w:pPr>
      <w:r>
        <w:rPr>
          <w:rFonts w:ascii="Times New Roman" w:cs="Times New Roman" w:eastAsia="Times New Roman" w:hAnsi="Times New Roman"/>
          <w:sz w:val="19"/>
          <w:szCs w:val="19"/>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w:t>
      </w:r>
    </w:p>
    <w:p>
      <w:pPr>
        <w:sectPr>
          <w:pgSz w:w="12240" w:h="15840" w:orient="portrait"/>
          <w:cols w:equalWidth="0" w:num="1">
            <w:col w:w="10240"/>
          </w:cols>
          <w:pgMar w:left="1000" w:top="784" w:right="1000" w:bottom="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2240" w:h="15840" w:orient="portrait"/>
          <w:cols w:equalWidth="0" w:num="1">
            <w:col w:w="10240"/>
          </w:cols>
          <w:pgMar w:left="1000" w:top="784" w:right="1000" w:bottom="0" w:gutter="0" w:footer="0" w:header="0"/>
          <w:type w:val="continuous"/>
        </w:sectPr>
      </w:pPr>
    </w:p>
    <w:bookmarkStart w:id="75" w:name="page76"/>
    <w:bookmarkEnd w:id="75"/>
    <w:p>
      <w:pPr>
        <w:spacing w:after="0" w:line="255" w:lineRule="auto"/>
        <w:rPr>
          <w:sz w:val="20"/>
          <w:szCs w:val="20"/>
          <w:color w:val="auto"/>
        </w:rPr>
      </w:pPr>
      <w:r>
        <w:rPr>
          <w:rFonts w:ascii="Times New Roman" w:cs="Times New Roman" w:eastAsia="Times New Roman" w:hAnsi="Times New Roman"/>
          <w:sz w:val="20"/>
          <w:szCs w:val="20"/>
          <w:color w:val="auto"/>
        </w:rPr>
        <w:t>in a timely manner, or at all. In addition, any testing by us conducted in connection with Section 404(a) of the Sarbanes-Oxley Act of 2002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financial statements or identify other areas for further attention or improvement. Ineffective internal controls could also cause investors to lose confidence in our reported financial information, which could have a negative effect on the trading price of our Common Stock.</w:t>
      </w:r>
    </w:p>
    <w:p>
      <w:pPr>
        <w:spacing w:after="0" w:line="150" w:lineRule="exact"/>
        <w:rPr>
          <w:sz w:val="20"/>
          <w:szCs w:val="20"/>
          <w:color w:val="auto"/>
        </w:rPr>
      </w:pPr>
    </w:p>
    <w:p>
      <w:pPr>
        <w:ind w:firstLine="360"/>
        <w:spacing w:after="0" w:line="271" w:lineRule="auto"/>
        <w:rPr>
          <w:sz w:val="20"/>
          <w:szCs w:val="20"/>
          <w:color w:val="auto"/>
        </w:rPr>
      </w:pPr>
      <w:r>
        <w:rPr>
          <w:rFonts w:ascii="Times New Roman" w:cs="Times New Roman" w:eastAsia="Times New Roman" w:hAnsi="Times New Roman"/>
          <w:sz w:val="19"/>
          <w:szCs w:val="19"/>
          <w:color w:val="auto"/>
        </w:rPr>
        <w:t>We will be required to disclose material changes made in our internal controls over financing reporting and procedures on a quarterly basis and our management will be required to assess the effectiveness of these controls annually. We will be required to make a formal assessment of the effectiveness of our internal control over financial reporting, and once we cease to be an “emerging growth company” under the Jumpstart Our Business Startups Act of 2012 (the “JOBS Act”), we will be required to include an attestation report on internal control over financial reporting issued by our independent registered public accounting firm. However, for as long as we are an “emerging growth company,” our independent registered public accounting firm will not be required to attest to the effectiveness of our internal controls over financial reporting pursuant to Section 404(b) of SOX.</w:t>
      </w:r>
    </w:p>
    <w:p>
      <w:pPr>
        <w:spacing w:after="0" w:line="133"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20"/>
          <w:szCs w:val="20"/>
          <w:color w:val="auto"/>
        </w:rPr>
        <w:t>To achieve compliance with Section 404(a) of SOX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48" w:lineRule="exact"/>
        <w:rPr>
          <w:sz w:val="20"/>
          <w:szCs w:val="20"/>
          <w:color w:val="auto"/>
        </w:rPr>
      </w:pPr>
    </w:p>
    <w:p>
      <w:pPr>
        <w:ind w:right="500" w:firstLine="360"/>
        <w:spacing w:after="0" w:line="266" w:lineRule="auto"/>
        <w:rPr>
          <w:sz w:val="20"/>
          <w:szCs w:val="20"/>
          <w:color w:val="auto"/>
        </w:rPr>
      </w:pPr>
      <w:r>
        <w:rPr>
          <w:rFonts w:ascii="Times New Roman" w:cs="Times New Roman" w:eastAsia="Times New Roman" w:hAnsi="Times New Roman"/>
          <w:sz w:val="20"/>
          <w:szCs w:val="20"/>
          <w:color w:val="auto"/>
        </w:rPr>
        <w:t>An independent assessment of the effectiveness of our internal controls could detect problems that our management’s assessment might not identify. Undetected material weaknesses in our internal controls could lead to financial statement restatements and require us to incur the expense of remediation.</w:t>
      </w:r>
    </w:p>
    <w:p>
      <w:pPr>
        <w:spacing w:after="0" w:line="126" w:lineRule="exact"/>
        <w:rPr>
          <w:sz w:val="20"/>
          <w:szCs w:val="20"/>
          <w:color w:val="auto"/>
        </w:rPr>
      </w:pPr>
    </w:p>
    <w:p>
      <w:pPr>
        <w:ind w:right="40" w:firstLine="36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Common Stock.</w:t>
      </w:r>
    </w:p>
    <w:p>
      <w:pPr>
        <w:spacing w:after="0" w:line="136"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and expenses that are not readily apparent from other sources. For example, in connection with the implementation of the new revenue accounting standard if and when we have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our Common Stock.</w:t>
      </w:r>
    </w:p>
    <w:p>
      <w:pPr>
        <w:spacing w:after="0" w:line="142" w:lineRule="exact"/>
        <w:rPr>
          <w:sz w:val="20"/>
          <w:szCs w:val="20"/>
          <w:color w:val="auto"/>
        </w:rPr>
      </w:pPr>
    </w:p>
    <w:p>
      <w:pPr>
        <w:jc w:val="both"/>
        <w:ind w:right="140" w:firstLine="36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36" w:lineRule="exact"/>
        <w:rPr>
          <w:sz w:val="20"/>
          <w:szCs w:val="20"/>
          <w:color w:val="auto"/>
        </w:rPr>
      </w:pPr>
    </w:p>
    <w:p>
      <w:pPr>
        <w:ind w:firstLine="360"/>
        <w:spacing w:after="0" w:line="267" w:lineRule="auto"/>
        <w:rPr>
          <w:sz w:val="20"/>
          <w:szCs w:val="20"/>
          <w:color w:val="auto"/>
        </w:rPr>
      </w:pPr>
      <w:r>
        <w:rPr>
          <w:rFonts w:ascii="Times New Roman" w:cs="Times New Roman" w:eastAsia="Times New Roman" w:hAnsi="Times New Roman"/>
          <w:sz w:val="19"/>
          <w:szCs w:val="19"/>
          <w:color w:val="auto"/>
        </w:rPr>
        <w:t>We are an “emerging growth company,” as defined in the JOBS Act. For so long as we remain an emerging growth company, we are permitted by SEC rules and plan to rely on exemptions from certain disclosure requirements that are applicable to other SEC registered public companies that are not emerging growth companies. These exemptions include not being required to comply with the auditor attestation requirements of Section 404 of SOX,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that are not emerging growth companies. To the extent that we continue to qualify as a “smaller reporting company,” as such term is defined in Rule 12b-2 under the Securities Exchange Act of 1934, as amended (the “Exchange Act”), after we cease to qualify as an emerging growth company, we will continue to be permitted to make</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2240" w:h="15840" w:orient="portrait"/>
          <w:cols w:equalWidth="0" w:num="1">
            <w:col w:w="10240"/>
          </w:cols>
          <w:pgMar w:left="1000" w:top="793" w:right="1000" w:bottom="0" w:gutter="0" w:footer="0" w:header="0"/>
          <w:type w:val="continuous"/>
        </w:sectPr>
      </w:pPr>
    </w:p>
    <w:bookmarkStart w:id="76" w:name="page77"/>
    <w:bookmarkEnd w:id="76"/>
    <w:p>
      <w:pPr>
        <w:ind w:right="80"/>
        <w:spacing w:after="0" w:line="260" w:lineRule="auto"/>
        <w:rPr>
          <w:sz w:val="20"/>
          <w:szCs w:val="20"/>
          <w:color w:val="auto"/>
        </w:rPr>
      </w:pPr>
      <w:r>
        <w:rPr>
          <w:rFonts w:ascii="Times New Roman" w:cs="Times New Roman" w:eastAsia="Times New Roman" w:hAnsi="Times New Roman"/>
          <w:sz w:val="20"/>
          <w:szCs w:val="20"/>
          <w:color w:val="auto"/>
        </w:rPr>
        <w:t>certain reduced disclosures in our periodic reports and other documents that we file with the SEC.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43" w:lineRule="exact"/>
        <w:rPr>
          <w:sz w:val="20"/>
          <w:szCs w:val="20"/>
          <w:color w:val="auto"/>
        </w:rPr>
      </w:pPr>
    </w:p>
    <w:p>
      <w:pPr>
        <w:ind w:right="80" w:firstLine="360"/>
        <w:spacing w:after="0" w:line="255" w:lineRule="auto"/>
        <w:rPr>
          <w:sz w:val="20"/>
          <w:szCs w:val="20"/>
          <w:color w:val="auto"/>
        </w:rPr>
      </w:pPr>
      <w:r>
        <w:rPr>
          <w:rFonts w:ascii="Times New Roman" w:cs="Times New Roman" w:eastAsia="Times New Roman" w:hAnsi="Times New Roman"/>
          <w:sz w:val="20"/>
          <w:szCs w:val="20"/>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40" w:lineRule="exact"/>
        <w:rPr>
          <w:sz w:val="20"/>
          <w:szCs w:val="20"/>
          <w:color w:val="auto"/>
        </w:rPr>
      </w:pPr>
    </w:p>
    <w:p>
      <w:pPr>
        <w:ind w:right="80" w:firstLine="3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Reports published by analysts, including projections in those reports that differ from our actual results, could adversely affect the price and trading volume of our common shares.</w:t>
      </w:r>
    </w:p>
    <w:p>
      <w:pPr>
        <w:spacing w:after="0" w:line="117" w:lineRule="exact"/>
        <w:rPr>
          <w:sz w:val="20"/>
          <w:szCs w:val="20"/>
          <w:color w:val="auto"/>
        </w:rPr>
      </w:pPr>
    </w:p>
    <w:p>
      <w:pPr>
        <w:ind w:right="20" w:firstLine="360"/>
        <w:spacing w:after="0" w:line="256" w:lineRule="auto"/>
        <w:rPr>
          <w:sz w:val="20"/>
          <w:szCs w:val="20"/>
          <w:color w:val="auto"/>
        </w:rPr>
      </w:pPr>
      <w:r>
        <w:rPr>
          <w:rFonts w:ascii="Times New Roman" w:cs="Times New Roman" w:eastAsia="Times New Roman" w:hAnsi="Times New Roman"/>
          <w:sz w:val="20"/>
          <w:szCs w:val="20"/>
          <w:color w:val="auto"/>
        </w:rPr>
        <w:t>Securities research analysts may establish and publish their own periodic projections for us. These projections may vary widely and may not accurately predict the results we actually achieve. The share price of our Common Stock may decline if our actual results do not match the projections of these securities research analysts. Similarly, if one or more of the analysts who write reports on us downgrades our stock or publishes inaccurate or unfavorable research about our business, the share price of our Common Stock could decline. If one or more of these analysts ceases coverage of us or fails to publish reports on us regularly, the share price or trading volume of our Common Stock could decline.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Management and Strategy</w:t>
      </w:r>
    </w:p>
    <w:p>
      <w:pPr>
        <w:spacing w:after="0" w:line="200" w:lineRule="exact"/>
        <w:rPr>
          <w:sz w:val="20"/>
          <w:szCs w:val="20"/>
          <w:color w:val="auto"/>
        </w:rPr>
      </w:pPr>
    </w:p>
    <w:p>
      <w:pPr>
        <w:spacing w:after="0" w:line="221" w:lineRule="exact"/>
        <w:rPr>
          <w:sz w:val="20"/>
          <w:szCs w:val="20"/>
          <w:color w:val="auto"/>
        </w:rPr>
      </w:pPr>
    </w:p>
    <w:p>
      <w:pPr>
        <w:ind w:right="180" w:firstLine="360"/>
        <w:spacing w:after="0" w:line="258" w:lineRule="auto"/>
        <w:rPr>
          <w:sz w:val="20"/>
          <w:szCs w:val="20"/>
          <w:color w:val="auto"/>
        </w:rPr>
      </w:pPr>
      <w:r>
        <w:rPr>
          <w:rFonts w:ascii="Times New Roman" w:cs="Times New Roman" w:eastAsia="Times New Roman" w:hAnsi="Times New Roman"/>
          <w:sz w:val="20"/>
          <w:szCs w:val="20"/>
          <w:color w:val="auto"/>
        </w:rPr>
        <w:t>We have established policies and processes for assessing, identifying, and managing risks from cybersecurity threats, and have integrated these processes into our overall risk management systems and processes. We routinely assess risks from cybersecurity threats, including any potential unauthorized occurrence on or conducted through our information systems that may result in adverse effects on the confidentiality, integrity, or availability of our information systems or any information residing therein.</w:t>
      </w:r>
    </w:p>
    <w:p>
      <w:pPr>
        <w:spacing w:after="0" w:line="144"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20"/>
          <w:szCs w:val="20"/>
          <w:color w:val="auto"/>
        </w:rPr>
        <w:t>We conduct periodic risk assessments to identify cybersecurity threats, as well as assessments in the event of a material change in our business practices that may affect information systems that are vulnerable to such cybersecurity threats. These risk assessments include identification of reasonably foreseeable internal and external risks, the likelihood and potential damage that could result from such risks, and the sufficiency of existing policies, procedures, systems, and safeguards in place to manage such risks.</w:t>
      </w:r>
    </w:p>
    <w:p>
      <w:pPr>
        <w:spacing w:after="0" w:line="144" w:lineRule="exact"/>
        <w:rPr>
          <w:sz w:val="20"/>
          <w:szCs w:val="20"/>
          <w:color w:val="auto"/>
        </w:rPr>
      </w:pPr>
    </w:p>
    <w:p>
      <w:pPr>
        <w:ind w:right="20" w:firstLine="360"/>
        <w:spacing w:after="0" w:line="260" w:lineRule="auto"/>
        <w:rPr>
          <w:sz w:val="20"/>
          <w:szCs w:val="20"/>
          <w:color w:val="auto"/>
        </w:rPr>
      </w:pPr>
      <w:r>
        <w:rPr>
          <w:rFonts w:ascii="Times New Roman" w:cs="Times New Roman" w:eastAsia="Times New Roman" w:hAnsi="Times New Roman"/>
          <w:sz w:val="20"/>
          <w:szCs w:val="20"/>
          <w:color w:val="auto"/>
        </w:rPr>
        <w:t>Following these risk assessments, we evaluate whether and how to re-design, implement, and maintain reasonable safeguards to minimize identified risks; reasonably address any identified gaps in existing safeguards; and regularly monitor the effectiveness of our safeguards. We devote significant resources and designate high-level personnel, including our Head of IT, who reports to our Chief Financial Officer, to manage the risk assessment and mitigation process.</w:t>
      </w:r>
    </w:p>
    <w:p>
      <w:pPr>
        <w:spacing w:after="0" w:line="143" w:lineRule="exact"/>
        <w:rPr>
          <w:sz w:val="20"/>
          <w:szCs w:val="20"/>
          <w:color w:val="auto"/>
        </w:rPr>
      </w:pPr>
    </w:p>
    <w:p>
      <w:pPr>
        <w:ind w:right="60" w:firstLine="360"/>
        <w:spacing w:after="0" w:line="266" w:lineRule="auto"/>
        <w:rPr>
          <w:sz w:val="20"/>
          <w:szCs w:val="20"/>
          <w:color w:val="auto"/>
        </w:rPr>
      </w:pPr>
      <w:r>
        <w:rPr>
          <w:rFonts w:ascii="Times New Roman" w:cs="Times New Roman" w:eastAsia="Times New Roman" w:hAnsi="Times New Roman"/>
          <w:sz w:val="20"/>
          <w:szCs w:val="20"/>
          <w:color w:val="auto"/>
        </w:rPr>
        <w:t>As part of our overall risk management system, we monitor our safeguards and train our employees on these safeguards, in collaboration with human resources, IT, and management. Personnel at all levels and departments are made aware of our cybersecurity policies through trainings integrated into new employee onboarding processes and annual employee re-training.</w:t>
      </w:r>
    </w:p>
    <w:p>
      <w:pPr>
        <w:spacing w:after="0" w:line="135" w:lineRule="exact"/>
        <w:rPr>
          <w:sz w:val="20"/>
          <w:szCs w:val="20"/>
          <w:color w:val="auto"/>
        </w:rPr>
      </w:pPr>
    </w:p>
    <w:p>
      <w:pPr>
        <w:ind w:right="80" w:firstLine="360"/>
        <w:spacing w:after="0" w:line="266" w:lineRule="auto"/>
        <w:rPr>
          <w:sz w:val="20"/>
          <w:szCs w:val="20"/>
          <w:color w:val="auto"/>
        </w:rPr>
      </w:pPr>
      <w:r>
        <w:rPr>
          <w:rFonts w:ascii="Times New Roman" w:cs="Times New Roman" w:eastAsia="Times New Roman" w:hAnsi="Times New Roman"/>
          <w:sz w:val="20"/>
          <w:szCs w:val="20"/>
          <w:color w:val="auto"/>
        </w:rPr>
        <w:t>We engage consultants, experts, or other third parties in connection with our risk assessment processes. These third parties assist us in designing and implementing our cybersecurity policies and procedures, as well as in monitoring and testing our safeguards.</w:t>
      </w:r>
    </w:p>
    <w:p>
      <w:pPr>
        <w:spacing w:after="0" w:line="135" w:lineRule="exact"/>
        <w:rPr>
          <w:sz w:val="20"/>
          <w:szCs w:val="20"/>
          <w:color w:val="auto"/>
        </w:rPr>
      </w:pPr>
    </w:p>
    <w:p>
      <w:pPr>
        <w:ind w:right="20" w:firstLine="360"/>
        <w:spacing w:after="0" w:line="260" w:lineRule="auto"/>
        <w:rPr>
          <w:sz w:val="20"/>
          <w:szCs w:val="20"/>
          <w:color w:val="auto"/>
        </w:rPr>
      </w:pPr>
      <w:r>
        <w:rPr>
          <w:rFonts w:ascii="Times New Roman" w:cs="Times New Roman" w:eastAsia="Times New Roman" w:hAnsi="Times New Roman"/>
          <w:sz w:val="20"/>
          <w:szCs w:val="20"/>
          <w:color w:val="auto"/>
        </w:rPr>
        <w:t>We require each third-party service provider who may have access to our systems and/or our sensitive data to attest that it has the ability to implement and maintain appropriate security measures, consistent with all applicable laws, to implement and maintain reasonable security measures in connection with their work with us, and to promptly report any suspected breach of its security measures that may affect our company.</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2240" w:h="15840" w:orient="portrait"/>
          <w:cols w:equalWidth="0" w:num="1">
            <w:col w:w="10240"/>
          </w:cols>
          <w:pgMar w:left="1000" w:top="793" w:right="1000" w:bottom="0" w:gutter="0" w:footer="0" w:header="0"/>
          <w:type w:val="continuous"/>
        </w:sectPr>
      </w:pPr>
    </w:p>
    <w:bookmarkStart w:id="77" w:name="page78"/>
    <w:bookmarkEnd w:id="77"/>
    <w:p>
      <w:pPr>
        <w:ind w:right="40" w:firstLine="360"/>
        <w:spacing w:after="0" w:line="255" w:lineRule="auto"/>
        <w:rPr>
          <w:sz w:val="20"/>
          <w:szCs w:val="20"/>
          <w:color w:val="auto"/>
        </w:rPr>
      </w:pPr>
      <w:r>
        <w:rPr>
          <w:rFonts w:ascii="Times New Roman" w:cs="Times New Roman" w:eastAsia="Times New Roman" w:hAnsi="Times New Roman"/>
          <w:sz w:val="20"/>
          <w:szCs w:val="20"/>
          <w:color w:val="auto"/>
        </w:rPr>
        <w:t>We have not experienced any cybersecurity incidents that have been determined to be material in the past, however, like other life sciences technology companies, we have experienced cybersecurity incidents and may continue to experience them in the future. For additional information regarding whether any risks from cybersecurity threats, including as a result of any previous cybersecurity incidents, materially affected or are reasonably likely to materially affect our company, including our business strategy, results of operations, or financial condition, please refer to Item 1A, “Risk Factors,” in this annual report on Form 10-K, including, for example, the risk factor entitled “If we experience a significant disruption in our information technology systems or breaches of data security, our business could be adversely affected.”</w:t>
      </w:r>
    </w:p>
    <w:p>
      <w:pPr>
        <w:spacing w:after="0" w:line="1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Governance</w:t>
      </w:r>
    </w:p>
    <w:p>
      <w:pPr>
        <w:spacing w:after="0" w:line="197" w:lineRule="exact"/>
        <w:rPr>
          <w:sz w:val="20"/>
          <w:szCs w:val="20"/>
          <w:color w:val="auto"/>
        </w:rPr>
      </w:pPr>
    </w:p>
    <w:p>
      <w:pPr>
        <w:ind w:right="220" w:firstLine="360"/>
        <w:spacing w:after="0" w:line="260" w:lineRule="auto"/>
        <w:rPr>
          <w:sz w:val="20"/>
          <w:szCs w:val="20"/>
          <w:color w:val="auto"/>
        </w:rPr>
      </w:pPr>
      <w:r>
        <w:rPr>
          <w:rFonts w:ascii="Times New Roman" w:cs="Times New Roman" w:eastAsia="Times New Roman" w:hAnsi="Times New Roman"/>
          <w:sz w:val="20"/>
          <w:szCs w:val="20"/>
          <w:color w:val="auto"/>
        </w:rPr>
        <w:t>One of the key functions of our board of directors is informed oversight of our risk management process, including risks from cybersecurity threats. Our board of directors is responsible for monitoring and assessing strategic risk exposure, and our executive officers are responsible for the day-to-day management of the material risks we face. Our board of directors administers its cybersecurity risk oversight function directly as a whole, as well as through the audit committee.</w:t>
      </w:r>
    </w:p>
    <w:p>
      <w:pPr>
        <w:spacing w:after="0" w:line="143" w:lineRule="exact"/>
        <w:rPr>
          <w:sz w:val="20"/>
          <w:szCs w:val="20"/>
          <w:color w:val="auto"/>
        </w:rPr>
      </w:pPr>
    </w:p>
    <w:p>
      <w:pPr>
        <w:ind w:firstLine="360"/>
        <w:spacing w:after="0" w:line="260" w:lineRule="auto"/>
        <w:rPr>
          <w:sz w:val="20"/>
          <w:szCs w:val="20"/>
          <w:color w:val="auto"/>
        </w:rPr>
      </w:pPr>
      <w:r>
        <w:rPr>
          <w:rFonts w:ascii="Times New Roman" w:cs="Times New Roman" w:eastAsia="Times New Roman" w:hAnsi="Times New Roman"/>
          <w:sz w:val="20"/>
          <w:szCs w:val="20"/>
          <w:color w:val="auto"/>
        </w:rPr>
        <w:t>Our Head of IT and our management committee on cybersecurity, which includes representatives of the Company’s legal department, finance department and IT department, who collectively possess significant experience in evaluating, managing and mitigating security and other risks, including cybersecurity risks, are primarily responsible to assess and manage our material risks from cybersecurity threats.</w:t>
      </w:r>
    </w:p>
    <w:p>
      <w:pPr>
        <w:spacing w:after="0" w:line="143" w:lineRule="exact"/>
        <w:rPr>
          <w:sz w:val="20"/>
          <w:szCs w:val="20"/>
          <w:color w:val="auto"/>
        </w:rPr>
      </w:pPr>
    </w:p>
    <w:p>
      <w:pPr>
        <w:ind w:right="280" w:firstLine="360"/>
        <w:spacing w:after="0" w:line="260" w:lineRule="auto"/>
        <w:rPr>
          <w:sz w:val="20"/>
          <w:szCs w:val="20"/>
          <w:color w:val="auto"/>
        </w:rPr>
      </w:pPr>
      <w:r>
        <w:rPr>
          <w:rFonts w:ascii="Times New Roman" w:cs="Times New Roman" w:eastAsia="Times New Roman" w:hAnsi="Times New Roman"/>
          <w:sz w:val="20"/>
          <w:szCs w:val="20"/>
          <w:color w:val="auto"/>
        </w:rPr>
        <w:t>Our Head of IT and our management committee on cybersecurity oversee our cybersecurity policies and processes, including those described in “Risk Management and Strategy” above. The processes by which our Head of IT and representatives from our management committee on cybersecurity are informed about and monitor the prevention, detection, mitigation, and remediation of cybersecurity incidents includes the following:</w:t>
      </w:r>
    </w:p>
    <w:p>
      <w:pPr>
        <w:spacing w:after="0" w:line="143" w:lineRule="exact"/>
        <w:rPr>
          <w:sz w:val="20"/>
          <w:szCs w:val="20"/>
          <w:color w:val="auto"/>
        </w:rPr>
      </w:pPr>
    </w:p>
    <w:p>
      <w:pPr>
        <w:jc w:val="both"/>
        <w:ind w:right="280" w:firstLine="350"/>
        <w:spacing w:after="0" w:line="266" w:lineRule="auto"/>
        <w:tabs>
          <w:tab w:leader="none" w:pos="7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monitoring of Company computer and information systems for potential malware, ransomware and other malicious activity, and remediation of identified issues, including mitigation of identified risks and containment and elimination of any malicious software;</w:t>
      </w:r>
    </w:p>
    <w:p>
      <w:pPr>
        <w:spacing w:after="0" w:line="135" w:lineRule="exact"/>
        <w:rPr>
          <w:rFonts w:ascii="Times New Roman" w:cs="Times New Roman" w:eastAsia="Times New Roman" w:hAnsi="Times New Roman"/>
          <w:sz w:val="20"/>
          <w:szCs w:val="20"/>
          <w:color w:val="auto"/>
        </w:rPr>
      </w:pPr>
    </w:p>
    <w:p>
      <w:pPr>
        <w:ind w:right="880" w:firstLine="350"/>
        <w:spacing w:after="0" w:line="281" w:lineRule="auto"/>
        <w:tabs>
          <w:tab w:leader="none" w:pos="7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mandatory cybersecurity training as part of new employee onboarding along with required annual employee cybersecurity re-training;</w:t>
      </w:r>
    </w:p>
    <w:p>
      <w:pPr>
        <w:spacing w:after="0" w:line="121" w:lineRule="exact"/>
        <w:rPr>
          <w:rFonts w:ascii="Times New Roman" w:cs="Times New Roman" w:eastAsia="Times New Roman" w:hAnsi="Times New Roman"/>
          <w:sz w:val="20"/>
          <w:szCs w:val="20"/>
          <w:color w:val="auto"/>
        </w:rPr>
      </w:pPr>
    </w:p>
    <w:p>
      <w:pPr>
        <w:ind w:right="280" w:firstLine="350"/>
        <w:spacing w:after="0" w:line="281" w:lineRule="auto"/>
        <w:tabs>
          <w:tab w:leader="none" w:pos="7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automated monitoring of systems and network infrastructure through event log analysis by security information and event management application;</w:t>
      </w:r>
    </w:p>
    <w:p>
      <w:pPr>
        <w:spacing w:after="0" w:line="12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 incident reporting directly to the Company’s CFO and General Counsel; and</w:t>
      </w:r>
    </w:p>
    <w:p>
      <w:pPr>
        <w:spacing w:after="0" w:line="190" w:lineRule="exact"/>
        <w:rPr>
          <w:sz w:val="20"/>
          <w:szCs w:val="20"/>
          <w:color w:val="auto"/>
        </w:rPr>
      </w:pPr>
    </w:p>
    <w:p>
      <w:pPr>
        <w:ind w:right="740" w:firstLine="350"/>
        <w:spacing w:after="0" w:line="281" w:lineRule="auto"/>
        <w:tabs>
          <w:tab w:leader="none" w:pos="7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escalation to the Company’s audit committee and board of directors as warranted based upon the nature of the identified issue.</w:t>
      </w:r>
    </w:p>
    <w:p>
      <w:pPr>
        <w:spacing w:after="0" w:line="121" w:lineRule="exact"/>
        <w:rPr>
          <w:sz w:val="20"/>
          <w:szCs w:val="20"/>
          <w:color w:val="auto"/>
        </w:rPr>
      </w:pPr>
    </w:p>
    <w:p>
      <w:pPr>
        <w:ind w:right="120" w:firstLine="360"/>
        <w:spacing w:after="0" w:line="260" w:lineRule="auto"/>
        <w:rPr>
          <w:sz w:val="20"/>
          <w:szCs w:val="20"/>
          <w:color w:val="auto"/>
        </w:rPr>
      </w:pPr>
      <w:r>
        <w:rPr>
          <w:rFonts w:ascii="Times New Roman" w:cs="Times New Roman" w:eastAsia="Times New Roman" w:hAnsi="Times New Roman"/>
          <w:sz w:val="20"/>
          <w:szCs w:val="20"/>
          <w:color w:val="auto"/>
        </w:rPr>
        <w:t>Our Head of IT and/or representatives from our management committee on cybersecurity provide periodic briefings to the audit committee regarding our company’s cybersecurity risks and activities, including any recent cybersecurity incidents and related responses, cybersecurity systems testing, activities of third parties, and the like. Our audit committee provides regular updates to the board of directors on such reports.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197"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Our current corporate headquarter is located at 2701 Eastlake Avenue East, Seattle, Washington and our current research and development facilities, and manufacturing centers are located at 835 Industrial Rd, San Carlos, California. The Seattle facility is approximately 14,800 square feet. The 835 Industrial Rd, San Carlos, California lease is for approximately 45,338 square feet of office and research space. We lease approximately 19,957 square feet of additional research and development and manufacturing space at 1561 Industrial Rd, San Carlos, California. In addition, we lease office and research space located at 4475 Executive Drive, San Diego, California. The San Diego facility is approximately 7,064 square feet. We do not own real property and believe that our current facilities are sufficient to meet our ongoing needs and that, if we require additional space, we will be able to obtain additional facilities on commercially reasonable terms.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U.S. District Court Proceedings</w:t>
      </w:r>
    </w:p>
    <w:p>
      <w:pPr>
        <w:spacing w:after="0" w:line="194" w:lineRule="exact"/>
        <w:rPr>
          <w:sz w:val="20"/>
          <w:szCs w:val="20"/>
          <w:color w:val="auto"/>
        </w:rPr>
      </w:pPr>
    </w:p>
    <w:p>
      <w:pPr>
        <w:ind w:right="480" w:firstLine="360"/>
        <w:spacing w:after="0" w:line="309" w:lineRule="auto"/>
        <w:rPr>
          <w:sz w:val="20"/>
          <w:szCs w:val="20"/>
          <w:color w:val="auto"/>
        </w:rPr>
      </w:pPr>
      <w:r>
        <w:rPr>
          <w:rFonts w:ascii="Times New Roman" w:cs="Times New Roman" w:eastAsia="Times New Roman" w:hAnsi="Times New Roman"/>
          <w:sz w:val="19"/>
          <w:szCs w:val="19"/>
          <w:color w:val="auto"/>
        </w:rPr>
        <w:t>On December 14, 2023, we filed suit in the United States District Court for the Northern District of California against Somalogic, Inc. (Somalogic) which recently merged with and is now part of “Standard Biotools, Inc.”, and the California</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2240" w:h="15840" w:orient="portrait"/>
          <w:cols w:equalWidth="0" w:num="1">
            <w:col w:w="10240"/>
          </w:cols>
          <w:pgMar w:left="1000" w:top="793" w:right="1000" w:bottom="0" w:gutter="0" w:footer="0" w:header="0"/>
          <w:type w:val="continuous"/>
        </w:sectPr>
      </w:pPr>
    </w:p>
    <w:bookmarkStart w:id="78" w:name="page79"/>
    <w:bookmarkEnd w:id="78"/>
    <w:p>
      <w:pPr>
        <w:ind w:right="80"/>
        <w:spacing w:after="0" w:line="255" w:lineRule="auto"/>
        <w:rPr>
          <w:sz w:val="20"/>
          <w:szCs w:val="20"/>
          <w:color w:val="auto"/>
        </w:rPr>
      </w:pPr>
      <w:r>
        <w:rPr>
          <w:rFonts w:ascii="Times New Roman" w:cs="Times New Roman" w:eastAsia="Times New Roman" w:hAnsi="Times New Roman"/>
          <w:sz w:val="20"/>
          <w:szCs w:val="20"/>
          <w:color w:val="auto"/>
        </w:rPr>
        <w:t>Institute of Technology. This suit seeks declaratory judgment that Nautilus does not infringe any claims of US Patent No. 7,842,793 related to DNA origami structures (the ‘793 Patent), which Somalogic has allegedly licensed from the California Institute of Technology through its purchase of Palamedrix, Inc. We have taken this action in response to Somalogic’s allegations that the Nautilus proteome analysis platform infringes the claims of the ‘793 Patent. We believe that it does not use any technology related to what the ‘793 Patent purports to claim in any of the products or services that we are developing. Nor do we have any interest or plans to use such technology in any of our future products or services. We intend to vigorously pursue our claims in this litigation.</w:t>
      </w:r>
    </w:p>
    <w:p>
      <w:pPr>
        <w:spacing w:after="0" w:line="1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Other Proceedings</w:t>
      </w:r>
    </w:p>
    <w:p>
      <w:pPr>
        <w:spacing w:after="0" w:line="194"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2240" w:h="15840" w:orient="portrait"/>
          <w:cols w:equalWidth="0" w:num="1">
            <w:col w:w="10240"/>
          </w:cols>
          <w:pgMar w:left="1000" w:top="793" w:right="1000" w:bottom="0" w:gutter="0" w:footer="0" w:header="0"/>
          <w:type w:val="continuous"/>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Part II</w:t>
      </w:r>
    </w:p>
    <w:p>
      <w:pPr>
        <w:spacing w:after="0" w:line="223"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 for common stock</w:t>
      </w:r>
    </w:p>
    <w:p>
      <w:pPr>
        <w:spacing w:after="0" w:line="197" w:lineRule="exact"/>
        <w:rPr>
          <w:sz w:val="20"/>
          <w:szCs w:val="20"/>
          <w:color w:val="auto"/>
        </w:rPr>
      </w:pPr>
    </w:p>
    <w:p>
      <w:pPr>
        <w:ind w:right="140" w:firstLine="360"/>
        <w:spacing w:after="0" w:line="260" w:lineRule="auto"/>
        <w:rPr>
          <w:sz w:val="20"/>
          <w:szCs w:val="20"/>
          <w:color w:val="auto"/>
        </w:rPr>
      </w:pPr>
      <w:r>
        <w:rPr>
          <w:rFonts w:ascii="Times New Roman" w:cs="Times New Roman" w:eastAsia="Times New Roman" w:hAnsi="Times New Roman"/>
          <w:sz w:val="20"/>
          <w:szCs w:val="20"/>
          <w:color w:val="auto"/>
        </w:rPr>
        <w:t>Our common stock has traded on the Nasdaq Global Select Market under the symbol “NAUT” since June 10, 2021. Prior to June 10, 2021 and before completion of the Business Combination, the Class A ordinary shares of ARYA Sciences Acquisition Corp III traded on The Nasdaq Capital Market under the symbol “ARYA” and there was no public trading market for Legacy Nautilus’ equity.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w:t>
      </w:r>
    </w:p>
    <w:p>
      <w:pPr>
        <w:spacing w:after="0" w:line="197"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20"/>
          <w:szCs w:val="20"/>
          <w:color w:val="auto"/>
        </w:rPr>
        <w:t>As of February 15, 2024, there were 35 registered stockholders of record of our common stock. Because most of our shares are held by brokers and other institutions on behalf of stockholders, we are unable to estimate the total number of beneficial stockholders represented by these holders of record.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197" w:lineRule="exact"/>
        <w:rPr>
          <w:sz w:val="20"/>
          <w:szCs w:val="20"/>
          <w:color w:val="auto"/>
        </w:rPr>
      </w:pPr>
    </w:p>
    <w:p>
      <w:pPr>
        <w:ind w:firstLine="360"/>
        <w:spacing w:after="0" w:line="275" w:lineRule="auto"/>
        <w:rPr>
          <w:sz w:val="20"/>
          <w:szCs w:val="20"/>
          <w:color w:val="auto"/>
        </w:rPr>
      </w:pPr>
      <w:r>
        <w:rPr>
          <w:rFonts w:ascii="Times New Roman" w:cs="Times New Roman" w:eastAsia="Times New Roman" w:hAnsi="Times New Roman"/>
          <w:sz w:val="19"/>
          <w:szCs w:val="19"/>
          <w:color w:val="auto"/>
        </w:rPr>
        <w:t>We have never declared or paid cash dividends on our capital stock. We intend to retain any future earnings and do not expect to pay any dividends in the foreseeable future. In addition, future debt instruments we issue may materially restrict our ability to pay dividends on our common stock. Payment of future cash dividends, if any, will be at the discretion of our board of directors after taking into account various factors, including our financial condition, operating results, current and anticipated cash needs, the requirements of then-existing debt instruments and other factors our board of directors deems relevant.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Compensation Plan</w:t>
      </w:r>
    </w:p>
    <w:p>
      <w:pPr>
        <w:spacing w:after="0" w:line="197" w:lineRule="exact"/>
        <w:rPr>
          <w:sz w:val="20"/>
          <w:szCs w:val="20"/>
          <w:color w:val="auto"/>
        </w:rPr>
      </w:pPr>
    </w:p>
    <w:p>
      <w:pPr>
        <w:ind w:right="20" w:firstLine="360"/>
        <w:spacing w:after="0" w:line="281" w:lineRule="auto"/>
        <w:rPr>
          <w:sz w:val="20"/>
          <w:szCs w:val="20"/>
          <w:color w:val="auto"/>
        </w:rPr>
      </w:pPr>
      <w:r>
        <w:rPr>
          <w:rFonts w:ascii="Times New Roman" w:cs="Times New Roman" w:eastAsia="Times New Roman" w:hAnsi="Times New Roman"/>
          <w:sz w:val="20"/>
          <w:szCs w:val="20"/>
          <w:color w:val="auto"/>
        </w:rPr>
        <w:t>Our equity plan information required by this Item is incorporated by reference to the information in Part III, Item 12 of this Annual Report on Form 10-K.</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 Reserved ]</w:t>
      </w:r>
    </w:p>
    <w:p>
      <w:pPr>
        <w:sectPr>
          <w:pgSz w:w="12240" w:h="15840" w:orient="portrait"/>
          <w:cols w:equalWidth="0" w:num="1">
            <w:col w:w="10220"/>
          </w:cols>
          <w:pgMar w:left="1000" w:top="771"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ectPr>
          <w:pgSz w:w="12240" w:h="15840" w:orient="portrait"/>
          <w:cols w:equalWidth="0" w:num="1">
            <w:col w:w="10220"/>
          </w:cols>
          <w:pgMar w:left="1000" w:top="771" w:right="1020" w:bottom="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93"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You should read the following discussion and analysis of our financial condition and results of operations together with the financial statements and related notes appearing elsewhere in this Annual Report on Form 10-K. Some of the information in this discussion and analysis contains forward-looking statements reflecting our current expectations and involves risk and uncertainties. For example, statements regarding our expectations as to our plans and strategy for our business, future financial performance, expense levels and liquidity sources are forward-looking statements. Our actual results and the timing of events could differ materially from those discussed in our forward-looking statements as a result of many factors, including those set forth under the “Risk Factors” section and elsewhere in this Annual Report on Form 10-K. Please also see the section entitled “Special Note Regarding Forward-Looking Statements.”</w:t>
      </w:r>
    </w:p>
    <w:p>
      <w:pPr>
        <w:spacing w:after="0" w:line="145" w:lineRule="exact"/>
        <w:rPr>
          <w:sz w:val="20"/>
          <w:szCs w:val="20"/>
          <w:color w:val="auto"/>
        </w:rPr>
      </w:pPr>
    </w:p>
    <w:p>
      <w:pPr>
        <w:ind w:firstLine="36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Unless otherwise indicated or the context otherwise requires, references in this “Management’s Discussion and Analysis of Financial Condition and Results of Operations” section to “Nautilus,” “we,” “us,” “our” and other similar terms refer to the business and operations of Legacy Nautilus prior to the Business Combination and to New Nautilus and its consolidated subsidiary following the Business Combination.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97"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20"/>
          <w:szCs w:val="20"/>
          <w:color w:val="auto"/>
        </w:rPr>
        <w:t>We are a development stage life sciences company creating a platform technology for quantifying and unlocking the complexity of the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proteome analysis system, an instrument to perform massively parallel single protein molecule measurements which will be further developed to deliver the speed, simplicity, accuracy, and versatility that we believe is necessary to establish a new gold standard in the field.</w:t>
      </w:r>
    </w:p>
    <w:p>
      <w:pPr>
        <w:spacing w:after="0" w:line="149"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Since our incorporation in 2016, we have devoted substantially all of our resources to research and development activities, including with respect to our proteomics platform, or Nautilus platform, business planning, establishing and maintaining our intellectual property portfolio, hiring personnel, raising capital and providing general and administrative support for these operations. We do not have any products available for commercial sale, and we have not generated any revenue from our Nautilus platform or other sources since inception. Our ability to generate revenue sufficient to achieve profitability, if ever, will depend on the successful development and eventual commercialization of our Nautilus platform, which we expect, if it ever occurs, will take a number of years. Our Nautilus platform, which includes our end-to-end solution comprised of instruments, consumables, and software analysis, is currently under development and will require significant additional research and development efforts, including extensive testing prior to commercialization. These efforts require significant amounts of additional capital and adequate personnel infrastructure. There can be no assurance that our research and development activities will be successfully completed, or that our Nautilus platform will be commercially viable.</w:t>
      </w:r>
    </w:p>
    <w:p>
      <w:pPr>
        <w:spacing w:after="0" w:line="153"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20"/>
          <w:szCs w:val="20"/>
          <w:color w:val="auto"/>
        </w:rPr>
        <w:t>In order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instruments, and related consumables. Among other factors, we will need to develop reliable supply chains for the various components in our Nautilus platform, instruments, and consumables to support large-scale commercial production. In connection with our Nautilus platform, we intend to utilize over 300 complex reagents and various antibodies in order to generate deep proteomic information at the speed and scale which we expect our Nautilus platform to perform. Such reagents and antibodies are expected to be more difficult to manufacture and more expensive to procure. There is no assurance that we will be able to build manufacturing or consumable production capacity internally or find one or more suitable manufacturing or production partners, or both, to meet the volume and quality requirements necessary to be successful in the proteomics market.</w:t>
      </w:r>
    </w:p>
    <w:p>
      <w:pPr>
        <w:spacing w:after="0" w:line="153" w:lineRule="exact"/>
        <w:rPr>
          <w:sz w:val="20"/>
          <w:szCs w:val="20"/>
          <w:color w:val="auto"/>
        </w:rPr>
      </w:pPr>
    </w:p>
    <w:p>
      <w:pPr>
        <w:ind w:right="40" w:firstLine="360"/>
        <w:spacing w:after="0" w:line="270" w:lineRule="auto"/>
        <w:rPr>
          <w:sz w:val="20"/>
          <w:szCs w:val="20"/>
          <w:color w:val="auto"/>
        </w:rPr>
      </w:pPr>
      <w:r>
        <w:rPr>
          <w:rFonts w:ascii="Times New Roman" w:cs="Times New Roman" w:eastAsia="Times New Roman" w:hAnsi="Times New Roman"/>
          <w:sz w:val="19"/>
          <w:szCs w:val="19"/>
          <w:color w:val="auto"/>
        </w:rPr>
        <w:t>Given our stage of development, we have not yet established a commercial organization or distribution capabilities. We do intend to build a commercial infrastructure to support sales of our products. We expect to manage sales, marketing and distribution through both internal resources and third-party relationships. We plan to commercialize our proteomics platform using a three-phase plan that has been shown to be effective and optimal for introducing disruptive products in numerous life sciences technology markets. The first phase is expected to involve collaboration with biopharmaceutical companies and key opinion leaders to validate the performance and utility of Nautilus’ product, during which we do not expect to recognize significant revenue, if any. The second phase will include an early access limited release phase in which we expect to recognize limited revenue. Finally, the third phase is anticipated to include a broader commercial launch. We are currently in the</w:t>
      </w:r>
    </w:p>
    <w:p>
      <w:pPr>
        <w:sectPr>
          <w:pgSz w:w="12240" w:h="15840" w:orient="portrait"/>
          <w:cols w:equalWidth="0" w:num="1">
            <w:col w:w="10240"/>
          </w:cols>
          <w:pgMar w:left="1000" w:top="786" w:right="1000" w:bottom="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2240" w:h="15840" w:orient="portrait"/>
          <w:cols w:equalWidth="0" w:num="1">
            <w:col w:w="10240"/>
          </w:cols>
          <w:pgMar w:left="1000" w:top="786" w:right="1000" w:bottom="0" w:gutter="0" w:footer="0" w:header="0"/>
          <w:type w:val="continuous"/>
        </w:sectPr>
      </w:pPr>
    </w:p>
    <w:bookmarkStart w:id="81" w:name="page82"/>
    <w:bookmarkEnd w:id="81"/>
    <w:p>
      <w:pPr>
        <w:spacing w:after="0" w:line="267" w:lineRule="auto"/>
        <w:rPr>
          <w:sz w:val="20"/>
          <w:szCs w:val="20"/>
          <w:color w:val="auto"/>
        </w:rPr>
      </w:pPr>
      <w:r>
        <w:rPr>
          <w:rFonts w:ascii="Times New Roman" w:cs="Times New Roman" w:eastAsia="Times New Roman" w:hAnsi="Times New Roman"/>
          <w:sz w:val="19"/>
          <w:szCs w:val="19"/>
          <w:color w:val="auto"/>
        </w:rPr>
        <w:t>collaboration phase during which we have entered into collaborations with a small number of research customers, including with biopharmaceutical companies and key opinion leaders in proteomics whose assessment and validation of our products can significantly influence other researchers in their respective markets and/or fields. During the early access limited release phase, we plan to leverage our publications to drive awareness and customer demand to pre-sell instruments and reagents to select customers performing large-scale proteomics research. We do not anticipate that these activities will result in any material revenue. During the second phase, we expect to work closely with early access customers to demonstrate a unique value proposition for our Nautilus platform. During this phase, we plan to provide early access program partners with broad-scale analysis and profiling of samples analyzed in our facility and shared via a cloud platform. We anticipate early access engagements and associated revenue in 2025. We expect this second phase to lead into the third phase of broad commercialization and launch of our proteome analysis platform in 2025. Voice of customer studies have suggested that there is market demand for a proteomics platform with specifications that are initially lower than what we have previously disclosed, for example, around characteristics such as sample input and proteome coverage. Consequently, as we balance our time to market goals with our evolving view of customer requirements, we are refining our initial launch specifications. We believe that subsequent consumable releases will enable our platform to meet or exceed our previously announced product specifications.</w:t>
      </w:r>
    </w:p>
    <w:p>
      <w:pPr>
        <w:spacing w:after="0" w:line="137"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20"/>
          <w:szCs w:val="20"/>
          <w:color w:val="auto"/>
        </w:rPr>
        <w:t>We intend to commercialize our Nautilus platform through a direct sales channel in the United States, and through both direct and distributor sales channels in regions outside the United States. Given our stage of development, we currently have limited marketing, sales, commercial product distribution or service and support capabilities. We intend to build the necessary infrastructure for these activities in the United States, European Union, the United Kingdom, and potentially other countries and regions, including Asia-Pacific, as we execute on our three phase commercial launch strategy for our Nautilus platform.</w:t>
      </w:r>
    </w:p>
    <w:p>
      <w:pPr>
        <w:spacing w:after="0" w:line="144" w:lineRule="exact"/>
        <w:rPr>
          <w:sz w:val="20"/>
          <w:szCs w:val="20"/>
          <w:color w:val="auto"/>
        </w:rPr>
      </w:pPr>
    </w:p>
    <w:p>
      <w:pPr>
        <w:ind w:right="140" w:firstLine="360"/>
        <w:spacing w:after="0" w:line="254" w:lineRule="auto"/>
        <w:rPr>
          <w:sz w:val="20"/>
          <w:szCs w:val="20"/>
          <w:color w:val="auto"/>
        </w:rPr>
      </w:pPr>
      <w:r>
        <w:rPr>
          <w:rFonts w:ascii="Times New Roman" w:cs="Times New Roman" w:eastAsia="Times New Roman" w:hAnsi="Times New Roman"/>
          <w:sz w:val="20"/>
          <w:szCs w:val="20"/>
          <w:color w:val="auto"/>
        </w:rPr>
        <w:t>On June 9, 2021, Nautilus Biotechnology, Inc., a Delaware corporation (f/k/a ARYA Sciences Acquisition Corp. III, a Cayman Islands exempted company and the Company’s predecessor company (“ARYA”)), consummated the business combination (the “Business Combination”) pursuant to the terms of that certain Business Combination Agreement, dated as of February 7, 2021 (the “BCA”), by and among ARYA, Mako Merger Sub, Inc., a Delaware corporation and wholly-owned subsidiary of ARYA (“Mako Merger Sub”), and Nautilus Subsidiary, Inc., a Delaware corporation (f/k/a Nautilus Biotechnology, Inc.) (“Legacy Nautilus”). As a result of the Business Combination, ARYA changed its name to “Nautilus Biotechnology, Inc.” and Mako Merger Sub merged with and into Legacy Nautilus with Legacy Nautilus surviving as the surviving company and becoming a wholly-owned subsidiary of ARYA (the “Merger” and, collectively with the other transactions described in the BCA, the “Reverse Recapitalization”).</w:t>
      </w:r>
    </w:p>
    <w:p>
      <w:pPr>
        <w:spacing w:after="0" w:line="149" w:lineRule="exact"/>
        <w:rPr>
          <w:sz w:val="20"/>
          <w:szCs w:val="20"/>
          <w:color w:val="auto"/>
        </w:rPr>
      </w:pPr>
    </w:p>
    <w:p>
      <w:pPr>
        <w:ind w:right="180" w:firstLine="360"/>
        <w:spacing w:after="0" w:line="266" w:lineRule="auto"/>
        <w:rPr>
          <w:sz w:val="20"/>
          <w:szCs w:val="20"/>
          <w:color w:val="auto"/>
        </w:rPr>
      </w:pPr>
      <w:r>
        <w:rPr>
          <w:rFonts w:ascii="Times New Roman" w:cs="Times New Roman" w:eastAsia="Times New Roman" w:hAnsi="Times New Roman"/>
          <w:sz w:val="20"/>
          <w:szCs w:val="20"/>
          <w:color w:val="auto"/>
        </w:rPr>
        <w:t>In addition, in conjunction with the completion of the Business Combination, certain investors (“PIPE Investors”) subscribed for the purchase of an aggregate of 20,000,000 shares of common stock of the Company (“New Nautilus Common Stock”) at a price of $10.00 per share for aggregate gross proceeds of $200.0 million (“PIPE Financing”).</w:t>
      </w:r>
    </w:p>
    <w:p>
      <w:pPr>
        <w:spacing w:after="0" w:line="1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Prior to the Business Combination, we financed our operations primarily through private placements of convertible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preferred stock and had raised aggregate net proceeds of $108.4 million from these private placements. In connection with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consummation of the Business Combination and PIPE Financing, we received additional gross proceeds of approximately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$345.5 million from PIPE Investors and the Business Combination, offset by approximately $18.2 million of transaction costs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underwriters’ fees relating to the closing of the Business Combination. As of December 31, 2023, we had cash, cash</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equivalents and short-term investments of $173.4 million. Based on this, we believe that our existing cash, cash equivalents,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short-term investments will enable us to fund our planned operating expenses and capital expenditures through at least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next 12 months.</w:t>
      </w:r>
    </w:p>
    <w:p>
      <w:pPr>
        <w:spacing w:after="0" w:line="170" w:lineRule="exact"/>
        <w:rPr>
          <w:sz w:val="20"/>
          <w:szCs w:val="20"/>
          <w:color w:val="auto"/>
        </w:rPr>
      </w:pPr>
    </w:p>
    <w:p>
      <w:pPr>
        <w:ind w:right="80" w:firstLine="360"/>
        <w:spacing w:after="0" w:line="254" w:lineRule="auto"/>
        <w:rPr>
          <w:sz w:val="20"/>
          <w:szCs w:val="20"/>
          <w:color w:val="auto"/>
        </w:rPr>
      </w:pPr>
      <w:r>
        <w:rPr>
          <w:rFonts w:ascii="Times New Roman" w:cs="Times New Roman" w:eastAsia="Times New Roman" w:hAnsi="Times New Roman"/>
          <w:sz w:val="20"/>
          <w:szCs w:val="20"/>
          <w:color w:val="auto"/>
        </w:rPr>
        <w:t>We have incurred significant losses since the commencement of our operations. Our net loss was $63.7 million during the year ended December 31, 2023, and we expect to continue to incur significant losses for the foreseeable future as we continue our research and development activities and planned commercialization of our proteomics platform. As of December 31, 2023, we had an accumulated deficit of $202.2 million. These losses have resulted primarily from costs incurred in connection with research and development activities and to a lesser extent from general and administrative costs associated with our operations. We expect to incur significant and increasing expenses and operating losses for the foreseeable future. Our net losses may fluctuate significantly from period to period, depending on the timing of and expenditures on our planned commercialization and research and development activities.</w:t>
      </w:r>
    </w:p>
    <w:p>
      <w:pPr>
        <w:spacing w:after="0" w:line="1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We expect our expenses and capital requirements will increase substantially in connection with our ongoing activities as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w:t>
      </w:r>
    </w:p>
    <w:p>
      <w:pPr>
        <w:spacing w:after="0" w:line="170" w:lineRule="exact"/>
        <w:rPr>
          <w:sz w:val="20"/>
          <w:szCs w:val="20"/>
          <w:color w:val="auto"/>
        </w:rPr>
      </w:pPr>
    </w:p>
    <w:p>
      <w:pPr>
        <w:ind w:left="720" w:hanging="370"/>
        <w:spacing w:after="0"/>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our research and development activities, including with respect to our Nautilus platform;</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undertake activities to establish sales, marketing and distribution capabilities for our Nautilus platform;</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incur setup costs related to production tooling and required testing;</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2240" w:h="15840" w:orient="portrait"/>
          <w:cols w:equalWidth="0" w:num="1">
            <w:col w:w="10240"/>
          </w:cols>
          <w:pgMar w:left="1000" w:top="793" w:right="1000" w:bottom="0" w:gutter="0" w:footer="0" w:header="0"/>
          <w:type w:val="continuous"/>
        </w:sectPr>
      </w:pPr>
    </w:p>
    <w:bookmarkStart w:id="82" w:name="page83"/>
    <w:bookmarkEnd w:id="82"/>
    <w:p>
      <w:pPr>
        <w:ind w:left="720" w:hanging="370"/>
        <w:spacing w:after="0"/>
        <w:tabs>
          <w:tab w:leader="none" w:pos="72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protect and expand our intellectual property portfolio, including patents, trade secrets and know how;</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implement operational, financial and management information systems;</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attract, hire and retain additional management, scientific and administrative personnel; and</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operate as a public company.</w:t>
      </w:r>
    </w:p>
    <w:p>
      <w:pPr>
        <w:spacing w:after="0" w:line="190"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As a result, we will require substantial additional funding to develop our products and support our continuing operations. Until such time that we can generate significant revenue from product sales, if ever, we expect to finance our operations through the sale of equity, debt financings or other capital sources, which could include income from collaborations, strategic partnerships or marketing, distribution or licensing arrangements with third parties or from grants. 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ongoing COVID</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19 pandemic, recent and any potential future financial institution failures, the conflicts in Eastern Europe, the Middle East and in other countries, and otherwise. Our failure to obtain sufficient funds on acceptable terms when needed could have a material adverse effect on our business, results of operations or financial condition, and could force us to delay, reduce or eliminate our product development or future commercialization efforts. We may also be required to grant rights to develop and market products that we would otherwise prefer to develop and market ourselves. The amount and timing of our future funding requirements will depend on many factors, including the pace and results of our development efforts. We cannot assure you that we will ever be profitable or generate positive cash flow from operating activities.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Impact of Negative Global or National Events</w:t>
      </w:r>
    </w:p>
    <w:p>
      <w:pPr>
        <w:spacing w:after="0" w:line="197" w:lineRule="exact"/>
        <w:rPr>
          <w:sz w:val="20"/>
          <w:szCs w:val="20"/>
          <w:color w:val="auto"/>
        </w:rPr>
      </w:pPr>
    </w:p>
    <w:p>
      <w:pPr>
        <w:ind w:right="160" w:firstLine="360"/>
        <w:spacing w:after="0" w:line="252" w:lineRule="auto"/>
        <w:rPr>
          <w:sz w:val="20"/>
          <w:szCs w:val="20"/>
          <w:color w:val="auto"/>
        </w:rPr>
      </w:pPr>
      <w:r>
        <w:rPr>
          <w:rFonts w:ascii="Times New Roman" w:cs="Times New Roman" w:eastAsia="Times New Roman" w:hAnsi="Times New Roman"/>
          <w:sz w:val="20"/>
          <w:szCs w:val="20"/>
          <w:color w:val="auto"/>
        </w:rPr>
        <w:t>Businesses have been and will continue to be impacted by a number of challenging global and national events and circumstances that continue to evolve, including the COVID-19 pandemic, extreme weather conditions, increased economic uncertainty, inflation, rising interest rates, recent and any potential future financial institution failures, and conflicts in Eastern Europe, the Middle East and in other countries. The extent of the impact of these events and circumstances on our business, operations and development timelines and plans remains uncertain, and will depend on certain developments, including the duration and scope of the events and their impact on our development activities, third-party manufacturers, and other third parties with whom we do business, as well as its impact on regulatory authorities and our key scientific and management personnel. We have been and continue to actively monitor the potential impacts that these various events and circumstances may have on our business and we take steps, where warranted, to minimize any potential negative impacts on our business resulting from these events and circumstances. For example, as the COVID-19 pandemic has developed, we have taken numerous steps to help ensure the health and safety of our employees. We continue to employ hygiene protocols; controls for social distancing; enhanced cleaning, disinfecting, decontamination, and ventilation protocols; health policies; and usage of personal protective equipment, in all cases where appropriate. While we have resumed normal operations, any resurgence or worsening of the COVID-19 pandemic may cause us to reinstitute certain measures to protect employee safety, including staggered work hours or reduced in-person staffing, that could result in additional disruption and/or delays in our ability to conduct development activities.</w:t>
      </w:r>
    </w:p>
    <w:p>
      <w:pPr>
        <w:spacing w:after="0" w:line="156"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We have been and continue to actively monitor our supply chain in light of these challenging global and national events and circumstances, including our third-party materials suppliers. We have, in the past, experienced some supply disruptions due to the COVID-19 pandemic, including closures at certain chip manufacturers, which led to extended lead times for certain chips; diversion of certain lab materials needed to support COVID-19 relief efforts; and lower availability of certain reagents. While certain of these disruptions have been resolved since the start of the COVID-19 pandemic, we are continuing to monitor our supply chain and contingency planning is ongoing with our partners to reduce the possibility of an interruption to our development activities or the availability of necessary materials.</w:t>
      </w:r>
    </w:p>
    <w:p>
      <w:pPr>
        <w:spacing w:after="0" w:line="150"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20"/>
          <w:szCs w:val="20"/>
          <w:color w:val="auto"/>
        </w:rPr>
        <w:t>The ultimate impact of these global and national events and circumstances, either individually or in the aggregate, is highly uncertain and subject to change. In April 2023, President Biden signed legislation that ended the COVID-19 national emergency on May 11, 2023. The full impact of this termination of the national emergency and the wind-down of the public health emergency on FDA and other regulatory policies and operations are unclear. To the extent possible, we are conducting business as usual, with necessary or advisable modifications to mitigate potentially negative impacts to our business. For example, during the COVID-19 pandemic, we made certain modifications to employee travel, with masking and vaccination requirements in our offices, and with our employees working remotely fully or intermittently as able from March 2020 until August 2022. We will continue to actively monitor the rapidly evolving situation related to these global and national events, and may take further actions to mitigate potential negative impacts to our business, and that may alter our operations, including those that may be required by federal, state or local authorities, or that we determine are in the best interests of our employees and other third parties with whom we do business. At this point, the extent to which these global or national events and</w:t>
      </w:r>
    </w:p>
    <w:p>
      <w:pPr>
        <w:sectPr>
          <w:pgSz w:w="12240" w:h="15840" w:orient="portrait"/>
          <w:cols w:equalWidth="0" w:num="1">
            <w:col w:w="10220"/>
          </w:cols>
          <w:pgMar w:left="1000" w:top="793" w:right="1020" w:bottom="0" w:gutter="0" w:footer="0" w:header="0"/>
        </w:sect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ectPr>
          <w:pgSz w:w="12240" w:h="15840" w:orient="portrait"/>
          <w:cols w:equalWidth="0" w:num="1">
            <w:col w:w="10220"/>
          </w:cols>
          <w:pgMar w:left="1000" w:top="793" w:right="1020" w:bottom="0" w:gutter="0" w:footer="0" w:header="0"/>
          <w:type w:val="continuous"/>
        </w:sectPr>
      </w:pPr>
    </w:p>
    <w:bookmarkStart w:id="83" w:name="page84"/>
    <w:bookmarkEnd w:id="83"/>
    <w:p>
      <w:pPr>
        <w:ind w:right="140"/>
        <w:spacing w:after="0" w:line="281" w:lineRule="auto"/>
        <w:rPr>
          <w:sz w:val="20"/>
          <w:szCs w:val="20"/>
          <w:color w:val="auto"/>
        </w:rPr>
      </w:pPr>
      <w:r>
        <w:rPr>
          <w:rFonts w:ascii="Times New Roman" w:cs="Times New Roman" w:eastAsia="Times New Roman" w:hAnsi="Times New Roman"/>
          <w:sz w:val="20"/>
          <w:szCs w:val="20"/>
          <w:color w:val="auto"/>
        </w:rPr>
        <w:t>circumstances may affect our future business, operations and development timelines and plans, including the resulting impact on our expenditures and capital needs, remains uncertain.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Components of Our Results of Operations</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199" w:lineRule="exact"/>
        <w:rPr>
          <w:sz w:val="20"/>
          <w:szCs w:val="20"/>
          <w:color w:val="auto"/>
        </w:rPr>
      </w:pPr>
    </w:p>
    <w:p>
      <w:pPr>
        <w:ind w:right="60" w:firstLine="360"/>
        <w:spacing w:after="0" w:line="281" w:lineRule="auto"/>
        <w:rPr>
          <w:sz w:val="20"/>
          <w:szCs w:val="20"/>
          <w:color w:val="auto"/>
        </w:rPr>
      </w:pPr>
      <w:r>
        <w:rPr>
          <w:rFonts w:ascii="Times New Roman" w:cs="Times New Roman" w:eastAsia="Times New Roman" w:hAnsi="Times New Roman"/>
          <w:sz w:val="20"/>
          <w:szCs w:val="20"/>
          <w:color w:val="auto"/>
        </w:rPr>
        <w:t>To date, we have not generated any revenue and we may not generate any revenue from the sale of products or from other sources in the near future.</w:t>
      </w:r>
    </w:p>
    <w:p>
      <w:pPr>
        <w:spacing w:after="0" w:line="1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w:t>
      </w:r>
    </w:p>
    <w:p>
      <w:pPr>
        <w:spacing w:after="0" w:line="194" w:lineRule="exact"/>
        <w:rPr>
          <w:sz w:val="20"/>
          <w:szCs w:val="20"/>
          <w:color w:val="auto"/>
        </w:rPr>
      </w:pPr>
    </w:p>
    <w:p>
      <w:pPr>
        <w:ind w:right="180" w:firstLine="360"/>
        <w:spacing w:after="0" w:line="258" w:lineRule="auto"/>
        <w:rPr>
          <w:sz w:val="20"/>
          <w:szCs w:val="20"/>
          <w:color w:val="auto"/>
        </w:rPr>
      </w:pPr>
      <w:r>
        <w:rPr>
          <w:rFonts w:ascii="Times New Roman" w:cs="Times New Roman" w:eastAsia="Times New Roman" w:hAnsi="Times New Roman"/>
          <w:sz w:val="20"/>
          <w:szCs w:val="20"/>
          <w:color w:val="auto"/>
        </w:rPr>
        <w:t>Research and development expenses account for a significant portion of our operating expenses and consist primarily of salaries, related benefits and stock-based compensation expense of product development personnel, laboratory supplies and equipment, depreciation and amortization, external costs of vendors engaged to conduct research and development activities, and allocated expenses for technology and facilities. We expense research and development expenses in the periods in which they are incurred.</w:t>
      </w:r>
    </w:p>
    <w:p>
      <w:pPr>
        <w:spacing w:after="0" w:line="144" w:lineRule="exact"/>
        <w:rPr>
          <w:sz w:val="20"/>
          <w:szCs w:val="20"/>
          <w:color w:val="auto"/>
        </w:rPr>
      </w:pPr>
    </w:p>
    <w:p>
      <w:pPr>
        <w:ind w:firstLine="360"/>
        <w:spacing w:after="0" w:line="260" w:lineRule="auto"/>
        <w:rPr>
          <w:sz w:val="20"/>
          <w:szCs w:val="20"/>
          <w:color w:val="auto"/>
        </w:rPr>
      </w:pPr>
      <w:r>
        <w:rPr>
          <w:rFonts w:ascii="Times New Roman" w:cs="Times New Roman" w:eastAsia="Times New Roman" w:hAnsi="Times New Roman"/>
          <w:sz w:val="20"/>
          <w:szCs w:val="20"/>
          <w:color w:val="auto"/>
        </w:rPr>
        <w:t>We plan to continue to invest in our research and development efforts and to increase our investment in research and development efforts related to our product development. As a result, we expect research and development expenses to increase in absolute dollars as we continue to advance our product development, hire additional personnel and retain existing personnel, purchase supplies and materials and allocate expense to our research and development facilities.</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p>
    <w:p>
      <w:pPr>
        <w:spacing w:after="0" w:line="194" w:lineRule="exact"/>
        <w:rPr>
          <w:sz w:val="20"/>
          <w:szCs w:val="20"/>
          <w:color w:val="auto"/>
        </w:rPr>
      </w:pPr>
    </w:p>
    <w:p>
      <w:pPr>
        <w:ind w:right="100" w:firstLine="360"/>
        <w:spacing w:after="0" w:line="258" w:lineRule="auto"/>
        <w:rPr>
          <w:sz w:val="20"/>
          <w:szCs w:val="20"/>
          <w:color w:val="auto"/>
        </w:rPr>
      </w:pPr>
      <w:r>
        <w:rPr>
          <w:rFonts w:ascii="Times New Roman" w:cs="Times New Roman" w:eastAsia="Times New Roman" w:hAnsi="Times New Roman"/>
          <w:sz w:val="20"/>
          <w:szCs w:val="20"/>
          <w:color w:val="auto"/>
        </w:rPr>
        <w:t>General and administrative expenses consist of salaries, related benefits, and stock-based compensation expense for personnel in executive, operations, legal, human resources, finance, marketing, commercial, IT personnel and administrative functions, professional fees for legal, patent, consulting, accounting and audit services, directors and officers insurance, and allocated expenses for technology and facilities. We expense general and administrative expenses in the periods in which they are incurred.</w:t>
      </w:r>
    </w:p>
    <w:p>
      <w:pPr>
        <w:spacing w:after="0" w:line="144" w:lineRule="exact"/>
        <w:rPr>
          <w:sz w:val="20"/>
          <w:szCs w:val="20"/>
          <w:color w:val="auto"/>
        </w:rPr>
      </w:pPr>
    </w:p>
    <w:p>
      <w:pPr>
        <w:ind w:right="100" w:firstLine="360"/>
        <w:spacing w:after="0" w:line="256" w:lineRule="auto"/>
        <w:rPr>
          <w:sz w:val="20"/>
          <w:szCs w:val="20"/>
          <w:color w:val="auto"/>
        </w:rPr>
      </w:pPr>
      <w:r>
        <w:rPr>
          <w:rFonts w:ascii="Times New Roman" w:cs="Times New Roman" w:eastAsia="Times New Roman" w:hAnsi="Times New Roman"/>
          <w:sz w:val="20"/>
          <w:szCs w:val="20"/>
          <w:color w:val="auto"/>
        </w:rPr>
        <w:t>We expect that our general and administrative expenses will increase substantially over the next several years as we hire additional personnel to support the growth in research and development activities for our products and commercial activities supporting the growth of our business. We also anticipate that we will incur higher expenses as a result of expenses related to accounting, audit, legal, regulatory, insurance, compliance with the rules and regulations of the SEC, Sarbanes-Oxley Act and those of any national securities exchange on which our securities are traded, investor and public relations, and other administrative and professional services.</w:t>
      </w:r>
    </w:p>
    <w:p>
      <w:pPr>
        <w:spacing w:after="0" w:line="1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Other Income (Expense)</w:t>
      </w:r>
    </w:p>
    <w:p>
      <w:pPr>
        <w:spacing w:after="0" w:line="199" w:lineRule="exact"/>
        <w:rPr>
          <w:sz w:val="20"/>
          <w:szCs w:val="20"/>
          <w:color w:val="auto"/>
        </w:rPr>
      </w:pPr>
    </w:p>
    <w:p>
      <w:pPr>
        <w:ind w:right="240" w:firstLine="360"/>
        <w:spacing w:after="0" w:line="286" w:lineRule="auto"/>
        <w:rPr>
          <w:sz w:val="20"/>
          <w:szCs w:val="20"/>
          <w:color w:val="auto"/>
        </w:rPr>
      </w:pPr>
      <w:r>
        <w:rPr>
          <w:rFonts w:ascii="Times New Roman" w:cs="Times New Roman" w:eastAsia="Times New Roman" w:hAnsi="Times New Roman"/>
          <w:sz w:val="19"/>
          <w:szCs w:val="19"/>
          <w:color w:val="auto"/>
        </w:rPr>
        <w:t>Other income (expense) consists primarily of interest income on our cash, cash equivalents and investments (including accretion and amortization of discounts and premiums on marketable debt securities), gains and losses on foreign currency transactions, and other miscellaneous non-recurring expenses such as gains or losses on disposal of property and equipment.</w:t>
      </w:r>
    </w:p>
    <w:p>
      <w:pPr>
        <w:sectPr>
          <w:pgSz w:w="12240" w:h="15840" w:orient="portrait"/>
          <w:cols w:equalWidth="0" w:num="1">
            <w:col w:w="10160"/>
          </w:cols>
          <w:pgMar w:left="1000" w:top="793"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82</w:t>
      </w:r>
    </w:p>
    <w:p>
      <w:pPr>
        <w:sectPr>
          <w:pgSz w:w="12240" w:h="15840" w:orient="portrait"/>
          <w:cols w:equalWidth="0" w:num="1">
            <w:col w:w="10160"/>
          </w:cols>
          <w:pgMar w:left="1000" w:top="793" w:right="1080" w:bottom="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Comparison of Fiscal Years Ended December 31, 2023 to December 31, 2022</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shows our consolidated statements of operations for the periods indicated:</w:t>
      </w:r>
    </w:p>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4"/>
          </w:tcPr>
          <w:p>
            <w:pPr>
              <w:jc w:val="right"/>
              <w:ind w:right="24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3"/>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2023 to 2022</w:t>
            </w:r>
          </w:p>
        </w:tc>
      </w:tr>
      <w:tr>
        <w:trPr>
          <w:trHeight w:val="220"/>
        </w:trPr>
        <w:tc>
          <w:tcPr>
            <w:tcW w:w="5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246"/>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0" w:type="dxa"/>
            <w:vAlign w:val="bottom"/>
          </w:tcPr>
          <w:p>
            <w:pPr>
              <w:spacing w:after="0"/>
              <w:rPr>
                <w:sz w:val="19"/>
                <w:szCs w:val="19"/>
                <w:color w:val="auto"/>
              </w:rPr>
            </w:pPr>
          </w:p>
        </w:tc>
        <w:tc>
          <w:tcPr>
            <w:tcW w:w="1200" w:type="dxa"/>
            <w:vAlign w:val="bottom"/>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20"/>
        </w:trPr>
        <w:tc>
          <w:tcPr>
            <w:tcW w:w="5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20" w:type="dxa"/>
            <w:vAlign w:val="bottom"/>
            <w:gridSpan w:val="4"/>
          </w:tcPr>
          <w:p>
            <w:pPr>
              <w:jc w:val="right"/>
              <w:ind w:right="663"/>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426"/>
              <w:spacing w:after="0"/>
              <w:rPr>
                <w:sz w:val="20"/>
                <w:szCs w:val="20"/>
                <w:color w:val="auto"/>
              </w:rPr>
            </w:pPr>
            <w:r>
              <w:rPr>
                <w:rFonts w:ascii="Times New Roman" w:cs="Times New Roman" w:eastAsia="Times New Roman" w:hAnsi="Times New Roman"/>
                <w:sz w:val="16"/>
                <w:szCs w:val="16"/>
                <w:b w:val="1"/>
                <w:bCs w:val="1"/>
                <w:color w:val="auto"/>
              </w:rPr>
              <w:t>($)</w:t>
            </w: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62"/>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2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r>
      <w:tr>
        <w:trPr>
          <w:trHeight w:val="285"/>
        </w:trPr>
        <w:tc>
          <w:tcPr>
            <w:tcW w:w="52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Research and development</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47,251</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37,672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9,579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25 %</w:t>
            </w:r>
          </w:p>
        </w:tc>
      </w:tr>
      <w:tr>
        <w:trPr>
          <w:trHeight w:val="288"/>
        </w:trPr>
        <w:tc>
          <w:tcPr>
            <w:tcW w:w="52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20"/>
                <w:szCs w:val="20"/>
                <w:color w:val="auto"/>
              </w:rPr>
              <w:t>28,901</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25,946</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20"/>
                <w:szCs w:val="20"/>
                <w:color w:val="auto"/>
              </w:rPr>
              <w:t>2,955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11 %</w:t>
            </w:r>
          </w:p>
        </w:tc>
      </w:tr>
      <w:tr>
        <w:trPr>
          <w:trHeight w:val="262"/>
        </w:trPr>
        <w:tc>
          <w:tcPr>
            <w:tcW w:w="52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Total operating expenses</w:t>
            </w:r>
          </w:p>
        </w:tc>
        <w:tc>
          <w:tcPr>
            <w:tcW w:w="240" w:type="dxa"/>
            <w:vAlign w:val="bottom"/>
          </w:tcPr>
          <w:p>
            <w:pPr>
              <w:spacing w:after="0"/>
              <w:rPr>
                <w:sz w:val="22"/>
                <w:szCs w:val="22"/>
                <w:color w:val="auto"/>
              </w:rPr>
            </w:pP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76,152</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63,618</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12,534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20 %</w:t>
            </w:r>
          </w:p>
        </w:tc>
      </w:tr>
      <w:tr>
        <w:trPr>
          <w:trHeight w:val="28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(expense):</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85"/>
        </w:trPr>
        <w:tc>
          <w:tcPr>
            <w:tcW w:w="52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Interest income</w:t>
            </w:r>
          </w:p>
        </w:tc>
        <w:tc>
          <w:tcPr>
            <w:tcW w:w="240" w:type="dxa"/>
            <w:vAlign w:val="bottom"/>
          </w:tcPr>
          <w:p>
            <w:pPr>
              <w:spacing w:after="0"/>
              <w:rPr>
                <w:sz w:val="24"/>
                <w:szCs w:val="24"/>
                <w:color w:val="auto"/>
              </w:rPr>
            </w:pP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12,550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5,816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6,734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116 %</w:t>
            </w:r>
          </w:p>
        </w:tc>
      </w:tr>
      <w:tr>
        <w:trPr>
          <w:trHeight w:val="288"/>
        </w:trPr>
        <w:tc>
          <w:tcPr>
            <w:tcW w:w="52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Other expense</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20"/>
                <w:szCs w:val="20"/>
                <w:color w:val="auto"/>
              </w:rPr>
              <w:t>49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w:t>
            </w:r>
          </w:p>
        </w:tc>
      </w:tr>
      <w:tr>
        <w:trPr>
          <w:trHeight w:val="265"/>
        </w:trPr>
        <w:tc>
          <w:tcPr>
            <w:tcW w:w="52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Total other income (expense)</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20"/>
                <w:szCs w:val="20"/>
                <w:color w:val="auto"/>
              </w:rPr>
              <w:t>12,477</w:t>
            </w:r>
          </w:p>
        </w:tc>
        <w:tc>
          <w:tcPr>
            <w:tcW w:w="60" w:type="dxa"/>
            <w:vAlign w:val="bottom"/>
          </w:tcPr>
          <w:p>
            <w:pPr>
              <w:spacing w:after="0"/>
              <w:rPr>
                <w:sz w:val="23"/>
                <w:szCs w:val="23"/>
                <w:color w:val="auto"/>
              </w:rPr>
            </w:pPr>
          </w:p>
        </w:tc>
        <w:tc>
          <w:tcPr>
            <w:tcW w:w="2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5,694</w:t>
            </w:r>
          </w:p>
        </w:tc>
        <w:tc>
          <w:tcPr>
            <w:tcW w:w="60" w:type="dxa"/>
            <w:vAlign w:val="bottom"/>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20"/>
                <w:szCs w:val="20"/>
                <w:color w:val="auto"/>
              </w:rPr>
              <w:t>6,783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119 %</w:t>
            </w:r>
          </w:p>
        </w:tc>
      </w:tr>
      <w:tr>
        <w:trPr>
          <w:trHeight w:val="24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63,675</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57,924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5,751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10 %</w:t>
            </w:r>
          </w:p>
        </w:tc>
      </w:tr>
      <w:tr>
        <w:trPr>
          <w:trHeight w:val="20"/>
        </w:trPr>
        <w:tc>
          <w:tcPr>
            <w:tcW w:w="5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-1659890</wp:posOffset>
            </wp:positionV>
            <wp:extent cx="6540500" cy="1666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a:extLst>
                        <a:ext uri="{28A0092B-C50C-407E-A947-70E740481C1C}"/>
                      </a:extLst>
                    </a:blip>
                    <a:srcRect/>
                    <a:stretch>
                      <a:fillRect/>
                    </a:stretch>
                  </pic:blipFill>
                  <pic:spPr bwMode="auto">
                    <a:xfrm>
                      <a:off x="0" y="0"/>
                      <a:ext cx="6540500" cy="1666875"/>
                    </a:xfrm>
                    <a:prstGeom prst="rect">
                      <a:avLst/>
                    </a:prstGeom>
                    <a:noFill/>
                  </pic:spPr>
                </pic:pic>
              </a:graphicData>
            </a:graphic>
          </wp:anchor>
        </w:drawing>
      </w:r>
    </w:p>
    <w:p>
      <w:pPr>
        <w:spacing w:after="0" w:line="1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199" w:lineRule="exact"/>
        <w:rPr>
          <w:sz w:val="20"/>
          <w:szCs w:val="20"/>
          <w:color w:val="auto"/>
        </w:rPr>
      </w:pPr>
    </w:p>
    <w:p>
      <w:pPr>
        <w:ind w:right="80" w:firstLine="360"/>
        <w:spacing w:after="0" w:line="255" w:lineRule="auto"/>
        <w:rPr>
          <w:sz w:val="20"/>
          <w:szCs w:val="20"/>
          <w:color w:val="auto"/>
        </w:rPr>
      </w:pPr>
      <w:r>
        <w:rPr>
          <w:rFonts w:ascii="Times New Roman" w:cs="Times New Roman" w:eastAsia="Times New Roman" w:hAnsi="Times New Roman"/>
          <w:sz w:val="20"/>
          <w:szCs w:val="20"/>
          <w:color w:val="auto"/>
        </w:rPr>
        <w:t>Research and development expenses were $47.3 million for the year ended December 31, 2023, compared to $37.7 million for the year ended December 31, 2022, an increase of $9.6 million, or 25%. The increase was primarily due to a $5.6 million increase in salaries, related benefits, and stock-based compensation, a $3.2 million increase in facilities cost, a $2.8 million increase in laboratory supplies and equipment expense, and a $0.5 million increase in depreciation expense. These increases were primarily caused by increased hiring and new leases commencing during the period. These increases were partially offset by a $2.7 million decrease in costs for external development services as more development efforts were performed by the Company.</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p>
    <w:p>
      <w:pPr>
        <w:spacing w:after="0" w:line="199" w:lineRule="exact"/>
        <w:rPr>
          <w:sz w:val="20"/>
          <w:szCs w:val="20"/>
          <w:color w:val="auto"/>
        </w:rPr>
      </w:pPr>
    </w:p>
    <w:p>
      <w:pPr>
        <w:ind w:right="80" w:firstLine="360"/>
        <w:spacing w:after="0" w:line="255" w:lineRule="auto"/>
        <w:rPr>
          <w:sz w:val="20"/>
          <w:szCs w:val="20"/>
          <w:color w:val="auto"/>
        </w:rPr>
      </w:pPr>
      <w:r>
        <w:rPr>
          <w:rFonts w:ascii="Times New Roman" w:cs="Times New Roman" w:eastAsia="Times New Roman" w:hAnsi="Times New Roman"/>
          <w:sz w:val="20"/>
          <w:szCs w:val="20"/>
          <w:color w:val="auto"/>
        </w:rPr>
        <w:t>General and administrative expenses were $28.9 million for the year ended December 31, 2023, compared to $25.9 million for the year ended December 31, 2022, an increase of $3.0 million, or 11%. The increase was primarily due to a $4.1 million increase in salaries, related benefits, and stock-based compensation due to an increase in headcount to support general and administrative activities and supply chain and manufacturing readiness, and a $0.2 million increase in facilities costs driven by new leases commencing during the period. These increases were partially offset by a $1.1 million decrease in insurance costs, and a $0.7 million decrease in professional services, including accounting and recruiting services, as more of these activities were completed by the Company.</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Other Income (Expense)</w:t>
      </w:r>
    </w:p>
    <w:p>
      <w:pPr>
        <w:spacing w:after="0" w:line="199" w:lineRule="exact"/>
        <w:rPr>
          <w:sz w:val="20"/>
          <w:szCs w:val="20"/>
          <w:color w:val="auto"/>
        </w:rPr>
      </w:pPr>
    </w:p>
    <w:p>
      <w:pPr>
        <w:ind w:right="60" w:firstLine="360"/>
        <w:spacing w:after="0" w:line="281" w:lineRule="auto"/>
        <w:rPr>
          <w:sz w:val="20"/>
          <w:szCs w:val="20"/>
          <w:color w:val="auto"/>
        </w:rPr>
      </w:pPr>
      <w:r>
        <w:rPr>
          <w:rFonts w:ascii="Times New Roman" w:cs="Times New Roman" w:eastAsia="Times New Roman" w:hAnsi="Times New Roman"/>
          <w:sz w:val="20"/>
          <w:szCs w:val="20"/>
          <w:color w:val="auto"/>
        </w:rPr>
        <w:t>Other income (expense) for the year ended December 31, 2023 as compared to the year ended December 31, 2022 changed primarily due to higher interest income from marketable debt securities driven by higher interest rates.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Sources of Liquidity</w:t>
      </w:r>
    </w:p>
    <w:p>
      <w:pPr>
        <w:spacing w:after="0" w:line="199" w:lineRule="exact"/>
        <w:rPr>
          <w:sz w:val="20"/>
          <w:szCs w:val="20"/>
          <w:color w:val="auto"/>
        </w:rPr>
      </w:pPr>
    </w:p>
    <w:p>
      <w:pPr>
        <w:ind w:right="120" w:firstLine="360"/>
        <w:spacing w:after="0" w:line="254" w:lineRule="auto"/>
        <w:rPr>
          <w:sz w:val="20"/>
          <w:szCs w:val="20"/>
          <w:color w:val="auto"/>
        </w:rPr>
      </w:pPr>
      <w:r>
        <w:rPr>
          <w:rFonts w:ascii="Times New Roman" w:cs="Times New Roman" w:eastAsia="Times New Roman" w:hAnsi="Times New Roman"/>
          <w:sz w:val="20"/>
          <w:szCs w:val="20"/>
          <w:color w:val="auto"/>
        </w:rPr>
        <w:t>Since our inception, we have not generated any revenue from product sales and have incurred significant operating losses and negative cash flows from our operations. Our net loss was $63.7 million for the year ended December 31, 2023. As of December 31, 2023, we had an accumulated deficit of $202.2 million. Prior to the Business Combination, we funded our operations primarily with proceeds from the sale of convertible preferred stock. Prior to the Business Combination, we had raised net proceeds of $108.4 million from these private placements of our convertible preferred stock. In June 2021, in conjunction with the consummation of the Business Combination with ARYA, we received additional gross proceeds of approximately $345.5 million from PIPE Investors and the Business Combination, offset by approximately $18.2 million of transaction costs and underwriters’ fees relating to the closing of the Business Combination. As of December 31, 2023, we had cash, cash equivalents, and investments of $264.1 million.</w:t>
      </w:r>
    </w:p>
    <w:p>
      <w:pPr>
        <w:sectPr>
          <w:pgSz w:w="12240" w:h="15840" w:orient="portrait"/>
          <w:cols w:equalWidth="0" w:num="1">
            <w:col w:w="10260"/>
          </w:cols>
          <w:pgMar w:left="1000" w:top="78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2240" w:h="15840" w:orient="portrait"/>
          <w:cols w:equalWidth="0" w:num="1">
            <w:col w:w="10260"/>
          </w:cols>
          <w:pgMar w:left="1000" w:top="786" w:right="980" w:bottom="0" w:gutter="0" w:footer="0" w:header="0"/>
          <w:type w:val="continuous"/>
        </w:sectPr>
      </w:pPr>
    </w:p>
    <w:bookmarkStart w:id="85" w:name="page86"/>
    <w:bookmarkEnd w:id="85"/>
    <w:p>
      <w:pPr>
        <w:ind w:firstLine="360"/>
        <w:spacing w:after="0" w:line="266" w:lineRule="auto"/>
        <w:rPr>
          <w:sz w:val="20"/>
          <w:szCs w:val="20"/>
          <w:color w:val="auto"/>
        </w:rPr>
      </w:pPr>
      <w:r>
        <w:rPr>
          <w:rFonts w:ascii="Times New Roman" w:cs="Times New Roman" w:eastAsia="Times New Roman" w:hAnsi="Times New Roman"/>
          <w:sz w:val="20"/>
          <w:szCs w:val="20"/>
          <w:color w:val="auto"/>
        </w:rPr>
        <w:t>Our primary uses of cash to date have been to fund our research and development activities, business planning, establishing and maintaining our intellectual property portfolio, hiring personnel, raising capital, and providing general and administrative support for these operations.</w:t>
      </w:r>
    </w:p>
    <w:p>
      <w:pPr>
        <w:spacing w:after="0" w:line="1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Funding Requirements</w:t>
      </w:r>
    </w:p>
    <w:p>
      <w:pPr>
        <w:spacing w:after="0" w:line="199" w:lineRule="exact"/>
        <w:rPr>
          <w:sz w:val="20"/>
          <w:szCs w:val="20"/>
          <w:color w:val="auto"/>
        </w:rPr>
      </w:pPr>
    </w:p>
    <w:p>
      <w:pPr>
        <w:jc w:val="both"/>
        <w:ind w:right="120" w:firstLine="360"/>
        <w:spacing w:after="0" w:line="266" w:lineRule="auto"/>
        <w:rPr>
          <w:sz w:val="20"/>
          <w:szCs w:val="20"/>
          <w:color w:val="auto"/>
        </w:rPr>
      </w:pPr>
      <w:r>
        <w:rPr>
          <w:rFonts w:ascii="Times New Roman" w:cs="Times New Roman" w:eastAsia="Times New Roman" w:hAnsi="Times New Roman"/>
          <w:sz w:val="20"/>
          <w:szCs w:val="20"/>
          <w:color w:val="auto"/>
        </w:rPr>
        <w:t>To date, we have not generated any revenue and we may not generate any revenue from the sale of products or from other sources in the near future. We expect our expenses and capital requirements will increase substantially in connection with our ongoing activities as we:</w:t>
      </w:r>
    </w:p>
    <w:p>
      <w:pPr>
        <w:spacing w:after="0" w:line="135" w:lineRule="exact"/>
        <w:rPr>
          <w:sz w:val="20"/>
          <w:szCs w:val="20"/>
          <w:color w:val="auto"/>
        </w:rPr>
      </w:pPr>
    </w:p>
    <w:p>
      <w:pPr>
        <w:ind w:left="720" w:hanging="370"/>
        <w:spacing w:after="0"/>
        <w:tabs>
          <w:tab w:leader="none" w:pos="72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our research and development activities, including with respect to our Nautilus platform;</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undertake activities to establish sales, marketing and distribution capabilities for our Nautilus platform;</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incur setup costs related to production tooling and required testing;</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protect and expand our intellectual property portfolio, including patents, trade secrets and know how;</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implement operational, financial and management information systems;</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attract, hire and retain additional management, scientific and administrative personnel; and</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operate as a public company.</w:t>
      </w:r>
    </w:p>
    <w:p>
      <w:pPr>
        <w:spacing w:after="0" w:line="190" w:lineRule="exact"/>
        <w:rPr>
          <w:sz w:val="20"/>
          <w:szCs w:val="20"/>
          <w:color w:val="auto"/>
        </w:rPr>
      </w:pPr>
    </w:p>
    <w:p>
      <w:pPr>
        <w:ind w:right="100" w:firstLine="360"/>
        <w:spacing w:after="0" w:line="253" w:lineRule="auto"/>
        <w:rPr>
          <w:sz w:val="20"/>
          <w:szCs w:val="20"/>
          <w:color w:val="auto"/>
        </w:rPr>
      </w:pPr>
      <w:r>
        <w:rPr>
          <w:rFonts w:ascii="Times New Roman" w:cs="Times New Roman" w:eastAsia="Times New Roman" w:hAnsi="Times New Roman"/>
          <w:sz w:val="20"/>
          <w:szCs w:val="20"/>
          <w:color w:val="auto"/>
        </w:rPr>
        <w:t>Based on our planned operations, we expect our current cash, cash equivalents, and short-term investments will be sufficient to fund our operating expenses and capital expenditures for at least the next 12 months. We continue to face challenges and uncertainties and, as a result, our available capital resources may be consumed more rapidly than currently expected due to: delays in execution of our development plans; the scope and timing of our investment in our sales, marketing, and distribution capabilities; changes we may make to the business that affect ongoing operating expenses; the costs of filing, prosecuting, defending and enforcing any patent claims and other intellectual property rights; changes we may make in our business or commercialization strategy; changes we may make in our research and development spending plans; our need to implement additional infrastructure and internal systems; the impact of the COVID-19 pandemic, the conflicts in Eastern Europe the Middle East and in other countries; and other items affecting our forecasted level of expenditures and use of cash resources including potential acquisitions.</w:t>
      </w:r>
    </w:p>
    <w:p>
      <w:pPr>
        <w:spacing w:after="0" w:line="156"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20"/>
          <w:szCs w:val="20"/>
          <w:color w:val="auto"/>
        </w:rPr>
        <w:t>Until such time as we can generate significant revenue from commercialization of our products, if ever, we will continue to require substantial additional capital to develop our proteomics platform and fund operations for the foreseeable future. We intend to obtain such capital through public or private equity offerings or debt financings, credit or loan facilities or a combination of one or more of these funding sources. We may also seek additional financing opportunistically. We may be unable to raise additional funds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ongoing COVID</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19 pandemic, recent and any potential future financial institution failures, the conflicts in Eastern Europe, the Middle East and in other countries, and otherwise. Our failure to raise additional capital, if needed, would have a negative impact on our financial condition and our ability to execute our business plan.</w:t>
      </w:r>
    </w:p>
    <w:p>
      <w:pPr>
        <w:spacing w:after="0" w:line="155" w:lineRule="exact"/>
        <w:rPr>
          <w:sz w:val="20"/>
          <w:szCs w:val="20"/>
          <w:color w:val="auto"/>
        </w:rPr>
      </w:pPr>
    </w:p>
    <w:p>
      <w:pPr>
        <w:ind w:right="120" w:firstLine="360"/>
        <w:spacing w:after="0" w:line="255" w:lineRule="auto"/>
        <w:rPr>
          <w:sz w:val="20"/>
          <w:szCs w:val="20"/>
          <w:color w:val="auto"/>
        </w:rPr>
      </w:pPr>
      <w:r>
        <w:rPr>
          <w:rFonts w:ascii="Times New Roman" w:cs="Times New Roman" w:eastAsia="Times New Roman" w:hAnsi="Times New Roman"/>
          <w:sz w:val="20"/>
          <w:szCs w:val="20"/>
          <w:color w:val="auto"/>
        </w:rPr>
        <w:t>Our expected future capital requirements depend on many factors including expansion of our product portfolio and the timing and extent of spending on sales and marketing and the development of our technology. If we raise additional funds by issuing equity securities, our stockholders will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p>
    <w:p>
      <w:pPr>
        <w:sectPr>
          <w:pgSz w:w="12240" w:h="15840" w:orient="portrait"/>
          <w:cols w:equalWidth="0" w:num="1">
            <w:col w:w="10220"/>
          </w:cols>
          <w:pgMar w:left="1000" w:top="793"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ectPr>
          <w:pgSz w:w="12240" w:h="15840" w:orient="portrait"/>
          <w:cols w:equalWidth="0" w:num="1">
            <w:col w:w="10220"/>
          </w:cols>
          <w:pgMar w:left="1000" w:top="793" w:right="1020" w:bottom="0" w:gutter="0" w:footer="0" w:header="0"/>
          <w:type w:val="continuous"/>
        </w:sectPr>
      </w:pPr>
    </w:p>
    <w:bookmarkStart w:id="86" w:name="page87"/>
    <w:bookmarkEnd w:id="86"/>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Historical Cash Flows</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For the Fiscal Years Ended December 31, 2023 and 2022</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summarizes our cash flows for the periods indicated:</w:t>
      </w:r>
    </w:p>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5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344"/>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20"/>
        </w:trPr>
        <w:tc>
          <w:tcPr>
            <w:tcW w:w="75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220"/>
        </w:trPr>
        <w:tc>
          <w:tcPr>
            <w:tcW w:w="75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40" w:type="dxa"/>
            <w:vAlign w:val="bottom"/>
            <w:tcBorders>
              <w:bottom w:val="single" w:sz="8" w:color="auto"/>
            </w:tcBorders>
          </w:tcPr>
          <w:p>
            <w:pPr>
              <w:spacing w:after="0"/>
              <w:rPr>
                <w:sz w:val="19"/>
                <w:szCs w:val="19"/>
                <w:color w:val="auto"/>
              </w:rPr>
            </w:pPr>
          </w:p>
        </w:tc>
      </w:tr>
      <w:tr>
        <w:trPr>
          <w:trHeight w:val="262"/>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operating activities</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(51,711)</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(45,806)</w:t>
            </w:r>
          </w:p>
        </w:tc>
      </w:tr>
      <w:tr>
        <w:trPr>
          <w:trHeight w:val="285"/>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investing activities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(43,735)</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(25,740)</w:t>
            </w:r>
          </w:p>
        </w:tc>
      </w:tr>
      <w:tr>
        <w:trPr>
          <w:trHeight w:val="288"/>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financing activities</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368</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562</w:t>
            </w:r>
          </w:p>
        </w:tc>
      </w:tr>
      <w:tr>
        <w:trPr>
          <w:trHeight w:val="245"/>
        </w:trPr>
        <w:tc>
          <w:tcPr>
            <w:tcW w:w="75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Net increase in cash, cash equivalents and restricted cash</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(95,078)</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(70,984)</w:t>
            </w:r>
          </w:p>
        </w:tc>
      </w:tr>
      <w:tr>
        <w:trPr>
          <w:trHeight w:val="20"/>
        </w:trPr>
        <w:tc>
          <w:tcPr>
            <w:tcW w:w="7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-755015</wp:posOffset>
            </wp:positionV>
            <wp:extent cx="6540500" cy="7620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a:extLst>
                        <a:ext uri="{28A0092B-C50C-407E-A947-70E740481C1C}"/>
                      </a:extLst>
                    </a:blip>
                    <a:srcRect/>
                    <a:stretch>
                      <a:fillRect/>
                    </a:stretch>
                  </pic:blipFill>
                  <pic:spPr bwMode="auto">
                    <a:xfrm>
                      <a:off x="0" y="0"/>
                      <a:ext cx="6540500" cy="762000"/>
                    </a:xfrm>
                    <a:prstGeom prst="rect">
                      <a:avLst/>
                    </a:prstGeom>
                    <a:noFill/>
                  </pic:spPr>
                </pic:pic>
              </a:graphicData>
            </a:graphic>
          </wp:anchor>
        </w:drawing>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Operating Activities</w:t>
      </w:r>
    </w:p>
    <w:p>
      <w:pPr>
        <w:spacing w:after="0" w:line="194"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20"/>
          <w:szCs w:val="20"/>
          <w:color w:val="auto"/>
        </w:rPr>
        <w:t>During the year ended December 31, 2023, net cash used in operating activities was $51.7 million, primarily resulting from our net loss of $63.7 million, a decrease in the net changes in assets and liabilities aggregating $3.2 million. The net loss and decrease in net changes in assets and liabilities was partially offset by $15.2 million of non-cash expenses. The non-cash expenses included $12.1 million of stock-based compensation, $3.9 million amortization of operating lease right-of-use assets, $1.8 million in depreciation, partially offset by $2.7 million in accretion of discounts of investments.</w:t>
      </w:r>
    </w:p>
    <w:p>
      <w:pPr>
        <w:spacing w:after="0" w:line="144"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20"/>
          <w:szCs w:val="20"/>
          <w:color w:val="auto"/>
        </w:rPr>
        <w:t>During the year ended December 31, 2022, net cash used in operating activities was $45.8 million, primarily resulting from our net loss of $57.9 million and a decrease in the changes in assets and liabilities aggregating $0.8 million. The net loss and decrease in net changes in assets and liabilities was partially offset by $12.9 million of non-cash expenses. The non-cash expenses included $10.4 million of stock-based compensation, $2.2 million of amortization of operating lease right-of-use assets, $1.2 million of depreciation, partially offset by $0.9 million of accretion of discounts of investments.</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Investing Activities</w:t>
      </w:r>
    </w:p>
    <w:p>
      <w:pPr>
        <w:spacing w:after="0" w:line="194" w:lineRule="exact"/>
        <w:rPr>
          <w:sz w:val="20"/>
          <w:szCs w:val="20"/>
          <w:color w:val="auto"/>
        </w:rPr>
      </w:pPr>
    </w:p>
    <w:p>
      <w:pPr>
        <w:jc w:val="both"/>
        <w:ind w:right="200" w:firstLine="360"/>
        <w:spacing w:after="0" w:line="266" w:lineRule="auto"/>
        <w:rPr>
          <w:sz w:val="20"/>
          <w:szCs w:val="20"/>
          <w:color w:val="auto"/>
        </w:rPr>
      </w:pPr>
      <w:r>
        <w:rPr>
          <w:rFonts w:ascii="Times New Roman" w:cs="Times New Roman" w:eastAsia="Times New Roman" w:hAnsi="Times New Roman"/>
          <w:sz w:val="20"/>
          <w:szCs w:val="20"/>
          <w:color w:val="auto"/>
        </w:rPr>
        <w:t>During the year ended December 31, 2023, net cash used in investing activities was $43.7 million, resulting from $112.9 million in purchases of securities and $2.4 million in purchases of property and equipment, partially offset by $71.6 million in proceeds from the maturities of securities.</w:t>
      </w:r>
    </w:p>
    <w:p>
      <w:pPr>
        <w:spacing w:after="0" w:line="135" w:lineRule="exact"/>
        <w:rPr>
          <w:sz w:val="20"/>
          <w:szCs w:val="20"/>
          <w:color w:val="auto"/>
        </w:rPr>
      </w:pPr>
    </w:p>
    <w:p>
      <w:pPr>
        <w:ind w:right="100" w:firstLine="360"/>
        <w:spacing w:after="0" w:line="266" w:lineRule="auto"/>
        <w:rPr>
          <w:sz w:val="20"/>
          <w:szCs w:val="20"/>
          <w:color w:val="auto"/>
        </w:rPr>
      </w:pPr>
      <w:r>
        <w:rPr>
          <w:rFonts w:ascii="Times New Roman" w:cs="Times New Roman" w:eastAsia="Times New Roman" w:hAnsi="Times New Roman"/>
          <w:sz w:val="20"/>
          <w:szCs w:val="20"/>
          <w:color w:val="auto"/>
        </w:rPr>
        <w:t>During the year ended December 31, 2022, net cash used in investing activities was $25.7 million, resulting from $186.6 million in purchases of securities and $2.3 million in purchases of property and equipment, partially offset by $163.2 million in proceeds from the maturities of securities.</w:t>
      </w:r>
    </w:p>
    <w:p>
      <w:pPr>
        <w:spacing w:after="0" w:line="1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Financing Activities</w:t>
      </w:r>
    </w:p>
    <w:p>
      <w:pPr>
        <w:spacing w:after="0" w:line="194" w:lineRule="exact"/>
        <w:rPr>
          <w:sz w:val="20"/>
          <w:szCs w:val="20"/>
          <w:color w:val="auto"/>
        </w:rPr>
      </w:pPr>
    </w:p>
    <w:p>
      <w:pPr>
        <w:ind w:right="500" w:firstLine="360"/>
        <w:spacing w:after="0" w:line="281" w:lineRule="auto"/>
        <w:rPr>
          <w:sz w:val="20"/>
          <w:szCs w:val="20"/>
          <w:color w:val="auto"/>
        </w:rPr>
      </w:pPr>
      <w:r>
        <w:rPr>
          <w:rFonts w:ascii="Times New Roman" w:cs="Times New Roman" w:eastAsia="Times New Roman" w:hAnsi="Times New Roman"/>
          <w:sz w:val="20"/>
          <w:szCs w:val="20"/>
          <w:color w:val="auto"/>
        </w:rPr>
        <w:t>During the year ended December 31, 2023, net cash provided by financing activities was $0.4 million, primarily from proceeds from the exercise of stock options and issuance of common stock under the employee stock purchase plan.</w:t>
      </w:r>
    </w:p>
    <w:p>
      <w:pPr>
        <w:spacing w:after="0" w:line="121" w:lineRule="exact"/>
        <w:rPr>
          <w:sz w:val="20"/>
          <w:szCs w:val="20"/>
          <w:color w:val="auto"/>
        </w:rPr>
      </w:pPr>
    </w:p>
    <w:p>
      <w:pPr>
        <w:ind w:right="500" w:firstLine="360"/>
        <w:spacing w:after="0" w:line="281" w:lineRule="auto"/>
        <w:rPr>
          <w:sz w:val="20"/>
          <w:szCs w:val="20"/>
          <w:color w:val="auto"/>
        </w:rPr>
      </w:pPr>
      <w:r>
        <w:rPr>
          <w:rFonts w:ascii="Times New Roman" w:cs="Times New Roman" w:eastAsia="Times New Roman" w:hAnsi="Times New Roman"/>
          <w:sz w:val="20"/>
          <w:szCs w:val="20"/>
          <w:color w:val="auto"/>
        </w:rPr>
        <w:t>During the year ended December 31, 2022, net cash provided by financing activities was $0.6 million, primarily from proceeds from the exercise of stock options and issuance of common stock under the employee stock purchase plan.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Contractual Obligations and Commitments</w:t>
      </w:r>
    </w:p>
    <w:p>
      <w:pPr>
        <w:spacing w:after="0" w:line="197" w:lineRule="exact"/>
        <w:rPr>
          <w:sz w:val="20"/>
          <w:szCs w:val="20"/>
          <w:color w:val="auto"/>
        </w:rPr>
      </w:pPr>
    </w:p>
    <w:p>
      <w:pPr>
        <w:ind w:right="580" w:firstLine="360"/>
        <w:spacing w:after="0" w:line="281" w:lineRule="auto"/>
        <w:rPr>
          <w:sz w:val="20"/>
          <w:szCs w:val="20"/>
          <w:color w:val="auto"/>
        </w:rPr>
      </w:pPr>
      <w:r>
        <w:rPr>
          <w:rFonts w:ascii="Times New Roman" w:cs="Times New Roman" w:eastAsia="Times New Roman" w:hAnsi="Times New Roman"/>
          <w:sz w:val="20"/>
          <w:szCs w:val="20"/>
          <w:color w:val="auto"/>
        </w:rPr>
        <w:t>For a discussion of our contractual obligations and commitments, refer to Part II, Item 8, Note 8, “Commitments and Contingencies” to the consolidated financial statements in this Annual Report on Form 10-K.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197" w:lineRule="exact"/>
        <w:rPr>
          <w:sz w:val="20"/>
          <w:szCs w:val="20"/>
          <w:color w:val="auto"/>
        </w:rPr>
      </w:pPr>
    </w:p>
    <w:p>
      <w:pPr>
        <w:ind w:right="100" w:firstLine="360"/>
        <w:spacing w:after="0" w:line="266" w:lineRule="auto"/>
        <w:rPr>
          <w:sz w:val="20"/>
          <w:szCs w:val="20"/>
          <w:color w:val="auto"/>
        </w:rPr>
      </w:pPr>
      <w:r>
        <w:rPr>
          <w:rFonts w:ascii="Times New Roman" w:cs="Times New Roman" w:eastAsia="Times New Roman" w:hAnsi="Times New Roman"/>
          <w:sz w:val="20"/>
          <w:szCs w:val="20"/>
          <w:color w:val="auto"/>
        </w:rPr>
        <w:t>Our discussion and analysis of financial condition results of operations are based upon our financial statements included in Part II, Item 8 of this Annual Report on Form 10-K. The preparation of our financial statements in accordance with GAAP requires us to make estimates and assumptions that affect the reported amounts of assets, liabilities, and expenses.</w:t>
      </w:r>
    </w:p>
    <w:p>
      <w:pPr>
        <w:spacing w:after="0" w:line="135" w:lineRule="exact"/>
        <w:rPr>
          <w:sz w:val="20"/>
          <w:szCs w:val="20"/>
          <w:color w:val="auto"/>
        </w:rPr>
      </w:pPr>
    </w:p>
    <w:p>
      <w:pPr>
        <w:ind w:right="260" w:firstLine="360"/>
        <w:spacing w:after="0" w:line="281" w:lineRule="auto"/>
        <w:rPr>
          <w:sz w:val="20"/>
          <w:szCs w:val="20"/>
          <w:color w:val="auto"/>
        </w:rPr>
      </w:pPr>
      <w:r>
        <w:rPr>
          <w:rFonts w:ascii="Times New Roman" w:cs="Times New Roman" w:eastAsia="Times New Roman" w:hAnsi="Times New Roman"/>
          <w:sz w:val="20"/>
          <w:szCs w:val="20"/>
          <w:color w:val="auto"/>
        </w:rPr>
        <w:t>We base our estimates on past experience and other assumptions that we believe are reasonable under the circumstances, and we evaluate these estimates on an ongoing basis. Actual results may differ from those estimates.</w:t>
      </w:r>
    </w:p>
    <w:p>
      <w:pPr>
        <w:spacing w:after="0" w:line="121" w:lineRule="exact"/>
        <w:rPr>
          <w:sz w:val="20"/>
          <w:szCs w:val="20"/>
          <w:color w:val="auto"/>
        </w:rPr>
      </w:pPr>
    </w:p>
    <w:p>
      <w:pPr>
        <w:ind w:right="40" w:firstLine="360"/>
        <w:spacing w:after="0" w:line="309" w:lineRule="auto"/>
        <w:rPr>
          <w:sz w:val="20"/>
          <w:szCs w:val="20"/>
          <w:color w:val="auto"/>
        </w:rPr>
      </w:pPr>
      <w:r>
        <w:rPr>
          <w:rFonts w:ascii="Times New Roman" w:cs="Times New Roman" w:eastAsia="Times New Roman" w:hAnsi="Times New Roman"/>
          <w:sz w:val="19"/>
          <w:szCs w:val="19"/>
          <w:color w:val="auto"/>
        </w:rPr>
        <w:t>Our critical accounting policies are those that materially affect our financial statements and involve difficult, subjective or complex judgments by management. A thorough understanding of these critical accounting policies is essential when reviewing</w:t>
      </w:r>
    </w:p>
    <w:p>
      <w:pPr>
        <w:sectPr>
          <w:pgSz w:w="12240" w:h="15840" w:orient="portrait"/>
          <w:cols w:equalWidth="0" w:num="1">
            <w:col w:w="10260"/>
          </w:cols>
          <w:pgMar w:left="1000" w:top="784" w:right="980" w:bottom="0" w:gutter="0" w:footer="0" w:header="0"/>
        </w:sect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2240" w:h="15840" w:orient="portrait"/>
          <w:cols w:equalWidth="0" w:num="1">
            <w:col w:w="10260"/>
          </w:cols>
          <w:pgMar w:left="1000" w:top="784" w:right="980" w:bottom="0" w:gutter="0" w:footer="0" w:header="0"/>
          <w:type w:val="continuous"/>
        </w:sectPr>
      </w:pPr>
    </w:p>
    <w:bookmarkStart w:id="87" w:name="page88"/>
    <w:bookmarkEnd w:id="87"/>
    <w:p>
      <w:pPr>
        <w:ind w:right="620"/>
        <w:spacing w:after="0" w:line="281" w:lineRule="auto"/>
        <w:rPr>
          <w:sz w:val="20"/>
          <w:szCs w:val="20"/>
          <w:color w:val="auto"/>
        </w:rPr>
      </w:pPr>
      <w:r>
        <w:rPr>
          <w:rFonts w:ascii="Times New Roman" w:cs="Times New Roman" w:eastAsia="Times New Roman" w:hAnsi="Times New Roman"/>
          <w:sz w:val="20"/>
          <w:szCs w:val="20"/>
          <w:color w:val="auto"/>
        </w:rPr>
        <w:t>our financial statements. We believe that the critical accounting policies listed below are the most difficult management decisions as they involve the use of significant estimates and assumptions as described above.</w:t>
      </w:r>
    </w:p>
    <w:p>
      <w:pPr>
        <w:spacing w:after="0" w:line="1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w:t>
      </w:r>
    </w:p>
    <w:p>
      <w:pPr>
        <w:spacing w:after="0" w:line="199" w:lineRule="exact"/>
        <w:rPr>
          <w:sz w:val="20"/>
          <w:szCs w:val="20"/>
          <w:color w:val="auto"/>
        </w:rPr>
      </w:pPr>
    </w:p>
    <w:p>
      <w:pPr>
        <w:ind w:right="200" w:firstLine="360"/>
        <w:spacing w:after="0" w:line="258" w:lineRule="auto"/>
        <w:rPr>
          <w:sz w:val="20"/>
          <w:szCs w:val="20"/>
          <w:color w:val="auto"/>
        </w:rPr>
      </w:pPr>
      <w:r>
        <w:rPr>
          <w:rFonts w:ascii="Times New Roman" w:cs="Times New Roman" w:eastAsia="Times New Roman" w:hAnsi="Times New Roman"/>
          <w:sz w:val="20"/>
          <w:szCs w:val="20"/>
          <w:color w:val="auto"/>
        </w:rPr>
        <w:t>Costs for research and development activities are expensed in the period in which they are incurred. Research and development expenses consist of costs incurred in performing research and development activities, including salaries, related bonuses, stock-based compensation, employee benefits, facilities costs, laboratory supplies and equipment, depreciation and amortization, external costs of vendors engaged to conduct research and development activities, and allocated expenses for technology and facilities.</w:t>
      </w:r>
    </w:p>
    <w:p>
      <w:pPr>
        <w:spacing w:after="0" w:line="144" w:lineRule="exact"/>
        <w:rPr>
          <w:sz w:val="20"/>
          <w:szCs w:val="20"/>
          <w:color w:val="auto"/>
        </w:rPr>
      </w:pPr>
    </w:p>
    <w:p>
      <w:pPr>
        <w:ind w:right="80" w:firstLine="360"/>
        <w:spacing w:after="0" w:line="254" w:lineRule="auto"/>
        <w:rPr>
          <w:sz w:val="20"/>
          <w:szCs w:val="20"/>
          <w:color w:val="auto"/>
        </w:rPr>
      </w:pPr>
      <w:r>
        <w:rPr>
          <w:rFonts w:ascii="Times New Roman" w:cs="Times New Roman" w:eastAsia="Times New Roman" w:hAnsi="Times New Roman"/>
          <w:sz w:val="20"/>
          <w:szCs w:val="20"/>
          <w:color w:val="auto"/>
        </w:rPr>
        <w:t>As part of the process of preparing our financial statements, we estimate our accrued expenses. This process involves reviewing quotations and contracts, identifying services that have been performed on our behalf and estimating the level of services performed and the associated cost incurred for services for which we have not yet been invoiced or otherwise notified of the actual cost. The majority of our service providers invoice monthly in arrears for services performed or when contractual milestones are met. We make estimates of our accrued expenses at the end of each reporting period based on the facts and circumstances known to us at that time. The significant estimates in our accrued research and development expenses relate to expenses incurred with respect to academic research centers and other vendors in connection with research and development activities for which we have not yet been invoiced.</w:t>
      </w:r>
    </w:p>
    <w:p>
      <w:pPr>
        <w:spacing w:after="0" w:line="1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Stock Based Compensation</w:t>
      </w:r>
    </w:p>
    <w:p>
      <w:pPr>
        <w:spacing w:after="0" w:line="199" w:lineRule="exact"/>
        <w:rPr>
          <w:sz w:val="20"/>
          <w:szCs w:val="20"/>
          <w:color w:val="auto"/>
        </w:rPr>
      </w:pPr>
    </w:p>
    <w:p>
      <w:pPr>
        <w:ind w:right="80" w:firstLine="360"/>
        <w:spacing w:after="0" w:line="260" w:lineRule="auto"/>
        <w:rPr>
          <w:sz w:val="20"/>
          <w:szCs w:val="20"/>
          <w:color w:val="auto"/>
        </w:rPr>
      </w:pPr>
      <w:r>
        <w:rPr>
          <w:rFonts w:ascii="Times New Roman" w:cs="Times New Roman" w:eastAsia="Times New Roman" w:hAnsi="Times New Roman"/>
          <w:sz w:val="20"/>
          <w:szCs w:val="20"/>
          <w:color w:val="auto"/>
        </w:rPr>
        <w:t>We maintain a stock-based compensation plan as a long-term incentive for employees, non-employee directors and consultants. The plan allows for the issuance of incentive stock options, non-qualified stock options, restricted stock units, and other forms of equity awards. Our stock-based compensation programs include shares issued under our 2021 Equity Incentive Plan and 2021 Employee Stock Purchase Plan.</w:t>
      </w:r>
    </w:p>
    <w:p>
      <w:pPr>
        <w:spacing w:after="0" w:line="143"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20"/>
          <w:szCs w:val="20"/>
          <w:color w:val="auto"/>
        </w:rPr>
        <w:t>We recognize stock-based compensation expense for stock options on a straight-line basis over the requisite service period and account for forfeitures as they occur. Our stock-based compensation costs are based upon the grant date fair value of options estimated using the Black-Scholes option pricing model. To the extent any stock option grants are made subject to the achievement of a performance-based milestone, management evaluates when the achievement of any such performance-based milestone is probable based on the relative satisfaction of the performance conditions as of the reporting date.</w:t>
      </w:r>
    </w:p>
    <w:p>
      <w:pPr>
        <w:spacing w:after="0" w:line="144" w:lineRule="exact"/>
        <w:rPr>
          <w:sz w:val="20"/>
          <w:szCs w:val="20"/>
          <w:color w:val="auto"/>
        </w:rPr>
      </w:pPr>
    </w:p>
    <w:p>
      <w:pPr>
        <w:ind w:right="380" w:firstLine="360"/>
        <w:spacing w:after="0" w:line="281" w:lineRule="auto"/>
        <w:rPr>
          <w:sz w:val="20"/>
          <w:szCs w:val="20"/>
          <w:color w:val="auto"/>
        </w:rPr>
      </w:pPr>
      <w:r>
        <w:rPr>
          <w:rFonts w:ascii="Times New Roman" w:cs="Times New Roman" w:eastAsia="Times New Roman" w:hAnsi="Times New Roman"/>
          <w:sz w:val="20"/>
          <w:szCs w:val="20"/>
          <w:color w:val="auto"/>
        </w:rPr>
        <w:t>The Black-Scholes option pricing model utilizes inputs which are highly subjective assumptions and generally require significant judgment. These assumptions include:</w:t>
      </w:r>
    </w:p>
    <w:p>
      <w:pPr>
        <w:spacing w:after="0" w:line="118" w:lineRule="exact"/>
        <w:rPr>
          <w:sz w:val="20"/>
          <w:szCs w:val="20"/>
          <w:color w:val="auto"/>
        </w:rPr>
      </w:pPr>
    </w:p>
    <w:p>
      <w:pPr>
        <w:ind w:left="720" w:right="320" w:hanging="370"/>
        <w:spacing w:after="0" w:line="285" w:lineRule="auto"/>
        <w:tabs>
          <w:tab w:leader="none" w:pos="7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Risk-Free Interest Rate. </w:t>
      </w:r>
      <w:r>
        <w:rPr>
          <w:rFonts w:ascii="Times New Roman" w:cs="Times New Roman" w:eastAsia="Times New Roman" w:hAnsi="Times New Roman"/>
          <w:sz w:val="20"/>
          <w:szCs w:val="20"/>
          <w:color w:val="auto"/>
        </w:rPr>
        <w:t>The risk-free interest rate is based on the U.S. Treasury yield curve in effect at the time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grant for zero-coupon U.S. Treasury notes with maturities corresponding to the expected term of the awards.</w:t>
      </w:r>
    </w:p>
    <w:p>
      <w:pPr>
        <w:spacing w:after="0" w:line="113" w:lineRule="exact"/>
        <w:rPr>
          <w:rFonts w:ascii="Times New Roman" w:cs="Times New Roman" w:eastAsia="Times New Roman" w:hAnsi="Times New Roman"/>
          <w:sz w:val="20"/>
          <w:szCs w:val="20"/>
          <w:color w:val="auto"/>
        </w:rPr>
      </w:pPr>
    </w:p>
    <w:p>
      <w:pPr>
        <w:ind w:left="720" w:hanging="370"/>
        <w:spacing w:after="0" w:line="259" w:lineRule="auto"/>
        <w:tabs>
          <w:tab w:leader="none" w:pos="7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Expected Volatility. </w:t>
      </w:r>
      <w:r>
        <w:rPr>
          <w:rFonts w:ascii="Times New Roman" w:cs="Times New Roman" w:eastAsia="Times New Roman" w:hAnsi="Times New Roman"/>
          <w:sz w:val="20"/>
          <w:szCs w:val="20"/>
          <w:color w:val="auto"/>
        </w:rPr>
        <w:t>Historically, we have been a private company and lacked company-specific historical and implied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volatility information for our common stock. Therefore, the expected volatility of our common stock was determined by using an average of historical volatilities of selected industry peers deemed to be comparable to our business corresponding to the expected term of the awards and we expect to continue to do so until such time we have adequate historical data regarding the volatility of our traded common stock price.</w:t>
      </w:r>
    </w:p>
    <w:p>
      <w:pPr>
        <w:spacing w:after="0" w:line="139" w:lineRule="exact"/>
        <w:rPr>
          <w:rFonts w:ascii="Times New Roman" w:cs="Times New Roman" w:eastAsia="Times New Roman" w:hAnsi="Times New Roman"/>
          <w:sz w:val="20"/>
          <w:szCs w:val="20"/>
          <w:color w:val="auto"/>
        </w:rPr>
      </w:pPr>
    </w:p>
    <w:p>
      <w:pPr>
        <w:ind w:left="720" w:right="120" w:hanging="370"/>
        <w:spacing w:after="0" w:line="259" w:lineRule="auto"/>
        <w:tabs>
          <w:tab w:leader="none" w:pos="7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Expected Term. </w:t>
      </w:r>
      <w:r>
        <w:rPr>
          <w:rFonts w:ascii="Times New Roman" w:cs="Times New Roman" w:eastAsia="Times New Roman" w:hAnsi="Times New Roman"/>
          <w:sz w:val="20"/>
          <w:szCs w:val="20"/>
          <w:color w:val="auto"/>
        </w:rPr>
        <w:t>The expected term of stock options represents the weighted-average period that the stock options are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expected to remain outstanding. We do not have sufficient historical exercise and post-vesting termination activity to provide accurate data for estimating the expected term of options and have opted to use the “simplified method,” whereby the expected term equals the arithmetic average of the vesting term and the original contractual term of the option.</w:t>
      </w:r>
    </w:p>
    <w:p>
      <w:pPr>
        <w:spacing w:after="0" w:line="139" w:lineRule="exact"/>
        <w:rPr>
          <w:rFonts w:ascii="Times New Roman" w:cs="Times New Roman" w:eastAsia="Times New Roman" w:hAnsi="Times New Roman"/>
          <w:sz w:val="20"/>
          <w:szCs w:val="20"/>
          <w:color w:val="auto"/>
        </w:rPr>
      </w:pPr>
    </w:p>
    <w:p>
      <w:pPr>
        <w:ind w:left="720" w:right="620" w:hanging="370"/>
        <w:spacing w:after="0" w:line="285" w:lineRule="auto"/>
        <w:tabs>
          <w:tab w:leader="none" w:pos="7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Expected Dividend Yield</w:t>
      </w:r>
      <w:r>
        <w:rPr>
          <w:rFonts w:ascii="Times New Roman" w:cs="Times New Roman" w:eastAsia="Times New Roman" w:hAnsi="Times New Roman"/>
          <w:sz w:val="20"/>
          <w:szCs w:val="20"/>
          <w:color w:val="auto"/>
        </w:rPr>
        <w:t>. The expected dividend rate is zero as we have no history or expectation of declaring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dividends on our common stock.</w:t>
      </w:r>
    </w:p>
    <w:p>
      <w:pPr>
        <w:spacing w:after="0" w:line="118" w:lineRule="exact"/>
        <w:rPr>
          <w:sz w:val="20"/>
          <w:szCs w:val="20"/>
          <w:color w:val="auto"/>
        </w:rPr>
      </w:pPr>
    </w:p>
    <w:p>
      <w:pPr>
        <w:ind w:right="140" w:firstLine="360"/>
        <w:spacing w:after="0" w:line="260" w:lineRule="auto"/>
        <w:rPr>
          <w:sz w:val="20"/>
          <w:szCs w:val="20"/>
          <w:color w:val="auto"/>
        </w:rPr>
      </w:pPr>
      <w:r>
        <w:rPr>
          <w:rFonts w:ascii="Times New Roman" w:cs="Times New Roman" w:eastAsia="Times New Roman" w:hAnsi="Times New Roman"/>
          <w:sz w:val="20"/>
          <w:szCs w:val="20"/>
          <w:color w:val="auto"/>
        </w:rPr>
        <w:t>Certain assumptions we used in applying the Black-Scholes option pricing model to determine the estimated fair value of our stock options involve inherent uncertainties and the application of significant judgment. As a result, if factors or expected outcomes change and we use significantly different assumptions or estimates, our stock-based compensation could be materially different.</w:t>
      </w:r>
    </w:p>
    <w:p>
      <w:pPr>
        <w:sectPr>
          <w:pgSz w:w="12240" w:h="15840" w:orient="portrait"/>
          <w:cols w:equalWidth="0" w:num="1">
            <w:col w:w="10180"/>
          </w:cols>
          <w:pgMar w:left="1000" w:top="79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86</w:t>
      </w:r>
    </w:p>
    <w:p>
      <w:pPr>
        <w:sectPr>
          <w:pgSz w:w="12240" w:h="15840" w:orient="portrait"/>
          <w:cols w:equalWidth="0" w:num="1">
            <w:col w:w="10180"/>
          </w:cols>
          <w:pgMar w:left="1000" w:top="793" w:right="1060" w:bottom="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197" w:lineRule="exact"/>
        <w:rPr>
          <w:sz w:val="20"/>
          <w:szCs w:val="20"/>
          <w:color w:val="auto"/>
        </w:rPr>
      </w:pPr>
    </w:p>
    <w:p>
      <w:pPr>
        <w:jc w:val="both"/>
        <w:ind w:right="100" w:firstLine="360"/>
        <w:spacing w:after="0" w:line="266" w:lineRule="auto"/>
        <w:rPr>
          <w:sz w:val="20"/>
          <w:szCs w:val="20"/>
          <w:color w:val="auto"/>
        </w:rPr>
      </w:pPr>
      <w:r>
        <w:rPr>
          <w:rFonts w:ascii="Times New Roman" w:cs="Times New Roman" w:eastAsia="Times New Roman" w:hAnsi="Times New Roman"/>
          <w:sz w:val="20"/>
          <w:szCs w:val="20"/>
          <w:color w:val="auto"/>
        </w:rPr>
        <w:t>For a description of recent accounting pronouncements, including the expected dates of adoption and estimated effects, if any, on our consolidated financial statements, see Part II, Item 8, Note 2, “Significant Accounting Policies” to the consolidated financial statements in this Annual Report on Form 10-K.</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Emerging Growth Company Accounting Election</w:t>
      </w:r>
    </w:p>
    <w:p>
      <w:pPr>
        <w:spacing w:after="0" w:line="197" w:lineRule="exact"/>
        <w:rPr>
          <w:sz w:val="20"/>
          <w:szCs w:val="20"/>
          <w:color w:val="auto"/>
        </w:rPr>
      </w:pPr>
    </w:p>
    <w:p>
      <w:pPr>
        <w:ind w:right="120" w:firstLine="360"/>
        <w:spacing w:after="0" w:line="254" w:lineRule="auto"/>
        <w:rPr>
          <w:sz w:val="20"/>
          <w:szCs w:val="20"/>
          <w:color w:val="auto"/>
        </w:rPr>
      </w:pPr>
      <w:r>
        <w:rPr>
          <w:rFonts w:ascii="Times New Roman" w:cs="Times New Roman" w:eastAsia="Times New Roman" w:hAnsi="Times New Roman"/>
          <w:sz w:val="20"/>
          <w:szCs w:val="20"/>
          <w:color w:val="auto"/>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153" w:lineRule="exact"/>
        <w:rPr>
          <w:sz w:val="20"/>
          <w:szCs w:val="20"/>
          <w:color w:val="auto"/>
        </w:rPr>
      </w:pPr>
    </w:p>
    <w:p>
      <w:pPr>
        <w:ind w:right="100" w:firstLine="360"/>
        <w:spacing w:after="0" w:line="258" w:lineRule="auto"/>
        <w:rPr>
          <w:sz w:val="20"/>
          <w:szCs w:val="20"/>
          <w:color w:val="auto"/>
        </w:rPr>
      </w:pPr>
      <w:r>
        <w:rPr>
          <w:rFonts w:ascii="Times New Roman" w:cs="Times New Roman" w:eastAsia="Times New Roman" w:hAnsi="Times New Roman"/>
          <w:sz w:val="20"/>
          <w:szCs w:val="20"/>
          <w:color w:val="auto"/>
        </w:rPr>
        <w:t>We will cease to be an emerging growth company on the date that is the earliest of (i) the last day of the fiscal year in which we have total annual gross revenue of $1.235 billion or more, (ii) the last day of our fiscal year following the fifth anniversary of the date of the closing of ARYA’s initial public offering, (iii) the date on which we have issued more than $1.0 billion in nonconvertible debt during the previous three years or (iv) the date on which we are deemed to be a large accelerated filer under the rules of the Securities and Exchange Commission.</w:t>
      </w:r>
    </w:p>
    <w:p>
      <w:pPr>
        <w:spacing w:after="0" w:line="144" w:lineRule="exact"/>
        <w:rPr>
          <w:sz w:val="20"/>
          <w:szCs w:val="20"/>
          <w:color w:val="auto"/>
        </w:rPr>
      </w:pPr>
    </w:p>
    <w:p>
      <w:pPr>
        <w:ind w:right="20" w:firstLine="360"/>
        <w:spacing w:after="0" w:line="256" w:lineRule="auto"/>
        <w:rPr>
          <w:sz w:val="20"/>
          <w:szCs w:val="20"/>
          <w:color w:val="auto"/>
        </w:rPr>
      </w:pPr>
      <w:r>
        <w:rPr>
          <w:rFonts w:ascii="Times New Roman" w:cs="Times New Roman" w:eastAsia="Times New Roman" w:hAnsi="Times New Roman"/>
          <w:sz w:val="20"/>
          <w:szCs w:val="20"/>
          <w:color w:val="auto"/>
        </w:rPr>
        <w:t>Further, even after we no longer qualify as an emerging growth company, we may still qualify as a “smaller reporting company,” which would allow us to take advantage of many of the same exemptions from disclosure requirements, including reduced disclosure obligations regarding executive compensation in our periodic reports and proxy statements. We cannot predict if investors will find our common shares less attractive because we may rely on these exemptions. If some investors find our common shares less attractive as a result, there may be a less active trading market for our common shares and our share price may be more volatile.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Interest Rate Risk</w:t>
      </w:r>
    </w:p>
    <w:p>
      <w:pPr>
        <w:spacing w:after="0" w:line="199" w:lineRule="exact"/>
        <w:rPr>
          <w:sz w:val="20"/>
          <w:szCs w:val="20"/>
          <w:color w:val="auto"/>
        </w:rPr>
      </w:pPr>
    </w:p>
    <w:p>
      <w:pPr>
        <w:ind w:right="160" w:firstLine="360"/>
        <w:spacing w:after="0" w:line="255" w:lineRule="auto"/>
        <w:rPr>
          <w:sz w:val="20"/>
          <w:szCs w:val="20"/>
          <w:color w:val="auto"/>
        </w:rPr>
      </w:pPr>
      <w:r>
        <w:rPr>
          <w:rFonts w:ascii="Times New Roman" w:cs="Times New Roman" w:eastAsia="Times New Roman" w:hAnsi="Times New Roman"/>
          <w:sz w:val="20"/>
          <w:szCs w:val="20"/>
          <w:color w:val="auto"/>
        </w:rPr>
        <w:t>We had cash, cash equivalents and investments of $264.1 million as of December 31, 2023. The primary goals of our investment policy are liquidity and capital preservation. We do not enter into investments for trading or speculative purposes. The carrying amount of our cash equivalents reasonably approximates fair value, due to the short maturities of these instruments. Our investments are exposed to market risk due to a fluctuation in interest rates, which may affect the fair market value of our investments in marketable securities. As of December 31, 2023, the effect of a hypothetical 1.00% (100 basis point) change in interest rates would have changed the fair value of our marketable securities by $2.3 million. Such change would only be realized if we sold the marketable securities prior to maturity.</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Inflation Risk</w:t>
      </w:r>
    </w:p>
    <w:p>
      <w:pPr>
        <w:spacing w:after="0" w:line="199"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20"/>
          <w:szCs w:val="20"/>
          <w:color w:val="auto"/>
        </w:rPr>
        <w:t>Inflation generally affects us by increasing our cost of labor and goods and services. We believe that inflation has had some effect on our financial results during the periods presented. If we experience continued or future inflationary pressure, it may impact the costs of our operations as well as the costs to manufacture, sell and distribute our products and provide our services in the future. We may not be able to fully offset those increased costs through reduced spending or price increases to our products and services.</w:t>
      </w:r>
    </w:p>
    <w:p>
      <w:pPr>
        <w:sectPr>
          <w:pgSz w:w="12240" w:h="15840" w:orient="portrait"/>
          <w:cols w:equalWidth="0" w:num="1">
            <w:col w:w="10240"/>
          </w:cols>
          <w:pgMar w:left="1000" w:top="78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2240" w:h="15840" w:orient="portrait"/>
          <w:cols w:equalWidth="0" w:num="1">
            <w:col w:w="10240"/>
          </w:cols>
          <w:pgMar w:left="1000" w:top="786" w:right="1000" w:bottom="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190"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p>
      <w:pPr>
        <w:spacing w:after="0" w:line="297" w:lineRule="exact"/>
        <w:rPr>
          <w:sz w:val="20"/>
          <w:szCs w:val="20"/>
          <w:color w:val="auto"/>
        </w:rPr>
      </w:pPr>
    </w:p>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149" w:lineRule="exact"/>
        <w:rPr>
          <w:sz w:val="20"/>
          <w:szCs w:val="20"/>
          <w:color w:val="auto"/>
        </w:rPr>
      </w:pPr>
    </w:p>
    <w:p>
      <w:pPr>
        <w:ind w:left="40"/>
        <w:spacing w:after="0"/>
        <w:tabs>
          <w:tab w:leader="dot" w:pos="8940" w:val="left"/>
        </w:tabs>
        <w:rPr>
          <w:sz w:val="20"/>
          <w:szCs w:val="20"/>
          <w:color w:val="auto"/>
        </w:rPr>
      </w:pPr>
      <w:r>
        <w:rPr>
          <w:rFonts w:ascii="Times New Roman" w:cs="Times New Roman" w:eastAsia="Times New Roman" w:hAnsi="Times New Roman"/>
          <w:sz w:val="20"/>
          <w:szCs w:val="20"/>
          <w:color w:val="auto"/>
        </w:rPr>
        <w:t>Report of Independent Registered Public Accounting Firm (PCAOB ID 238)</w:t>
      </w:r>
      <w:r>
        <w:rPr>
          <w:sz w:val="20"/>
          <w:szCs w:val="20"/>
          <w:color w:val="auto"/>
        </w:rPr>
        <w:tab/>
      </w:r>
      <w:r>
        <w:rPr>
          <w:rFonts w:ascii="Times New Roman" w:cs="Times New Roman" w:eastAsia="Times New Roman" w:hAnsi="Times New Roman"/>
          <w:sz w:val="20"/>
          <w:szCs w:val="20"/>
          <w:color w:val="auto"/>
        </w:rPr>
        <w:t>89</w:t>
      </w:r>
    </w:p>
    <w:p>
      <w:pPr>
        <w:spacing w:after="0" w:line="145" w:lineRule="exact"/>
        <w:rPr>
          <w:sz w:val="20"/>
          <w:szCs w:val="20"/>
          <w:color w:val="auto"/>
        </w:rPr>
      </w:pPr>
    </w:p>
    <w:p>
      <w:pPr>
        <w:ind w:left="40"/>
        <w:spacing w:after="0"/>
        <w:tabs>
          <w:tab w:leader="dot" w:pos="8940" w:val="left"/>
        </w:tabs>
        <w:rPr>
          <w:sz w:val="20"/>
          <w:szCs w:val="20"/>
          <w:color w:val="auto"/>
        </w:rPr>
      </w:pPr>
      <w:r>
        <w:rPr>
          <w:rFonts w:ascii="Times New Roman" w:cs="Times New Roman" w:eastAsia="Times New Roman" w:hAnsi="Times New Roman"/>
          <w:sz w:val="20"/>
          <w:szCs w:val="20"/>
          <w:color w:val="auto"/>
        </w:rPr>
        <w:t>Consolidated Balance Sheets</w:t>
      </w:r>
      <w:r>
        <w:rPr>
          <w:sz w:val="20"/>
          <w:szCs w:val="20"/>
          <w:color w:val="auto"/>
        </w:rPr>
        <w:tab/>
      </w:r>
      <w:r>
        <w:rPr>
          <w:rFonts w:ascii="Times New Roman" w:cs="Times New Roman" w:eastAsia="Times New Roman" w:hAnsi="Times New Roman"/>
          <w:sz w:val="20"/>
          <w:szCs w:val="20"/>
          <w:color w:val="auto"/>
        </w:rPr>
        <w:t>90</w:t>
      </w:r>
    </w:p>
    <w:p>
      <w:pPr>
        <w:spacing w:after="0" w:line="145" w:lineRule="exact"/>
        <w:rPr>
          <w:sz w:val="20"/>
          <w:szCs w:val="20"/>
          <w:color w:val="auto"/>
        </w:rPr>
      </w:pPr>
    </w:p>
    <w:p>
      <w:pPr>
        <w:ind w:left="40"/>
        <w:spacing w:after="0"/>
        <w:tabs>
          <w:tab w:leader="dot" w:pos="8940" w:val="left"/>
        </w:tabs>
        <w:rPr>
          <w:sz w:val="20"/>
          <w:szCs w:val="20"/>
          <w:color w:val="auto"/>
        </w:rPr>
      </w:pPr>
      <w:r>
        <w:rPr>
          <w:rFonts w:ascii="Times New Roman" w:cs="Times New Roman" w:eastAsia="Times New Roman" w:hAnsi="Times New Roman"/>
          <w:sz w:val="20"/>
          <w:szCs w:val="20"/>
          <w:color w:val="auto"/>
        </w:rPr>
        <w:t>Consolidated Statements of Operations</w:t>
      </w:r>
      <w:r>
        <w:rPr>
          <w:sz w:val="20"/>
          <w:szCs w:val="20"/>
          <w:color w:val="auto"/>
        </w:rPr>
        <w:tab/>
      </w:r>
      <w:r>
        <w:rPr>
          <w:rFonts w:ascii="Times New Roman" w:cs="Times New Roman" w:eastAsia="Times New Roman" w:hAnsi="Times New Roman"/>
          <w:sz w:val="20"/>
          <w:szCs w:val="20"/>
          <w:color w:val="auto"/>
        </w:rPr>
        <w:t>91</w:t>
      </w:r>
    </w:p>
    <w:p>
      <w:pPr>
        <w:spacing w:after="0" w:line="145" w:lineRule="exact"/>
        <w:rPr>
          <w:sz w:val="20"/>
          <w:szCs w:val="20"/>
          <w:color w:val="auto"/>
        </w:rPr>
      </w:pPr>
    </w:p>
    <w:p>
      <w:pPr>
        <w:ind w:left="40"/>
        <w:spacing w:after="0"/>
        <w:tabs>
          <w:tab w:leader="dot" w:pos="8940" w:val="left"/>
        </w:tabs>
        <w:rPr>
          <w:sz w:val="20"/>
          <w:szCs w:val="20"/>
          <w:color w:val="auto"/>
        </w:rPr>
      </w:pPr>
      <w:r>
        <w:rPr>
          <w:rFonts w:ascii="Times New Roman" w:cs="Times New Roman" w:eastAsia="Times New Roman" w:hAnsi="Times New Roman"/>
          <w:sz w:val="20"/>
          <w:szCs w:val="20"/>
          <w:color w:val="auto"/>
        </w:rPr>
        <w:t>Consolidated Statements of Comprehensive Loss</w:t>
      </w:r>
      <w:r>
        <w:rPr>
          <w:sz w:val="20"/>
          <w:szCs w:val="20"/>
          <w:color w:val="auto"/>
        </w:rPr>
        <w:tab/>
      </w:r>
      <w:r>
        <w:rPr>
          <w:rFonts w:ascii="Times New Roman" w:cs="Times New Roman" w:eastAsia="Times New Roman" w:hAnsi="Times New Roman"/>
          <w:sz w:val="20"/>
          <w:szCs w:val="20"/>
          <w:color w:val="auto"/>
        </w:rPr>
        <w:t>92</w:t>
      </w:r>
    </w:p>
    <w:p>
      <w:pPr>
        <w:spacing w:after="0" w:line="145" w:lineRule="exact"/>
        <w:rPr>
          <w:sz w:val="20"/>
          <w:szCs w:val="20"/>
          <w:color w:val="auto"/>
        </w:rPr>
      </w:pPr>
    </w:p>
    <w:p>
      <w:pPr>
        <w:ind w:left="40"/>
        <w:spacing w:after="0"/>
        <w:tabs>
          <w:tab w:leader="dot" w:pos="8940" w:val="left"/>
        </w:tabs>
        <w:rPr>
          <w:sz w:val="20"/>
          <w:szCs w:val="20"/>
          <w:color w:val="auto"/>
        </w:rPr>
      </w:pPr>
      <w:r>
        <w:rPr>
          <w:rFonts w:ascii="Times New Roman" w:cs="Times New Roman" w:eastAsia="Times New Roman" w:hAnsi="Times New Roman"/>
          <w:sz w:val="20"/>
          <w:szCs w:val="20"/>
          <w:color w:val="auto"/>
        </w:rPr>
        <w:t>Consolidated Statements of Stockholders’ Equity</w:t>
      </w:r>
      <w:r>
        <w:rPr>
          <w:sz w:val="20"/>
          <w:szCs w:val="20"/>
          <w:color w:val="auto"/>
        </w:rPr>
        <w:tab/>
      </w:r>
      <w:r>
        <w:rPr>
          <w:rFonts w:ascii="Times New Roman" w:cs="Times New Roman" w:eastAsia="Times New Roman" w:hAnsi="Times New Roman"/>
          <w:sz w:val="20"/>
          <w:szCs w:val="20"/>
          <w:color w:val="auto"/>
        </w:rPr>
        <w:t>93</w:t>
      </w:r>
    </w:p>
    <w:p>
      <w:pPr>
        <w:spacing w:after="0" w:line="145" w:lineRule="exact"/>
        <w:rPr>
          <w:sz w:val="20"/>
          <w:szCs w:val="20"/>
          <w:color w:val="auto"/>
        </w:rPr>
      </w:pPr>
    </w:p>
    <w:p>
      <w:pPr>
        <w:ind w:left="40"/>
        <w:spacing w:after="0"/>
        <w:tabs>
          <w:tab w:leader="dot" w:pos="8940" w:val="left"/>
        </w:tabs>
        <w:rPr>
          <w:sz w:val="20"/>
          <w:szCs w:val="20"/>
          <w:color w:val="auto"/>
        </w:rPr>
      </w:pPr>
      <w:r>
        <w:rPr>
          <w:rFonts w:ascii="Times New Roman" w:cs="Times New Roman" w:eastAsia="Times New Roman" w:hAnsi="Times New Roman"/>
          <w:sz w:val="20"/>
          <w:szCs w:val="20"/>
          <w:color w:val="auto"/>
        </w:rPr>
        <w:t>Consolidated Statements of Cash Flows</w:t>
      </w:r>
      <w:r>
        <w:rPr>
          <w:sz w:val="20"/>
          <w:szCs w:val="20"/>
          <w:color w:val="auto"/>
        </w:rPr>
        <w:tab/>
      </w:r>
      <w:r>
        <w:rPr>
          <w:rFonts w:ascii="Times New Roman" w:cs="Times New Roman" w:eastAsia="Times New Roman" w:hAnsi="Times New Roman"/>
          <w:sz w:val="20"/>
          <w:szCs w:val="20"/>
          <w:color w:val="auto"/>
        </w:rPr>
        <w:t>94</w:t>
      </w:r>
    </w:p>
    <w:p>
      <w:pPr>
        <w:spacing w:after="0" w:line="145" w:lineRule="exact"/>
        <w:rPr>
          <w:sz w:val="20"/>
          <w:szCs w:val="20"/>
          <w:color w:val="auto"/>
        </w:rPr>
      </w:pPr>
    </w:p>
    <w:p>
      <w:pPr>
        <w:ind w:left="40"/>
        <w:spacing w:after="0"/>
        <w:tabs>
          <w:tab w:leader="dot" w:pos="8940" w:val="left"/>
        </w:tabs>
        <w:rPr>
          <w:sz w:val="20"/>
          <w:szCs w:val="20"/>
          <w:color w:val="auto"/>
        </w:rPr>
      </w:pPr>
      <w:r>
        <w:rPr>
          <w:rFonts w:ascii="Times New Roman" w:cs="Times New Roman" w:eastAsia="Times New Roman" w:hAnsi="Times New Roman"/>
          <w:sz w:val="20"/>
          <w:szCs w:val="20"/>
          <w:color w:val="auto"/>
        </w:rPr>
        <w:t>Notes to Consolidated Financial Statements</w:t>
      </w:r>
      <w:r>
        <w:rPr>
          <w:sz w:val="20"/>
          <w:szCs w:val="20"/>
          <w:color w:val="auto"/>
        </w:rPr>
        <w:tab/>
      </w:r>
      <w:r>
        <w:rPr>
          <w:rFonts w:ascii="Times New Roman" w:cs="Times New Roman" w:eastAsia="Times New Roman" w:hAnsi="Times New Roman"/>
          <w:sz w:val="20"/>
          <w:szCs w:val="20"/>
          <w:color w:val="auto"/>
        </w:rPr>
        <w:t>95</w:t>
      </w:r>
    </w:p>
    <w:p>
      <w:pPr>
        <w:sectPr>
          <w:pgSz w:w="12240" w:h="15840" w:orient="portrait"/>
          <w:cols w:equalWidth="0" w:num="1">
            <w:col w:w="9800"/>
          </w:cols>
          <w:pgMar w:left="1000" w:top="78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88</w:t>
      </w:r>
    </w:p>
    <w:p>
      <w:pPr>
        <w:sectPr>
          <w:pgSz w:w="12240" w:h="15840" w:orient="portrait"/>
          <w:cols w:equalWidth="0" w:num="1">
            <w:col w:w="9800"/>
          </w:cols>
          <w:pgMar w:left="1000" w:top="786" w:right="1440" w:bottom="0" w:gutter="0" w:footer="0" w:header="0"/>
          <w:type w:val="continuous"/>
        </w:sectPr>
      </w:pPr>
    </w:p>
    <w:bookmarkStart w:id="90" w:name="page91"/>
    <w:bookmarkEnd w:id="90"/>
    <w:p>
      <w:pPr>
        <w:ind w:right="2180" w:firstLine="2177"/>
        <w:spacing w:after="0" w:line="440"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 xml:space="preserve">To the Board of Directors and Stockholders of Nautilus Biotechnology, Inc. </w:t>
      </w:r>
      <w:r>
        <w:rPr>
          <w:rFonts w:ascii="Times New Roman" w:cs="Times New Roman" w:eastAsia="Times New Roman" w:hAnsi="Times New Roman"/>
          <w:sz w:val="20"/>
          <w:szCs w:val="20"/>
          <w:b w:val="1"/>
          <w:bCs w:val="1"/>
          <w:i w:val="1"/>
          <w:iCs w:val="1"/>
          <w:color w:val="auto"/>
        </w:rPr>
        <w:t>Opinion on the Financial Statements</w:t>
      </w:r>
    </w:p>
    <w:p>
      <w:pPr>
        <w:spacing w:after="0" w:line="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Nautilus Biotechnology, Inc. and its subsidiary (the “Company”) as of December 31, 2023 and 2022, and the related consolidated statements of operations, of comprehensive loss, of stockholders’ equity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2023 and 2022, and the results of its operations and its cash flows for the years then ended in conformity with accounting principles generally accepted in the United States of America.</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w:t>
      </w:r>
    </w:p>
    <w:p>
      <w:pPr>
        <w:spacing w:after="0" w:line="19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PricewaterhouseCoopers LLP</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Jose, California</w:t>
      </w:r>
    </w:p>
    <w:p>
      <w:pPr>
        <w:spacing w:after="0"/>
        <w:rPr>
          <w:sz w:val="20"/>
          <w:szCs w:val="20"/>
          <w:color w:val="auto"/>
        </w:rPr>
      </w:pPr>
      <w:r>
        <w:rPr>
          <w:rFonts w:ascii="Times New Roman" w:cs="Times New Roman" w:eastAsia="Times New Roman" w:hAnsi="Times New Roman"/>
          <w:sz w:val="20"/>
          <w:szCs w:val="20"/>
          <w:color w:val="auto"/>
        </w:rPr>
        <w:t>February 28, 2024</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2020.</w:t>
      </w:r>
    </w:p>
    <w:p>
      <w:pPr>
        <w:sectPr>
          <w:pgSz w:w="12240" w:h="15840" w:orient="portrait"/>
          <w:cols w:equalWidth="0" w:num="1">
            <w:col w:w="9360"/>
          </w:cols>
          <w:pgMar w:left="1440" w:top="137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2240" w:h="15840" w:orient="portrait"/>
          <w:cols w:equalWidth="0" w:num="1">
            <w:col w:w="9360"/>
          </w:cols>
          <w:pgMar w:left="1440" w:top="1371" w:right="1440" w:bottom="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24"/>
          <w:szCs w:val="24"/>
          <w:b w:val="1"/>
          <w:bCs w:val="1"/>
          <w:color w:val="auto"/>
        </w:rPr>
        <w:t>Nautilus Biotechnology, Inc.</w:t>
      </w:r>
    </w:p>
    <w:p>
      <w:pPr>
        <w:spacing w:after="0" w:line="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4"/>
          <w:szCs w:val="24"/>
          <w:b w:val="1"/>
          <w:bCs w:val="1"/>
          <w:color w:val="auto"/>
        </w:rPr>
        <w:t>Consolidated Balance Sheets</w:t>
      </w:r>
    </w:p>
    <w:p>
      <w:pPr>
        <w:spacing w:after="0" w:line="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4"/>
          <w:szCs w:val="24"/>
          <w:b w:val="1"/>
          <w:bCs w:val="1"/>
          <w:color w:val="auto"/>
        </w:rPr>
        <w:t>At December 31, 2023 and 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13335</wp:posOffset>
                </wp:positionV>
                <wp:extent cx="594360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5pt" to="468pt,1.05pt" o:allowincell="f" strokecolor="#000000" strokeweight="1pt"/>
            </w:pict>
          </mc:Fallback>
        </mc:AlternateContent>
      </w:r>
    </w:p>
    <w:p>
      <w:pPr>
        <w:spacing w:after="0" w:line="283"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66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share and per share amounts)</w:t>
            </w:r>
          </w:p>
        </w:tc>
        <w:tc>
          <w:tcPr>
            <w:tcW w:w="160" w:type="dxa"/>
            <w:vAlign w:val="bottom"/>
          </w:tcPr>
          <w:p>
            <w:pPr>
              <w:spacing w:after="0"/>
              <w:rPr>
                <w:sz w:val="16"/>
                <w:szCs w:val="16"/>
                <w:color w:val="auto"/>
              </w:rPr>
            </w:pPr>
          </w:p>
        </w:tc>
        <w:tc>
          <w:tcPr>
            <w:tcW w:w="1140" w:type="dxa"/>
            <w:vAlign w:val="bottom"/>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87"/>
        </w:trPr>
        <w:tc>
          <w:tcPr>
            <w:tcW w:w="66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7"/>
        </w:trPr>
        <w:tc>
          <w:tcPr>
            <w:tcW w:w="66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6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6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19,397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114,523</w:t>
            </w:r>
          </w:p>
        </w:tc>
        <w:tc>
          <w:tcPr>
            <w:tcW w:w="0" w:type="dxa"/>
            <w:vAlign w:val="bottom"/>
          </w:tcPr>
          <w:p>
            <w:pPr>
              <w:spacing w:after="0"/>
              <w:rPr>
                <w:sz w:val="1"/>
                <w:szCs w:val="1"/>
                <w:color w:val="auto"/>
              </w:rPr>
            </w:pPr>
          </w:p>
        </w:tc>
      </w:tr>
      <w:tr>
        <w:trPr>
          <w:trHeight w:val="285"/>
        </w:trPr>
        <w:tc>
          <w:tcPr>
            <w:tcW w:w="66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Short-term investments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154,021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69,948</w:t>
            </w:r>
          </w:p>
        </w:tc>
        <w:tc>
          <w:tcPr>
            <w:tcW w:w="0" w:type="dxa"/>
            <w:vAlign w:val="bottom"/>
          </w:tcPr>
          <w:p>
            <w:pPr>
              <w:spacing w:after="0"/>
              <w:rPr>
                <w:sz w:val="1"/>
                <w:szCs w:val="1"/>
                <w:color w:val="auto"/>
              </w:rPr>
            </w:pPr>
          </w:p>
        </w:tc>
      </w:tr>
      <w:tr>
        <w:trPr>
          <w:trHeight w:val="288"/>
        </w:trPr>
        <w:tc>
          <w:tcPr>
            <w:tcW w:w="66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3,419</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2,738</w:t>
            </w:r>
          </w:p>
        </w:tc>
        <w:tc>
          <w:tcPr>
            <w:tcW w:w="0" w:type="dxa"/>
            <w:vAlign w:val="bottom"/>
          </w:tcPr>
          <w:p>
            <w:pPr>
              <w:spacing w:after="0"/>
              <w:rPr>
                <w:sz w:val="1"/>
                <w:szCs w:val="1"/>
                <w:color w:val="auto"/>
              </w:rPr>
            </w:pPr>
          </w:p>
        </w:tc>
      </w:tr>
      <w:tr>
        <w:trPr>
          <w:trHeight w:val="262"/>
        </w:trPr>
        <w:tc>
          <w:tcPr>
            <w:tcW w:w="66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 current assets</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176,837</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187,209</w:t>
            </w:r>
          </w:p>
        </w:tc>
        <w:tc>
          <w:tcPr>
            <w:tcW w:w="0" w:type="dxa"/>
            <w:vAlign w:val="bottom"/>
          </w:tcPr>
          <w:p>
            <w:pPr>
              <w:spacing w:after="0"/>
              <w:rPr>
                <w:sz w:val="1"/>
                <w:szCs w:val="1"/>
                <w:color w:val="auto"/>
              </w:rPr>
            </w:pPr>
          </w:p>
        </w:tc>
      </w:tr>
      <w:tr>
        <w:trPr>
          <w:trHeight w:val="285"/>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4,267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3,700</w:t>
            </w:r>
          </w:p>
        </w:tc>
        <w:tc>
          <w:tcPr>
            <w:tcW w:w="0" w:type="dxa"/>
            <w:vAlign w:val="bottom"/>
          </w:tcPr>
          <w:p>
            <w:pPr>
              <w:spacing w:after="0"/>
              <w:rPr>
                <w:sz w:val="1"/>
                <w:szCs w:val="1"/>
                <w:color w:val="auto"/>
              </w:rPr>
            </w:pPr>
          </w:p>
        </w:tc>
      </w:tr>
      <w:tr>
        <w:trPr>
          <w:trHeight w:val="285"/>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32,634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28,866</w:t>
            </w:r>
          </w:p>
        </w:tc>
        <w:tc>
          <w:tcPr>
            <w:tcW w:w="0" w:type="dxa"/>
            <w:vAlign w:val="bottom"/>
          </w:tcPr>
          <w:p>
            <w:pPr>
              <w:spacing w:after="0"/>
              <w:rPr>
                <w:sz w:val="1"/>
                <w:szCs w:val="1"/>
                <w:color w:val="auto"/>
              </w:rPr>
            </w:pPr>
          </w:p>
        </w:tc>
      </w:tr>
      <w:tr>
        <w:trPr>
          <w:trHeight w:val="285"/>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Long-term investments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90,647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129,169</w:t>
            </w:r>
          </w:p>
        </w:tc>
        <w:tc>
          <w:tcPr>
            <w:tcW w:w="0" w:type="dxa"/>
            <w:vAlign w:val="bottom"/>
          </w:tcPr>
          <w:p>
            <w:pPr>
              <w:spacing w:after="0"/>
              <w:rPr>
                <w:sz w:val="1"/>
                <w:szCs w:val="1"/>
                <w:color w:val="auto"/>
              </w:rPr>
            </w:pPr>
          </w:p>
        </w:tc>
      </w:tr>
      <w:tr>
        <w:trPr>
          <w:trHeight w:val="288"/>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Other long-term assets</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1,180</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1,108</w:t>
            </w:r>
          </w:p>
        </w:tc>
        <w:tc>
          <w:tcPr>
            <w:tcW w:w="0" w:type="dxa"/>
            <w:vAlign w:val="bottom"/>
          </w:tcPr>
          <w:p>
            <w:pPr>
              <w:spacing w:after="0"/>
              <w:rPr>
                <w:sz w:val="1"/>
                <w:szCs w:val="1"/>
                <w:color w:val="auto"/>
              </w:rPr>
            </w:pPr>
          </w:p>
        </w:tc>
      </w:tr>
      <w:tr>
        <w:trPr>
          <w:trHeight w:val="245"/>
        </w:trPr>
        <w:tc>
          <w:tcPr>
            <w:tcW w:w="66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305,565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350,052</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64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6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1,272</w:t>
            </w:r>
          </w:p>
        </w:tc>
        <w:tc>
          <w:tcPr>
            <w:tcW w:w="0" w:type="dxa"/>
            <w:vAlign w:val="bottom"/>
          </w:tcPr>
          <w:p>
            <w:pPr>
              <w:spacing w:after="0"/>
              <w:rPr>
                <w:sz w:val="1"/>
                <w:szCs w:val="1"/>
                <w:color w:val="auto"/>
              </w:rPr>
            </w:pPr>
          </w:p>
        </w:tc>
      </w:tr>
      <w:tr>
        <w:trPr>
          <w:trHeight w:val="285"/>
        </w:trPr>
        <w:tc>
          <w:tcPr>
            <w:tcW w:w="66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Accrued expenses and other liabilities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3,945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3,528</w:t>
            </w:r>
          </w:p>
        </w:tc>
        <w:tc>
          <w:tcPr>
            <w:tcW w:w="0" w:type="dxa"/>
            <w:vAlign w:val="bottom"/>
          </w:tcPr>
          <w:p>
            <w:pPr>
              <w:spacing w:after="0"/>
              <w:rPr>
                <w:sz w:val="1"/>
                <w:szCs w:val="1"/>
                <w:color w:val="auto"/>
              </w:rPr>
            </w:pPr>
          </w:p>
        </w:tc>
      </w:tr>
      <w:tr>
        <w:trPr>
          <w:trHeight w:val="288"/>
        </w:trPr>
        <w:tc>
          <w:tcPr>
            <w:tcW w:w="66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Current portion of operating lease liability</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3,538</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1,991</w:t>
            </w:r>
          </w:p>
        </w:tc>
        <w:tc>
          <w:tcPr>
            <w:tcW w:w="0" w:type="dxa"/>
            <w:vAlign w:val="bottom"/>
          </w:tcPr>
          <w:p>
            <w:pPr>
              <w:spacing w:after="0"/>
              <w:rPr>
                <w:sz w:val="1"/>
                <w:szCs w:val="1"/>
                <w:color w:val="auto"/>
              </w:rPr>
            </w:pPr>
          </w:p>
        </w:tc>
      </w:tr>
      <w:tr>
        <w:trPr>
          <w:trHeight w:val="262"/>
        </w:trPr>
        <w:tc>
          <w:tcPr>
            <w:tcW w:w="66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 current liabilities</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9,122</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6,791</w:t>
            </w:r>
          </w:p>
        </w:tc>
        <w:tc>
          <w:tcPr>
            <w:tcW w:w="0" w:type="dxa"/>
            <w:vAlign w:val="bottom"/>
          </w:tcPr>
          <w:p>
            <w:pPr>
              <w:spacing w:after="0"/>
              <w:rPr>
                <w:sz w:val="1"/>
                <w:szCs w:val="1"/>
                <w:color w:val="auto"/>
              </w:rPr>
            </w:pPr>
          </w:p>
        </w:tc>
      </w:tr>
      <w:tr>
        <w:trPr>
          <w:trHeight w:val="288"/>
        </w:trPr>
        <w:tc>
          <w:tcPr>
            <w:tcW w:w="66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Operating lease liability, net of current portion</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31,090</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28,337</w:t>
            </w:r>
          </w:p>
        </w:tc>
        <w:tc>
          <w:tcPr>
            <w:tcW w:w="0" w:type="dxa"/>
            <w:vAlign w:val="bottom"/>
          </w:tcPr>
          <w:p>
            <w:pPr>
              <w:spacing w:after="0"/>
              <w:rPr>
                <w:sz w:val="1"/>
                <w:szCs w:val="1"/>
                <w:color w:val="auto"/>
              </w:rPr>
            </w:pPr>
          </w:p>
        </w:tc>
      </w:tr>
      <w:tr>
        <w:trPr>
          <w:trHeight w:val="265"/>
        </w:trPr>
        <w:tc>
          <w:tcPr>
            <w:tcW w:w="66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 liabilities</w:t>
            </w: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40,212</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35,128</w:t>
            </w:r>
          </w:p>
        </w:tc>
        <w:tc>
          <w:tcPr>
            <w:tcW w:w="0" w:type="dxa"/>
            <w:vAlign w:val="bottom"/>
          </w:tcPr>
          <w:p>
            <w:pPr>
              <w:spacing w:after="0"/>
              <w:rPr>
                <w:sz w:val="1"/>
                <w:szCs w:val="1"/>
                <w:color w:val="auto"/>
              </w:rPr>
            </w:pPr>
          </w:p>
        </w:tc>
      </w:tr>
      <w:tr>
        <w:trPr>
          <w:trHeight w:val="547"/>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Commitments and contingencies (Note 8)</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0"/>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664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Preferred stock, $0.0001 par value, 200,000,000 authorized as of December 31,</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640" w:type="dxa"/>
            <w:vAlign w:val="bottom"/>
          </w:tcPr>
          <w:p>
            <w:pPr>
              <w:ind w:left="180"/>
              <w:spacing w:after="0" w:line="200" w:lineRule="exact"/>
              <w:rPr>
                <w:sz w:val="20"/>
                <w:szCs w:val="20"/>
                <w:color w:val="auto"/>
              </w:rPr>
            </w:pPr>
            <w:r>
              <w:rPr>
                <w:rFonts w:ascii="Times New Roman" w:cs="Times New Roman" w:eastAsia="Times New Roman" w:hAnsi="Times New Roman"/>
                <w:sz w:val="20"/>
                <w:szCs w:val="20"/>
                <w:color w:val="auto"/>
              </w:rPr>
              <w:t>2023 and December 31, 2022, respectively; 0 shares issued and outstanding as</w:t>
            </w:r>
          </w:p>
        </w:tc>
        <w:tc>
          <w:tcPr>
            <w:tcW w:w="16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6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of December 31, 2023 and December 31, 2022, respectively</w:t>
            </w:r>
          </w:p>
        </w:tc>
        <w:tc>
          <w:tcPr>
            <w:tcW w:w="16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66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Common stock, $0.0001 par value, 1,000,000,000 shares authorized as of</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640" w:type="dxa"/>
            <w:vAlign w:val="bottom"/>
          </w:tcPr>
          <w:p>
            <w:pPr>
              <w:ind w:left="180"/>
              <w:spacing w:after="0" w:line="200" w:lineRule="exact"/>
              <w:rPr>
                <w:sz w:val="20"/>
                <w:szCs w:val="20"/>
                <w:color w:val="auto"/>
              </w:rPr>
            </w:pPr>
            <w:r>
              <w:rPr>
                <w:rFonts w:ascii="Times New Roman" w:cs="Times New Roman" w:eastAsia="Times New Roman" w:hAnsi="Times New Roman"/>
                <w:sz w:val="20"/>
                <w:szCs w:val="20"/>
                <w:color w:val="auto"/>
              </w:rPr>
              <w:t>December 31, 2023 and 2022, respectively; 125,068,601 and 124,865,485</w:t>
            </w:r>
          </w:p>
        </w:tc>
        <w:tc>
          <w:tcPr>
            <w:tcW w:w="16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260"/>
        </w:trPr>
        <w:tc>
          <w:tcPr>
            <w:tcW w:w="6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shares issued and outstanding as of December 31, 2023 and 2022, respectively</w:t>
            </w:r>
          </w:p>
        </w:tc>
        <w:tc>
          <w:tcPr>
            <w:tcW w:w="16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66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467,834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455,330</w:t>
            </w:r>
          </w:p>
        </w:tc>
        <w:tc>
          <w:tcPr>
            <w:tcW w:w="0" w:type="dxa"/>
            <w:vAlign w:val="bottom"/>
          </w:tcPr>
          <w:p>
            <w:pPr>
              <w:spacing w:after="0"/>
              <w:rPr>
                <w:sz w:val="1"/>
                <w:szCs w:val="1"/>
                <w:color w:val="auto"/>
              </w:rPr>
            </w:pPr>
          </w:p>
        </w:tc>
      </w:tr>
      <w:tr>
        <w:trPr>
          <w:trHeight w:val="285"/>
        </w:trPr>
        <w:tc>
          <w:tcPr>
            <w:tcW w:w="66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Accumulated other comprehensive loss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(1,854)</w:t>
            </w:r>
          </w:p>
        </w:tc>
        <w:tc>
          <w:tcPr>
            <w:tcW w:w="0" w:type="dxa"/>
            <w:vAlign w:val="bottom"/>
          </w:tcPr>
          <w:p>
            <w:pPr>
              <w:spacing w:after="0"/>
              <w:rPr>
                <w:sz w:val="1"/>
                <w:szCs w:val="1"/>
                <w:color w:val="auto"/>
              </w:rPr>
            </w:pPr>
          </w:p>
        </w:tc>
      </w:tr>
      <w:tr>
        <w:trPr>
          <w:trHeight w:val="288"/>
        </w:trPr>
        <w:tc>
          <w:tcPr>
            <w:tcW w:w="66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Accumulated deficit</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(202,239)</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(138,564)</w:t>
            </w:r>
          </w:p>
        </w:tc>
        <w:tc>
          <w:tcPr>
            <w:tcW w:w="0" w:type="dxa"/>
            <w:vAlign w:val="bottom"/>
          </w:tcPr>
          <w:p>
            <w:pPr>
              <w:spacing w:after="0"/>
              <w:rPr>
                <w:sz w:val="1"/>
                <w:szCs w:val="1"/>
                <w:color w:val="auto"/>
              </w:rPr>
            </w:pPr>
          </w:p>
        </w:tc>
      </w:tr>
      <w:tr>
        <w:trPr>
          <w:trHeight w:val="265"/>
        </w:trPr>
        <w:tc>
          <w:tcPr>
            <w:tcW w:w="66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 stockholders’ equity</w:t>
            </w: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265,353</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314,924</w:t>
            </w:r>
          </w:p>
        </w:tc>
        <w:tc>
          <w:tcPr>
            <w:tcW w:w="0" w:type="dxa"/>
            <w:vAlign w:val="bottom"/>
          </w:tcPr>
          <w:p>
            <w:pPr>
              <w:spacing w:after="0"/>
              <w:rPr>
                <w:sz w:val="1"/>
                <w:szCs w:val="1"/>
                <w:color w:val="auto"/>
              </w:rPr>
            </w:pPr>
          </w:p>
        </w:tc>
      </w:tr>
      <w:tr>
        <w:trPr>
          <w:trHeight w:val="245"/>
        </w:trPr>
        <w:tc>
          <w:tcPr>
            <w:tcW w:w="66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 liabilities and stockholders’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305,565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350,052</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-5898515</wp:posOffset>
            </wp:positionV>
            <wp:extent cx="5969000" cy="59055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9">
                      <a:extLst>
                        <a:ext uri="{28A0092B-C50C-407E-A947-70E740481C1C}"/>
                      </a:extLst>
                    </a:blip>
                    <a:srcRect/>
                    <a:stretch>
                      <a:fillRect/>
                    </a:stretch>
                  </pic:blipFill>
                  <pic:spPr bwMode="auto">
                    <a:xfrm>
                      <a:off x="0" y="0"/>
                      <a:ext cx="5969000" cy="590550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9360"/>
          </w:cols>
          <w:pgMar w:left="1440" w:top="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2240" w:h="15840" w:orient="portrait"/>
          <w:cols w:equalWidth="0" w:num="1">
            <w:col w:w="9360"/>
          </w:cols>
          <w:pgMar w:left="1440" w:top="251" w:right="1440" w:bottom="0" w:gutter="0" w:footer="0" w:header="0"/>
          <w:type w:val="continuous"/>
        </w:sectPr>
      </w:pPr>
    </w:p>
    <w:bookmarkStart w:id="92" w:name="page93"/>
    <w:bookmarkEnd w:id="92"/>
    <w:p>
      <w:pPr>
        <w:ind w:left="60"/>
        <w:spacing w:after="0"/>
        <w:rPr>
          <w:sz w:val="20"/>
          <w:szCs w:val="20"/>
          <w:color w:val="auto"/>
        </w:rPr>
      </w:pPr>
      <w:r>
        <w:rPr>
          <w:rFonts w:ascii="Times New Roman" w:cs="Times New Roman" w:eastAsia="Times New Roman" w:hAnsi="Times New Roman"/>
          <w:sz w:val="24"/>
          <w:szCs w:val="24"/>
          <w:b w:val="1"/>
          <w:bCs w:val="1"/>
          <w:color w:val="auto"/>
        </w:rPr>
        <w:t>Nautilus Biotechnology, Inc.</w:t>
      </w:r>
    </w:p>
    <w:p>
      <w:pPr>
        <w:spacing w:after="0" w:line="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4"/>
          <w:szCs w:val="24"/>
          <w:b w:val="1"/>
          <w:bCs w:val="1"/>
          <w:color w:val="auto"/>
        </w:rPr>
        <w:t>Consolidated Statements of Operations</w:t>
      </w:r>
    </w:p>
    <w:p>
      <w:pPr>
        <w:spacing w:after="0" w:line="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4"/>
          <w:szCs w:val="24"/>
          <w:b w:val="1"/>
          <w:bCs w:val="1"/>
          <w:color w:val="auto"/>
        </w:rPr>
        <w:t>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7620</wp:posOffset>
            </wp:positionV>
            <wp:extent cx="5969000" cy="26701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0">
                      <a:extLst>
                        <a:ext uri="{28A0092B-C50C-407E-A947-70E740481C1C}"/>
                      </a:extLst>
                    </a:blip>
                    <a:srcRect/>
                    <a:stretch>
                      <a:fillRect/>
                    </a:stretch>
                  </pic:blipFill>
                  <pic:spPr bwMode="auto">
                    <a:xfrm>
                      <a:off x="0" y="0"/>
                      <a:ext cx="5969000" cy="2670175"/>
                    </a:xfrm>
                    <a:prstGeom prst="rect">
                      <a:avLst/>
                    </a:prstGeom>
                    <a:noFill/>
                  </pic:spPr>
                </pic:pic>
              </a:graphicData>
            </a:graphic>
          </wp:anchor>
        </w:drawing>
      </w:r>
    </w:p>
    <w:p>
      <w:pPr>
        <w:spacing w:after="0" w:line="273"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105"/>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85"/>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0" w:type="dxa"/>
            <w:vAlign w:val="bottom"/>
          </w:tcPr>
          <w:p>
            <w:pPr>
              <w:spacing w:after="0"/>
              <w:rPr>
                <w:sz w:val="1"/>
                <w:szCs w:val="1"/>
                <w:color w:val="auto"/>
              </w:rPr>
            </w:pPr>
          </w:p>
        </w:tc>
      </w:tr>
      <w:tr>
        <w:trPr>
          <w:trHeight w:val="160"/>
        </w:trPr>
        <w:tc>
          <w:tcPr>
            <w:tcW w:w="66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share and per share amounts)</w:t>
            </w:r>
          </w:p>
        </w:tc>
        <w:tc>
          <w:tcPr>
            <w:tcW w:w="180" w:type="dxa"/>
            <w:vAlign w:val="bottom"/>
          </w:tcPr>
          <w:p>
            <w:pPr>
              <w:spacing w:after="0"/>
              <w:rPr>
                <w:sz w:val="13"/>
                <w:szCs w:val="13"/>
                <w:color w:val="auto"/>
              </w:rPr>
            </w:pPr>
          </w:p>
        </w:tc>
        <w:tc>
          <w:tcPr>
            <w:tcW w:w="1140" w:type="dxa"/>
            <w:vAlign w:val="bottom"/>
          </w:tcPr>
          <w:p>
            <w:pPr>
              <w:jc w:val="center"/>
              <w:ind w:right="85"/>
              <w:spacing w:after="0" w:line="160"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center"/>
              <w:ind w:right="85"/>
              <w:spacing w:after="0" w:line="160"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664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85"/>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0" w:type="dxa"/>
            <w:vAlign w:val="bottom"/>
          </w:tcPr>
          <w:p>
            <w:pPr>
              <w:spacing w:after="0"/>
              <w:rPr>
                <w:sz w:val="1"/>
                <w:szCs w:val="1"/>
                <w:color w:val="auto"/>
              </w:rPr>
            </w:pPr>
          </w:p>
        </w:tc>
      </w:tr>
      <w:tr>
        <w:trPr>
          <w:trHeight w:val="262"/>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6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Research and development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47,251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37,672</w:t>
            </w:r>
          </w:p>
        </w:tc>
        <w:tc>
          <w:tcPr>
            <w:tcW w:w="0" w:type="dxa"/>
            <w:vAlign w:val="bottom"/>
          </w:tcPr>
          <w:p>
            <w:pPr>
              <w:spacing w:after="0"/>
              <w:rPr>
                <w:sz w:val="1"/>
                <w:szCs w:val="1"/>
                <w:color w:val="auto"/>
              </w:rPr>
            </w:pPr>
          </w:p>
        </w:tc>
      </w:tr>
      <w:tr>
        <w:trPr>
          <w:trHeight w:val="288"/>
        </w:trPr>
        <w:tc>
          <w:tcPr>
            <w:tcW w:w="6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28,901</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25,946</w:t>
            </w:r>
          </w:p>
        </w:tc>
        <w:tc>
          <w:tcPr>
            <w:tcW w:w="0" w:type="dxa"/>
            <w:vAlign w:val="bottom"/>
          </w:tcPr>
          <w:p>
            <w:pPr>
              <w:spacing w:after="0"/>
              <w:rPr>
                <w:sz w:val="1"/>
                <w:szCs w:val="1"/>
                <w:color w:val="auto"/>
              </w:rPr>
            </w:pPr>
          </w:p>
        </w:tc>
      </w:tr>
      <w:tr>
        <w:trPr>
          <w:trHeight w:val="262"/>
        </w:trPr>
        <w:tc>
          <w:tcPr>
            <w:tcW w:w="66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Total operating expenses</w:t>
            </w:r>
          </w:p>
        </w:tc>
        <w:tc>
          <w:tcPr>
            <w:tcW w:w="180" w:type="dxa"/>
            <w:vAlign w:val="bottom"/>
          </w:tcPr>
          <w:p>
            <w:pPr>
              <w:spacing w:after="0"/>
              <w:rPr>
                <w:sz w:val="22"/>
                <w:szCs w:val="22"/>
                <w:color w:val="auto"/>
              </w:rPr>
            </w:pP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76,152</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63,618</w:t>
            </w:r>
          </w:p>
        </w:tc>
        <w:tc>
          <w:tcPr>
            <w:tcW w:w="0" w:type="dxa"/>
            <w:vAlign w:val="bottom"/>
          </w:tcPr>
          <w:p>
            <w:pPr>
              <w:spacing w:after="0"/>
              <w:rPr>
                <w:sz w:val="1"/>
                <w:szCs w:val="1"/>
                <w:color w:val="auto"/>
              </w:rPr>
            </w:pPr>
          </w:p>
        </w:tc>
      </w:tr>
      <w:tr>
        <w:trPr>
          <w:trHeight w:val="285"/>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(expense):</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Interest income</w:t>
            </w:r>
          </w:p>
        </w:tc>
        <w:tc>
          <w:tcPr>
            <w:tcW w:w="180" w:type="dxa"/>
            <w:vAlign w:val="bottom"/>
          </w:tcPr>
          <w:p>
            <w:pPr>
              <w:spacing w:after="0"/>
              <w:rPr>
                <w:sz w:val="24"/>
                <w:szCs w:val="24"/>
                <w:color w:val="auto"/>
              </w:rPr>
            </w:pP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12,550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5,816</w:t>
            </w:r>
          </w:p>
        </w:tc>
        <w:tc>
          <w:tcPr>
            <w:tcW w:w="0" w:type="dxa"/>
            <w:vAlign w:val="bottom"/>
          </w:tcPr>
          <w:p>
            <w:pPr>
              <w:spacing w:after="0"/>
              <w:rPr>
                <w:sz w:val="1"/>
                <w:szCs w:val="1"/>
                <w:color w:val="auto"/>
              </w:rPr>
            </w:pPr>
          </w:p>
        </w:tc>
      </w:tr>
      <w:tr>
        <w:trPr>
          <w:trHeight w:val="288"/>
        </w:trPr>
        <w:tc>
          <w:tcPr>
            <w:tcW w:w="6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Other expense</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0" w:type="dxa"/>
            <w:vAlign w:val="bottom"/>
          </w:tcPr>
          <w:p>
            <w:pPr>
              <w:spacing w:after="0"/>
              <w:rPr>
                <w:sz w:val="1"/>
                <w:szCs w:val="1"/>
                <w:color w:val="auto"/>
              </w:rPr>
            </w:pPr>
          </w:p>
        </w:tc>
      </w:tr>
      <w:tr>
        <w:trPr>
          <w:trHeight w:val="265"/>
        </w:trPr>
        <w:tc>
          <w:tcPr>
            <w:tcW w:w="66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Total other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12,477</w:t>
            </w:r>
          </w:p>
        </w:tc>
        <w:tc>
          <w:tcPr>
            <w:tcW w:w="6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5,694</w:t>
            </w:r>
          </w:p>
        </w:tc>
        <w:tc>
          <w:tcPr>
            <w:tcW w:w="0" w:type="dxa"/>
            <w:vAlign w:val="bottom"/>
          </w:tcPr>
          <w:p>
            <w:pPr>
              <w:spacing w:after="0"/>
              <w:rPr>
                <w:sz w:val="1"/>
                <w:szCs w:val="1"/>
                <w:color w:val="auto"/>
              </w:rPr>
            </w:pPr>
          </w:p>
        </w:tc>
      </w:tr>
      <w:tr>
        <w:trPr>
          <w:trHeight w:val="245"/>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(63,675)</w:t>
            </w:r>
          </w:p>
        </w:tc>
        <w:tc>
          <w:tcPr>
            <w:tcW w:w="6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(57,924)</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loss per share attributable to common stockholders, basic and diluted</w:t>
            </w: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640" w:type="dxa"/>
            <w:vAlign w:val="bottom"/>
            <w:vMerge w:val="continue"/>
          </w:tcPr>
          <w:p>
            <w:pPr>
              <w:spacing w:after="0"/>
              <w:rPr>
                <w:sz w:val="19"/>
                <w:szCs w:val="19"/>
                <w:color w:val="auto"/>
              </w:rPr>
            </w:pPr>
          </w:p>
        </w:tc>
        <w:tc>
          <w:tcPr>
            <w:tcW w:w="18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(0.51)</w:t>
            </w: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(0.46)</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line="202" w:lineRule="exact"/>
              <w:rPr>
                <w:sz w:val="20"/>
                <w:szCs w:val="20"/>
                <w:color w:val="auto"/>
              </w:rPr>
            </w:pPr>
            <w:r>
              <w:rPr>
                <w:rFonts w:ascii="Times New Roman" w:cs="Times New Roman" w:eastAsia="Times New Roman" w:hAnsi="Times New Roman"/>
                <w:sz w:val="20"/>
                <w:szCs w:val="20"/>
                <w:color w:val="auto"/>
              </w:rPr>
              <w:t>Weighted-average shares used in computing net loss per share attributable to</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6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ind w:right="5"/>
              <w:spacing w:after="0"/>
              <w:rPr>
                <w:sz w:val="20"/>
                <w:szCs w:val="20"/>
                <w:color w:val="auto"/>
              </w:rPr>
            </w:pPr>
            <w:r>
              <w:rPr>
                <w:rFonts w:ascii="Times New Roman" w:cs="Times New Roman" w:eastAsia="Times New Roman" w:hAnsi="Times New Roman"/>
                <w:sz w:val="20"/>
                <w:szCs w:val="20"/>
                <w:color w:val="auto"/>
              </w:rPr>
              <w:t>124,919,144</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124,589,555</w:t>
            </w:r>
          </w:p>
        </w:tc>
        <w:tc>
          <w:tcPr>
            <w:tcW w:w="0" w:type="dxa"/>
            <w:vAlign w:val="bottom"/>
          </w:tcPr>
          <w:p>
            <w:pPr>
              <w:spacing w:after="0"/>
              <w:rPr>
                <w:sz w:val="1"/>
                <w:szCs w:val="1"/>
                <w:color w:val="auto"/>
              </w:rPr>
            </w:pPr>
          </w:p>
        </w:tc>
      </w:tr>
      <w:tr>
        <w:trPr>
          <w:trHeight w:val="243"/>
        </w:trPr>
        <w:tc>
          <w:tcPr>
            <w:tcW w:w="6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common stockholders, basic and diluted</w:t>
            </w: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9360"/>
          </w:cols>
          <w:pgMar w:left="1440" w:top="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2240" w:h="15840" w:orient="portrait"/>
          <w:cols w:equalWidth="0" w:num="1">
            <w:col w:w="9360"/>
          </w:cols>
          <w:pgMar w:left="1440" w:top="251" w:right="1440" w:bottom="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24"/>
          <w:szCs w:val="24"/>
          <w:b w:val="1"/>
          <w:bCs w:val="1"/>
          <w:color w:val="auto"/>
        </w:rPr>
        <w:t>Nautilus Biotechnology, Inc.</w:t>
      </w:r>
    </w:p>
    <w:p>
      <w:pPr>
        <w:spacing w:after="0" w:line="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4"/>
          <w:szCs w:val="24"/>
          <w:b w:val="1"/>
          <w:bCs w:val="1"/>
          <w:color w:val="auto"/>
        </w:rPr>
        <w:t>Consolidated Statements of Comprehensive Loss</w:t>
      </w:r>
    </w:p>
    <w:p>
      <w:pPr>
        <w:spacing w:after="0" w:line="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4"/>
          <w:szCs w:val="24"/>
          <w:b w:val="1"/>
          <w:bCs w:val="1"/>
          <w:color w:val="auto"/>
        </w:rPr>
        <w:t>Years Ended December 31, 2023 and 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13335</wp:posOffset>
                </wp:positionV>
                <wp:extent cx="594360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5pt" to="468pt,1.05pt" o:allowincell="f" strokecolor="#000000" strokeweight="1pt"/>
            </w:pict>
          </mc:Fallback>
        </mc:AlternateContent>
      </w:r>
    </w:p>
    <w:p>
      <w:pPr>
        <w:spacing w:after="0" w:line="273"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109"/>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89"/>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0" w:type="dxa"/>
            <w:vAlign w:val="bottom"/>
          </w:tcPr>
          <w:p>
            <w:pPr>
              <w:spacing w:after="0"/>
              <w:rPr>
                <w:sz w:val="1"/>
                <w:szCs w:val="1"/>
                <w:color w:val="auto"/>
              </w:rPr>
            </w:pPr>
          </w:p>
        </w:tc>
      </w:tr>
      <w:tr>
        <w:trPr>
          <w:trHeight w:val="160"/>
        </w:trPr>
        <w:tc>
          <w:tcPr>
            <w:tcW w:w="66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80" w:type="dxa"/>
            <w:vAlign w:val="bottom"/>
          </w:tcPr>
          <w:p>
            <w:pPr>
              <w:spacing w:after="0"/>
              <w:rPr>
                <w:sz w:val="13"/>
                <w:szCs w:val="13"/>
                <w:color w:val="auto"/>
              </w:rPr>
            </w:pPr>
          </w:p>
        </w:tc>
        <w:tc>
          <w:tcPr>
            <w:tcW w:w="1140" w:type="dxa"/>
            <w:vAlign w:val="bottom"/>
          </w:tcPr>
          <w:p>
            <w:pPr>
              <w:jc w:val="center"/>
              <w:ind w:right="89"/>
              <w:spacing w:after="0" w:line="160"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center"/>
              <w:ind w:right="89"/>
              <w:spacing w:after="0" w:line="160"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664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0" w:type="dxa"/>
            <w:vAlign w:val="bottom"/>
          </w:tcPr>
          <w:p>
            <w:pPr>
              <w:spacing w:after="0"/>
              <w:rPr>
                <w:sz w:val="1"/>
                <w:szCs w:val="1"/>
                <w:color w:val="auto"/>
              </w:rPr>
            </w:pPr>
          </w:p>
        </w:tc>
      </w:tr>
      <w:tr>
        <w:trPr>
          <w:trHeight w:val="262"/>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(63,675)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(57,924)</w:t>
            </w:r>
          </w:p>
        </w:tc>
        <w:tc>
          <w:tcPr>
            <w:tcW w:w="0" w:type="dxa"/>
            <w:vAlign w:val="bottom"/>
          </w:tcPr>
          <w:p>
            <w:pPr>
              <w:spacing w:after="0"/>
              <w:rPr>
                <w:sz w:val="1"/>
                <w:szCs w:val="1"/>
                <w:color w:val="auto"/>
              </w:rPr>
            </w:pPr>
          </w:p>
        </w:tc>
      </w:tr>
      <w:tr>
        <w:trPr>
          <w:trHeight w:val="285"/>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income (loss):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6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Unrealized gain (loss) on securities available-for-sale</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20"/>
                <w:szCs w:val="20"/>
                <w:color w:val="auto"/>
              </w:rPr>
              <w:t>1,599</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(1,670)</w:t>
            </w:r>
          </w:p>
        </w:tc>
        <w:tc>
          <w:tcPr>
            <w:tcW w:w="0" w:type="dxa"/>
            <w:vAlign w:val="bottom"/>
          </w:tcPr>
          <w:p>
            <w:pPr>
              <w:spacing w:after="0"/>
              <w:rPr>
                <w:sz w:val="1"/>
                <w:szCs w:val="1"/>
                <w:color w:val="auto"/>
              </w:rPr>
            </w:pPr>
          </w:p>
        </w:tc>
      </w:tr>
      <w:tr>
        <w:trPr>
          <w:trHeight w:val="265"/>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Total other comprehensive income (loss)</w:t>
            </w: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20"/>
                <w:szCs w:val="20"/>
                <w:color w:val="auto"/>
              </w:rPr>
              <w:t>1,599</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(1,670)</w:t>
            </w:r>
          </w:p>
        </w:tc>
        <w:tc>
          <w:tcPr>
            <w:tcW w:w="0" w:type="dxa"/>
            <w:vAlign w:val="bottom"/>
          </w:tcPr>
          <w:p>
            <w:pPr>
              <w:spacing w:after="0"/>
              <w:rPr>
                <w:sz w:val="1"/>
                <w:szCs w:val="1"/>
                <w:color w:val="auto"/>
              </w:rPr>
            </w:pPr>
          </w:p>
        </w:tc>
      </w:tr>
      <w:tr>
        <w:trPr>
          <w:trHeight w:val="245"/>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Comprehensive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(62,076)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(59,594)</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-935990</wp:posOffset>
            </wp:positionV>
            <wp:extent cx="5969000" cy="9429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1">
                      <a:extLst>
                        <a:ext uri="{28A0092B-C50C-407E-A947-70E740481C1C}"/>
                      </a:extLst>
                    </a:blip>
                    <a:srcRect/>
                    <a:stretch>
                      <a:fillRect/>
                    </a:stretch>
                  </pic:blipFill>
                  <pic:spPr bwMode="auto">
                    <a:xfrm>
                      <a:off x="0" y="0"/>
                      <a:ext cx="5969000" cy="94297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9360"/>
          </w:cols>
          <w:pgMar w:left="1440" w:top="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2240" w:h="15840" w:orient="portrait"/>
          <w:cols w:equalWidth="0" w:num="1">
            <w:col w:w="9360"/>
          </w:cols>
          <w:pgMar w:left="1440" w:top="251" w:right="1440" w:bottom="0" w:gutter="0" w:footer="0" w:header="0"/>
          <w:type w:val="continuous"/>
        </w:sectPr>
      </w:pPr>
    </w:p>
    <w:bookmarkStart w:id="94" w:name="page95"/>
    <w:bookmarkEnd w:id="94"/>
    <w:p>
      <w:pPr>
        <w:ind w:left="1209"/>
        <w:spacing w:after="0"/>
        <w:rPr>
          <w:sz w:val="20"/>
          <w:szCs w:val="20"/>
          <w:color w:val="auto"/>
        </w:rPr>
      </w:pPr>
      <w:r>
        <w:rPr>
          <w:rFonts w:ascii="Times New Roman" w:cs="Times New Roman" w:eastAsia="Times New Roman" w:hAnsi="Times New Roman"/>
          <w:sz w:val="24"/>
          <w:szCs w:val="24"/>
          <w:b w:val="1"/>
          <w:bCs w:val="1"/>
          <w:color w:val="auto"/>
        </w:rPr>
        <w:t>Nautilus Biotechnology, Inc.</w:t>
      </w:r>
    </w:p>
    <w:p>
      <w:pPr>
        <w:spacing w:after="0" w:line="42" w:lineRule="exact"/>
        <w:rPr>
          <w:sz w:val="20"/>
          <w:szCs w:val="20"/>
          <w:color w:val="auto"/>
        </w:rPr>
      </w:pPr>
    </w:p>
    <w:p>
      <w:pPr>
        <w:ind w:left="1209"/>
        <w:spacing w:after="0"/>
        <w:rPr>
          <w:sz w:val="20"/>
          <w:szCs w:val="20"/>
          <w:color w:val="auto"/>
        </w:rPr>
      </w:pPr>
      <w:r>
        <w:rPr>
          <w:rFonts w:ascii="Times New Roman" w:cs="Times New Roman" w:eastAsia="Times New Roman" w:hAnsi="Times New Roman"/>
          <w:sz w:val="24"/>
          <w:szCs w:val="24"/>
          <w:b w:val="1"/>
          <w:bCs w:val="1"/>
          <w:color w:val="auto"/>
        </w:rPr>
        <w:t>Consolidated Statements of Stockholders’ Equity</w:t>
      </w:r>
    </w:p>
    <w:p>
      <w:pPr>
        <w:spacing w:after="0" w:line="12" w:lineRule="exact"/>
        <w:rPr>
          <w:sz w:val="20"/>
          <w:szCs w:val="20"/>
          <w:color w:val="auto"/>
        </w:rPr>
      </w:pPr>
    </w:p>
    <w:p>
      <w:pPr>
        <w:ind w:left="1209"/>
        <w:spacing w:after="0"/>
        <w:rPr>
          <w:sz w:val="20"/>
          <w:szCs w:val="20"/>
          <w:color w:val="auto"/>
        </w:rPr>
      </w:pPr>
      <w:r>
        <w:rPr>
          <w:rFonts w:ascii="Times New Roman" w:cs="Times New Roman" w:eastAsia="Times New Roman" w:hAnsi="Times New Roman"/>
          <w:sz w:val="24"/>
          <w:szCs w:val="24"/>
          <w:b w:val="1"/>
          <w:bCs w:val="1"/>
          <w:color w:val="auto"/>
        </w:rPr>
        <w:t>Years Ended December 31, 2023 and 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729615</wp:posOffset>
                </wp:positionH>
                <wp:positionV relativeFrom="paragraph">
                  <wp:posOffset>38735</wp:posOffset>
                </wp:positionV>
                <wp:extent cx="822960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296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45pt,3.05pt" to="705.45pt,3.0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729615</wp:posOffset>
                </wp:positionH>
                <wp:positionV relativeFrom="paragraph">
                  <wp:posOffset>38735</wp:posOffset>
                </wp:positionV>
                <wp:extent cx="822960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29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45pt,3.05pt" to="705.45pt,3.05pt" o:allowincell="f" strokecolor="#000000" strokeweight="1pt"/>
            </w:pict>
          </mc:Fallback>
        </mc:AlternateContent>
      </w:r>
    </w:p>
    <w:p>
      <w:pPr>
        <w:spacing w:after="0" w:line="200" w:lineRule="exact"/>
        <w:rPr>
          <w:sz w:val="20"/>
          <w:szCs w:val="20"/>
          <w:color w:val="auto"/>
        </w:rPr>
      </w:pPr>
    </w:p>
    <w:p>
      <w:pPr>
        <w:spacing w:after="0" w:line="307" w:lineRule="exact"/>
        <w:rPr>
          <w:sz w:val="20"/>
          <w:szCs w:val="20"/>
          <w:color w:val="auto"/>
        </w:rPr>
      </w:pPr>
    </w:p>
    <w:tbl>
      <w:tblPr>
        <w:tblLayout w:type="fixed"/>
        <w:tblInd w:w="1209" w:type="dxa"/>
        <w:tblCellMar>
          <w:top w:w="0" w:type="dxa"/>
          <w:left w:w="0" w:type="dxa"/>
          <w:bottom w:w="0" w:type="dxa"/>
          <w:right w:w="0" w:type="dxa"/>
        </w:tblCellMar>
      </w:tblPr>
      <w:tr>
        <w:trPr>
          <w:trHeight w:val="191"/>
        </w:trPr>
        <w:tc>
          <w:tcPr>
            <w:tcW w:w="5400" w:type="dxa"/>
            <w:vAlign w:val="bottom"/>
          </w:tcPr>
          <w:p>
            <w:pPr>
              <w:spacing w:after="0"/>
              <w:rPr>
                <w:sz w:val="16"/>
                <w:szCs w:val="16"/>
                <w:color w:val="auto"/>
              </w:rPr>
            </w:pPr>
          </w:p>
        </w:tc>
        <w:tc>
          <w:tcPr>
            <w:tcW w:w="2160" w:type="dxa"/>
            <w:vAlign w:val="bottom"/>
            <w:gridSpan w:val="3"/>
            <w:vMerge w:val="restart"/>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restart"/>
          </w:tcPr>
          <w:p>
            <w:pPr>
              <w:jc w:val="center"/>
              <w:ind w:right="163"/>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40"/>
        </w:trPr>
        <w:tc>
          <w:tcPr>
            <w:tcW w:w="5400" w:type="dxa"/>
            <w:vAlign w:val="bottom"/>
          </w:tcPr>
          <w:p>
            <w:pPr>
              <w:spacing w:after="0"/>
              <w:rPr>
                <w:sz w:val="12"/>
                <w:szCs w:val="12"/>
                <w:color w:val="auto"/>
              </w:rPr>
            </w:pPr>
          </w:p>
        </w:tc>
        <w:tc>
          <w:tcPr>
            <w:tcW w:w="2160" w:type="dxa"/>
            <w:vAlign w:val="bottom"/>
            <w:tcBorders>
              <w:bottom w:val="single" w:sz="8" w:color="auto"/>
            </w:tcBorders>
            <w:gridSpan w:val="3"/>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center"/>
              <w:ind w:right="181"/>
              <w:spacing w:after="0" w:line="140"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4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share amounts)</w:t>
            </w:r>
          </w:p>
        </w:tc>
        <w:tc>
          <w:tcPr>
            <w:tcW w:w="1200" w:type="dxa"/>
            <w:vAlign w:val="bottom"/>
            <w:vMerge w:val="restart"/>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ind w:right="141"/>
              <w:spacing w:after="0" w:line="160"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60" w:type="dxa"/>
            <w:vAlign w:val="bottom"/>
          </w:tcPr>
          <w:p>
            <w:pPr>
              <w:spacing w:after="0"/>
              <w:rPr>
                <w:sz w:val="13"/>
                <w:szCs w:val="13"/>
                <w:color w:val="auto"/>
              </w:rPr>
            </w:pPr>
          </w:p>
        </w:tc>
        <w:tc>
          <w:tcPr>
            <w:tcW w:w="120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60" w:type="dxa"/>
            <w:vAlign w:val="bottom"/>
          </w:tcPr>
          <w:p>
            <w:pPr>
              <w:spacing w:after="0"/>
              <w:rPr>
                <w:sz w:val="13"/>
                <w:szCs w:val="13"/>
                <w:color w:val="auto"/>
              </w:rPr>
            </w:pPr>
          </w:p>
        </w:tc>
        <w:tc>
          <w:tcPr>
            <w:tcW w:w="1200" w:type="dxa"/>
            <w:vAlign w:val="bottom"/>
            <w:gridSpan w:val="2"/>
          </w:tcPr>
          <w:p>
            <w:pPr>
              <w:jc w:val="right"/>
              <w:ind w:right="41"/>
              <w:spacing w:after="0" w:line="160"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60" w:type="dxa"/>
            <w:vAlign w:val="bottom"/>
          </w:tcPr>
          <w:p>
            <w:pPr>
              <w:spacing w:after="0"/>
              <w:rPr>
                <w:sz w:val="13"/>
                <w:szCs w:val="13"/>
                <w:color w:val="auto"/>
              </w:rPr>
            </w:pPr>
          </w:p>
        </w:tc>
        <w:tc>
          <w:tcPr>
            <w:tcW w:w="12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5400" w:type="dxa"/>
            <w:vAlign w:val="bottom"/>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60" w:type="dxa"/>
            <w:vAlign w:val="bottom"/>
          </w:tcPr>
          <w:p>
            <w:pPr>
              <w:spacing w:after="0"/>
              <w:rPr>
                <w:sz w:val="18"/>
                <w:szCs w:val="18"/>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63"/>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49"/>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Balances at December 31, 2021</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124,303,083</w:t>
            </w:r>
          </w:p>
        </w:tc>
        <w:tc>
          <w:tcPr>
            <w:tcW w:w="60" w:type="dxa"/>
            <w:vAlign w:val="bottom"/>
          </w:tcPr>
          <w:p>
            <w:pPr>
              <w:spacing w:after="0"/>
              <w:rPr>
                <w:sz w:val="21"/>
                <w:szCs w:val="21"/>
                <w:color w:val="auto"/>
              </w:rPr>
            </w:pPr>
          </w:p>
        </w:tc>
        <w:tc>
          <w:tcPr>
            <w:tcW w:w="900" w:type="dxa"/>
            <w:vAlign w:val="bottom"/>
          </w:tcPr>
          <w:p>
            <w:pPr>
              <w:jc w:val="right"/>
              <w:ind w:right="65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12</w:t>
            </w:r>
          </w:p>
        </w:tc>
        <w:tc>
          <w:tcPr>
            <w:tcW w:w="60" w:type="dxa"/>
            <w:vAlign w:val="bottom"/>
          </w:tcPr>
          <w:p>
            <w:pPr>
              <w:spacing w:after="0"/>
              <w:rPr>
                <w:sz w:val="21"/>
                <w:szCs w:val="21"/>
                <w:color w:val="auto"/>
              </w:rPr>
            </w:pPr>
          </w:p>
        </w:tc>
        <w:tc>
          <w:tcPr>
            <w:tcW w:w="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444,388</w:t>
            </w:r>
          </w:p>
        </w:tc>
        <w:tc>
          <w:tcPr>
            <w:tcW w:w="60" w:type="dxa"/>
            <w:vAlign w:val="bottom"/>
          </w:tcPr>
          <w:p>
            <w:pPr>
              <w:spacing w:after="0"/>
              <w:rPr>
                <w:sz w:val="21"/>
                <w:szCs w:val="21"/>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w:t>
            </w:r>
          </w:p>
        </w:tc>
        <w:tc>
          <w:tcPr>
            <w:tcW w:w="60" w:type="dxa"/>
            <w:vAlign w:val="bottom"/>
          </w:tcPr>
          <w:p>
            <w:pPr>
              <w:spacing w:after="0"/>
              <w:rPr>
                <w:sz w:val="21"/>
                <w:szCs w:val="21"/>
                <w:color w:val="auto"/>
              </w:rPr>
            </w:pPr>
          </w:p>
        </w:tc>
        <w:tc>
          <w:tcPr>
            <w:tcW w:w="2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(80,640)</w:t>
            </w:r>
          </w:p>
        </w:tc>
        <w:tc>
          <w:tcPr>
            <w:tcW w:w="60" w:type="dxa"/>
            <w:vAlign w:val="bottom"/>
          </w:tcPr>
          <w:p>
            <w:pPr>
              <w:spacing w:after="0"/>
              <w:rPr>
                <w:sz w:val="21"/>
                <w:szCs w:val="21"/>
                <w:color w:val="auto"/>
              </w:rPr>
            </w:pPr>
          </w:p>
        </w:tc>
        <w:tc>
          <w:tcPr>
            <w:tcW w:w="2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363,576</w:t>
            </w:r>
          </w:p>
        </w:tc>
        <w:tc>
          <w:tcPr>
            <w:tcW w:w="0" w:type="dxa"/>
            <w:vAlign w:val="bottom"/>
          </w:tcPr>
          <w:p>
            <w:pPr>
              <w:spacing w:after="0"/>
              <w:rPr>
                <w:sz w:val="1"/>
                <w:szCs w:val="1"/>
                <w:color w:val="auto"/>
              </w:rPr>
            </w:pPr>
          </w:p>
        </w:tc>
      </w:tr>
      <w:tr>
        <w:trPr>
          <w:trHeight w:val="260"/>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Issuance of common stock upon exercise of vested stock options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463,207</w:t>
            </w: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w:t>
            </w:r>
          </w:p>
        </w:tc>
        <w:tc>
          <w:tcPr>
            <w:tcW w:w="0" w:type="dxa"/>
            <w:vAlign w:val="bottom"/>
          </w:tcPr>
          <w:p>
            <w:pPr>
              <w:spacing w:after="0"/>
              <w:rPr>
                <w:sz w:val="1"/>
                <w:szCs w:val="1"/>
                <w:color w:val="auto"/>
              </w:rPr>
            </w:pPr>
          </w:p>
        </w:tc>
      </w:tr>
      <w:tr>
        <w:trPr>
          <w:trHeight w:val="285"/>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Issuance of common stock under employee stock purchase plan</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99,195</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w:t>
            </w:r>
          </w:p>
        </w:tc>
        <w:tc>
          <w:tcPr>
            <w:tcW w:w="0" w:type="dxa"/>
            <w:vAlign w:val="bottom"/>
          </w:tcPr>
          <w:p>
            <w:pPr>
              <w:spacing w:after="0"/>
              <w:rPr>
                <w:sz w:val="1"/>
                <w:szCs w:val="1"/>
                <w:color w:val="auto"/>
              </w:rPr>
            </w:pPr>
          </w:p>
        </w:tc>
      </w:tr>
      <w:tr>
        <w:trPr>
          <w:trHeight w:val="285"/>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10,380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10,380</w:t>
            </w:r>
          </w:p>
        </w:tc>
        <w:tc>
          <w:tcPr>
            <w:tcW w:w="0" w:type="dxa"/>
            <w:vAlign w:val="bottom"/>
          </w:tcPr>
          <w:p>
            <w:pPr>
              <w:spacing w:after="0"/>
              <w:rPr>
                <w:sz w:val="1"/>
                <w:szCs w:val="1"/>
                <w:color w:val="auto"/>
              </w:rPr>
            </w:pPr>
          </w:p>
        </w:tc>
      </w:tr>
      <w:tr>
        <w:trPr>
          <w:trHeight w:val="285"/>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loss</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(1,670)</w:t>
            </w:r>
          </w:p>
        </w:tc>
        <w:tc>
          <w:tcPr>
            <w:tcW w:w="0" w:type="dxa"/>
            <w:vAlign w:val="bottom"/>
          </w:tcPr>
          <w:p>
            <w:pPr>
              <w:spacing w:after="0"/>
              <w:rPr>
                <w:sz w:val="1"/>
                <w:szCs w:val="1"/>
                <w:color w:val="auto"/>
              </w:rPr>
            </w:pPr>
          </w:p>
        </w:tc>
      </w:tr>
      <w:tr>
        <w:trPr>
          <w:trHeight w:val="285"/>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(57,924)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(57,924)</w:t>
            </w:r>
          </w:p>
        </w:tc>
        <w:tc>
          <w:tcPr>
            <w:tcW w:w="0" w:type="dxa"/>
            <w:vAlign w:val="bottom"/>
          </w:tcPr>
          <w:p>
            <w:pPr>
              <w:spacing w:after="0"/>
              <w:rPr>
                <w:sz w:val="1"/>
                <w:szCs w:val="1"/>
                <w:color w:val="auto"/>
              </w:rPr>
            </w:pPr>
          </w:p>
        </w:tc>
      </w:tr>
      <w:tr>
        <w:trPr>
          <w:trHeight w:val="41"/>
        </w:trPr>
        <w:tc>
          <w:tcPr>
            <w:tcW w:w="54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Balances at December 31, 2022</w:t>
            </w:r>
          </w:p>
        </w:tc>
        <w:tc>
          <w:tcPr>
            <w:tcW w:w="12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5400" w:type="dxa"/>
            <w:vAlign w:val="bottom"/>
            <w:vMerge w:val="continue"/>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124,865,485</w:t>
            </w: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12</w:t>
            </w:r>
          </w:p>
        </w:tc>
        <w:tc>
          <w:tcPr>
            <w:tcW w:w="60" w:type="dxa"/>
            <w:vAlign w:val="bottom"/>
            <w:vMerge w:val="continue"/>
          </w:tcPr>
          <w:p>
            <w:pPr>
              <w:spacing w:after="0"/>
              <w:rPr>
                <w:sz w:val="21"/>
                <w:szCs w:val="21"/>
                <w:color w:val="auto"/>
              </w:rPr>
            </w:pPr>
          </w:p>
        </w:tc>
        <w:tc>
          <w:tcPr>
            <w:tcW w:w="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455,330</w:t>
            </w:r>
          </w:p>
        </w:tc>
        <w:tc>
          <w:tcPr>
            <w:tcW w:w="60" w:type="dxa"/>
            <w:vAlign w:val="bottom"/>
            <w:vMerge w:val="continue"/>
          </w:tcPr>
          <w:p>
            <w:pPr>
              <w:spacing w:after="0"/>
              <w:rPr>
                <w:sz w:val="21"/>
                <w:szCs w:val="21"/>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(1,854)</w:t>
            </w:r>
          </w:p>
        </w:tc>
        <w:tc>
          <w:tcPr>
            <w:tcW w:w="60" w:type="dxa"/>
            <w:vAlign w:val="bottom"/>
            <w:vMerge w:val="continue"/>
          </w:tcPr>
          <w:p>
            <w:pPr>
              <w:spacing w:after="0"/>
              <w:rPr>
                <w:sz w:val="21"/>
                <w:szCs w:val="21"/>
                <w:color w:val="auto"/>
              </w:rPr>
            </w:pPr>
          </w:p>
        </w:tc>
        <w:tc>
          <w:tcPr>
            <w:tcW w:w="2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(138,564)</w:t>
            </w:r>
          </w:p>
        </w:tc>
        <w:tc>
          <w:tcPr>
            <w:tcW w:w="60" w:type="dxa"/>
            <w:vAlign w:val="bottom"/>
            <w:vMerge w:val="continue"/>
          </w:tcPr>
          <w:p>
            <w:pPr>
              <w:spacing w:after="0"/>
              <w:rPr>
                <w:sz w:val="21"/>
                <w:szCs w:val="21"/>
                <w:color w:val="auto"/>
              </w:rPr>
            </w:pPr>
          </w:p>
        </w:tc>
        <w:tc>
          <w:tcPr>
            <w:tcW w:w="2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314,924</w:t>
            </w:r>
          </w:p>
        </w:tc>
        <w:tc>
          <w:tcPr>
            <w:tcW w:w="0" w:type="dxa"/>
            <w:vAlign w:val="bottom"/>
          </w:tcPr>
          <w:p>
            <w:pPr>
              <w:spacing w:after="0"/>
              <w:rPr>
                <w:sz w:val="1"/>
                <w:szCs w:val="1"/>
                <w:color w:val="auto"/>
              </w:rPr>
            </w:pPr>
          </w:p>
        </w:tc>
      </w:tr>
      <w:tr>
        <w:trPr>
          <w:trHeight w:val="260"/>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Issuance of common stock upon exercise of vested stock options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70,865</w:t>
            </w: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0" w:type="dxa"/>
            <w:vAlign w:val="bottom"/>
          </w:tcPr>
          <w:p>
            <w:pPr>
              <w:spacing w:after="0"/>
              <w:rPr>
                <w:sz w:val="1"/>
                <w:szCs w:val="1"/>
                <w:color w:val="auto"/>
              </w:rPr>
            </w:pPr>
          </w:p>
        </w:tc>
      </w:tr>
      <w:tr>
        <w:trPr>
          <w:trHeight w:val="285"/>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Issuance of common stock under employee stock purchase plan</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132,251</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w:t>
            </w:r>
          </w:p>
        </w:tc>
        <w:tc>
          <w:tcPr>
            <w:tcW w:w="0" w:type="dxa"/>
            <w:vAlign w:val="bottom"/>
          </w:tcPr>
          <w:p>
            <w:pPr>
              <w:spacing w:after="0"/>
              <w:rPr>
                <w:sz w:val="1"/>
                <w:szCs w:val="1"/>
                <w:color w:val="auto"/>
              </w:rPr>
            </w:pPr>
          </w:p>
        </w:tc>
      </w:tr>
      <w:tr>
        <w:trPr>
          <w:trHeight w:val="244"/>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12,137</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12,137</w:t>
            </w:r>
          </w:p>
        </w:tc>
        <w:tc>
          <w:tcPr>
            <w:tcW w:w="0" w:type="dxa"/>
            <w:vAlign w:val="bottom"/>
          </w:tcPr>
          <w:p>
            <w:pPr>
              <w:spacing w:after="0"/>
              <w:rPr>
                <w:sz w:val="1"/>
                <w:szCs w:val="1"/>
                <w:color w:val="auto"/>
              </w:rPr>
            </w:pPr>
          </w:p>
        </w:tc>
      </w:tr>
      <w:tr>
        <w:trPr>
          <w:trHeight w:val="240"/>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income</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1,599</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1,599</w:t>
            </w:r>
          </w:p>
        </w:tc>
        <w:tc>
          <w:tcPr>
            <w:tcW w:w="0" w:type="dxa"/>
            <w:vAlign w:val="bottom"/>
          </w:tcPr>
          <w:p>
            <w:pPr>
              <w:spacing w:after="0"/>
              <w:rPr>
                <w:sz w:val="1"/>
                <w:szCs w:val="1"/>
                <w:color w:val="auto"/>
              </w:rPr>
            </w:pPr>
          </w:p>
        </w:tc>
      </w:tr>
      <w:tr>
        <w:trPr>
          <w:trHeight w:val="277"/>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(63,675)</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(63,675)</w:t>
            </w:r>
          </w:p>
        </w:tc>
        <w:tc>
          <w:tcPr>
            <w:tcW w:w="0" w:type="dxa"/>
            <w:vAlign w:val="bottom"/>
          </w:tcPr>
          <w:p>
            <w:pPr>
              <w:spacing w:after="0"/>
              <w:rPr>
                <w:sz w:val="1"/>
                <w:szCs w:val="1"/>
                <w:color w:val="auto"/>
              </w:rPr>
            </w:pPr>
          </w:p>
        </w:tc>
      </w:tr>
      <w:tr>
        <w:trPr>
          <w:trHeight w:val="200"/>
        </w:trPr>
        <w:tc>
          <w:tcPr>
            <w:tcW w:w="540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Balances at December 31, 2023</w:t>
            </w:r>
          </w:p>
        </w:tc>
        <w:tc>
          <w:tcPr>
            <w:tcW w:w="120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125,068,601</w:t>
            </w:r>
          </w:p>
        </w:tc>
        <w:tc>
          <w:tcPr>
            <w:tcW w:w="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w w:val="99"/>
              </w:rPr>
              <w:t>13</w:t>
            </w:r>
          </w:p>
        </w:tc>
        <w:tc>
          <w:tcPr>
            <w:tcW w:w="60" w:type="dxa"/>
            <w:vAlign w:val="bottom"/>
          </w:tcPr>
          <w:p>
            <w:pPr>
              <w:spacing w:after="0"/>
              <w:rPr>
                <w:sz w:val="17"/>
                <w:szCs w:val="17"/>
                <w:color w:val="auto"/>
              </w:rPr>
            </w:pPr>
          </w:p>
        </w:tc>
        <w:tc>
          <w:tcPr>
            <w:tcW w:w="200" w:type="dxa"/>
            <w:vAlign w:val="bottom"/>
            <w:tcBorders>
              <w:bottom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467,834</w:t>
            </w:r>
          </w:p>
        </w:tc>
        <w:tc>
          <w:tcPr>
            <w:tcW w:w="60" w:type="dxa"/>
            <w:vAlign w:val="bottom"/>
          </w:tcPr>
          <w:p>
            <w:pPr>
              <w:spacing w:after="0"/>
              <w:rPr>
                <w:sz w:val="17"/>
                <w:szCs w:val="17"/>
                <w:color w:val="auto"/>
              </w:rPr>
            </w:pPr>
          </w:p>
        </w:tc>
        <w:tc>
          <w:tcPr>
            <w:tcW w:w="280" w:type="dxa"/>
            <w:vAlign w:val="bottom"/>
            <w:tcBorders>
              <w:bottom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(255)</w:t>
            </w:r>
          </w:p>
        </w:tc>
        <w:tc>
          <w:tcPr>
            <w:tcW w:w="60" w:type="dxa"/>
            <w:vAlign w:val="bottom"/>
          </w:tcPr>
          <w:p>
            <w:pPr>
              <w:spacing w:after="0"/>
              <w:rPr>
                <w:sz w:val="17"/>
                <w:szCs w:val="17"/>
                <w:color w:val="auto"/>
              </w:rPr>
            </w:pPr>
          </w:p>
        </w:tc>
        <w:tc>
          <w:tcPr>
            <w:tcW w:w="260" w:type="dxa"/>
            <w:vAlign w:val="bottom"/>
            <w:tcBorders>
              <w:bottom w:val="single" w:sz="8" w:color="auto"/>
            </w:tcBorders>
          </w:tcPr>
          <w:p>
            <w:pPr>
              <w:jc w:val="right"/>
              <w:ind w:right="5"/>
              <w:spacing w:after="0" w:line="200"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(202,239)</w:t>
            </w:r>
          </w:p>
        </w:tc>
        <w:tc>
          <w:tcPr>
            <w:tcW w:w="60" w:type="dxa"/>
            <w:vAlign w:val="bottom"/>
          </w:tcPr>
          <w:p>
            <w:pPr>
              <w:spacing w:after="0"/>
              <w:rPr>
                <w:sz w:val="17"/>
                <w:szCs w:val="17"/>
                <w:color w:val="auto"/>
              </w:rPr>
            </w:pPr>
          </w:p>
        </w:tc>
        <w:tc>
          <w:tcPr>
            <w:tcW w:w="260" w:type="dxa"/>
            <w:vAlign w:val="bottom"/>
            <w:tcBorders>
              <w:bottom w:val="single" w:sz="8" w:color="auto"/>
            </w:tcBorders>
          </w:tcPr>
          <w:p>
            <w:pPr>
              <w:jc w:val="right"/>
              <w:ind w:right="5"/>
              <w:spacing w:after="0" w:line="200"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265,353</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4196715</wp:posOffset>
                </wp:positionH>
                <wp:positionV relativeFrom="paragraph">
                  <wp:posOffset>-2514600</wp:posOffset>
                </wp:positionV>
                <wp:extent cx="156210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621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0.45pt,-198pt" to="453.45pt,-19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4196715</wp:posOffset>
                </wp:positionH>
                <wp:positionV relativeFrom="paragraph">
                  <wp:posOffset>-2257425</wp:posOffset>
                </wp:positionV>
                <wp:extent cx="76200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0.45pt,-177.7499pt" to="390.45pt,-177.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4996815</wp:posOffset>
                </wp:positionH>
                <wp:positionV relativeFrom="paragraph">
                  <wp:posOffset>-2257425</wp:posOffset>
                </wp:positionV>
                <wp:extent cx="76200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3.45pt,-177.7499pt" to="453.45pt,-177.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5796915</wp:posOffset>
                </wp:positionH>
                <wp:positionV relativeFrom="paragraph">
                  <wp:posOffset>-2257425</wp:posOffset>
                </wp:positionV>
                <wp:extent cx="76200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6.45pt,-177.7499pt" to="516.45pt,-177.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6597015</wp:posOffset>
                </wp:positionH>
                <wp:positionV relativeFrom="paragraph">
                  <wp:posOffset>-2257425</wp:posOffset>
                </wp:positionV>
                <wp:extent cx="76200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9.45pt,-177.7499pt" to="579.45pt,-177.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7397115</wp:posOffset>
                </wp:positionH>
                <wp:positionV relativeFrom="paragraph">
                  <wp:posOffset>-2257425</wp:posOffset>
                </wp:positionV>
                <wp:extent cx="76200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2.45pt,-177.7499pt" to="642.45pt,-177.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8197215</wp:posOffset>
                </wp:positionH>
                <wp:positionV relativeFrom="paragraph">
                  <wp:posOffset>-2257425</wp:posOffset>
                </wp:positionV>
                <wp:extent cx="76200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45.45pt,-177.7499pt" to="705.45pt,-177.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4196715</wp:posOffset>
                </wp:positionH>
                <wp:positionV relativeFrom="paragraph">
                  <wp:posOffset>-1171575</wp:posOffset>
                </wp:positionV>
                <wp:extent cx="76200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0.45pt,-92.2499pt" to="390.45pt,-92.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4996815</wp:posOffset>
                </wp:positionH>
                <wp:positionV relativeFrom="paragraph">
                  <wp:posOffset>-1171575</wp:posOffset>
                </wp:positionV>
                <wp:extent cx="76200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3.45pt,-92.2499pt" to="453.45pt,-92.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5796915</wp:posOffset>
                </wp:positionH>
                <wp:positionV relativeFrom="paragraph">
                  <wp:posOffset>-1171575</wp:posOffset>
                </wp:positionV>
                <wp:extent cx="76200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6.45pt,-92.2499pt" to="516.45pt,-92.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6597015</wp:posOffset>
                </wp:positionH>
                <wp:positionV relativeFrom="paragraph">
                  <wp:posOffset>-1171575</wp:posOffset>
                </wp:positionV>
                <wp:extent cx="76200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9.45pt,-92.2499pt" to="579.45pt,-92.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7397115</wp:posOffset>
                </wp:positionH>
                <wp:positionV relativeFrom="paragraph">
                  <wp:posOffset>-1171575</wp:posOffset>
                </wp:positionV>
                <wp:extent cx="76200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2.45pt,-92.2499pt" to="642.45pt,-92.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8197215</wp:posOffset>
                </wp:positionH>
                <wp:positionV relativeFrom="paragraph">
                  <wp:posOffset>-1171575</wp:posOffset>
                </wp:positionV>
                <wp:extent cx="76200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45.45pt,-92.2499pt" to="705.45pt,-92.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4196715</wp:posOffset>
                </wp:positionH>
                <wp:positionV relativeFrom="paragraph">
                  <wp:posOffset>-171450</wp:posOffset>
                </wp:positionV>
                <wp:extent cx="762000"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0.45pt,-13.4999pt" to="390.45pt,-13.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4996815</wp:posOffset>
                </wp:positionH>
                <wp:positionV relativeFrom="paragraph">
                  <wp:posOffset>-171450</wp:posOffset>
                </wp:positionV>
                <wp:extent cx="76200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3.45pt,-13.4999pt" to="453.45pt,-13.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5796915</wp:posOffset>
                </wp:positionH>
                <wp:positionV relativeFrom="paragraph">
                  <wp:posOffset>-171450</wp:posOffset>
                </wp:positionV>
                <wp:extent cx="76200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6.45pt,-13.4999pt" to="516.45pt,-13.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6597015</wp:posOffset>
                </wp:positionH>
                <wp:positionV relativeFrom="paragraph">
                  <wp:posOffset>-171450</wp:posOffset>
                </wp:positionV>
                <wp:extent cx="76200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9.45pt,-13.4999pt" to="579.45pt,-13.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7397115</wp:posOffset>
                </wp:positionH>
                <wp:positionV relativeFrom="paragraph">
                  <wp:posOffset>-171450</wp:posOffset>
                </wp:positionV>
                <wp:extent cx="76200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2.45pt,-13.4999pt" to="642.45pt,-13.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8197215</wp:posOffset>
                </wp:positionH>
                <wp:positionV relativeFrom="paragraph">
                  <wp:posOffset>-171450</wp:posOffset>
                </wp:positionV>
                <wp:extent cx="762000"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45.45pt,-13.4999pt" to="705.45pt,-13.4999pt" o:allowincell="f" strokecolor="#000000" strokeweight="0pt"/>
            </w:pict>
          </mc:Fallback>
        </mc:AlternateContent>
        <w:drawing>
          <wp:anchor simplePos="0" relativeHeight="251657728" behindDoc="1" locked="0" layoutInCell="0" allowOverlap="1">
            <wp:simplePos x="0" y="0"/>
            <wp:positionH relativeFrom="column">
              <wp:posOffset>716915</wp:posOffset>
            </wp:positionH>
            <wp:positionV relativeFrom="paragraph">
              <wp:posOffset>-2269490</wp:posOffset>
            </wp:positionV>
            <wp:extent cx="8255000" cy="22764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2">
                      <a:extLst>
                        <a:ext uri="{28A0092B-C50C-407E-A947-70E740481C1C}"/>
                      </a:extLst>
                    </a:blip>
                    <a:srcRect/>
                    <a:stretch>
                      <a:fillRect/>
                    </a:stretch>
                  </pic:blipFill>
                  <pic:spPr bwMode="auto">
                    <a:xfrm>
                      <a:off x="0" y="0"/>
                      <a:ext cx="8255000" cy="2276475"/>
                    </a:xfrm>
                    <a:prstGeom prst="rect">
                      <a:avLst/>
                    </a:prstGeom>
                    <a:noFill/>
                  </pic:spPr>
                </pic:pic>
              </a:graphicData>
            </a:graphic>
          </wp:anchor>
        </w:drawing>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95" w:type="dxa"/>
            <w:vAlign w:val="bottom"/>
            <w:textDirection w:val="tbRl"/>
          </w:tcPr>
          <w:p>
            <w:pPr>
              <w:spacing w:after="0"/>
              <w:rPr>
                <w:sz w:val="20"/>
                <w:szCs w:val="20"/>
                <w:color w:val="auto"/>
              </w:rPr>
            </w:pPr>
            <w:r>
              <w:rPr>
                <w:rFonts w:ascii="Times New Roman" w:cs="Times New Roman" w:eastAsia="Times New Roman" w:hAnsi="Times New Roman"/>
                <w:sz w:val="17"/>
                <w:szCs w:val="17"/>
                <w:color w:val="auto"/>
              </w:rPr>
              <w:t>93</w:t>
            </w:r>
          </w:p>
        </w:tc>
      </w:tr>
    </w:tbl>
    <w:p>
      <w:pPr>
        <w:spacing w:after="0" w:line="280" w:lineRule="exact"/>
        <w:rPr>
          <w:sz w:val="20"/>
          <w:szCs w:val="20"/>
          <w:color w:val="auto"/>
        </w:rPr>
      </w:pPr>
    </w:p>
    <w:p>
      <w:pPr>
        <w:ind w:left="4149"/>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5840" w:h="12240" w:orient="landscape"/>
          <w:cols w:equalWidth="0" w:num="1">
            <w:col w:w="14109"/>
          </w:cols>
          <w:pgMar w:left="291" w:top="211" w:right="1440" w:bottom="1440" w:gutter="0" w:footer="0" w:header="0"/>
        </w:sectPr>
      </w:pPr>
    </w:p>
    <w:bookmarkStart w:id="95" w:name="page96"/>
    <w:bookmarkEnd w:id="95"/>
    <w:p>
      <w:pPr>
        <w:ind w:left="60"/>
        <w:spacing w:after="0"/>
        <w:rPr>
          <w:sz w:val="20"/>
          <w:szCs w:val="20"/>
          <w:color w:val="auto"/>
        </w:rPr>
      </w:pPr>
      <w:r>
        <w:rPr>
          <w:rFonts w:ascii="Times New Roman" w:cs="Times New Roman" w:eastAsia="Times New Roman" w:hAnsi="Times New Roman"/>
          <w:sz w:val="24"/>
          <w:szCs w:val="24"/>
          <w:b w:val="1"/>
          <w:bCs w:val="1"/>
          <w:color w:val="auto"/>
        </w:rPr>
        <w:t>Nautilus Biotechnology, Inc.</w:t>
      </w:r>
    </w:p>
    <w:p>
      <w:pPr>
        <w:spacing w:after="0" w:line="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4"/>
          <w:szCs w:val="24"/>
          <w:b w:val="1"/>
          <w:bCs w:val="1"/>
          <w:color w:val="auto"/>
        </w:rPr>
        <w:t>Consolidated Statements of Cash Flows</w:t>
      </w:r>
    </w:p>
    <w:p>
      <w:pPr>
        <w:spacing w:after="0" w:line="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4"/>
          <w:szCs w:val="24"/>
          <w:b w:val="1"/>
          <w:bCs w:val="1"/>
          <w:color w:val="auto"/>
        </w:rPr>
        <w:t>Years Ended December 31, 2023 and 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13335</wp:posOffset>
                </wp:positionV>
                <wp:extent cx="594360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5pt" to="468pt,1.05pt" o:allowincell="f" strokecolor="#000000" strokeweight="1pt"/>
            </w:pict>
          </mc:Fallback>
        </mc:AlternateContent>
      </w:r>
    </w:p>
    <w:p>
      <w:pPr>
        <w:spacing w:after="0" w:line="273"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0" w:type="dxa"/>
            <w:vAlign w:val="bottom"/>
          </w:tcPr>
          <w:p>
            <w:pPr>
              <w:spacing w:after="0"/>
              <w:rPr>
                <w:sz w:val="1"/>
                <w:szCs w:val="1"/>
                <w:color w:val="auto"/>
              </w:rPr>
            </w:pPr>
          </w:p>
        </w:tc>
      </w:tr>
      <w:tr>
        <w:trPr>
          <w:trHeight w:val="160"/>
        </w:trPr>
        <w:tc>
          <w:tcPr>
            <w:tcW w:w="66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80" w:type="dxa"/>
            <w:vAlign w:val="bottom"/>
          </w:tcPr>
          <w:p>
            <w:pPr>
              <w:spacing w:after="0"/>
              <w:rPr>
                <w:sz w:val="13"/>
                <w:szCs w:val="13"/>
                <w:color w:val="auto"/>
              </w:rPr>
            </w:pPr>
          </w:p>
        </w:tc>
        <w:tc>
          <w:tcPr>
            <w:tcW w:w="1140" w:type="dxa"/>
            <w:vAlign w:val="bottom"/>
          </w:tcPr>
          <w:p>
            <w:pPr>
              <w:jc w:val="center"/>
              <w:ind w:right="82"/>
              <w:spacing w:after="0" w:line="160"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center"/>
              <w:ind w:right="82"/>
              <w:spacing w:after="0" w:line="160"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664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0" w:type="dxa"/>
            <w:vAlign w:val="bottom"/>
          </w:tcPr>
          <w:p>
            <w:pPr>
              <w:spacing w:after="0"/>
              <w:rPr>
                <w:sz w:val="1"/>
                <w:szCs w:val="1"/>
                <w:color w:val="auto"/>
              </w:rPr>
            </w:pPr>
          </w:p>
        </w:tc>
      </w:tr>
      <w:tr>
        <w:trPr>
          <w:trHeight w:val="262"/>
        </w:trPr>
        <w:tc>
          <w:tcPr>
            <w:tcW w:w="66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flows from operating activities</w:t>
            </w: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(63,675)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(57,924)</w:t>
            </w:r>
          </w:p>
        </w:tc>
        <w:tc>
          <w:tcPr>
            <w:tcW w:w="0" w:type="dxa"/>
            <w:vAlign w:val="bottom"/>
          </w:tcPr>
          <w:p>
            <w:pPr>
              <w:spacing w:after="0"/>
              <w:rPr>
                <w:sz w:val="1"/>
                <w:szCs w:val="1"/>
                <w:color w:val="auto"/>
              </w:rPr>
            </w:pPr>
          </w:p>
        </w:tc>
      </w:tr>
      <w:tr>
        <w:trPr>
          <w:trHeight w:val="285"/>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Adjustments to reconcile net loss to net cash used in operating activities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6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Stock-based compensation</w:t>
            </w:r>
          </w:p>
        </w:tc>
        <w:tc>
          <w:tcPr>
            <w:tcW w:w="18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12,137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10,380</w:t>
            </w:r>
          </w:p>
        </w:tc>
        <w:tc>
          <w:tcPr>
            <w:tcW w:w="0" w:type="dxa"/>
            <w:vAlign w:val="bottom"/>
          </w:tcPr>
          <w:p>
            <w:pPr>
              <w:spacing w:after="0"/>
              <w:rPr>
                <w:sz w:val="1"/>
                <w:szCs w:val="1"/>
                <w:color w:val="auto"/>
              </w:rPr>
            </w:pPr>
          </w:p>
        </w:tc>
      </w:tr>
      <w:tr>
        <w:trPr>
          <w:trHeight w:val="285"/>
        </w:trPr>
        <w:tc>
          <w:tcPr>
            <w:tcW w:w="66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Amortization of operating lease right-of-use assets</w:t>
            </w:r>
          </w:p>
        </w:tc>
        <w:tc>
          <w:tcPr>
            <w:tcW w:w="18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3,856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2,199</w:t>
            </w:r>
          </w:p>
        </w:tc>
        <w:tc>
          <w:tcPr>
            <w:tcW w:w="0" w:type="dxa"/>
            <w:vAlign w:val="bottom"/>
          </w:tcPr>
          <w:p>
            <w:pPr>
              <w:spacing w:after="0"/>
              <w:rPr>
                <w:sz w:val="1"/>
                <w:szCs w:val="1"/>
                <w:color w:val="auto"/>
              </w:rPr>
            </w:pPr>
          </w:p>
        </w:tc>
      </w:tr>
      <w:tr>
        <w:trPr>
          <w:trHeight w:val="285"/>
        </w:trPr>
        <w:tc>
          <w:tcPr>
            <w:tcW w:w="66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Depreciation</w:t>
            </w:r>
          </w:p>
        </w:tc>
        <w:tc>
          <w:tcPr>
            <w:tcW w:w="18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1,849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1,217</w:t>
            </w:r>
          </w:p>
        </w:tc>
        <w:tc>
          <w:tcPr>
            <w:tcW w:w="0" w:type="dxa"/>
            <w:vAlign w:val="bottom"/>
          </w:tcPr>
          <w:p>
            <w:pPr>
              <w:spacing w:after="0"/>
              <w:rPr>
                <w:sz w:val="1"/>
                <w:szCs w:val="1"/>
                <w:color w:val="auto"/>
              </w:rPr>
            </w:pPr>
          </w:p>
        </w:tc>
      </w:tr>
      <w:tr>
        <w:trPr>
          <w:trHeight w:val="285"/>
        </w:trPr>
        <w:tc>
          <w:tcPr>
            <w:tcW w:w="66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Amortization (accretion) of premiums (discount) on securities, net</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(890)</w:t>
            </w:r>
          </w:p>
        </w:tc>
        <w:tc>
          <w:tcPr>
            <w:tcW w:w="0" w:type="dxa"/>
            <w:vAlign w:val="bottom"/>
          </w:tcPr>
          <w:p>
            <w:pPr>
              <w:spacing w:after="0"/>
              <w:rPr>
                <w:sz w:val="1"/>
                <w:szCs w:val="1"/>
                <w:color w:val="auto"/>
              </w:rPr>
            </w:pPr>
          </w:p>
        </w:tc>
      </w:tr>
      <w:tr>
        <w:trPr>
          <w:trHeight w:val="285"/>
        </w:trPr>
        <w:tc>
          <w:tcPr>
            <w:tcW w:w="66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Changes in operating assets and liabilities: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6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Prepaid expenses and other assets</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756</w:t>
            </w:r>
          </w:p>
        </w:tc>
        <w:tc>
          <w:tcPr>
            <w:tcW w:w="0" w:type="dxa"/>
            <w:vAlign w:val="bottom"/>
          </w:tcPr>
          <w:p>
            <w:pPr>
              <w:spacing w:after="0"/>
              <w:rPr>
                <w:sz w:val="1"/>
                <w:szCs w:val="1"/>
                <w:color w:val="auto"/>
              </w:rPr>
            </w:pPr>
          </w:p>
        </w:tc>
      </w:tr>
      <w:tr>
        <w:trPr>
          <w:trHeight w:val="285"/>
        </w:trPr>
        <w:tc>
          <w:tcPr>
            <w:tcW w:w="66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Accounts payable</w:t>
            </w:r>
          </w:p>
        </w:tc>
        <w:tc>
          <w:tcPr>
            <w:tcW w:w="18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393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(561)</w:t>
            </w:r>
          </w:p>
        </w:tc>
        <w:tc>
          <w:tcPr>
            <w:tcW w:w="0" w:type="dxa"/>
            <w:vAlign w:val="bottom"/>
          </w:tcPr>
          <w:p>
            <w:pPr>
              <w:spacing w:after="0"/>
              <w:rPr>
                <w:sz w:val="1"/>
                <w:szCs w:val="1"/>
                <w:color w:val="auto"/>
              </w:rPr>
            </w:pPr>
          </w:p>
        </w:tc>
      </w:tr>
      <w:tr>
        <w:trPr>
          <w:trHeight w:val="285"/>
        </w:trPr>
        <w:tc>
          <w:tcPr>
            <w:tcW w:w="66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Accrued expenses and other liabilities</w:t>
            </w:r>
          </w:p>
        </w:tc>
        <w:tc>
          <w:tcPr>
            <w:tcW w:w="18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417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409</w:t>
            </w:r>
          </w:p>
        </w:tc>
        <w:tc>
          <w:tcPr>
            <w:tcW w:w="0" w:type="dxa"/>
            <w:vAlign w:val="bottom"/>
          </w:tcPr>
          <w:p>
            <w:pPr>
              <w:spacing w:after="0"/>
              <w:rPr>
                <w:sz w:val="1"/>
                <w:szCs w:val="1"/>
                <w:color w:val="auto"/>
              </w:rPr>
            </w:pPr>
          </w:p>
        </w:tc>
      </w:tr>
      <w:tr>
        <w:trPr>
          <w:trHeight w:val="288"/>
        </w:trPr>
        <w:tc>
          <w:tcPr>
            <w:tcW w:w="66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(3,208)</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(1,392)</w:t>
            </w:r>
          </w:p>
        </w:tc>
        <w:tc>
          <w:tcPr>
            <w:tcW w:w="0" w:type="dxa"/>
            <w:vAlign w:val="bottom"/>
          </w:tcPr>
          <w:p>
            <w:pPr>
              <w:spacing w:after="0"/>
              <w:rPr>
                <w:sz w:val="1"/>
                <w:szCs w:val="1"/>
                <w:color w:val="auto"/>
              </w:rPr>
            </w:pPr>
          </w:p>
        </w:tc>
      </w:tr>
      <w:tr>
        <w:trPr>
          <w:trHeight w:val="265"/>
        </w:trPr>
        <w:tc>
          <w:tcPr>
            <w:tcW w:w="66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cash used in operating activities</w:t>
            </w: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(51,711)</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(45,806)</w:t>
            </w:r>
          </w:p>
        </w:tc>
        <w:tc>
          <w:tcPr>
            <w:tcW w:w="0" w:type="dxa"/>
            <w:vAlign w:val="bottom"/>
          </w:tcPr>
          <w:p>
            <w:pPr>
              <w:spacing w:after="0"/>
              <w:rPr>
                <w:sz w:val="1"/>
                <w:szCs w:val="1"/>
                <w:color w:val="auto"/>
              </w:rPr>
            </w:pPr>
          </w:p>
        </w:tc>
      </w:tr>
      <w:tr>
        <w:trPr>
          <w:trHeight w:val="262"/>
        </w:trPr>
        <w:tc>
          <w:tcPr>
            <w:tcW w:w="66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flows from investing activities</w:t>
            </w: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Purchases of securities</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(112,892)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(186,591)</w:t>
            </w:r>
          </w:p>
        </w:tc>
        <w:tc>
          <w:tcPr>
            <w:tcW w:w="0" w:type="dxa"/>
            <w:vAlign w:val="bottom"/>
          </w:tcPr>
          <w:p>
            <w:pPr>
              <w:spacing w:after="0"/>
              <w:rPr>
                <w:sz w:val="1"/>
                <w:szCs w:val="1"/>
                <w:color w:val="auto"/>
              </w:rPr>
            </w:pPr>
          </w:p>
        </w:tc>
      </w:tr>
      <w:tr>
        <w:trPr>
          <w:trHeight w:val="285"/>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Purchases of property and equipment</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(2,324)</w:t>
            </w:r>
          </w:p>
        </w:tc>
        <w:tc>
          <w:tcPr>
            <w:tcW w:w="0" w:type="dxa"/>
            <w:vAlign w:val="bottom"/>
          </w:tcPr>
          <w:p>
            <w:pPr>
              <w:spacing w:after="0"/>
              <w:rPr>
                <w:sz w:val="1"/>
                <w:szCs w:val="1"/>
                <w:color w:val="auto"/>
              </w:rPr>
            </w:pPr>
          </w:p>
        </w:tc>
      </w:tr>
      <w:tr>
        <w:trPr>
          <w:trHeight w:val="288"/>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Proceeds from maturities of securities</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71,599</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163,175</w:t>
            </w:r>
          </w:p>
        </w:tc>
        <w:tc>
          <w:tcPr>
            <w:tcW w:w="0" w:type="dxa"/>
            <w:vAlign w:val="bottom"/>
          </w:tcPr>
          <w:p>
            <w:pPr>
              <w:spacing w:after="0"/>
              <w:rPr>
                <w:sz w:val="1"/>
                <w:szCs w:val="1"/>
                <w:color w:val="auto"/>
              </w:rPr>
            </w:pPr>
          </w:p>
        </w:tc>
      </w:tr>
      <w:tr>
        <w:trPr>
          <w:trHeight w:val="265"/>
        </w:trPr>
        <w:tc>
          <w:tcPr>
            <w:tcW w:w="66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cash used in investing activities</w:t>
            </w: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(43,735)</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(25,740)</w:t>
            </w:r>
          </w:p>
        </w:tc>
        <w:tc>
          <w:tcPr>
            <w:tcW w:w="0" w:type="dxa"/>
            <w:vAlign w:val="bottom"/>
          </w:tcPr>
          <w:p>
            <w:pPr>
              <w:spacing w:after="0"/>
              <w:rPr>
                <w:sz w:val="1"/>
                <w:szCs w:val="1"/>
                <w:color w:val="auto"/>
              </w:rPr>
            </w:pPr>
          </w:p>
        </w:tc>
      </w:tr>
      <w:tr>
        <w:trPr>
          <w:trHeight w:val="262"/>
        </w:trPr>
        <w:tc>
          <w:tcPr>
            <w:tcW w:w="66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flows from financing activities</w:t>
            </w: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Proceeds from exercise of stock options</w:t>
            </w:r>
          </w:p>
        </w:tc>
        <w:tc>
          <w:tcPr>
            <w:tcW w:w="18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104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w:t>
            </w:r>
          </w:p>
        </w:tc>
        <w:tc>
          <w:tcPr>
            <w:tcW w:w="0" w:type="dxa"/>
            <w:vAlign w:val="bottom"/>
          </w:tcPr>
          <w:p>
            <w:pPr>
              <w:spacing w:after="0"/>
              <w:rPr>
                <w:sz w:val="1"/>
                <w:szCs w:val="1"/>
                <w:color w:val="auto"/>
              </w:rPr>
            </w:pPr>
          </w:p>
        </w:tc>
      </w:tr>
      <w:tr>
        <w:trPr>
          <w:trHeight w:val="288"/>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Proceeds from issuance of common stock under employee stock purchase plan</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264</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232</w:t>
            </w:r>
          </w:p>
        </w:tc>
        <w:tc>
          <w:tcPr>
            <w:tcW w:w="0" w:type="dxa"/>
            <w:vAlign w:val="bottom"/>
          </w:tcPr>
          <w:p>
            <w:pPr>
              <w:spacing w:after="0"/>
              <w:rPr>
                <w:sz w:val="1"/>
                <w:szCs w:val="1"/>
                <w:color w:val="auto"/>
              </w:rPr>
            </w:pPr>
          </w:p>
        </w:tc>
      </w:tr>
      <w:tr>
        <w:trPr>
          <w:trHeight w:val="265"/>
        </w:trPr>
        <w:tc>
          <w:tcPr>
            <w:tcW w:w="66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cash provided by financing activities</w:t>
            </w: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368</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562</w:t>
            </w:r>
          </w:p>
        </w:tc>
        <w:tc>
          <w:tcPr>
            <w:tcW w:w="0" w:type="dxa"/>
            <w:vAlign w:val="bottom"/>
          </w:tcPr>
          <w:p>
            <w:pPr>
              <w:spacing w:after="0"/>
              <w:rPr>
                <w:sz w:val="1"/>
                <w:szCs w:val="1"/>
                <w:color w:val="auto"/>
              </w:rPr>
            </w:pPr>
          </w:p>
        </w:tc>
      </w:tr>
      <w:tr>
        <w:trPr>
          <w:trHeight w:val="262"/>
        </w:trPr>
        <w:tc>
          <w:tcPr>
            <w:tcW w:w="66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decrease in cash, cash equivalents and restricted cash</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(95,078)</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(70,984)</w:t>
            </w:r>
          </w:p>
        </w:tc>
        <w:tc>
          <w:tcPr>
            <w:tcW w:w="0" w:type="dxa"/>
            <w:vAlign w:val="bottom"/>
          </w:tcPr>
          <w:p>
            <w:pPr>
              <w:spacing w:after="0"/>
              <w:rPr>
                <w:sz w:val="1"/>
                <w:szCs w:val="1"/>
                <w:color w:val="auto"/>
              </w:rPr>
            </w:pPr>
          </w:p>
        </w:tc>
      </w:tr>
      <w:tr>
        <w:trPr>
          <w:trHeight w:val="573"/>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Cash, cash equivalents and restricted cash at beginning of period</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115,477</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186,461</w:t>
            </w:r>
          </w:p>
        </w:tc>
        <w:tc>
          <w:tcPr>
            <w:tcW w:w="0" w:type="dxa"/>
            <w:vAlign w:val="bottom"/>
          </w:tcPr>
          <w:p>
            <w:pPr>
              <w:spacing w:after="0"/>
              <w:rPr>
                <w:sz w:val="1"/>
                <w:szCs w:val="1"/>
                <w:color w:val="auto"/>
              </w:rPr>
            </w:pPr>
          </w:p>
        </w:tc>
      </w:tr>
      <w:tr>
        <w:trPr>
          <w:trHeight w:val="245"/>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Cash, cash equivalents and restricted cash at end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20,399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115,477</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Supplementary cash flow information on non-cash activities: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66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Right-of-use assets obtained in exchange for operating lease liability</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7,623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1,688</w:t>
            </w:r>
          </w:p>
        </w:tc>
        <w:tc>
          <w:tcPr>
            <w:tcW w:w="0" w:type="dxa"/>
            <w:vAlign w:val="bottom"/>
          </w:tcPr>
          <w:p>
            <w:pPr>
              <w:spacing w:after="0"/>
              <w:rPr>
                <w:sz w:val="1"/>
                <w:szCs w:val="1"/>
                <w:color w:val="auto"/>
              </w:rPr>
            </w:pPr>
          </w:p>
        </w:tc>
      </w:tr>
      <w:tr>
        <w:trPr>
          <w:trHeight w:val="285"/>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Acquisitions of property and equipment included in 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148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-5252085</wp:posOffset>
            </wp:positionV>
            <wp:extent cx="5969000" cy="52736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3">
                      <a:extLst>
                        <a:ext uri="{28A0092B-C50C-407E-A947-70E740481C1C}"/>
                      </a:extLst>
                    </a:blip>
                    <a:srcRect/>
                    <a:stretch>
                      <a:fillRect/>
                    </a:stretch>
                  </pic:blipFill>
                  <pic:spPr bwMode="auto">
                    <a:xfrm>
                      <a:off x="0" y="0"/>
                      <a:ext cx="5969000" cy="5273675"/>
                    </a:xfrm>
                    <a:prstGeom prst="rect">
                      <a:avLst/>
                    </a:prstGeom>
                    <a:noFill/>
                  </pic:spPr>
                </pic:pic>
              </a:graphicData>
            </a:graphic>
          </wp:anchor>
        </w:drawing>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9360"/>
          </w:cols>
          <w:pgMar w:left="1440" w:top="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2240" w:h="15840" w:orient="portrait"/>
          <w:cols w:equalWidth="0" w:num="1">
            <w:col w:w="9360"/>
          </w:cols>
          <w:pgMar w:left="1440" w:top="251" w:right="1440" w:bottom="0" w:gutter="0" w:footer="0" w:header="0"/>
          <w:type w:val="continuous"/>
        </w:sectPr>
      </w:pPr>
    </w:p>
    <w:bookmarkStart w:id="96" w:name="page97"/>
    <w:bookmarkEnd w:id="96"/>
    <w:p>
      <w:pPr>
        <w:ind w:left="60"/>
        <w:spacing w:after="0"/>
        <w:rPr>
          <w:sz w:val="20"/>
          <w:szCs w:val="20"/>
          <w:color w:val="auto"/>
        </w:rPr>
      </w:pPr>
      <w:r>
        <w:rPr>
          <w:rFonts w:ascii="Times New Roman" w:cs="Times New Roman" w:eastAsia="Times New Roman" w:hAnsi="Times New Roman"/>
          <w:sz w:val="24"/>
          <w:szCs w:val="24"/>
          <w:b w:val="1"/>
          <w:bCs w:val="1"/>
          <w:color w:val="auto"/>
        </w:rPr>
        <w:t>Nautilus Biotechnology, Inc.</w:t>
      </w:r>
    </w:p>
    <w:p>
      <w:pPr>
        <w:spacing w:after="0" w:line="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4"/>
          <w:szCs w:val="24"/>
          <w:b w:val="1"/>
          <w:bCs w:val="1"/>
          <w:color w:val="auto"/>
        </w:rPr>
        <w:t>Notes to Consolidated Financial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13335</wp:posOffset>
                </wp:positionV>
                <wp:extent cx="594360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5pt" to="468pt,1.05pt" o:allowincell="f" strokecolor="#000000" strokeweight="1pt"/>
            </w:pict>
          </mc:Fallback>
        </mc:AlternateContent>
      </w:r>
    </w:p>
    <w:p>
      <w:pPr>
        <w:spacing w:after="0" w:line="200" w:lineRule="exact"/>
        <w:rPr>
          <w:sz w:val="20"/>
          <w:szCs w:val="20"/>
          <w:color w:val="auto"/>
        </w:rPr>
      </w:pPr>
    </w:p>
    <w:p>
      <w:pPr>
        <w:spacing w:after="0" w:line="258" w:lineRule="exact"/>
        <w:rPr>
          <w:sz w:val="20"/>
          <w:szCs w:val="20"/>
          <w:color w:val="auto"/>
        </w:rPr>
      </w:pPr>
    </w:p>
    <w:p>
      <w:pPr>
        <w:ind w:left="720" w:hanging="720"/>
        <w:spacing w:after="0"/>
        <w:tabs>
          <w:tab w:leader="none" w:pos="720" w:val="left"/>
        </w:tabs>
        <w:numPr>
          <w:ilvl w:val="0"/>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Description of Business and Basis of Presentation</w:t>
      </w:r>
    </w:p>
    <w:p>
      <w:pPr>
        <w:spacing w:after="0" w:line="197" w:lineRule="exact"/>
        <w:rPr>
          <w:sz w:val="20"/>
          <w:szCs w:val="20"/>
          <w:color w:val="auto"/>
        </w:rPr>
      </w:pPr>
    </w:p>
    <w:p>
      <w:pPr>
        <w:ind w:right="40" w:firstLine="360"/>
        <w:spacing w:after="0" w:line="256" w:lineRule="auto"/>
        <w:rPr>
          <w:sz w:val="20"/>
          <w:szCs w:val="20"/>
          <w:color w:val="auto"/>
        </w:rPr>
      </w:pPr>
      <w:r>
        <w:rPr>
          <w:rFonts w:ascii="Times New Roman" w:cs="Times New Roman" w:eastAsia="Times New Roman" w:hAnsi="Times New Roman"/>
          <w:sz w:val="20"/>
          <w:szCs w:val="20"/>
          <w:color w:val="auto"/>
        </w:rPr>
        <w:t>Nautilus Biotechnology, Inc. (the “Company”) is a biotechnology company incorporated in 2016 with corporate headquarters in Seattle, Washington and research and development headquarters in San Carlos, California. Since the Company’s incorporation in 2016, the Company has devoted substantially all of its resources to research and development activities, including with respect to its proteomics platform, business planning, establishing and maintaining its intellectual property portfolio, hiring personnel, raising capital and providing general and administrative support for these operations.</w:t>
      </w:r>
    </w:p>
    <w:p>
      <w:pPr>
        <w:spacing w:after="0" w:line="148"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20"/>
          <w:szCs w:val="20"/>
          <w:color w:val="auto"/>
        </w:rPr>
        <w:t>On June 9, 2021, Nautilus Biotechnology, Inc. a Delaware corporation (f/k/a ARYA Sciences Acquisition Corp. III, a Cayman Islands exempted company and the Company’s predecessor company (“ARYA”)), consummated the business combination (the “Business Combination”) pursuant to the terms of that certain Business Combination Agreement, dated as of February 7, 2021 (the “BCA”), by and among ARYA, Mako Merger Sub, Inc., a Delaware corporation and wholly-owned subsidiary of ARYA (“Mako Merger Sub”), and Nautilus Subsidiary, Inc., a Delaware corporation (f/k/a Nautilus Biotechnology, Inc.) (“Legacy Nautilus”). As a result of the Business Combination, ARYA changed its name to “Nautilus Biotechnology, Inc.” and Mako Merger Sub merged with and into Legacy Nautilus with Legacy Nautilus surviving as the surviving company and becoming a wholly-owned subsidiary of ARYA (the “Merger” and, collectively with the other transactions described in the BCA, the “Reverse Recapitalization”).</w:t>
      </w:r>
    </w:p>
    <w:p>
      <w:pPr>
        <w:spacing w:after="0" w:line="156" w:lineRule="exact"/>
        <w:rPr>
          <w:sz w:val="20"/>
          <w:szCs w:val="20"/>
          <w:color w:val="auto"/>
        </w:rPr>
      </w:pPr>
    </w:p>
    <w:p>
      <w:pPr>
        <w:ind w:right="460" w:firstLine="360"/>
        <w:spacing w:after="0" w:line="260" w:lineRule="auto"/>
        <w:rPr>
          <w:sz w:val="20"/>
          <w:szCs w:val="20"/>
          <w:color w:val="auto"/>
        </w:rPr>
      </w:pPr>
      <w:r>
        <w:rPr>
          <w:rFonts w:ascii="Times New Roman" w:cs="Times New Roman" w:eastAsia="Times New Roman" w:hAnsi="Times New Roman"/>
          <w:sz w:val="20"/>
          <w:szCs w:val="20"/>
          <w:color w:val="auto"/>
        </w:rPr>
        <w:t>In addition, in conjunction with the completion of the Business Combination, certain investors (“PIPE Investors”) subscribed for the purchase of an aggregate of 20,000,000 shares of common stock of the Company (“New Nautilus Common Stock”) at a price of $10.00 per share for aggregate gross proceeds of $200.0 million (“PIPE Financing”).</w:t>
      </w:r>
    </w:p>
    <w:p>
      <w:pPr>
        <w:spacing w:after="0" w:line="1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Basis of Presentation</w:t>
      </w:r>
    </w:p>
    <w:p>
      <w:pPr>
        <w:spacing w:after="0" w:line="199" w:lineRule="exact"/>
        <w:rPr>
          <w:sz w:val="20"/>
          <w:szCs w:val="20"/>
          <w:color w:val="auto"/>
        </w:rPr>
      </w:pPr>
    </w:p>
    <w:p>
      <w:pPr>
        <w:ind w:right="120" w:firstLine="360"/>
        <w:spacing w:after="0" w:line="255" w:lineRule="auto"/>
        <w:rPr>
          <w:sz w:val="20"/>
          <w:szCs w:val="20"/>
          <w:color w:val="auto"/>
        </w:rPr>
      </w:pPr>
      <w:r>
        <w:rPr>
          <w:rFonts w:ascii="Times New Roman" w:cs="Times New Roman" w:eastAsia="Times New Roman" w:hAnsi="Times New Roman"/>
          <w:sz w:val="20"/>
          <w:szCs w:val="20"/>
          <w:color w:val="auto"/>
        </w:rPr>
        <w:t>The consolidated financial statements and accompanying notes were prepared in accordance with accounting principles generally accepted in the United States of America (“U.S. GAAP”) and regulations of the U.S. Securities and Exchange Commission. The accompanying financial statements are consolidated for the years ended December 31, 2023 and 2022 and include the accounts of Nautilus Biotechnology, Inc. and its wholly-owned subsidiary, Nautilus Subsidiary, Inc. All intercompany transactions and balances have been eliminated upon consolidation. The Company’s reporting currency is the U.S. dollar. Certain prior period amounts were reclassified to conform to the current year presentation in Note 6, “Income Taxes.”</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Going Concern</w:t>
      </w:r>
    </w:p>
    <w:p>
      <w:pPr>
        <w:spacing w:after="0" w:line="199" w:lineRule="exact"/>
        <w:rPr>
          <w:sz w:val="20"/>
          <w:szCs w:val="20"/>
          <w:color w:val="auto"/>
        </w:rPr>
      </w:pPr>
    </w:p>
    <w:p>
      <w:pPr>
        <w:ind w:right="100" w:firstLine="360"/>
        <w:spacing w:after="0" w:line="253" w:lineRule="auto"/>
        <w:rPr>
          <w:sz w:val="20"/>
          <w:szCs w:val="20"/>
          <w:color w:val="auto"/>
        </w:rPr>
      </w:pPr>
      <w:r>
        <w:rPr>
          <w:rFonts w:ascii="Times New Roman" w:cs="Times New Roman" w:eastAsia="Times New Roman" w:hAnsi="Times New Roman"/>
          <w:sz w:val="20"/>
          <w:szCs w:val="20"/>
          <w:color w:val="auto"/>
        </w:rPr>
        <w:t>The Company’s consolidated financial statements have been prepared on the basis of continuity of operations, the realization of assets, and the satisfaction of liabilities in the ordinary course of business. Since inception, the Company has been engaged in developing its technology, raising capital, and recruiting personnel. The Company’s operating plan may change as a result of many factors currently unknown and there can be no assurance that the current operating plan will be achieved in the time frame anticipated by the Company, and it may need to seek additional funds sooner than planned. If adequate funds are not available to the Company on a timely basis, it may be required to delay, limit, reduce, or terminate certain commercial efforts, or pursue merger or acquisition strategies, all of which could adversely affect the holdings or the rights of the Company’s stockholders. The Company has incurred net operating losses and negative cash flows from operations in every year since inception and expects this to continue for the foreseeable future. As of December 31, 2023, the Company had an accumulated deficit of $202.2 million.</w:t>
      </w:r>
    </w:p>
    <w:p>
      <w:pPr>
        <w:spacing w:after="0" w:line="153" w:lineRule="exact"/>
        <w:rPr>
          <w:sz w:val="20"/>
          <w:szCs w:val="20"/>
          <w:color w:val="auto"/>
        </w:rPr>
      </w:pPr>
    </w:p>
    <w:p>
      <w:pPr>
        <w:ind w:right="160" w:firstLine="360"/>
        <w:spacing w:after="0" w:line="272" w:lineRule="auto"/>
        <w:rPr>
          <w:sz w:val="20"/>
          <w:szCs w:val="20"/>
          <w:color w:val="auto"/>
        </w:rPr>
      </w:pPr>
      <w:r>
        <w:rPr>
          <w:rFonts w:ascii="Times New Roman" w:cs="Times New Roman" w:eastAsia="Times New Roman" w:hAnsi="Times New Roman"/>
          <w:sz w:val="19"/>
          <w:szCs w:val="19"/>
          <w:color w:val="auto"/>
        </w:rPr>
        <w:t>The Company has funded its operations primarily with proceeds from the issuance of redeemable convertible preferred stock and common stock. In June 2021, the Company received gross proceeds of approximately $345.5 million from PIPE Investors and the Business Combination offset by approximately $18.2 million of transaction costs and underwriters’ fees relating to the closing of the Business Combination. The Company had cash, cash equivalents, and short-term investments of $173.4 million as of December 31, 2023. As of the date on which these consolidated financial statements were issued, the Company believes that its cash, cash equivalents, and short-term</w:t>
      </w:r>
    </w:p>
    <w:p>
      <w:pPr>
        <w:sectPr>
          <w:pgSz w:w="12240" w:h="15840" w:orient="portrait"/>
          <w:cols w:equalWidth="0" w:num="1">
            <w:col w:w="9360"/>
          </w:cols>
          <w:pgMar w:left="1440" w:top="53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2240" w:h="15840" w:orient="portrait"/>
          <w:cols w:equalWidth="0" w:num="1">
            <w:col w:w="9360"/>
          </w:cols>
          <w:pgMar w:left="1440" w:top="539" w:right="1440" w:bottom="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24"/>
          <w:szCs w:val="24"/>
          <w:b w:val="1"/>
          <w:bCs w:val="1"/>
          <w:color w:val="auto"/>
        </w:rPr>
        <w:t>Nautilus Biotechnology, Inc.</w:t>
      </w:r>
    </w:p>
    <w:p>
      <w:pPr>
        <w:spacing w:after="0" w:line="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4"/>
          <w:szCs w:val="24"/>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13335</wp:posOffset>
                </wp:positionV>
                <wp:extent cx="594360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5pt" to="468pt,1.05pt" o:allowincell="f" strokecolor="#000000" strokeweight="1pt"/>
            </w:pict>
          </mc:Fallback>
        </mc:AlternateContent>
      </w:r>
    </w:p>
    <w:p>
      <w:pPr>
        <w:spacing w:after="0" w:line="22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investments will be sufficient to fund its operations for at least the next twelve months following the issuance of the consolidated financial statements. The Company’s actual results could vary as a result of, and its near and long-term future capital requirements will depend on many factors, including its growth rate and the timing and extent of spending to support its research and development efforts. The Company has based its estimates on assumptions that may prove to be wrong, and it could use its available capital resources sooner than it currently expects. The Company may be required to seek additional equity or debt financing. Future liquidity and cash requirements will depend on numerous factors. In the event that additional financing is required, the Company may not be able to raise it on acceptable terms or at all. If the Company is unable to raise additional capital when desired, or if it cannot expand its operations or otherwise capitalize on its business opportunities because it lacks sufficient capital, its business, operating results, and financial condition would be adversely affected.</w:t>
      </w:r>
    </w:p>
    <w:p>
      <w:pPr>
        <w:spacing w:after="0" w:line="1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Impact of the COVID-19 Coronavirus</w:t>
      </w:r>
    </w:p>
    <w:p>
      <w:pPr>
        <w:spacing w:after="0" w:line="199"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20"/>
          <w:szCs w:val="20"/>
          <w:color w:val="auto"/>
        </w:rPr>
        <w:t>The COVID-19 pandemic has already had an adverse effect on the global economy. Additionally, concerns over the economic impact of COVID-19 have caused extreme volatility in financial and other capital markets, which may adversely affect the Company’s ability to access capital markets in the future. The level and nature of the disruption caused by COVID-19 is unpredictable, may be cyclical and long-lasting, and may again in the future adversely affect the Company's operating results.</w:t>
      </w:r>
    </w:p>
    <w:p>
      <w:pPr>
        <w:spacing w:after="0" w:line="161" w:lineRule="exact"/>
        <w:rPr>
          <w:sz w:val="20"/>
          <w:szCs w:val="20"/>
          <w:color w:val="auto"/>
        </w:rPr>
      </w:pPr>
    </w:p>
    <w:p>
      <w:pPr>
        <w:ind w:left="720" w:hanging="720"/>
        <w:spacing w:after="0"/>
        <w:tabs>
          <w:tab w:leader="none" w:pos="720"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Significant Accounting Policies</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199" w:lineRule="exact"/>
        <w:rPr>
          <w:sz w:val="20"/>
          <w:szCs w:val="20"/>
          <w:color w:val="auto"/>
        </w:rPr>
      </w:pPr>
    </w:p>
    <w:p>
      <w:pPr>
        <w:ind w:right="40" w:firstLine="360"/>
        <w:spacing w:after="0" w:line="253" w:lineRule="auto"/>
        <w:rPr>
          <w:sz w:val="20"/>
          <w:szCs w:val="20"/>
          <w:color w:val="auto"/>
        </w:rPr>
      </w:pPr>
      <w:r>
        <w:rPr>
          <w:rFonts w:ascii="Times New Roman" w:cs="Times New Roman" w:eastAsia="Times New Roman" w:hAnsi="Times New Roman"/>
          <w:sz w:val="20"/>
          <w:szCs w:val="20"/>
          <w:color w:val="auto"/>
        </w:rPr>
        <w:t>The preparation of the consolidated financial statements in conformity with U.S. GAAP requires management to make estimates and assumptions that affect the reported amounts of assets and liabilities and disclosures of contingent assets and liabilities as of the date of the consolidated financial statements, and the reported amounts of expenses during the reporting period. Actual results could differ from those estimates. Significant estimates include determining the estimated lives of property and equipment, stock-based compensation, research and development accruals, and the valuation allowance for deferred tax assets.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materially differ from those estimates and assumptions.</w:t>
      </w:r>
    </w:p>
    <w:p>
      <w:pPr>
        <w:spacing w:after="0" w:line="1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Concentrations of Credit Risk and Other Risks and Uncertainties</w:t>
      </w:r>
    </w:p>
    <w:p>
      <w:pPr>
        <w:spacing w:after="0" w:line="199" w:lineRule="exact"/>
        <w:rPr>
          <w:sz w:val="20"/>
          <w:szCs w:val="20"/>
          <w:color w:val="auto"/>
        </w:rPr>
      </w:pPr>
    </w:p>
    <w:p>
      <w:pPr>
        <w:ind w:right="400" w:firstLine="360"/>
        <w:spacing w:after="0" w:line="281" w:lineRule="auto"/>
        <w:rPr>
          <w:sz w:val="20"/>
          <w:szCs w:val="20"/>
          <w:color w:val="auto"/>
        </w:rPr>
      </w:pPr>
      <w:r>
        <w:rPr>
          <w:rFonts w:ascii="Times New Roman" w:cs="Times New Roman" w:eastAsia="Times New Roman" w:hAnsi="Times New Roman"/>
          <w:sz w:val="20"/>
          <w:szCs w:val="20"/>
          <w:color w:val="auto"/>
        </w:rPr>
        <w:t>Credit risk represents the accounting loss that would be recognized as of the reporting date if counterparties failed to perform as contracted.</w:t>
      </w:r>
    </w:p>
    <w:p>
      <w:pPr>
        <w:spacing w:after="0" w:line="121"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20"/>
          <w:szCs w:val="20"/>
          <w:color w:val="auto"/>
        </w:rPr>
        <w:t>Financial instruments, which potentially subject the Company to concentration of credit risk, consist of cash balances maintained in excess of federal depository insurance limits and investments in marketable debt securities that are not federally insured. The Company has not experienced any losses in such accounts and believes it is not exposed to significant credit risk on cash or investments. The Company relies, and expects to continue to rely, on a number of vendors to provide services, supplies and materials related to its research and development programs. The Company relies on single source suppliers for certain components and materials used in the Nautilus platform. The loss of any of these single source suppliers would require the Company to expend significant time and effort to locate and qualify an alternative source of supply for these components. The Company also relies, and expects to continue to rely, on third-party manufacturers and, in many cases, single third-party manufacturers for the production of certain reagents and antibodies. These programs could be adversely affected by a significant interruption in these services or the availability of materials.</w:t>
      </w:r>
    </w:p>
    <w:p>
      <w:pPr>
        <w:spacing w:after="0" w:line="153" w:lineRule="exact"/>
        <w:rPr>
          <w:sz w:val="20"/>
          <w:szCs w:val="20"/>
          <w:color w:val="auto"/>
        </w:rPr>
      </w:pPr>
    </w:p>
    <w:p>
      <w:pPr>
        <w:ind w:right="200" w:firstLine="360"/>
        <w:spacing w:after="0" w:line="286" w:lineRule="auto"/>
        <w:rPr>
          <w:sz w:val="20"/>
          <w:szCs w:val="20"/>
          <w:color w:val="auto"/>
        </w:rPr>
      </w:pPr>
      <w:r>
        <w:rPr>
          <w:rFonts w:ascii="Times New Roman" w:cs="Times New Roman" w:eastAsia="Times New Roman" w:hAnsi="Times New Roman"/>
          <w:sz w:val="19"/>
          <w:szCs w:val="19"/>
          <w:color w:val="auto"/>
        </w:rPr>
        <w:t>The Company is subject to risks similar to those of pre-clinical stage companies in the biopharmaceutical industry, including dependence on key individuals, the need to develop commercially viable products, competition from other companies, many of whom are larger and better capitalized, the impact of negative global and national</w:t>
      </w:r>
    </w:p>
    <w:p>
      <w:pPr>
        <w:sectPr>
          <w:pgSz w:w="12240" w:h="15840" w:orient="portrait"/>
          <w:cols w:equalWidth="0" w:num="1">
            <w:col w:w="9360"/>
          </w:cols>
          <w:pgMar w:left="1440" w:top="53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2240" w:h="15840" w:orient="portrait"/>
          <w:cols w:equalWidth="0" w:num="1">
            <w:col w:w="9360"/>
          </w:cols>
          <w:pgMar w:left="1440" w:top="539" w:right="1440" w:bottom="0" w:gutter="0" w:footer="0" w:header="0"/>
          <w:type w:val="continuous"/>
        </w:sectPr>
      </w:pPr>
    </w:p>
    <w:bookmarkStart w:id="98" w:name="page99"/>
    <w:bookmarkEnd w:id="98"/>
    <w:p>
      <w:pPr>
        <w:ind w:left="60"/>
        <w:spacing w:after="0"/>
        <w:rPr>
          <w:sz w:val="20"/>
          <w:szCs w:val="20"/>
          <w:color w:val="auto"/>
        </w:rPr>
      </w:pPr>
      <w:r>
        <w:rPr>
          <w:rFonts w:ascii="Times New Roman" w:cs="Times New Roman" w:eastAsia="Times New Roman" w:hAnsi="Times New Roman"/>
          <w:sz w:val="24"/>
          <w:szCs w:val="24"/>
          <w:b w:val="1"/>
          <w:bCs w:val="1"/>
          <w:color w:val="auto"/>
        </w:rPr>
        <w:t>Nautilus Biotechnology, Inc.</w:t>
      </w:r>
    </w:p>
    <w:p>
      <w:pPr>
        <w:spacing w:after="0" w:line="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4"/>
          <w:szCs w:val="24"/>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13335</wp:posOffset>
                </wp:positionV>
                <wp:extent cx="5943600"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5pt" to="468pt,1.05pt" o:allowincell="f" strokecolor="#000000" strokeweight="1pt"/>
            </w:pict>
          </mc:Fallback>
        </mc:AlternateContent>
      </w:r>
    </w:p>
    <w:p>
      <w:pPr>
        <w:spacing w:after="0" w:line="225"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9"/>
          <w:szCs w:val="19"/>
          <w:color w:val="auto"/>
        </w:rPr>
        <w:t>events and the need to obtain adequate additional financing to fund the development of its products. There can be no assurance that the Company’s research and development will be successfully completed, that adequate protection for the Company’s intellectual property will be maintained, that any products developed will obtain required regulatory approval or that any approved products will be commercially viable. Even if the Company’s development efforts are successful, it is uncertain when, if ever, the Company will generate significant revenue from the sale of its products.</w:t>
      </w:r>
    </w:p>
    <w:p>
      <w:pPr>
        <w:spacing w:after="0" w:line="1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Segment Reporting</w:t>
      </w:r>
    </w:p>
    <w:p>
      <w:pPr>
        <w:spacing w:after="0" w:line="199" w:lineRule="exact"/>
        <w:rPr>
          <w:sz w:val="20"/>
          <w:szCs w:val="20"/>
          <w:color w:val="auto"/>
        </w:rPr>
      </w:pPr>
    </w:p>
    <w:p>
      <w:pPr>
        <w:ind w:right="200" w:firstLine="360"/>
        <w:spacing w:after="0" w:line="256" w:lineRule="auto"/>
        <w:rPr>
          <w:sz w:val="20"/>
          <w:szCs w:val="20"/>
          <w:color w:val="auto"/>
        </w:rPr>
      </w:pPr>
      <w:r>
        <w:rPr>
          <w:rFonts w:ascii="Times New Roman" w:cs="Times New Roman" w:eastAsia="Times New Roman" w:hAnsi="Times New Roman"/>
          <w:sz w:val="20"/>
          <w:szCs w:val="20"/>
          <w:color w:val="auto"/>
        </w:rPr>
        <w:t>Operating segments are defined as components of an entity where discrete financial information is evaluated regularly by the chief operating decision maker (“CODM”) in deciding how to allocate resources and in assessing performance. The Company’s Chief Executive Officer is its CODM. The Company’s CODM reviews financial information presented on a consolidated basis for the purposes of making operating decisions, allocating resources and evaluating financial performance. As such, the Company has determined that it operates in one operating and one reportable segment. The Company’s long-lived assets are entirely based in the United States.</w:t>
      </w:r>
    </w:p>
    <w:p>
      <w:pPr>
        <w:spacing w:after="0" w:line="1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199" w:lineRule="exact"/>
        <w:rPr>
          <w:sz w:val="20"/>
          <w:szCs w:val="20"/>
          <w:color w:val="auto"/>
        </w:rPr>
      </w:pPr>
    </w:p>
    <w:p>
      <w:pPr>
        <w:ind w:right="80" w:firstLine="360"/>
        <w:spacing w:after="0" w:line="281" w:lineRule="auto"/>
        <w:rPr>
          <w:sz w:val="20"/>
          <w:szCs w:val="20"/>
          <w:color w:val="auto"/>
        </w:rPr>
      </w:pPr>
      <w:r>
        <w:rPr>
          <w:rFonts w:ascii="Times New Roman" w:cs="Times New Roman" w:eastAsia="Times New Roman" w:hAnsi="Times New Roman"/>
          <w:sz w:val="20"/>
          <w:szCs w:val="20"/>
          <w:color w:val="auto"/>
        </w:rPr>
        <w:t>The Company considers all highly-liquid investments with an original maturity of three months or less as of the date of acquisition to be cash equivalents.</w:t>
      </w:r>
    </w:p>
    <w:p>
      <w:pPr>
        <w:spacing w:after="0" w:line="1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Investments</w:t>
      </w:r>
    </w:p>
    <w:p>
      <w:pPr>
        <w:spacing w:after="0" w:line="199" w:lineRule="exact"/>
        <w:rPr>
          <w:sz w:val="20"/>
          <w:szCs w:val="20"/>
          <w:color w:val="auto"/>
        </w:rPr>
      </w:pPr>
    </w:p>
    <w:p>
      <w:pPr>
        <w:ind w:right="300" w:firstLine="360"/>
        <w:spacing w:after="0" w:line="266" w:lineRule="auto"/>
        <w:rPr>
          <w:sz w:val="20"/>
          <w:szCs w:val="20"/>
          <w:color w:val="auto"/>
        </w:rPr>
      </w:pPr>
      <w:r>
        <w:rPr>
          <w:rFonts w:ascii="Times New Roman" w:cs="Times New Roman" w:eastAsia="Times New Roman" w:hAnsi="Times New Roman"/>
          <w:sz w:val="20"/>
          <w:szCs w:val="20"/>
          <w:color w:val="auto"/>
        </w:rPr>
        <w:t>The Company considers investments with an original maturity greater than three months and remaining maturities less than one year to be short-term investments. The Company classifies those investments that are not required for use in current operations and that mature in more than 12 months as long-term investments.</w:t>
      </w:r>
    </w:p>
    <w:p>
      <w:pPr>
        <w:spacing w:after="0" w:line="135" w:lineRule="exact"/>
        <w:rPr>
          <w:sz w:val="20"/>
          <w:szCs w:val="20"/>
          <w:color w:val="auto"/>
        </w:rPr>
      </w:pPr>
    </w:p>
    <w:p>
      <w:pPr>
        <w:jc w:val="both"/>
        <w:ind w:right="100" w:firstLine="410"/>
        <w:spacing w:after="0" w:line="260" w:lineRule="auto"/>
        <w:rPr>
          <w:sz w:val="20"/>
          <w:szCs w:val="20"/>
          <w:color w:val="auto"/>
        </w:rPr>
      </w:pPr>
      <w:r>
        <w:rPr>
          <w:rFonts w:ascii="Times New Roman" w:cs="Times New Roman" w:eastAsia="Times New Roman" w:hAnsi="Times New Roman"/>
          <w:sz w:val="20"/>
          <w:szCs w:val="20"/>
          <w:color w:val="auto"/>
        </w:rPr>
        <w:t>The Company classifies its marketable debt securities as available for sale and reports them at fair value, with unrealized gains and losses recorded in accumulated other comprehensive income (loss). For investments sold prior to maturity, the cost of investments sold is based on the specific identification method. Realized gains and losses on the sale of investments are recorded in other income (expense), net in the consolidated statement of operations.</w:t>
      </w:r>
    </w:p>
    <w:p>
      <w:pPr>
        <w:spacing w:after="0" w:line="143" w:lineRule="exact"/>
        <w:rPr>
          <w:sz w:val="20"/>
          <w:szCs w:val="20"/>
          <w:color w:val="auto"/>
        </w:rPr>
      </w:pPr>
    </w:p>
    <w:p>
      <w:pPr>
        <w:ind w:right="240" w:firstLine="360"/>
        <w:spacing w:after="0" w:line="255" w:lineRule="auto"/>
        <w:rPr>
          <w:sz w:val="20"/>
          <w:szCs w:val="20"/>
          <w:color w:val="auto"/>
        </w:rPr>
      </w:pPr>
      <w:r>
        <w:rPr>
          <w:rFonts w:ascii="Times New Roman" w:cs="Times New Roman" w:eastAsia="Times New Roman" w:hAnsi="Times New Roman"/>
          <w:sz w:val="20"/>
          <w:szCs w:val="20"/>
          <w:color w:val="auto"/>
        </w:rPr>
        <w:t>If the estimated fair value of a marketable debt security is below its amortized cost basis, the Company evaluates whether it is more likely than not that the Company will be required to sell the security before its anticipated recovery in market value and whether credit losses exist for the related securities. Credit-related losses are recognized as an allowance for credit losses on the balance sheet with a corresponding adjustment to earnings. Unrealized gains and losses that are unrelated to credit deterioration are reported in accumulated other comprehensive income (loss). No credit-related losses or allowance for credit losses were necessary during the periods presented.</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Fair Value of Financial Instruments</w:t>
      </w:r>
    </w:p>
    <w:p>
      <w:pPr>
        <w:spacing w:after="0" w:line="199" w:lineRule="exact"/>
        <w:rPr>
          <w:sz w:val="20"/>
          <w:szCs w:val="20"/>
          <w:color w:val="auto"/>
        </w:rPr>
      </w:pPr>
    </w:p>
    <w:p>
      <w:pPr>
        <w:jc w:val="both"/>
        <w:ind w:right="120" w:firstLine="360"/>
        <w:spacing w:after="0" w:line="266" w:lineRule="auto"/>
        <w:rPr>
          <w:sz w:val="20"/>
          <w:szCs w:val="20"/>
          <w:color w:val="auto"/>
        </w:rPr>
      </w:pPr>
      <w:r>
        <w:rPr>
          <w:rFonts w:ascii="Times New Roman" w:cs="Times New Roman" w:eastAsia="Times New Roman" w:hAnsi="Times New Roman"/>
          <w:sz w:val="20"/>
          <w:szCs w:val="20"/>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w:t>
      </w:r>
    </w:p>
    <w:p>
      <w:pPr>
        <w:spacing w:after="0" w:line="135" w:lineRule="exact"/>
        <w:rPr>
          <w:sz w:val="20"/>
          <w:szCs w:val="20"/>
          <w:color w:val="auto"/>
        </w:rPr>
      </w:pPr>
    </w:p>
    <w:p>
      <w:pPr>
        <w:jc w:val="both"/>
        <w:ind w:right="360" w:firstLine="360"/>
        <w:spacing w:after="0" w:line="266" w:lineRule="auto"/>
        <w:rPr>
          <w:sz w:val="20"/>
          <w:szCs w:val="20"/>
          <w:color w:val="auto"/>
        </w:rPr>
      </w:pPr>
      <w:r>
        <w:rPr>
          <w:rFonts w:ascii="Times New Roman" w:cs="Times New Roman" w:eastAsia="Times New Roman" w:hAnsi="Times New Roman"/>
          <w:sz w:val="20"/>
          <w:szCs w:val="20"/>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Level 1, defined as observable inputs such as quoted prices for identical instruments in active markets;</w:t>
      </w:r>
    </w:p>
    <w:p>
      <w:pPr>
        <w:spacing w:after="0" w:line="190" w:lineRule="exact"/>
        <w:rPr>
          <w:sz w:val="20"/>
          <w:szCs w:val="20"/>
          <w:color w:val="auto"/>
        </w:rPr>
      </w:pPr>
    </w:p>
    <w:p>
      <w:pPr>
        <w:ind w:right="280" w:firstLine="360"/>
        <w:spacing w:after="0" w:line="266" w:lineRule="auto"/>
        <w:rPr>
          <w:sz w:val="20"/>
          <w:szCs w:val="20"/>
          <w:color w:val="auto"/>
        </w:rPr>
      </w:pPr>
      <w:r>
        <w:rPr>
          <w:rFonts w:ascii="Times New Roman" w:cs="Times New Roman" w:eastAsia="Times New Roman" w:hAnsi="Times New Roman"/>
          <w:sz w:val="20"/>
          <w:szCs w:val="20"/>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ectPr>
          <w:pgSz w:w="12240" w:h="15840" w:orient="portrait"/>
          <w:cols w:equalWidth="0" w:num="1">
            <w:col w:w="9360"/>
          </w:cols>
          <w:pgMar w:left="1440" w:top="53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2240" w:h="15840" w:orient="portrait"/>
          <w:cols w:equalWidth="0" w:num="1">
            <w:col w:w="9360"/>
          </w:cols>
          <w:pgMar w:left="1440" w:top="539" w:right="1440" w:bottom="0" w:gutter="0" w:footer="0" w:header="0"/>
          <w:type w:val="continuous"/>
        </w:sectPr>
      </w:pPr>
    </w:p>
    <w:bookmarkStart w:id="99" w:name="page100"/>
    <w:bookmarkEnd w:id="99"/>
    <w:p>
      <w:pPr>
        <w:ind w:left="60"/>
        <w:spacing w:after="0"/>
        <w:rPr>
          <w:sz w:val="20"/>
          <w:szCs w:val="20"/>
          <w:color w:val="auto"/>
        </w:rPr>
      </w:pPr>
      <w:r>
        <w:rPr>
          <w:rFonts w:ascii="Times New Roman" w:cs="Times New Roman" w:eastAsia="Times New Roman" w:hAnsi="Times New Roman"/>
          <w:sz w:val="24"/>
          <w:szCs w:val="24"/>
          <w:b w:val="1"/>
          <w:bCs w:val="1"/>
          <w:color w:val="auto"/>
        </w:rPr>
        <w:t>Nautilus Biotechnology, Inc.</w:t>
      </w:r>
    </w:p>
    <w:p>
      <w:pPr>
        <w:spacing w:after="0" w:line="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4"/>
          <w:szCs w:val="24"/>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13335</wp:posOffset>
                </wp:positionV>
                <wp:extent cx="5943600"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5pt" to="468pt,1.05pt" o:allowincell="f" strokecolor="#000000" strokeweight="1pt"/>
            </w:pict>
          </mc:Fallback>
        </mc:AlternateContent>
      </w:r>
    </w:p>
    <w:p>
      <w:pPr>
        <w:spacing w:after="0" w:line="225" w:lineRule="exact"/>
        <w:rPr>
          <w:sz w:val="20"/>
          <w:szCs w:val="20"/>
          <w:color w:val="auto"/>
        </w:rPr>
      </w:pPr>
    </w:p>
    <w:p>
      <w:pPr>
        <w:jc w:val="both"/>
        <w:ind w:right="60" w:firstLine="360"/>
        <w:spacing w:after="0" w:line="266" w:lineRule="auto"/>
        <w:rPr>
          <w:sz w:val="20"/>
          <w:szCs w:val="20"/>
          <w:color w:val="auto"/>
        </w:rPr>
      </w:pPr>
      <w:r>
        <w:rPr>
          <w:rFonts w:ascii="Times New Roman" w:cs="Times New Roman" w:eastAsia="Times New Roman" w:hAnsi="Times New Roman"/>
          <w:sz w:val="20"/>
          <w:szCs w:val="20"/>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35" w:lineRule="exact"/>
        <w:rPr>
          <w:sz w:val="20"/>
          <w:szCs w:val="20"/>
          <w:color w:val="auto"/>
        </w:rPr>
      </w:pPr>
    </w:p>
    <w:p>
      <w:pPr>
        <w:ind w:right="100" w:firstLine="360"/>
        <w:spacing w:after="0" w:line="266" w:lineRule="auto"/>
        <w:rPr>
          <w:sz w:val="20"/>
          <w:szCs w:val="20"/>
          <w:color w:val="auto"/>
        </w:rPr>
      </w:pPr>
      <w:r>
        <w:rPr>
          <w:rFonts w:ascii="Times New Roman" w:cs="Times New Roman" w:eastAsia="Times New Roman" w:hAnsi="Times New Roman"/>
          <w:sz w:val="20"/>
          <w:szCs w:val="20"/>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35" w:lineRule="exact"/>
        <w:rPr>
          <w:sz w:val="20"/>
          <w:szCs w:val="20"/>
          <w:color w:val="auto"/>
        </w:rPr>
      </w:pPr>
    </w:p>
    <w:p>
      <w:pPr>
        <w:ind w:right="40" w:firstLine="360"/>
        <w:spacing w:after="0" w:line="281" w:lineRule="auto"/>
        <w:rPr>
          <w:sz w:val="20"/>
          <w:szCs w:val="20"/>
          <w:color w:val="auto"/>
        </w:rPr>
      </w:pPr>
      <w:r>
        <w:rPr>
          <w:rFonts w:ascii="Times New Roman" w:cs="Times New Roman" w:eastAsia="Times New Roman" w:hAnsi="Times New Roman"/>
          <w:sz w:val="20"/>
          <w:szCs w:val="20"/>
          <w:color w:val="auto"/>
        </w:rPr>
        <w:t>The carrying amounts of cash and cash equivalents, prepaid expenses and other current assets, accounts payable and accrued expenses and other liabilities approximate their respective fair values due to their short-term nature.</w:t>
      </w:r>
    </w:p>
    <w:p>
      <w:pPr>
        <w:spacing w:after="0" w:line="1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 net</w:t>
      </w:r>
    </w:p>
    <w:p>
      <w:pPr>
        <w:spacing w:after="0" w:line="199" w:lineRule="exact"/>
        <w:rPr>
          <w:sz w:val="20"/>
          <w:szCs w:val="20"/>
          <w:color w:val="auto"/>
        </w:rPr>
      </w:pPr>
    </w:p>
    <w:p>
      <w:pPr>
        <w:ind w:right="60" w:firstLine="360"/>
        <w:spacing w:after="0" w:line="309" w:lineRule="auto"/>
        <w:rPr>
          <w:sz w:val="20"/>
          <w:szCs w:val="20"/>
          <w:color w:val="auto"/>
        </w:rPr>
      </w:pPr>
      <w:r>
        <w:rPr>
          <w:rFonts w:ascii="Times New Roman" w:cs="Times New Roman" w:eastAsia="Times New Roman" w:hAnsi="Times New Roman"/>
          <w:sz w:val="19"/>
          <w:szCs w:val="19"/>
          <w:color w:val="auto"/>
        </w:rPr>
        <w:t>Property and equipment, net, consisting primarily of laboratory equipment, computers, furniture and fixtures, and office equipment are recorded at cost and are depreciated on a straight-line basis over their estimated useful life.</w:t>
      </w:r>
    </w:p>
    <w:p>
      <w:pPr>
        <w:spacing w:after="0" w:line="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Useful lives assigned to property and equipment are as follows:</w:t>
      </w:r>
    </w:p>
    <w:p>
      <w:pPr>
        <w:spacing w:after="0" w:line="263" w:lineRule="exact"/>
        <w:rPr>
          <w:sz w:val="20"/>
          <w:szCs w:val="20"/>
          <w:color w:val="auto"/>
        </w:rPr>
      </w:pPr>
    </w:p>
    <w:p>
      <w:pPr>
        <w:ind w:left="420"/>
        <w:spacing w:after="0"/>
        <w:tabs>
          <w:tab w:leader="none" w:pos="3800" w:val="left"/>
        </w:tabs>
        <w:rPr>
          <w:sz w:val="20"/>
          <w:szCs w:val="20"/>
          <w:color w:val="auto"/>
        </w:rPr>
      </w:pPr>
      <w:r>
        <w:rPr>
          <w:rFonts w:ascii="Times New Roman" w:cs="Times New Roman" w:eastAsia="Times New Roman" w:hAnsi="Times New Roman"/>
          <w:sz w:val="20"/>
          <w:szCs w:val="20"/>
          <w:color w:val="auto"/>
        </w:rPr>
        <w:t>Laboratory equipment</w:t>
      </w:r>
      <w:r>
        <w:rPr>
          <w:sz w:val="20"/>
          <w:szCs w:val="20"/>
          <w:color w:val="auto"/>
        </w:rPr>
        <w:tab/>
      </w:r>
      <w:r>
        <w:rPr>
          <w:rFonts w:ascii="Times New Roman" w:cs="Times New Roman" w:eastAsia="Times New Roman" w:hAnsi="Times New Roman"/>
          <w:sz w:val="19"/>
          <w:szCs w:val="19"/>
          <w:color w:val="auto"/>
        </w:rPr>
        <w:t>3 years to 5 years</w:t>
      </w:r>
    </w:p>
    <w:p>
      <w:pPr>
        <w:spacing w:after="0" w:line="55" w:lineRule="exact"/>
        <w:rPr>
          <w:sz w:val="20"/>
          <w:szCs w:val="20"/>
          <w:color w:val="auto"/>
        </w:rPr>
      </w:pPr>
    </w:p>
    <w:p>
      <w:pPr>
        <w:ind w:left="420"/>
        <w:spacing w:after="0"/>
        <w:tabs>
          <w:tab w:leader="none" w:pos="3800" w:val="left"/>
        </w:tabs>
        <w:rPr>
          <w:sz w:val="20"/>
          <w:szCs w:val="20"/>
          <w:color w:val="auto"/>
        </w:rPr>
      </w:pPr>
      <w:r>
        <w:rPr>
          <w:rFonts w:ascii="Times New Roman" w:cs="Times New Roman" w:eastAsia="Times New Roman" w:hAnsi="Times New Roman"/>
          <w:sz w:val="20"/>
          <w:szCs w:val="20"/>
          <w:color w:val="auto"/>
        </w:rPr>
        <w:t>Prototype equipment</w:t>
      </w:r>
      <w:r>
        <w:rPr>
          <w:sz w:val="20"/>
          <w:szCs w:val="20"/>
          <w:color w:val="auto"/>
        </w:rPr>
        <w:tab/>
      </w:r>
      <w:r>
        <w:rPr>
          <w:rFonts w:ascii="Times New Roman" w:cs="Times New Roman" w:eastAsia="Times New Roman" w:hAnsi="Times New Roman"/>
          <w:sz w:val="19"/>
          <w:szCs w:val="19"/>
          <w:color w:val="auto"/>
        </w:rPr>
        <w:t>3 years</w:t>
      </w:r>
    </w:p>
    <w:p>
      <w:pPr>
        <w:spacing w:after="0" w:line="55" w:lineRule="exact"/>
        <w:rPr>
          <w:sz w:val="20"/>
          <w:szCs w:val="20"/>
          <w:color w:val="auto"/>
        </w:rPr>
      </w:pPr>
    </w:p>
    <w:p>
      <w:pPr>
        <w:ind w:left="420"/>
        <w:spacing w:after="0"/>
        <w:tabs>
          <w:tab w:leader="none" w:pos="3800" w:val="left"/>
        </w:tabs>
        <w:rPr>
          <w:sz w:val="20"/>
          <w:szCs w:val="20"/>
          <w:color w:val="auto"/>
        </w:rPr>
      </w:pPr>
      <w:r>
        <w:rPr>
          <w:rFonts w:ascii="Times New Roman" w:cs="Times New Roman" w:eastAsia="Times New Roman" w:hAnsi="Times New Roman"/>
          <w:sz w:val="20"/>
          <w:szCs w:val="20"/>
          <w:color w:val="auto"/>
        </w:rPr>
        <w:t>Computer hardware</w:t>
      </w:r>
      <w:r>
        <w:rPr>
          <w:sz w:val="20"/>
          <w:szCs w:val="20"/>
          <w:color w:val="auto"/>
        </w:rPr>
        <w:tab/>
      </w:r>
      <w:r>
        <w:rPr>
          <w:rFonts w:ascii="Times New Roman" w:cs="Times New Roman" w:eastAsia="Times New Roman" w:hAnsi="Times New Roman"/>
          <w:sz w:val="19"/>
          <w:szCs w:val="19"/>
          <w:color w:val="auto"/>
        </w:rPr>
        <w:t>3 years</w:t>
      </w:r>
    </w:p>
    <w:p>
      <w:pPr>
        <w:spacing w:after="0" w:line="85" w:lineRule="exact"/>
        <w:rPr>
          <w:sz w:val="20"/>
          <w:szCs w:val="20"/>
          <w:color w:val="auto"/>
        </w:rPr>
      </w:pPr>
    </w:p>
    <w:p>
      <w:pPr>
        <w:ind w:left="420"/>
        <w:spacing w:after="0"/>
        <w:tabs>
          <w:tab w:leader="none" w:pos="3800" w:val="left"/>
        </w:tabs>
        <w:rPr>
          <w:sz w:val="20"/>
          <w:szCs w:val="20"/>
          <w:color w:val="auto"/>
        </w:rPr>
      </w:pPr>
      <w:r>
        <w:rPr>
          <w:rFonts w:ascii="Times New Roman" w:cs="Times New Roman" w:eastAsia="Times New Roman" w:hAnsi="Times New Roman"/>
          <w:sz w:val="20"/>
          <w:szCs w:val="20"/>
          <w:color w:val="auto"/>
        </w:rPr>
        <w:t>Furniture and fixtures</w:t>
      </w:r>
      <w:r>
        <w:rPr>
          <w:sz w:val="20"/>
          <w:szCs w:val="20"/>
          <w:color w:val="auto"/>
        </w:rPr>
        <w:tab/>
      </w:r>
      <w:r>
        <w:rPr>
          <w:rFonts w:ascii="Times New Roman" w:cs="Times New Roman" w:eastAsia="Times New Roman" w:hAnsi="Times New Roman"/>
          <w:sz w:val="19"/>
          <w:szCs w:val="19"/>
          <w:color w:val="auto"/>
        </w:rPr>
        <w:t>3 years</w:t>
      </w:r>
    </w:p>
    <w:p>
      <w:pPr>
        <w:spacing w:after="0" w:line="55" w:lineRule="exact"/>
        <w:rPr>
          <w:sz w:val="20"/>
          <w:szCs w:val="20"/>
          <w:color w:val="auto"/>
        </w:rPr>
      </w:pPr>
    </w:p>
    <w:p>
      <w:pPr>
        <w:ind w:left="420"/>
        <w:spacing w:after="0"/>
        <w:tabs>
          <w:tab w:leader="none" w:pos="3800" w:val="left"/>
        </w:tabs>
        <w:rPr>
          <w:sz w:val="20"/>
          <w:szCs w:val="20"/>
          <w:color w:val="auto"/>
        </w:rPr>
      </w:pPr>
      <w:r>
        <w:rPr>
          <w:rFonts w:ascii="Times New Roman" w:cs="Times New Roman" w:eastAsia="Times New Roman" w:hAnsi="Times New Roman"/>
          <w:sz w:val="20"/>
          <w:szCs w:val="20"/>
          <w:color w:val="121212"/>
        </w:rPr>
        <w:t>Office equipment</w:t>
      </w:r>
      <w:r>
        <w:rPr>
          <w:sz w:val="20"/>
          <w:szCs w:val="20"/>
          <w:color w:val="auto"/>
        </w:rPr>
        <w:tab/>
      </w:r>
      <w:r>
        <w:rPr>
          <w:rFonts w:ascii="Times New Roman" w:cs="Times New Roman" w:eastAsia="Times New Roman" w:hAnsi="Times New Roman"/>
          <w:sz w:val="19"/>
          <w:szCs w:val="19"/>
          <w:color w:val="auto"/>
        </w:rPr>
        <w:t>3 years to 5 years</w:t>
      </w:r>
    </w:p>
    <w:p>
      <w:pPr>
        <w:spacing w:after="0" w:line="55" w:lineRule="exact"/>
        <w:rPr>
          <w:sz w:val="20"/>
          <w:szCs w:val="20"/>
          <w:color w:val="auto"/>
        </w:rPr>
      </w:pPr>
    </w:p>
    <w:p>
      <w:pPr>
        <w:ind w:left="420"/>
        <w:spacing w:after="0"/>
        <w:tabs>
          <w:tab w:leader="none" w:pos="3800" w:val="left"/>
        </w:tabs>
        <w:rPr>
          <w:sz w:val="20"/>
          <w:szCs w:val="20"/>
          <w:color w:val="auto"/>
        </w:rPr>
      </w:pPr>
      <w:r>
        <w:rPr>
          <w:rFonts w:ascii="Times New Roman" w:cs="Times New Roman" w:eastAsia="Times New Roman" w:hAnsi="Times New Roman"/>
          <w:sz w:val="20"/>
          <w:szCs w:val="20"/>
          <w:color w:val="121212"/>
        </w:rPr>
        <w:t>Leasehold improvements</w:t>
      </w:r>
      <w:r>
        <w:rPr>
          <w:sz w:val="20"/>
          <w:szCs w:val="20"/>
          <w:color w:val="auto"/>
        </w:rPr>
        <w:tab/>
      </w:r>
      <w:r>
        <w:rPr>
          <w:rFonts w:ascii="Times New Roman" w:cs="Times New Roman" w:eastAsia="Times New Roman" w:hAnsi="Times New Roman"/>
          <w:sz w:val="19"/>
          <w:szCs w:val="19"/>
          <w:color w:val="121212"/>
        </w:rPr>
        <w:t>Shorter of estimated useful life or remaining lease term</w:t>
      </w:r>
    </w:p>
    <w:p>
      <w:pPr>
        <w:spacing w:after="0" w:line="262" w:lineRule="exact"/>
        <w:rPr>
          <w:sz w:val="20"/>
          <w:szCs w:val="20"/>
          <w:color w:val="auto"/>
        </w:rPr>
      </w:pPr>
    </w:p>
    <w:p>
      <w:pPr>
        <w:ind w:right="340" w:firstLine="360"/>
        <w:spacing w:after="0" w:line="281" w:lineRule="auto"/>
        <w:rPr>
          <w:sz w:val="20"/>
          <w:szCs w:val="20"/>
          <w:color w:val="auto"/>
        </w:rPr>
      </w:pPr>
      <w:r>
        <w:rPr>
          <w:rFonts w:ascii="Times New Roman" w:cs="Times New Roman" w:eastAsia="Times New Roman" w:hAnsi="Times New Roman"/>
          <w:sz w:val="20"/>
          <w:szCs w:val="20"/>
          <w:color w:val="auto"/>
        </w:rPr>
        <w:t>When assets are retired or otherwise disposed of, the cost and related accumulated depreciation are removed from the accounts, and any resulting gain or loss is recognized as income or loss for the period.</w:t>
      </w:r>
    </w:p>
    <w:p>
      <w:pPr>
        <w:spacing w:after="0" w:line="1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Maintenance and repairs are charged to operating expense in the period incurred.</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199" w:lineRule="exact"/>
        <w:rPr>
          <w:sz w:val="20"/>
          <w:szCs w:val="20"/>
          <w:color w:val="auto"/>
        </w:rPr>
      </w:pPr>
    </w:p>
    <w:p>
      <w:pPr>
        <w:jc w:val="center"/>
        <w:ind w:right="120"/>
        <w:spacing w:after="0" w:line="309" w:lineRule="auto"/>
        <w:rPr>
          <w:sz w:val="20"/>
          <w:szCs w:val="20"/>
          <w:color w:val="auto"/>
        </w:rPr>
      </w:pPr>
      <w:r>
        <w:rPr>
          <w:rFonts w:ascii="Times New Roman" w:cs="Times New Roman" w:eastAsia="Times New Roman" w:hAnsi="Times New Roman"/>
          <w:sz w:val="19"/>
          <w:szCs w:val="19"/>
          <w:color w:val="auto"/>
        </w:rPr>
        <w:t>The Company periodically reviews its long-lived assets, including property and equipment, for impairment whenever events or changes in circumstances indicate that the carrying amount of the asset may not be recoverable.</w:t>
      </w:r>
    </w:p>
    <w:p>
      <w:pPr>
        <w:spacing w:after="0" w:line="97" w:lineRule="exact"/>
        <w:rPr>
          <w:sz w:val="20"/>
          <w:szCs w:val="20"/>
          <w:color w:val="auto"/>
        </w:rPr>
      </w:pPr>
    </w:p>
    <w:p>
      <w:pPr>
        <w:ind w:right="20" w:firstLine="360"/>
        <w:spacing w:after="0" w:line="256" w:lineRule="auto"/>
        <w:rPr>
          <w:sz w:val="20"/>
          <w:szCs w:val="20"/>
          <w:color w:val="auto"/>
        </w:rPr>
      </w:pPr>
      <w:r>
        <w:rPr>
          <w:rFonts w:ascii="Times New Roman" w:cs="Times New Roman" w:eastAsia="Times New Roman" w:hAnsi="Times New Roman"/>
          <w:sz w:val="20"/>
          <w:szCs w:val="20"/>
          <w:color w:val="auto"/>
        </w:rPr>
        <w:t>With respect to property and equipment, the Company compares the carrying value of the long-lived assets with the estimated future net undiscounted cash flows expected to result from the use and eventual disposition of the asset (or asset group). Should the sum of the estimated future net undiscounted cash flows be less than the carrying value, the Company would recognize an impairment loss as of that date. An impairment loss would be measured by comparing the amount by which the carrying value exceeds the fair value of the long-lived assets. No impairment of long-lived assets was recorded in any of the periods presented.</w:t>
      </w:r>
    </w:p>
    <w:p>
      <w:pPr>
        <w:spacing w:after="0" w:line="1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199"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20"/>
          <w:szCs w:val="20"/>
          <w:color w:val="auto"/>
        </w:rPr>
        <w:t>The Company determines if an arrangement includes a lease at inception by assessing whether there is an identified asset and whether the contract conveys the right to control the use of the identified asset for a period of time in exchange for consideration. Operating leases with a term of more than one year are included in operating lease right-of-use (“ROU”) assets and operating lease liabilities on the Company's consolidated balance sheets. ROU assets represent the Company's right to use an underlying asset for the lease term and lease liabilities represent the obligation to make lease payments. Operating lease ROU assets and liabilities are recognized on the lease commencement date based on the present value of the future minimum lease payments over the lease term. The Company uses the incremental borrowing rate commensurate with the lease term based on the information available at the lease commencement date in determining the present value of the lease payments as the Company's leases generally do not provide an implicit rate. ROU assets initially equal the lease liability, adjusted for any prepaid lease payments and initial direct costs incurred, less any lease incentives received. Certain of the Company's leases</w:t>
      </w:r>
    </w:p>
    <w:p>
      <w:pPr>
        <w:sectPr>
          <w:pgSz w:w="12240" w:h="15840" w:orient="portrait"/>
          <w:cols w:equalWidth="0" w:num="1">
            <w:col w:w="9360"/>
          </w:cols>
          <w:pgMar w:left="1440" w:top="53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ectPr>
          <w:pgSz w:w="12240" w:h="15840" w:orient="portrait"/>
          <w:cols w:equalWidth="0" w:num="1">
            <w:col w:w="9360"/>
          </w:cols>
          <w:pgMar w:left="1440" w:top="539" w:right="1440" w:bottom="0" w:gutter="0" w:footer="0" w:header="0"/>
          <w:type w:val="continuous"/>
        </w:sectPr>
      </w:pPr>
    </w:p>
    <w:bookmarkStart w:id="100" w:name="page101"/>
    <w:bookmarkEnd w:id="100"/>
    <w:p>
      <w:pPr>
        <w:ind w:left="60"/>
        <w:spacing w:after="0"/>
        <w:rPr>
          <w:sz w:val="20"/>
          <w:szCs w:val="20"/>
          <w:color w:val="auto"/>
        </w:rPr>
      </w:pPr>
      <w:r>
        <w:rPr>
          <w:rFonts w:ascii="Times New Roman" w:cs="Times New Roman" w:eastAsia="Times New Roman" w:hAnsi="Times New Roman"/>
          <w:sz w:val="24"/>
          <w:szCs w:val="24"/>
          <w:b w:val="1"/>
          <w:bCs w:val="1"/>
          <w:color w:val="auto"/>
        </w:rPr>
        <w:t>Nautilus Biotechnology, Inc.</w:t>
      </w:r>
    </w:p>
    <w:p>
      <w:pPr>
        <w:spacing w:after="0" w:line="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4"/>
          <w:szCs w:val="24"/>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13335</wp:posOffset>
                </wp:positionV>
                <wp:extent cx="5943600"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5pt" to="468pt,1.05pt" o:allowincell="f" strokecolor="#000000" strokeweight="1pt"/>
            </w:pict>
          </mc:Fallback>
        </mc:AlternateContent>
      </w:r>
    </w:p>
    <w:p>
      <w:pPr>
        <w:spacing w:after="0" w:line="22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include renewal options which allow the Company to, at its election, renew or extend the lease for a fixed or indefinite period of time. These renewal periods are included in the lease terms when the Company is reasonably certain the options will be exercised. Lease expense is recognized on a straight-line basis over the lease term when leases are operating leases. If it is considered a finance lease, expense is recognized over the lease term within interest expense and amortization in the Company’s consolidated statements of operations. The Company also has lease arrangements with lease and non-lease components. The Company elected the practical expedient not to separate non-lease components from lease components for the Company's facility leases and to account for the lease and non-lease components as a single lease component. The Company also elected to apply the short-term lease measurement and recognition exemption in which ROU assets and lease liabilities are not recognized for leases with terms of 12 months or less.</w:t>
      </w:r>
    </w:p>
    <w:p>
      <w:pPr>
        <w:spacing w:after="0" w:line="1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99" w:lineRule="exact"/>
        <w:rPr>
          <w:sz w:val="20"/>
          <w:szCs w:val="20"/>
          <w:color w:val="auto"/>
        </w:rPr>
      </w:pPr>
    </w:p>
    <w:p>
      <w:pPr>
        <w:ind w:right="100" w:firstLine="360"/>
        <w:spacing w:after="0" w:line="253" w:lineRule="auto"/>
        <w:rPr>
          <w:sz w:val="20"/>
          <w:szCs w:val="20"/>
          <w:color w:val="auto"/>
        </w:rPr>
      </w:pPr>
      <w:r>
        <w:rPr>
          <w:rFonts w:ascii="Times New Roman" w:cs="Times New Roman" w:eastAsia="Times New Roman" w:hAnsi="Times New Roman"/>
          <w:sz w:val="20"/>
          <w:szCs w:val="20"/>
          <w:color w:val="auto"/>
        </w:rPr>
        <w:t>The Company accounts for income taxes using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provided if, based upon the weight of available evidence, it is more likely than not that some or all of the net deferred tax assets will not be realized. In making such a determination, the Company considers all available positive and negative evidence, including future reversals of existing taxable temporary differences, projected future taxable income, tax-planning strategies, and recent results of operations, primarily over the most recent three-year period.</w:t>
      </w:r>
    </w:p>
    <w:p>
      <w:pPr>
        <w:spacing w:after="0" w:line="153" w:lineRule="exact"/>
        <w:rPr>
          <w:sz w:val="20"/>
          <w:szCs w:val="20"/>
          <w:color w:val="auto"/>
        </w:rPr>
      </w:pPr>
    </w:p>
    <w:p>
      <w:pPr>
        <w:ind w:right="40" w:firstLine="360"/>
        <w:spacing w:after="0" w:line="260" w:lineRule="auto"/>
        <w:rPr>
          <w:sz w:val="20"/>
          <w:szCs w:val="20"/>
          <w:color w:val="auto"/>
        </w:rPr>
      </w:pPr>
      <w:r>
        <w:rPr>
          <w:rFonts w:ascii="Times New Roman" w:cs="Times New Roman" w:eastAsia="Times New Roman" w:hAnsi="Times New Roman"/>
          <w:sz w:val="20"/>
          <w:szCs w:val="20"/>
          <w:color w:val="auto"/>
        </w:rPr>
        <w:t>The Company recognizes the effect of income tax positions only if those positions are more likely than not of being sustained upon an audit. Recognized income tax positions are measured at the largest amount that is greater than 50% likely of being recognized. Changes in recognition or measurement are reflected in the period in which the change in judgement occurs.</w:t>
      </w:r>
    </w:p>
    <w:p>
      <w:pPr>
        <w:spacing w:after="0" w:line="1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w:t>
      </w:r>
    </w:p>
    <w:p>
      <w:pPr>
        <w:spacing w:after="0" w:line="199" w:lineRule="exact"/>
        <w:rPr>
          <w:sz w:val="20"/>
          <w:szCs w:val="20"/>
          <w:color w:val="auto"/>
        </w:rPr>
      </w:pPr>
    </w:p>
    <w:p>
      <w:pPr>
        <w:ind w:right="140" w:firstLine="360"/>
        <w:spacing w:after="0" w:line="258" w:lineRule="auto"/>
        <w:rPr>
          <w:sz w:val="20"/>
          <w:szCs w:val="20"/>
          <w:color w:val="auto"/>
        </w:rPr>
      </w:pPr>
      <w:r>
        <w:rPr>
          <w:rFonts w:ascii="Times New Roman" w:cs="Times New Roman" w:eastAsia="Times New Roman" w:hAnsi="Times New Roman"/>
          <w:sz w:val="20"/>
          <w:szCs w:val="20"/>
          <w:color w:val="auto"/>
        </w:rPr>
        <w:t>Costs for research and development activities are expensed in the period in which they are incurred. Research and development expenses consist of costs incurred in performing research and development activities, including salaries, bonuses, stock-based compensation, and employee benefits for product development personnel, laboratory supplies and equipment, depreciation and amortization, external costs of vendors engaged to conduct research and development activities, and allocated expenses for technology and facilities.</w:t>
      </w:r>
    </w:p>
    <w:p>
      <w:pPr>
        <w:spacing w:after="0" w:line="138" w:lineRule="exact"/>
        <w:rPr>
          <w:sz w:val="20"/>
          <w:szCs w:val="20"/>
          <w:color w:val="auto"/>
        </w:rPr>
      </w:pPr>
    </w:p>
    <w:p>
      <w:pPr>
        <w:ind w:right="60" w:firstLine="360"/>
        <w:spacing w:after="0" w:line="255" w:lineRule="auto"/>
        <w:rPr>
          <w:sz w:val="20"/>
          <w:szCs w:val="20"/>
          <w:color w:val="auto"/>
        </w:rPr>
      </w:pPr>
      <w:r>
        <w:rPr>
          <w:rFonts w:ascii="Times New Roman" w:cs="Times New Roman" w:eastAsia="Times New Roman" w:hAnsi="Times New Roman"/>
          <w:sz w:val="20"/>
          <w:szCs w:val="20"/>
          <w:color w:val="auto"/>
        </w:rPr>
        <w:t>As part of the process of preparing its financial statements, the Company estimates its accrued expenses</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This process involves reviewing quotations and contracts, identifying services that have been performed on the Company’s behalf and estimating the level of services performed and the associated cost incurred for services for which the Company has not yet been invoiced or otherwise notified of the actual cost. The majority of the Company’s service providers invoice monthly in arrears for services performed or when contractual milestones are met. The Company makes estimates of its accrued expenses at the end of each reporting period based on the facts and circumstances known to the Company at that time. The significant estimates in the Company’s accrued research and development expenses relate to expenses incurred with respect to academic research centers and other vendors in connection with research and development activities for which the Company has not yet been invoiced.</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199" w:lineRule="exact"/>
        <w:rPr>
          <w:sz w:val="20"/>
          <w:szCs w:val="20"/>
          <w:color w:val="auto"/>
        </w:rPr>
      </w:pPr>
    </w:p>
    <w:p>
      <w:pPr>
        <w:ind w:right="60" w:firstLine="360"/>
        <w:spacing w:after="0" w:line="256" w:lineRule="auto"/>
        <w:rPr>
          <w:sz w:val="20"/>
          <w:szCs w:val="20"/>
          <w:color w:val="auto"/>
        </w:rPr>
      </w:pPr>
      <w:r>
        <w:rPr>
          <w:rFonts w:ascii="Times New Roman" w:cs="Times New Roman" w:eastAsia="Times New Roman" w:hAnsi="Times New Roman"/>
          <w:sz w:val="20"/>
          <w:szCs w:val="20"/>
          <w:color w:val="auto"/>
        </w:rPr>
        <w:t>The Company accounts for stock-based compensation expense by calculating the estimated fair value of each employee and non-employee award at the grant date or modification date by applying the Black-Scholes option pricing model (the “model”). The model utilizes the NASDAQ closing price of the Company’s common stock at the measurement date, the expected or contractual term of the option, the expected stock price volatility, risk-free interest rates, and expected dividend yield of the common stock. Stock-based compensation expense is recognized on a straight-line basis over the requisite service period, which is generally the vesting period. Forfeitures are</w:t>
      </w:r>
    </w:p>
    <w:p>
      <w:pPr>
        <w:sectPr>
          <w:pgSz w:w="12240" w:h="15840" w:orient="portrait"/>
          <w:cols w:equalWidth="0" w:num="1">
            <w:col w:w="9360"/>
          </w:cols>
          <w:pgMar w:left="1440" w:top="53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2240" w:h="15840" w:orient="portrait"/>
          <w:cols w:equalWidth="0" w:num="1">
            <w:col w:w="9360"/>
          </w:cols>
          <w:pgMar w:left="1440" w:top="539" w:right="1440" w:bottom="0" w:gutter="0" w:footer="0" w:header="0"/>
          <w:type w:val="continuous"/>
        </w:sectPr>
      </w:pPr>
    </w:p>
    <w:bookmarkStart w:id="101" w:name="page102"/>
    <w:bookmarkEnd w:id="101"/>
    <w:p>
      <w:pPr>
        <w:ind w:left="60"/>
        <w:spacing w:after="0"/>
        <w:rPr>
          <w:sz w:val="20"/>
          <w:szCs w:val="20"/>
          <w:color w:val="auto"/>
        </w:rPr>
      </w:pPr>
      <w:r>
        <w:rPr>
          <w:rFonts w:ascii="Times New Roman" w:cs="Times New Roman" w:eastAsia="Times New Roman" w:hAnsi="Times New Roman"/>
          <w:sz w:val="24"/>
          <w:szCs w:val="24"/>
          <w:b w:val="1"/>
          <w:bCs w:val="1"/>
          <w:color w:val="auto"/>
        </w:rPr>
        <w:t>Nautilus Biotechnology, Inc.</w:t>
      </w:r>
    </w:p>
    <w:p>
      <w:pPr>
        <w:spacing w:after="0" w:line="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4"/>
          <w:szCs w:val="24"/>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13335</wp:posOffset>
                </wp:positionV>
                <wp:extent cx="5943600"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5pt" to="468pt,1.05pt" o:allowincell="f" strokecolor="#000000" strokeweight="1pt"/>
            </w:pict>
          </mc:Fallback>
        </mc:AlternateContent>
      </w:r>
    </w:p>
    <w:p>
      <w:pPr>
        <w:spacing w:after="0" w:line="225"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9"/>
          <w:szCs w:val="19"/>
          <w:color w:val="auto"/>
        </w:rPr>
        <w:t>recognized in the period in which the forfeiture occurs. The Company classifies stock-based compensation expense in its statement of operations in the same manner in which the award recipient’s payroll costs are classified or in which the award’s recipient’s service payments are classified. The Company’s stock-based compensation programs include stock options grants, as well as shares issued under its 2021 Employee Stock Purchase Plan.</w:t>
      </w:r>
    </w:p>
    <w:p>
      <w:pPr>
        <w:spacing w:after="0" w:line="128" w:lineRule="exact"/>
        <w:rPr>
          <w:sz w:val="20"/>
          <w:szCs w:val="20"/>
          <w:color w:val="auto"/>
        </w:rPr>
      </w:pPr>
    </w:p>
    <w:p>
      <w:pPr>
        <w:ind w:right="660" w:firstLine="360"/>
        <w:spacing w:after="0" w:line="281" w:lineRule="auto"/>
        <w:rPr>
          <w:sz w:val="20"/>
          <w:szCs w:val="20"/>
          <w:color w:val="auto"/>
        </w:rPr>
      </w:pPr>
      <w:r>
        <w:rPr>
          <w:rFonts w:ascii="Times New Roman" w:cs="Times New Roman" w:eastAsia="Times New Roman" w:hAnsi="Times New Roman"/>
          <w:sz w:val="20"/>
          <w:szCs w:val="20"/>
          <w:color w:val="auto"/>
        </w:rPr>
        <w:t>The Company calculates the expected term as the mid-point between the requisite service period and the contractual term of the award.</w:t>
      </w:r>
    </w:p>
    <w:p>
      <w:pPr>
        <w:spacing w:after="0" w:line="121" w:lineRule="exact"/>
        <w:rPr>
          <w:sz w:val="20"/>
          <w:szCs w:val="20"/>
          <w:color w:val="auto"/>
        </w:rPr>
      </w:pPr>
    </w:p>
    <w:p>
      <w:pPr>
        <w:ind w:right="340" w:firstLine="360"/>
        <w:spacing w:after="0" w:line="309" w:lineRule="auto"/>
        <w:rPr>
          <w:sz w:val="20"/>
          <w:szCs w:val="20"/>
          <w:color w:val="auto"/>
        </w:rPr>
      </w:pPr>
      <w:r>
        <w:rPr>
          <w:rFonts w:ascii="Times New Roman" w:cs="Times New Roman" w:eastAsia="Times New Roman" w:hAnsi="Times New Roman"/>
          <w:sz w:val="19"/>
          <w:szCs w:val="19"/>
          <w:color w:val="auto"/>
        </w:rPr>
        <w:t>The Company bases its estimate of expected volatility on the historical volatility of comparable public companies from a representative peer group selected based on industry, financial, and market capitalization data.</w:t>
      </w:r>
    </w:p>
    <w:p>
      <w:pPr>
        <w:spacing w:after="0" w:line="97" w:lineRule="exact"/>
        <w:rPr>
          <w:sz w:val="20"/>
          <w:szCs w:val="20"/>
          <w:color w:val="auto"/>
        </w:rPr>
      </w:pPr>
    </w:p>
    <w:p>
      <w:pPr>
        <w:ind w:right="20" w:firstLine="360"/>
        <w:spacing w:after="0" w:line="266" w:lineRule="auto"/>
        <w:rPr>
          <w:sz w:val="20"/>
          <w:szCs w:val="20"/>
          <w:color w:val="auto"/>
        </w:rPr>
      </w:pPr>
      <w:r>
        <w:rPr>
          <w:rFonts w:ascii="Times New Roman" w:cs="Times New Roman" w:eastAsia="Times New Roman" w:hAnsi="Times New Roman"/>
          <w:sz w:val="20"/>
          <w:szCs w:val="20"/>
          <w:color w:val="auto"/>
        </w:rPr>
        <w:t>The Company has never declared or paid any dividends and does not currently expect to do so in the future. The risk-free interest rate used in the model is based on the implied yield currently available in the U.S. Treasury securities at maturity with an equivalent term.</w:t>
      </w:r>
    </w:p>
    <w:p>
      <w:pPr>
        <w:spacing w:after="0" w:line="1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Comprehensive Loss</w:t>
      </w:r>
    </w:p>
    <w:p>
      <w:pPr>
        <w:spacing w:after="0" w:line="199" w:lineRule="exact"/>
        <w:rPr>
          <w:sz w:val="20"/>
          <w:szCs w:val="20"/>
          <w:color w:val="auto"/>
        </w:rPr>
      </w:pPr>
    </w:p>
    <w:p>
      <w:pPr>
        <w:jc w:val="both"/>
        <w:ind w:right="60" w:firstLine="360"/>
        <w:spacing w:after="0" w:line="266" w:lineRule="auto"/>
        <w:rPr>
          <w:sz w:val="20"/>
          <w:szCs w:val="20"/>
          <w:color w:val="auto"/>
        </w:rPr>
      </w:pPr>
      <w:r>
        <w:rPr>
          <w:rFonts w:ascii="Times New Roman" w:cs="Times New Roman" w:eastAsia="Times New Roman" w:hAnsi="Times New Roman"/>
          <w:sz w:val="20"/>
          <w:szCs w:val="20"/>
          <w:color w:val="auto"/>
        </w:rPr>
        <w:t>Comprehensive loss consists of net loss and other gains or losses affecting stockholders’ equity that, under U.S. GAAP are excluded from net loss. For the years ended December 31, 2023 and 2022, unrealized gains and losses on marketable debt securities were included as a component of comprehensive income (loss).</w:t>
      </w:r>
    </w:p>
    <w:p>
      <w:pPr>
        <w:spacing w:after="0" w:line="1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Net Loss per Share Attributable to Common Stockholders</w:t>
      </w:r>
    </w:p>
    <w:p>
      <w:pPr>
        <w:spacing w:after="0" w:line="199" w:lineRule="exact"/>
        <w:rPr>
          <w:sz w:val="20"/>
          <w:szCs w:val="20"/>
          <w:color w:val="auto"/>
        </w:rPr>
      </w:pPr>
    </w:p>
    <w:p>
      <w:pPr>
        <w:ind w:right="40" w:firstLine="360"/>
        <w:spacing w:after="0" w:line="270" w:lineRule="auto"/>
        <w:rPr>
          <w:sz w:val="20"/>
          <w:szCs w:val="20"/>
          <w:color w:val="auto"/>
        </w:rPr>
      </w:pPr>
      <w:r>
        <w:rPr>
          <w:rFonts w:ascii="Times New Roman" w:cs="Times New Roman" w:eastAsia="Times New Roman" w:hAnsi="Times New Roman"/>
          <w:sz w:val="19"/>
          <w:szCs w:val="19"/>
          <w:color w:val="auto"/>
        </w:rPr>
        <w:t>Basic net loss per common share is calculated by dividing the net loss attributable to common stockholders by the weighted-average number of common stock outstanding during the period, without consideration of potentially dilutive securities. Diluted net loss per share is computed by dividing the net loss attributable to common stockholders by the weighted-average number of common stock and potentially dilutive securities outstanding for the period. For the purposes of the diluted net loss per share calculation, stock options and shares to be purchased from the Employee Stock Purchase Plan are considered to be potentially dilutive securities. The net loss is attributed entirely to the Company’s common stockholders. Since the Company has reported a net loss for all periods presented, diluted net loss per common share is the same as basic net loss per common share for those periods.</w:t>
      </w:r>
    </w:p>
    <w:p>
      <w:pPr>
        <w:spacing w:after="0" w:line="1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Accounting Pronouncements</w:t>
      </w:r>
    </w:p>
    <w:p>
      <w:pPr>
        <w:spacing w:after="0" w:line="199" w:lineRule="exact"/>
        <w:rPr>
          <w:sz w:val="20"/>
          <w:szCs w:val="20"/>
          <w:color w:val="auto"/>
        </w:rPr>
      </w:pPr>
    </w:p>
    <w:p>
      <w:pPr>
        <w:ind w:right="180" w:firstLine="360"/>
        <w:spacing w:after="0" w:line="256" w:lineRule="auto"/>
        <w:rPr>
          <w:sz w:val="20"/>
          <w:szCs w:val="20"/>
          <w:color w:val="auto"/>
        </w:rPr>
      </w:pPr>
      <w:r>
        <w:rPr>
          <w:rFonts w:ascii="Times New Roman" w:cs="Times New Roman" w:eastAsia="Times New Roman" w:hAnsi="Times New Roman"/>
          <w:sz w:val="20"/>
          <w:szCs w:val="20"/>
          <w:color w:val="auto"/>
        </w:rPr>
        <w:t>The Company is provided the option to adopt new or revised accounting guidance as an “emerging growth company” under the Jumpstart Our Business Startups Act of 2012 (the “JOBS Act”) either (1) within the same periods as those otherwise applicable to public business entities, or (2) within the same time periods as non-public business entities, including early adoption when permissible. With the exception of standards the Company elected to early adopt, when permissible, the Company has elected to adopt new or revised accounting guidance within the same time period as non-public business entities, as indicated below.</w:t>
      </w:r>
    </w:p>
    <w:p>
      <w:pPr>
        <w:spacing w:after="0" w:line="1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Recently Adopted Accounting Standards</w:t>
      </w:r>
    </w:p>
    <w:p>
      <w:pPr>
        <w:spacing w:after="0" w:line="194"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20"/>
          <w:szCs w:val="20"/>
          <w:color w:val="auto"/>
        </w:rPr>
        <w:t>In June 2016, the FASB issued ASU No. 2016-13, “Financial Instruments- Credit Losses (Topic 326): Measurement of Credit Losses on Financial Instruments,” which amends existing guidance on the impairment of financial assets and adds an impairment model that is based on expected losses rather than incurred losses and requires an entity to recognize as an allowance its estimate of expected credit losses for its financial assets. An entity will apply this guidance through a cumulative-effect adjustment to retained earnings upon adoption (a modified-retrospective approach) while a prospective transition approach is required for debt securities for which an other-than-temporary impairment had been recognized before the effective date. This ASU is effective for the Company for its fiscal year ending December 31, 2023. Early adoption is permitted. The Company adopted this ASU on January 1, 2023 and the adoption did not have a material impact on its consolidated financial statements.</w:t>
      </w:r>
    </w:p>
    <w:p>
      <w:pPr>
        <w:spacing w:after="0" w:line="1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Recently Issued Accounting Pronouncements</w:t>
      </w:r>
    </w:p>
    <w:p>
      <w:pPr>
        <w:spacing w:after="0" w:line="194" w:lineRule="exact"/>
        <w:rPr>
          <w:sz w:val="20"/>
          <w:szCs w:val="20"/>
          <w:color w:val="auto"/>
        </w:rPr>
      </w:pPr>
    </w:p>
    <w:p>
      <w:pPr>
        <w:ind w:right="440" w:firstLine="360"/>
        <w:spacing w:after="0" w:line="309" w:lineRule="auto"/>
        <w:rPr>
          <w:sz w:val="20"/>
          <w:szCs w:val="20"/>
          <w:color w:val="auto"/>
        </w:rPr>
      </w:pPr>
      <w:r>
        <w:rPr>
          <w:rFonts w:ascii="Times New Roman" w:cs="Times New Roman" w:eastAsia="Times New Roman" w:hAnsi="Times New Roman"/>
          <w:sz w:val="19"/>
          <w:szCs w:val="19"/>
          <w:color w:val="auto"/>
        </w:rPr>
        <w:t>In November 2023, the FASB issued ASU 2023-07, “Segment Reporting (Topic 280): Improvements to Reportable Segment Disclosures,” which amends existing guidance on segment reporting to improve reportable</w:t>
      </w:r>
    </w:p>
    <w:p>
      <w:pPr>
        <w:sectPr>
          <w:pgSz w:w="12240" w:h="15840" w:orient="portrait"/>
          <w:cols w:equalWidth="0" w:num="1">
            <w:col w:w="9360"/>
          </w:cols>
          <w:pgMar w:left="1440" w:top="53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2240" w:h="15840" w:orient="portrait"/>
          <w:cols w:equalWidth="0" w:num="1">
            <w:col w:w="9360"/>
          </w:cols>
          <w:pgMar w:left="1440" w:top="539" w:right="1440" w:bottom="0" w:gutter="0" w:footer="0" w:header="0"/>
          <w:type w:val="continuous"/>
        </w:sectPr>
      </w:pPr>
    </w:p>
    <w:bookmarkStart w:id="102" w:name="page103"/>
    <w:bookmarkEnd w:id="102"/>
    <w:p>
      <w:pPr>
        <w:ind w:left="60"/>
        <w:spacing w:after="0"/>
        <w:rPr>
          <w:sz w:val="20"/>
          <w:szCs w:val="20"/>
          <w:color w:val="auto"/>
        </w:rPr>
      </w:pPr>
      <w:r>
        <w:rPr>
          <w:rFonts w:ascii="Times New Roman" w:cs="Times New Roman" w:eastAsia="Times New Roman" w:hAnsi="Times New Roman"/>
          <w:sz w:val="24"/>
          <w:szCs w:val="24"/>
          <w:b w:val="1"/>
          <w:bCs w:val="1"/>
          <w:color w:val="auto"/>
        </w:rPr>
        <w:t>Nautilus Biotechnology, Inc.</w:t>
      </w:r>
    </w:p>
    <w:p>
      <w:pPr>
        <w:spacing w:after="0" w:line="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4"/>
          <w:szCs w:val="24"/>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13335</wp:posOffset>
                </wp:positionV>
                <wp:extent cx="5943600"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5pt" to="468pt,1.05pt" o:allowincell="f" strokecolor="#000000" strokeweight="1pt"/>
            </w:pict>
          </mc:Fallback>
        </mc:AlternateContent>
      </w:r>
    </w:p>
    <w:p>
      <w:pPr>
        <w:spacing w:after="0" w:line="225" w:lineRule="exact"/>
        <w:rPr>
          <w:sz w:val="20"/>
          <w:szCs w:val="20"/>
          <w:color w:val="auto"/>
        </w:rPr>
      </w:pPr>
    </w:p>
    <w:p>
      <w:pPr>
        <w:jc w:val="both"/>
        <w:ind w:right="720"/>
        <w:spacing w:after="0" w:line="260" w:lineRule="auto"/>
        <w:rPr>
          <w:sz w:val="20"/>
          <w:szCs w:val="20"/>
          <w:color w:val="auto"/>
        </w:rPr>
      </w:pPr>
      <w:r>
        <w:rPr>
          <w:rFonts w:ascii="Times New Roman" w:cs="Times New Roman" w:eastAsia="Times New Roman" w:hAnsi="Times New Roman"/>
          <w:sz w:val="20"/>
          <w:szCs w:val="20"/>
          <w:color w:val="auto"/>
        </w:rPr>
        <w:t>segment disclosure requirements through enhanced disclosures about significant segment expenses. The ASU is effective for the Company for the fiscal year ending December 31, 2024 and for interim periods beginning after December 31, 2024. The Company is in the process of evaluating the impact of the adoption of this Accounting Standards Update on its consolidated financial statements and related disclosures.</w:t>
      </w:r>
    </w:p>
    <w:p>
      <w:pPr>
        <w:spacing w:after="0" w:line="143" w:lineRule="exact"/>
        <w:rPr>
          <w:sz w:val="20"/>
          <w:szCs w:val="20"/>
          <w:color w:val="auto"/>
        </w:rPr>
      </w:pPr>
    </w:p>
    <w:p>
      <w:pPr>
        <w:ind w:right="440" w:firstLine="360"/>
        <w:spacing w:after="0" w:line="256" w:lineRule="auto"/>
        <w:rPr>
          <w:sz w:val="20"/>
          <w:szCs w:val="20"/>
          <w:color w:val="auto"/>
        </w:rPr>
      </w:pPr>
      <w:r>
        <w:rPr>
          <w:rFonts w:ascii="Times New Roman" w:cs="Times New Roman" w:eastAsia="Times New Roman" w:hAnsi="Times New Roman"/>
          <w:sz w:val="20"/>
          <w:szCs w:val="20"/>
          <w:color w:val="auto"/>
        </w:rPr>
        <w:t>In December 2023, the FASB issued ASU 2023-09, “Income Taxes (Topic 740): Improvements to Income Tax Disclosures,” to enhance the transparency and decision usefulness of income tax disclosures. The ASU is effective for the Company for the fiscal year ending December 31, 2025. The Company is in the process of evaluating the impact of the adoption of this Accounting Standards Update on its consolidated financial statements and related disclosures. The Company does not anticipate adoption to have a material impact on its consolidated financial statements and related disclosures.</w:t>
      </w:r>
    </w:p>
    <w:p>
      <w:pPr>
        <w:spacing w:after="0" w:line="165" w:lineRule="exact"/>
        <w:rPr>
          <w:sz w:val="20"/>
          <w:szCs w:val="20"/>
          <w:color w:val="auto"/>
        </w:rPr>
      </w:pPr>
    </w:p>
    <w:p>
      <w:pPr>
        <w:ind w:left="720" w:hanging="720"/>
        <w:spacing w:after="0"/>
        <w:tabs>
          <w:tab w:leader="none" w:pos="720"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Fair Value Measurements</w:t>
      </w:r>
    </w:p>
    <w:p>
      <w:pPr>
        <w:spacing w:after="0" w:line="197" w:lineRule="exact"/>
        <w:rPr>
          <w:sz w:val="20"/>
          <w:szCs w:val="20"/>
          <w:color w:val="auto"/>
        </w:rPr>
      </w:pPr>
    </w:p>
    <w:p>
      <w:pPr>
        <w:ind w:right="680" w:firstLine="360"/>
        <w:spacing w:after="0" w:line="281" w:lineRule="auto"/>
        <w:rPr>
          <w:sz w:val="20"/>
          <w:szCs w:val="20"/>
          <w:color w:val="auto"/>
        </w:rPr>
      </w:pPr>
      <w:r>
        <w:rPr>
          <w:rFonts w:ascii="Times New Roman" w:cs="Times New Roman" w:eastAsia="Times New Roman" w:hAnsi="Times New Roman"/>
          <w:sz w:val="20"/>
          <w:szCs w:val="20"/>
          <w:color w:val="auto"/>
        </w:rPr>
        <w:t>The following table details the assets carried at fair value and measured on a recurring basis within the three levels of fair value as of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103505</wp:posOffset>
            </wp:positionV>
            <wp:extent cx="6169025" cy="26765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4">
                      <a:extLst>
                        <a:ext uri="{28A0092B-C50C-407E-A947-70E740481C1C}"/>
                      </a:extLst>
                    </a:blip>
                    <a:srcRect/>
                    <a:stretch>
                      <a:fillRect/>
                    </a:stretch>
                  </pic:blipFill>
                  <pic:spPr bwMode="auto">
                    <a:xfrm>
                      <a:off x="0" y="0"/>
                      <a:ext cx="6169025" cy="2676525"/>
                    </a:xfrm>
                    <a:prstGeom prst="rect">
                      <a:avLst/>
                    </a:prstGeom>
                    <a:noFill/>
                  </pic:spPr>
                </pic:pic>
              </a:graphicData>
            </a:graphic>
          </wp:anchor>
        </w:drawing>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18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Reported as:</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1"/>
        </w:trPr>
        <w:tc>
          <w:tcPr>
            <w:tcW w:w="180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60" w:type="dxa"/>
            <w:vAlign w:val="bottom"/>
          </w:tcPr>
          <w:p>
            <w:pPr>
              <w:spacing w:after="0"/>
              <w:rPr>
                <w:sz w:val="24"/>
                <w:szCs w:val="2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240" w:type="dxa"/>
            <w:vAlign w:val="bottom"/>
          </w:tcPr>
          <w:p>
            <w:pPr>
              <w:spacing w:after="0"/>
              <w:rPr>
                <w:sz w:val="24"/>
                <w:szCs w:val="24"/>
                <w:color w:val="auto"/>
              </w:rPr>
            </w:pPr>
          </w:p>
        </w:tc>
        <w:tc>
          <w:tcPr>
            <w:tcW w:w="840" w:type="dxa"/>
            <w:vAlign w:val="bottom"/>
            <w:vMerge w:val="restart"/>
          </w:tcPr>
          <w:p>
            <w:pPr>
              <w:jc w:val="right"/>
              <w:ind w:right="244"/>
              <w:spacing w:after="0"/>
              <w:rPr>
                <w:sz w:val="20"/>
                <w:szCs w:val="20"/>
                <w:color w:val="auto"/>
              </w:rPr>
            </w:pPr>
            <w:r>
              <w:rPr>
                <w:rFonts w:ascii="Times New Roman" w:cs="Times New Roman" w:eastAsia="Times New Roman" w:hAnsi="Times New Roman"/>
                <w:sz w:val="16"/>
                <w:szCs w:val="16"/>
                <w:b w:val="1"/>
                <w:bCs w:val="1"/>
                <w:color w:val="auto"/>
              </w:rPr>
              <w:t>Gains</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vMerge w:val="restart"/>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40" w:type="dxa"/>
            <w:vAlign w:val="bottom"/>
          </w:tcPr>
          <w:p>
            <w:pPr>
              <w:spacing w:after="0"/>
              <w:rPr>
                <w:sz w:val="24"/>
                <w:szCs w:val="24"/>
                <w:color w:val="auto"/>
              </w:rPr>
            </w:pPr>
          </w:p>
        </w:tc>
        <w:tc>
          <w:tcPr>
            <w:tcW w:w="820" w:type="dxa"/>
            <w:vAlign w:val="bottom"/>
          </w:tcPr>
          <w:p>
            <w:pPr>
              <w:jc w:val="center"/>
              <w:ind w:right="142"/>
              <w:spacing w:after="0"/>
              <w:rPr>
                <w:sz w:val="20"/>
                <w:szCs w:val="20"/>
                <w:color w:val="auto"/>
              </w:rPr>
            </w:pPr>
            <w:r>
              <w:rPr>
                <w:rFonts w:ascii="Times New Roman" w:cs="Times New Roman" w:eastAsia="Times New Roman" w:hAnsi="Times New Roman"/>
                <w:sz w:val="16"/>
                <w:szCs w:val="16"/>
                <w:b w:val="1"/>
                <w:bCs w:val="1"/>
                <w:color w:val="auto"/>
                <w:w w:val="97"/>
              </w:rPr>
              <w:t>Cash</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9"/>
              </w:rPr>
              <w:t>Short-term</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0" w:type="dxa"/>
            <w:vAlign w:val="bottom"/>
          </w:tcPr>
          <w:p>
            <w:pPr>
              <w:spacing w:after="0"/>
              <w:rPr>
                <w:sz w:val="1"/>
                <w:szCs w:val="1"/>
                <w:color w:val="auto"/>
              </w:rPr>
            </w:pPr>
          </w:p>
        </w:tc>
      </w:tr>
      <w:tr>
        <w:trPr>
          <w:trHeight w:val="214"/>
        </w:trPr>
        <w:tc>
          <w:tcPr>
            <w:tcW w:w="18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equivalents</w:t>
            </w:r>
          </w:p>
        </w:tc>
        <w:tc>
          <w:tcPr>
            <w:tcW w:w="6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investments</w:t>
            </w:r>
          </w:p>
        </w:tc>
        <w:tc>
          <w:tcPr>
            <w:tcW w:w="6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investments</w:t>
            </w:r>
          </w:p>
        </w:tc>
        <w:tc>
          <w:tcPr>
            <w:tcW w:w="0" w:type="dxa"/>
            <w:vAlign w:val="bottom"/>
          </w:tcPr>
          <w:p>
            <w:pPr>
              <w:spacing w:after="0"/>
              <w:rPr>
                <w:sz w:val="1"/>
                <w:szCs w:val="1"/>
                <w:color w:val="auto"/>
              </w:rPr>
            </w:pPr>
          </w:p>
        </w:tc>
      </w:tr>
      <w:tr>
        <w:trPr>
          <w:trHeight w:val="262"/>
        </w:trPr>
        <w:tc>
          <w:tcPr>
            <w:tcW w:w="18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1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Mutual funds</w:t>
            </w: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590</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590</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590</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0"/>
        </w:trPr>
        <w:tc>
          <w:tcPr>
            <w:tcW w:w="180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U.S. treasury</w:t>
            </w:r>
          </w:p>
        </w:tc>
        <w:tc>
          <w:tcPr>
            <w:tcW w:w="1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74,115</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restart"/>
          </w:tcPr>
          <w:p>
            <w:pPr>
              <w:jc w:val="right"/>
              <w:ind w:right="4"/>
              <w:spacing w:after="0"/>
              <w:rPr>
                <w:sz w:val="20"/>
                <w:szCs w:val="20"/>
                <w:color w:val="auto"/>
              </w:rPr>
            </w:pPr>
            <w:r>
              <w:rPr>
                <w:rFonts w:ascii="Times New Roman" w:cs="Times New Roman" w:eastAsia="Times New Roman" w:hAnsi="Times New Roman"/>
                <w:sz w:val="20"/>
                <w:szCs w:val="20"/>
                <w:color w:val="auto"/>
              </w:rPr>
              <w:t>104</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(247)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73,972</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50,638</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23,334</w:t>
            </w:r>
          </w:p>
        </w:tc>
        <w:tc>
          <w:tcPr>
            <w:tcW w:w="0" w:type="dxa"/>
            <w:vAlign w:val="bottom"/>
          </w:tcPr>
          <w:p>
            <w:pPr>
              <w:spacing w:after="0"/>
              <w:rPr>
                <w:sz w:val="1"/>
                <w:szCs w:val="1"/>
                <w:color w:val="auto"/>
              </w:rPr>
            </w:pPr>
          </w:p>
        </w:tc>
      </w:tr>
      <w:tr>
        <w:trPr>
          <w:trHeight w:val="263"/>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securities</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18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 Level 1</w:t>
            </w: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74,705</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104</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74,562</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590</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50,638</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23,334</w:t>
            </w:r>
          </w:p>
        </w:tc>
        <w:tc>
          <w:tcPr>
            <w:tcW w:w="0" w:type="dxa"/>
            <w:vAlign w:val="bottom"/>
          </w:tcPr>
          <w:p>
            <w:pPr>
              <w:spacing w:after="0"/>
              <w:rPr>
                <w:sz w:val="1"/>
                <w:szCs w:val="1"/>
                <w:color w:val="auto"/>
              </w:rPr>
            </w:pPr>
          </w:p>
        </w:tc>
      </w:tr>
      <w:tr>
        <w:trPr>
          <w:trHeight w:val="285"/>
        </w:trPr>
        <w:tc>
          <w:tcPr>
            <w:tcW w:w="18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Commercial paper</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18,653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18,644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18,644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5"/>
        </w:trPr>
        <w:tc>
          <w:tcPr>
            <w:tcW w:w="180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Corporate debt</w:t>
            </w:r>
          </w:p>
        </w:tc>
        <w:tc>
          <w:tcPr>
            <w:tcW w:w="1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6,950</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restart"/>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6,913</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6,913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securities</w:t>
            </w:r>
          </w:p>
        </w:tc>
        <w:tc>
          <w:tcPr>
            <w:tcW w:w="1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Agency securities</w:t>
            </w: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163,849</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358</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(424)</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163,783</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96,470</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67,313</w:t>
            </w:r>
          </w:p>
        </w:tc>
        <w:tc>
          <w:tcPr>
            <w:tcW w:w="0" w:type="dxa"/>
            <w:vAlign w:val="bottom"/>
          </w:tcPr>
          <w:p>
            <w:pPr>
              <w:spacing w:after="0"/>
              <w:rPr>
                <w:sz w:val="1"/>
                <w:szCs w:val="1"/>
                <w:color w:val="auto"/>
              </w:rPr>
            </w:pPr>
          </w:p>
        </w:tc>
      </w:tr>
      <w:tr>
        <w:trPr>
          <w:trHeight w:val="265"/>
        </w:trPr>
        <w:tc>
          <w:tcPr>
            <w:tcW w:w="18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 Level 2</w:t>
            </w: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189,452</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358</w:t>
            </w: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(470)</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189,340</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18,644</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103,383</w:t>
            </w:r>
          </w:p>
        </w:tc>
        <w:tc>
          <w:tcPr>
            <w:tcW w:w="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67,313</w:t>
            </w:r>
          </w:p>
        </w:tc>
        <w:tc>
          <w:tcPr>
            <w:tcW w:w="0" w:type="dxa"/>
            <w:vAlign w:val="bottom"/>
          </w:tcPr>
          <w:p>
            <w:pPr>
              <w:spacing w:after="0"/>
              <w:rPr>
                <w:sz w:val="1"/>
                <w:szCs w:val="1"/>
                <w:color w:val="auto"/>
              </w:rPr>
            </w:pPr>
          </w:p>
        </w:tc>
      </w:tr>
      <w:tr>
        <w:trPr>
          <w:trHeight w:val="182"/>
        </w:trPr>
        <w:tc>
          <w:tcPr>
            <w:tcW w:w="1800" w:type="dxa"/>
            <w:vAlign w:val="bottom"/>
          </w:tcPr>
          <w:p>
            <w:pPr>
              <w:ind w:left="240"/>
              <w:spacing w:after="0" w:line="182" w:lineRule="exact"/>
              <w:rPr>
                <w:sz w:val="20"/>
                <w:szCs w:val="20"/>
                <w:color w:val="auto"/>
              </w:rPr>
            </w:pPr>
            <w:r>
              <w:rPr>
                <w:rFonts w:ascii="Times New Roman" w:cs="Times New Roman" w:eastAsia="Times New Roman" w:hAnsi="Times New Roman"/>
                <w:sz w:val="20"/>
                <w:szCs w:val="20"/>
                <w:color w:val="auto"/>
              </w:rPr>
              <w:t>Total Level 1 and</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264,157</w:t>
            </w:r>
          </w:p>
        </w:tc>
        <w:tc>
          <w:tcPr>
            <w:tcW w:w="60" w:type="dxa"/>
            <w:vAlign w:val="bottom"/>
          </w:tcPr>
          <w:p>
            <w:pPr>
              <w:spacing w:after="0"/>
              <w:rPr>
                <w:sz w:val="15"/>
                <w:szCs w:val="15"/>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vMerge w:val="restart"/>
          </w:tcPr>
          <w:p>
            <w:pPr>
              <w:jc w:val="right"/>
              <w:ind w:right="4"/>
              <w:spacing w:after="0"/>
              <w:rPr>
                <w:sz w:val="20"/>
                <w:szCs w:val="20"/>
                <w:color w:val="auto"/>
              </w:rPr>
            </w:pPr>
            <w:r>
              <w:rPr>
                <w:rFonts w:ascii="Times New Roman" w:cs="Times New Roman" w:eastAsia="Times New Roman" w:hAnsi="Times New Roman"/>
                <w:sz w:val="20"/>
                <w:szCs w:val="20"/>
                <w:color w:val="auto"/>
              </w:rPr>
              <w:t>462</w:t>
            </w:r>
          </w:p>
        </w:tc>
        <w:tc>
          <w:tcPr>
            <w:tcW w:w="60" w:type="dxa"/>
            <w:vAlign w:val="bottom"/>
            <w:vMerge w:val="restart"/>
          </w:tcPr>
          <w:p>
            <w:pPr>
              <w:spacing w:after="0"/>
              <w:rPr>
                <w:sz w:val="15"/>
                <w:szCs w:val="15"/>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(717)</w:t>
            </w:r>
          </w:p>
        </w:tc>
        <w:tc>
          <w:tcPr>
            <w:tcW w:w="60" w:type="dxa"/>
            <w:vAlign w:val="bottom"/>
            <w:vMerge w:val="restart"/>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263,902</w:t>
            </w:r>
          </w:p>
        </w:tc>
        <w:tc>
          <w:tcPr>
            <w:tcW w:w="60" w:type="dxa"/>
            <w:vAlign w:val="bottom"/>
          </w:tcPr>
          <w:p>
            <w:pPr>
              <w:spacing w:after="0"/>
              <w:rPr>
                <w:sz w:val="15"/>
                <w:szCs w:val="15"/>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19,234</w:t>
            </w:r>
          </w:p>
        </w:tc>
        <w:tc>
          <w:tcPr>
            <w:tcW w:w="60" w:type="dxa"/>
            <w:vAlign w:val="bottom"/>
            <w:vMerge w:val="restart"/>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154,021</w:t>
            </w:r>
          </w:p>
        </w:tc>
        <w:tc>
          <w:tcPr>
            <w:tcW w:w="60" w:type="dxa"/>
            <w:vAlign w:val="bottom"/>
            <w:vMerge w:val="restart"/>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90,647</w:t>
            </w:r>
          </w:p>
        </w:tc>
        <w:tc>
          <w:tcPr>
            <w:tcW w:w="0" w:type="dxa"/>
            <w:vAlign w:val="bottom"/>
          </w:tcPr>
          <w:p>
            <w:pPr>
              <w:spacing w:after="0"/>
              <w:rPr>
                <w:sz w:val="1"/>
                <w:szCs w:val="1"/>
                <w:color w:val="auto"/>
              </w:rPr>
            </w:pPr>
          </w:p>
        </w:tc>
      </w:tr>
      <w:tr>
        <w:trPr>
          <w:trHeight w:val="248"/>
        </w:trPr>
        <w:tc>
          <w:tcPr>
            <w:tcW w:w="18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Level 2</w:t>
            </w:r>
          </w:p>
        </w:tc>
        <w:tc>
          <w:tcPr>
            <w:tcW w:w="160" w:type="dxa"/>
            <w:vAlign w:val="bottom"/>
            <w:tcBorders>
              <w:bottom w:val="single" w:sz="8" w:color="auto"/>
            </w:tcBorders>
            <w:vMerge w:val="continue"/>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bottom w:val="single" w:sz="8" w:color="auto"/>
            </w:tcBorders>
            <w:vMerge w:val="continue"/>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220" w:type="dxa"/>
            <w:vAlign w:val="bottom"/>
            <w:tcBorders>
              <w:bottom w:val="single" w:sz="8" w:color="auto"/>
            </w:tcBorders>
            <w:vMerge w:val="continue"/>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bottom w:val="single" w:sz="8" w:color="auto"/>
            </w:tcBorders>
            <w:vMerge w:val="continue"/>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40" w:type="dxa"/>
            <w:vAlign w:val="bottom"/>
            <w:tcBorders>
              <w:bottom w:val="single" w:sz="8" w:color="auto"/>
            </w:tcBorders>
            <w:vMerge w:val="continue"/>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18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Reported as:</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180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60" w:type="dxa"/>
            <w:vAlign w:val="bottom"/>
          </w:tcPr>
          <w:p>
            <w:pPr>
              <w:spacing w:after="0"/>
              <w:rPr>
                <w:sz w:val="24"/>
                <w:szCs w:val="2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240" w:type="dxa"/>
            <w:vAlign w:val="bottom"/>
          </w:tcPr>
          <w:p>
            <w:pPr>
              <w:spacing w:after="0"/>
              <w:rPr>
                <w:sz w:val="24"/>
                <w:szCs w:val="24"/>
                <w:color w:val="auto"/>
              </w:rPr>
            </w:pPr>
          </w:p>
        </w:tc>
        <w:tc>
          <w:tcPr>
            <w:tcW w:w="840" w:type="dxa"/>
            <w:vAlign w:val="bottom"/>
            <w:vMerge w:val="restart"/>
          </w:tcPr>
          <w:p>
            <w:pPr>
              <w:jc w:val="right"/>
              <w:ind w:right="244"/>
              <w:spacing w:after="0"/>
              <w:rPr>
                <w:sz w:val="20"/>
                <w:szCs w:val="20"/>
                <w:color w:val="auto"/>
              </w:rPr>
            </w:pPr>
            <w:r>
              <w:rPr>
                <w:rFonts w:ascii="Times New Roman" w:cs="Times New Roman" w:eastAsia="Times New Roman" w:hAnsi="Times New Roman"/>
                <w:sz w:val="16"/>
                <w:szCs w:val="16"/>
                <w:b w:val="1"/>
                <w:bCs w:val="1"/>
                <w:color w:val="auto"/>
              </w:rPr>
              <w:t>Gains</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vMerge w:val="restart"/>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40" w:type="dxa"/>
            <w:vAlign w:val="bottom"/>
          </w:tcPr>
          <w:p>
            <w:pPr>
              <w:spacing w:after="0"/>
              <w:rPr>
                <w:sz w:val="24"/>
                <w:szCs w:val="24"/>
                <w:color w:val="auto"/>
              </w:rPr>
            </w:pPr>
          </w:p>
        </w:tc>
        <w:tc>
          <w:tcPr>
            <w:tcW w:w="820" w:type="dxa"/>
            <w:vAlign w:val="bottom"/>
          </w:tcPr>
          <w:p>
            <w:pPr>
              <w:jc w:val="center"/>
              <w:ind w:right="142"/>
              <w:spacing w:after="0"/>
              <w:rPr>
                <w:sz w:val="20"/>
                <w:szCs w:val="20"/>
                <w:color w:val="auto"/>
              </w:rPr>
            </w:pPr>
            <w:r>
              <w:rPr>
                <w:rFonts w:ascii="Times New Roman" w:cs="Times New Roman" w:eastAsia="Times New Roman" w:hAnsi="Times New Roman"/>
                <w:sz w:val="16"/>
                <w:szCs w:val="16"/>
                <w:b w:val="1"/>
                <w:bCs w:val="1"/>
                <w:color w:val="auto"/>
                <w:w w:val="97"/>
              </w:rPr>
              <w:t>Cash</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9"/>
              </w:rPr>
              <w:t>Short-term</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0" w:type="dxa"/>
            <w:vAlign w:val="bottom"/>
          </w:tcPr>
          <w:p>
            <w:pPr>
              <w:spacing w:after="0"/>
              <w:rPr>
                <w:sz w:val="1"/>
                <w:szCs w:val="1"/>
                <w:color w:val="auto"/>
              </w:rPr>
            </w:pPr>
          </w:p>
        </w:tc>
      </w:tr>
      <w:tr>
        <w:trPr>
          <w:trHeight w:val="214"/>
        </w:trPr>
        <w:tc>
          <w:tcPr>
            <w:tcW w:w="18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equivalents</w:t>
            </w:r>
          </w:p>
        </w:tc>
        <w:tc>
          <w:tcPr>
            <w:tcW w:w="6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investments</w:t>
            </w:r>
          </w:p>
        </w:tc>
        <w:tc>
          <w:tcPr>
            <w:tcW w:w="6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investments</w:t>
            </w:r>
          </w:p>
        </w:tc>
        <w:tc>
          <w:tcPr>
            <w:tcW w:w="0" w:type="dxa"/>
            <w:vAlign w:val="bottom"/>
          </w:tcPr>
          <w:p>
            <w:pPr>
              <w:spacing w:after="0"/>
              <w:rPr>
                <w:sz w:val="1"/>
                <w:szCs w:val="1"/>
                <w:color w:val="auto"/>
              </w:rPr>
            </w:pPr>
          </w:p>
        </w:tc>
      </w:tr>
      <w:tr>
        <w:trPr>
          <w:trHeight w:val="262"/>
        </w:trPr>
        <w:tc>
          <w:tcPr>
            <w:tcW w:w="18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1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Mutual funds</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5"/>
        </w:trPr>
        <w:tc>
          <w:tcPr>
            <w:tcW w:w="180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U.S. treasury</w:t>
            </w:r>
          </w:p>
        </w:tc>
        <w:tc>
          <w:tcPr>
            <w:tcW w:w="1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52,686</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restart"/>
          </w:tcPr>
          <w:p>
            <w:pPr>
              <w:jc w:val="right"/>
              <w:ind w:right="4"/>
              <w:spacing w:after="0"/>
              <w:rPr>
                <w:sz w:val="20"/>
                <w:szCs w:val="20"/>
                <w:color w:val="auto"/>
              </w:rPr>
            </w:pPr>
            <w:r>
              <w:rPr>
                <w:rFonts w:ascii="Times New Roman" w:cs="Times New Roman" w:eastAsia="Times New Roman" w:hAnsi="Times New Roman"/>
                <w:sz w:val="20"/>
                <w:szCs w:val="20"/>
                <w:color w:val="auto"/>
              </w:rPr>
              <w:t>4</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(774)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51,916</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2,873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49,043</w:t>
            </w:r>
          </w:p>
        </w:tc>
        <w:tc>
          <w:tcPr>
            <w:tcW w:w="0" w:type="dxa"/>
            <w:vAlign w:val="bottom"/>
          </w:tcPr>
          <w:p>
            <w:pPr>
              <w:spacing w:after="0"/>
              <w:rPr>
                <w:sz w:val="1"/>
                <w:szCs w:val="1"/>
                <w:color w:val="auto"/>
              </w:rPr>
            </w:pPr>
          </w:p>
        </w:tc>
      </w:tr>
      <w:tr>
        <w:trPr>
          <w:trHeight w:val="263"/>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securities</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18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 Level 1</w:t>
            </w: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53,807</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4</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53,037</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1,121</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2,873</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49,043</w:t>
            </w:r>
          </w:p>
        </w:tc>
        <w:tc>
          <w:tcPr>
            <w:tcW w:w="0" w:type="dxa"/>
            <w:vAlign w:val="bottom"/>
          </w:tcPr>
          <w:p>
            <w:pPr>
              <w:spacing w:after="0"/>
              <w:rPr>
                <w:sz w:val="1"/>
                <w:szCs w:val="1"/>
                <w:color w:val="auto"/>
              </w:rPr>
            </w:pPr>
          </w:p>
        </w:tc>
      </w:tr>
      <w:tr>
        <w:trPr>
          <w:trHeight w:val="285"/>
        </w:trPr>
        <w:tc>
          <w:tcPr>
            <w:tcW w:w="18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Commercial paper</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156,419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156,156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113,402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42,754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5"/>
        </w:trPr>
        <w:tc>
          <w:tcPr>
            <w:tcW w:w="180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Corporate debt</w:t>
            </w:r>
          </w:p>
        </w:tc>
        <w:tc>
          <w:tcPr>
            <w:tcW w:w="1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14,154</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restart"/>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14,083</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7,224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6,859</w:t>
            </w:r>
          </w:p>
        </w:tc>
        <w:tc>
          <w:tcPr>
            <w:tcW w:w="0" w:type="dxa"/>
            <w:vAlign w:val="bottom"/>
          </w:tcPr>
          <w:p>
            <w:pPr>
              <w:spacing w:after="0"/>
              <w:rPr>
                <w:sz w:val="1"/>
                <w:szCs w:val="1"/>
                <w:color w:val="auto"/>
              </w:rPr>
            </w:pPr>
          </w:p>
        </w:tc>
      </w:tr>
      <w:tr>
        <w:trPr>
          <w:trHeight w:val="260"/>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securities</w:t>
            </w:r>
          </w:p>
        </w:tc>
        <w:tc>
          <w:tcPr>
            <w:tcW w:w="1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Agency securities</w:t>
            </w: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91,114</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33</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(783)</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90,364</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17,097</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73,267</w:t>
            </w:r>
          </w:p>
        </w:tc>
        <w:tc>
          <w:tcPr>
            <w:tcW w:w="0" w:type="dxa"/>
            <w:vAlign w:val="bottom"/>
          </w:tcPr>
          <w:p>
            <w:pPr>
              <w:spacing w:after="0"/>
              <w:rPr>
                <w:sz w:val="1"/>
                <w:szCs w:val="1"/>
                <w:color w:val="auto"/>
              </w:rPr>
            </w:pPr>
          </w:p>
        </w:tc>
      </w:tr>
      <w:tr>
        <w:trPr>
          <w:trHeight w:val="265"/>
        </w:trPr>
        <w:tc>
          <w:tcPr>
            <w:tcW w:w="18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 Level 2</w:t>
            </w: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261,687</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36</w:t>
            </w: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(1,120)</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260,603</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113,402</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67,075</w:t>
            </w:r>
          </w:p>
        </w:tc>
        <w:tc>
          <w:tcPr>
            <w:tcW w:w="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80,126</w:t>
            </w:r>
          </w:p>
        </w:tc>
        <w:tc>
          <w:tcPr>
            <w:tcW w:w="0" w:type="dxa"/>
            <w:vAlign w:val="bottom"/>
          </w:tcPr>
          <w:p>
            <w:pPr>
              <w:spacing w:after="0"/>
              <w:rPr>
                <w:sz w:val="1"/>
                <w:szCs w:val="1"/>
                <w:color w:val="auto"/>
              </w:rPr>
            </w:pPr>
          </w:p>
        </w:tc>
      </w:tr>
      <w:tr>
        <w:trPr>
          <w:trHeight w:val="182"/>
        </w:trPr>
        <w:tc>
          <w:tcPr>
            <w:tcW w:w="1800" w:type="dxa"/>
            <w:vAlign w:val="bottom"/>
          </w:tcPr>
          <w:p>
            <w:pPr>
              <w:ind w:left="240"/>
              <w:spacing w:after="0" w:line="182" w:lineRule="exact"/>
              <w:rPr>
                <w:sz w:val="20"/>
                <w:szCs w:val="20"/>
                <w:color w:val="auto"/>
              </w:rPr>
            </w:pPr>
            <w:r>
              <w:rPr>
                <w:rFonts w:ascii="Times New Roman" w:cs="Times New Roman" w:eastAsia="Times New Roman" w:hAnsi="Times New Roman"/>
                <w:sz w:val="20"/>
                <w:szCs w:val="20"/>
                <w:color w:val="auto"/>
              </w:rPr>
              <w:t>Total Level 1 and</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315,494</w:t>
            </w:r>
          </w:p>
        </w:tc>
        <w:tc>
          <w:tcPr>
            <w:tcW w:w="60" w:type="dxa"/>
            <w:vAlign w:val="bottom"/>
          </w:tcPr>
          <w:p>
            <w:pPr>
              <w:spacing w:after="0"/>
              <w:rPr>
                <w:sz w:val="15"/>
                <w:szCs w:val="15"/>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vMerge w:val="restart"/>
          </w:tcPr>
          <w:p>
            <w:pPr>
              <w:jc w:val="right"/>
              <w:ind w:right="4"/>
              <w:spacing w:after="0"/>
              <w:rPr>
                <w:sz w:val="20"/>
                <w:szCs w:val="20"/>
                <w:color w:val="auto"/>
              </w:rPr>
            </w:pPr>
            <w:r>
              <w:rPr>
                <w:rFonts w:ascii="Times New Roman" w:cs="Times New Roman" w:eastAsia="Times New Roman" w:hAnsi="Times New Roman"/>
                <w:sz w:val="20"/>
                <w:szCs w:val="20"/>
                <w:color w:val="auto"/>
              </w:rPr>
              <w:t>40</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(1,894)</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313,640</w:t>
            </w:r>
          </w:p>
        </w:tc>
        <w:tc>
          <w:tcPr>
            <w:tcW w:w="60" w:type="dxa"/>
            <w:vAlign w:val="bottom"/>
          </w:tcPr>
          <w:p>
            <w:pPr>
              <w:spacing w:after="0"/>
              <w:rPr>
                <w:sz w:val="15"/>
                <w:szCs w:val="15"/>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114,523</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69,948</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129,169</w:t>
            </w:r>
          </w:p>
        </w:tc>
        <w:tc>
          <w:tcPr>
            <w:tcW w:w="0" w:type="dxa"/>
            <w:vAlign w:val="bottom"/>
          </w:tcPr>
          <w:p>
            <w:pPr>
              <w:spacing w:after="0"/>
              <w:rPr>
                <w:sz w:val="1"/>
                <w:szCs w:val="1"/>
                <w:color w:val="auto"/>
              </w:rPr>
            </w:pPr>
          </w:p>
        </w:tc>
      </w:tr>
      <w:tr>
        <w:trPr>
          <w:trHeight w:val="243"/>
        </w:trPr>
        <w:tc>
          <w:tcPr>
            <w:tcW w:w="18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Level 2</w:t>
            </w:r>
          </w:p>
        </w:tc>
        <w:tc>
          <w:tcPr>
            <w:tcW w:w="16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280" w:type="dxa"/>
            <w:vAlign w:val="bottom"/>
            <w:gridSpan w:val="2"/>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220" w:type="dxa"/>
            <w:vAlign w:val="bottom"/>
            <w:gridSpan w:val="2"/>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220" w:type="dxa"/>
            <w:vAlign w:val="bottom"/>
            <w:gridSpan w:val="2"/>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200" w:type="dxa"/>
            <w:vAlign w:val="bottom"/>
            <w:gridSpan w:val="2"/>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-2688590</wp:posOffset>
            </wp:positionV>
            <wp:extent cx="6169025" cy="26955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5">
                      <a:extLst>
                        <a:ext uri="{28A0092B-C50C-407E-A947-70E740481C1C}"/>
                      </a:extLst>
                    </a:blip>
                    <a:srcRect/>
                    <a:stretch>
                      <a:fillRect/>
                    </a:stretch>
                  </pic:blipFill>
                  <pic:spPr bwMode="auto">
                    <a:xfrm>
                      <a:off x="0" y="0"/>
                      <a:ext cx="6169025" cy="2695575"/>
                    </a:xfrm>
                    <a:prstGeom prst="rect">
                      <a:avLst/>
                    </a:prstGeom>
                    <a:noFill/>
                  </pic:spPr>
                </pic:pic>
              </a:graphicData>
            </a:graphic>
          </wp:anchor>
        </w:drawing>
      </w:r>
    </w:p>
    <w:p>
      <w:pPr>
        <w:sectPr>
          <w:pgSz w:w="12240" w:h="15840" w:orient="portrait"/>
          <w:cols w:equalWidth="0" w:num="1">
            <w:col w:w="9680"/>
          </w:cols>
          <w:pgMar w:left="1440" w:top="539"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101</w:t>
      </w:r>
    </w:p>
    <w:p>
      <w:pPr>
        <w:sectPr>
          <w:pgSz w:w="12240" w:h="15840" w:orient="portrait"/>
          <w:cols w:equalWidth="0" w:num="1">
            <w:col w:w="9680"/>
          </w:cols>
          <w:pgMar w:left="1440" w:top="539" w:right="1120" w:bottom="0" w:gutter="0" w:footer="0" w:header="0"/>
          <w:type w:val="continuous"/>
        </w:sectPr>
      </w:pPr>
    </w:p>
    <w:bookmarkStart w:id="103" w:name="page104"/>
    <w:bookmarkEnd w:id="103"/>
    <w:p>
      <w:pPr>
        <w:ind w:left="60"/>
        <w:spacing w:after="0"/>
        <w:rPr>
          <w:sz w:val="20"/>
          <w:szCs w:val="20"/>
          <w:color w:val="auto"/>
        </w:rPr>
      </w:pPr>
      <w:r>
        <w:rPr>
          <w:rFonts w:ascii="Times New Roman" w:cs="Times New Roman" w:eastAsia="Times New Roman" w:hAnsi="Times New Roman"/>
          <w:sz w:val="24"/>
          <w:szCs w:val="24"/>
          <w:b w:val="1"/>
          <w:bCs w:val="1"/>
          <w:color w:val="auto"/>
        </w:rPr>
        <w:t>Nautilus Biotechnology, Inc.</w:t>
      </w:r>
    </w:p>
    <w:p>
      <w:pPr>
        <w:spacing w:after="0" w:line="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4"/>
          <w:szCs w:val="24"/>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13335</wp:posOffset>
                </wp:positionV>
                <wp:extent cx="5943600"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5pt" to="468pt,1.05pt" o:allowincell="f" strokecolor="#000000" strokeweight="1pt"/>
            </w:pict>
          </mc:Fallback>
        </mc:AlternateContent>
      </w:r>
    </w:p>
    <w:p>
      <w:pPr>
        <w:spacing w:after="0" w:line="225" w:lineRule="exact"/>
        <w:rPr>
          <w:sz w:val="20"/>
          <w:szCs w:val="20"/>
          <w:color w:val="auto"/>
        </w:rPr>
      </w:pPr>
    </w:p>
    <w:p>
      <w:pPr>
        <w:jc w:val="both"/>
        <w:ind w:right="420" w:firstLine="360"/>
        <w:spacing w:after="0" w:line="266" w:lineRule="auto"/>
        <w:rPr>
          <w:sz w:val="20"/>
          <w:szCs w:val="20"/>
          <w:color w:val="auto"/>
        </w:rPr>
      </w:pPr>
      <w:r>
        <w:rPr>
          <w:rFonts w:ascii="Times New Roman" w:cs="Times New Roman" w:eastAsia="Times New Roman" w:hAnsi="Times New Roman"/>
          <w:sz w:val="20"/>
          <w:szCs w:val="20"/>
          <w:color w:val="auto"/>
        </w:rPr>
        <w:t>Short-term investments have a contractual maturity date that is one year or less from the respective balance sheet date. Long-term investments have a contractual maturity date that is more than one year, but less than two years from the respective balance sheet date.</w:t>
      </w:r>
    </w:p>
    <w:p>
      <w:pPr>
        <w:spacing w:after="0" w:line="135" w:lineRule="exact"/>
        <w:rPr>
          <w:sz w:val="20"/>
          <w:szCs w:val="20"/>
          <w:color w:val="auto"/>
        </w:rPr>
      </w:pPr>
    </w:p>
    <w:p>
      <w:pPr>
        <w:jc w:val="both"/>
        <w:ind w:firstLine="360"/>
        <w:spacing w:after="0" w:line="309" w:lineRule="auto"/>
        <w:rPr>
          <w:sz w:val="20"/>
          <w:szCs w:val="20"/>
          <w:color w:val="auto"/>
        </w:rPr>
      </w:pPr>
      <w:r>
        <w:rPr>
          <w:rFonts w:ascii="Times New Roman" w:cs="Times New Roman" w:eastAsia="Times New Roman" w:hAnsi="Times New Roman"/>
          <w:sz w:val="19"/>
          <w:szCs w:val="19"/>
          <w:color w:val="auto"/>
        </w:rPr>
        <w:t>The unrealized losses and fair values of available-for-sale securities that have been in an unrealized loss position for a period of less than and greater than 12 months as of December 31, 2023 and December 31, 2022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240665</wp:posOffset>
            </wp:positionV>
            <wp:extent cx="5969000" cy="16097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6">
                      <a:extLst>
                        <a:ext uri="{28A0092B-C50C-407E-A947-70E740481C1C}"/>
                      </a:extLst>
                    </a:blip>
                    <a:srcRect/>
                    <a:stretch>
                      <a:fillRect/>
                    </a:stretch>
                  </pic:blipFill>
                  <pic:spPr bwMode="auto">
                    <a:xfrm>
                      <a:off x="0" y="0"/>
                      <a:ext cx="5969000" cy="160972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28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2180" w:type="dxa"/>
            <w:vAlign w:val="bottom"/>
            <w:gridSpan w:val="5"/>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Securities in Unrealized Loss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gridSpan w:val="4"/>
          </w:tcPr>
          <w:p>
            <w:pPr>
              <w:jc w:val="right"/>
              <w:ind w:right="83"/>
              <w:spacing w:after="0"/>
              <w:rPr>
                <w:sz w:val="20"/>
                <w:szCs w:val="20"/>
                <w:color w:val="auto"/>
              </w:rPr>
            </w:pPr>
            <w:r>
              <w:rPr>
                <w:rFonts w:ascii="Times New Roman" w:cs="Times New Roman" w:eastAsia="Times New Roman" w:hAnsi="Times New Roman"/>
                <w:sz w:val="16"/>
                <w:szCs w:val="16"/>
                <w:b w:val="1"/>
                <w:bCs w:val="1"/>
                <w:color w:val="auto"/>
              </w:rPr>
              <w:t>Securities in Unrealized Loss</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800" w:type="dxa"/>
            <w:vAlign w:val="bottom"/>
            <w:vMerge w:val="continue"/>
          </w:tcPr>
          <w:p>
            <w:pPr>
              <w:spacing w:after="0"/>
              <w:rPr>
                <w:sz w:val="18"/>
                <w:szCs w:val="18"/>
                <w:color w:val="auto"/>
              </w:rPr>
            </w:pPr>
          </w:p>
        </w:tc>
        <w:tc>
          <w:tcPr>
            <w:tcW w:w="2180" w:type="dxa"/>
            <w:vAlign w:val="bottom"/>
            <w:tcBorders>
              <w:bottom w:val="single" w:sz="8" w:color="auto"/>
            </w:tcBorders>
            <w:gridSpan w:val="5"/>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Position Less than 12 months</w:t>
            </w:r>
          </w:p>
        </w:tc>
        <w:tc>
          <w:tcPr>
            <w:tcW w:w="60" w:type="dxa"/>
            <w:vAlign w:val="bottom"/>
          </w:tcPr>
          <w:p>
            <w:pPr>
              <w:spacing w:after="0"/>
              <w:rPr>
                <w:sz w:val="18"/>
                <w:szCs w:val="18"/>
                <w:color w:val="auto"/>
              </w:rPr>
            </w:pPr>
          </w:p>
        </w:tc>
        <w:tc>
          <w:tcPr>
            <w:tcW w:w="23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Position Greater than 12 months</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vMerge w:val="continue"/>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ind w:right="68"/>
              <w:spacing w:after="0" w:line="161"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60" w:type="dxa"/>
            <w:vAlign w:val="bottom"/>
          </w:tcPr>
          <w:p>
            <w:pPr>
              <w:spacing w:after="0"/>
              <w:rPr>
                <w:sz w:val="13"/>
                <w:szCs w:val="13"/>
                <w:color w:val="auto"/>
              </w:rPr>
            </w:pPr>
          </w:p>
        </w:tc>
        <w:tc>
          <w:tcPr>
            <w:tcW w:w="1060" w:type="dxa"/>
            <w:vAlign w:val="bottom"/>
            <w:gridSpan w:val="2"/>
            <w:vMerge w:val="restart"/>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Fair Market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49"/>
              <w:spacing w:after="0" w:line="161"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60" w:type="dxa"/>
            <w:vAlign w:val="bottom"/>
          </w:tcPr>
          <w:p>
            <w:pPr>
              <w:spacing w:after="0"/>
              <w:rPr>
                <w:sz w:val="13"/>
                <w:szCs w:val="13"/>
                <w:color w:val="auto"/>
              </w:rPr>
            </w:pP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Fair Market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ind w:left="60"/>
              <w:spacing w:after="0" w:line="161" w:lineRule="exact"/>
              <w:rPr>
                <w:sz w:val="20"/>
                <w:szCs w:val="20"/>
                <w:color w:val="auto"/>
              </w:rPr>
            </w:pPr>
            <w:r>
              <w:rPr>
                <w:rFonts w:ascii="Times New Roman" w:cs="Times New Roman" w:eastAsia="Times New Roman" w:hAnsi="Times New Roman"/>
                <w:sz w:val="16"/>
                <w:szCs w:val="16"/>
                <w:b w:val="1"/>
                <w:bCs w:val="1"/>
                <w:color w:val="auto"/>
              </w:rPr>
              <w:t>Gross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center"/>
              <w:ind w:right="68"/>
              <w:spacing w:after="0" w:line="161" w:lineRule="exact"/>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160"/>
        </w:trPr>
        <w:tc>
          <w:tcPr>
            <w:tcW w:w="2800" w:type="dxa"/>
            <w:vAlign w:val="bottom"/>
            <w:vMerge w:val="restart"/>
          </w:tcPr>
          <w:p>
            <w:pPr>
              <w:ind w:left="6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0" w:type="dxa"/>
            <w:vAlign w:val="bottom"/>
          </w:tcPr>
          <w:p>
            <w:pPr>
              <w:spacing w:after="0"/>
              <w:rPr>
                <w:sz w:val="13"/>
                <w:szCs w:val="13"/>
                <w:color w:val="auto"/>
              </w:rPr>
            </w:pPr>
          </w:p>
        </w:tc>
        <w:tc>
          <w:tcPr>
            <w:tcW w:w="920" w:type="dxa"/>
            <w:vAlign w:val="bottom"/>
          </w:tcPr>
          <w:p>
            <w:pPr>
              <w:jc w:val="center"/>
              <w:ind w:right="68"/>
              <w:spacing w:after="0" w:line="160"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6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69"/>
              <w:spacing w:after="0" w:line="160"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6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ind w:left="80"/>
              <w:spacing w:after="0" w:line="160"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center"/>
              <w:ind w:right="68"/>
              <w:spacing w:after="0" w:line="160" w:lineRule="exact"/>
              <w:rPr>
                <w:sz w:val="20"/>
                <w:szCs w:val="20"/>
                <w:color w:val="auto"/>
              </w:rPr>
            </w:pPr>
            <w:r>
              <w:rPr>
                <w:rFonts w:ascii="Times New Roman" w:cs="Times New Roman" w:eastAsia="Times New Roman" w:hAnsi="Times New Roman"/>
                <w:sz w:val="16"/>
                <w:szCs w:val="16"/>
                <w:b w:val="1"/>
                <w:bCs w:val="1"/>
                <w:color w:val="auto"/>
                <w:w w:val="96"/>
              </w:rPr>
              <w:t>Market</w:t>
            </w:r>
          </w:p>
        </w:tc>
        <w:tc>
          <w:tcPr>
            <w:tcW w:w="0" w:type="dxa"/>
            <w:vAlign w:val="bottom"/>
          </w:tcPr>
          <w:p>
            <w:pPr>
              <w:spacing w:after="0"/>
              <w:rPr>
                <w:sz w:val="1"/>
                <w:szCs w:val="1"/>
                <w:color w:val="auto"/>
              </w:rPr>
            </w:pPr>
          </w:p>
        </w:tc>
      </w:tr>
      <w:tr>
        <w:trPr>
          <w:trHeight w:val="214"/>
        </w:trPr>
        <w:tc>
          <w:tcPr>
            <w:tcW w:w="280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6"/>
                <w:szCs w:val="16"/>
                <w:b w:val="1"/>
                <w:bCs w:val="1"/>
                <w:color w:val="auto"/>
              </w:rPr>
              <w:t>Value</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62"/>
        </w:trPr>
        <w:tc>
          <w:tcPr>
            <w:tcW w:w="2800" w:type="dxa"/>
            <w:vAlign w:val="bottom"/>
          </w:tcPr>
          <w:p>
            <w:pPr>
              <w:spacing w:after="0"/>
              <w:rPr>
                <w:sz w:val="20"/>
                <w:szCs w:val="20"/>
                <w:color w:val="auto"/>
              </w:rPr>
            </w:pPr>
            <w:r>
              <w:rPr>
                <w:rFonts w:ascii="Times New Roman" w:cs="Times New Roman" w:eastAsia="Times New Roman" w:hAnsi="Times New Roman"/>
                <w:sz w:val="20"/>
                <w:szCs w:val="20"/>
                <w:color w:val="auto"/>
              </w:rPr>
              <w:t>U.S. treasury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300" w:type="dxa"/>
            <w:vAlign w:val="bottom"/>
            <w:gridSpan w:val="2"/>
          </w:tcPr>
          <w:p>
            <w:pPr>
              <w:jc w:val="right"/>
              <w:ind w:right="13"/>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20,408</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w:t>
            </w:r>
          </w:p>
        </w:tc>
        <w:tc>
          <w:tcPr>
            <w:tcW w:w="320" w:type="dxa"/>
            <w:vAlign w:val="bottom"/>
            <w:gridSpan w:val="2"/>
          </w:tcPr>
          <w:p>
            <w:pPr>
              <w:jc w:val="right"/>
              <w:ind w:right="13"/>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30,230</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50,638</w:t>
            </w:r>
          </w:p>
        </w:tc>
        <w:tc>
          <w:tcPr>
            <w:tcW w:w="0" w:type="dxa"/>
            <w:vAlign w:val="bottom"/>
          </w:tcPr>
          <w:p>
            <w:pPr>
              <w:spacing w:after="0"/>
              <w:rPr>
                <w:sz w:val="1"/>
                <w:szCs w:val="1"/>
                <w:color w:val="auto"/>
              </w:rPr>
            </w:pPr>
          </w:p>
        </w:tc>
      </w:tr>
      <w:tr>
        <w:trPr>
          <w:trHeight w:val="285"/>
        </w:trPr>
        <w:tc>
          <w:tcPr>
            <w:tcW w:w="2800" w:type="dxa"/>
            <w:vAlign w:val="bottom"/>
          </w:tcPr>
          <w:p>
            <w:pPr>
              <w:spacing w:after="0"/>
              <w:rPr>
                <w:sz w:val="20"/>
                <w:szCs w:val="20"/>
                <w:color w:val="auto"/>
              </w:rPr>
            </w:pPr>
            <w:r>
              <w:rPr>
                <w:rFonts w:ascii="Times New Roman" w:cs="Times New Roman" w:eastAsia="Times New Roman" w:hAnsi="Times New Roman"/>
                <w:sz w:val="20"/>
                <w:szCs w:val="20"/>
                <w:color w:val="auto"/>
              </w:rPr>
              <w:t>Commercial paper</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18,644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18,644</w:t>
            </w:r>
          </w:p>
        </w:tc>
        <w:tc>
          <w:tcPr>
            <w:tcW w:w="0" w:type="dxa"/>
            <w:vAlign w:val="bottom"/>
          </w:tcPr>
          <w:p>
            <w:pPr>
              <w:spacing w:after="0"/>
              <w:rPr>
                <w:sz w:val="1"/>
                <w:szCs w:val="1"/>
                <w:color w:val="auto"/>
              </w:rPr>
            </w:pPr>
          </w:p>
        </w:tc>
      </w:tr>
      <w:tr>
        <w:trPr>
          <w:trHeight w:val="285"/>
        </w:trPr>
        <w:tc>
          <w:tcPr>
            <w:tcW w:w="2800" w:type="dxa"/>
            <w:vAlign w:val="bottom"/>
          </w:tcPr>
          <w:p>
            <w:pPr>
              <w:spacing w:after="0"/>
              <w:rPr>
                <w:sz w:val="20"/>
                <w:szCs w:val="20"/>
                <w:color w:val="auto"/>
              </w:rPr>
            </w:pPr>
            <w:r>
              <w:rPr>
                <w:rFonts w:ascii="Times New Roman" w:cs="Times New Roman" w:eastAsia="Times New Roman" w:hAnsi="Times New Roman"/>
                <w:sz w:val="20"/>
                <w:szCs w:val="20"/>
                <w:color w:val="auto"/>
              </w:rPr>
              <w:t>Corporate debt securities</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6,913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6,913</w:t>
            </w:r>
          </w:p>
        </w:tc>
        <w:tc>
          <w:tcPr>
            <w:tcW w:w="0" w:type="dxa"/>
            <w:vAlign w:val="bottom"/>
          </w:tcPr>
          <w:p>
            <w:pPr>
              <w:spacing w:after="0"/>
              <w:rPr>
                <w:sz w:val="1"/>
                <w:szCs w:val="1"/>
                <w:color w:val="auto"/>
              </w:rPr>
            </w:pPr>
          </w:p>
        </w:tc>
      </w:tr>
      <w:tr>
        <w:trPr>
          <w:trHeight w:val="288"/>
        </w:trPr>
        <w:tc>
          <w:tcPr>
            <w:tcW w:w="2800" w:type="dxa"/>
            <w:vAlign w:val="bottom"/>
          </w:tcPr>
          <w:p>
            <w:pPr>
              <w:spacing w:after="0"/>
              <w:rPr>
                <w:sz w:val="20"/>
                <w:szCs w:val="20"/>
                <w:color w:val="auto"/>
              </w:rPr>
            </w:pPr>
            <w:r>
              <w:rPr>
                <w:rFonts w:ascii="Times New Roman" w:cs="Times New Roman" w:eastAsia="Times New Roman" w:hAnsi="Times New Roman"/>
                <w:sz w:val="20"/>
                <w:szCs w:val="20"/>
                <w:color w:val="auto"/>
              </w:rPr>
              <w:t>Agency securities</w:t>
            </w: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229</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85,039</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195</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25,704</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424</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110,743</w:t>
            </w:r>
          </w:p>
        </w:tc>
        <w:tc>
          <w:tcPr>
            <w:tcW w:w="0" w:type="dxa"/>
            <w:vAlign w:val="bottom"/>
          </w:tcPr>
          <w:p>
            <w:pPr>
              <w:spacing w:after="0"/>
              <w:rPr>
                <w:sz w:val="1"/>
                <w:szCs w:val="1"/>
                <w:color w:val="auto"/>
              </w:rPr>
            </w:pPr>
          </w:p>
        </w:tc>
      </w:tr>
      <w:tr>
        <w:trPr>
          <w:trHeight w:val="245"/>
        </w:trPr>
        <w:tc>
          <w:tcPr>
            <w:tcW w:w="280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360</w:t>
            </w:r>
          </w:p>
        </w:tc>
        <w:tc>
          <w:tcPr>
            <w:tcW w:w="60" w:type="dxa"/>
            <w:vAlign w:val="bottom"/>
          </w:tcPr>
          <w:p>
            <w:pPr>
              <w:spacing w:after="0"/>
              <w:rPr>
                <w:sz w:val="21"/>
                <w:szCs w:val="21"/>
                <w:color w:val="auto"/>
              </w:rPr>
            </w:pPr>
          </w:p>
        </w:tc>
        <w:tc>
          <w:tcPr>
            <w:tcW w:w="2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131,004</w:t>
            </w:r>
          </w:p>
        </w:tc>
        <w:tc>
          <w:tcPr>
            <w:tcW w:w="60" w:type="dxa"/>
            <w:vAlign w:val="bottom"/>
          </w:tcPr>
          <w:p>
            <w:pPr>
              <w:spacing w:after="0"/>
              <w:rPr>
                <w:sz w:val="21"/>
                <w:szCs w:val="21"/>
                <w:color w:val="auto"/>
              </w:rPr>
            </w:pP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357</w:t>
            </w:r>
          </w:p>
        </w:tc>
        <w:tc>
          <w:tcPr>
            <w:tcW w:w="60" w:type="dxa"/>
            <w:vAlign w:val="bottom"/>
          </w:tcPr>
          <w:p>
            <w:pPr>
              <w:spacing w:after="0"/>
              <w:rPr>
                <w:sz w:val="21"/>
                <w:szCs w:val="21"/>
                <w:color w:val="auto"/>
              </w:rPr>
            </w:pPr>
          </w:p>
        </w:tc>
        <w:tc>
          <w:tcPr>
            <w:tcW w:w="2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55,934</w:t>
            </w:r>
          </w:p>
        </w:tc>
        <w:tc>
          <w:tcPr>
            <w:tcW w:w="60" w:type="dxa"/>
            <w:vAlign w:val="bottom"/>
          </w:tcPr>
          <w:p>
            <w:pPr>
              <w:spacing w:after="0"/>
              <w:rPr>
                <w:sz w:val="21"/>
                <w:szCs w:val="21"/>
                <w:color w:val="auto"/>
              </w:rPr>
            </w:pP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717</w:t>
            </w:r>
          </w:p>
        </w:tc>
        <w:tc>
          <w:tcPr>
            <w:tcW w:w="6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186,938</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28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2180" w:type="dxa"/>
            <w:vAlign w:val="bottom"/>
            <w:gridSpan w:val="5"/>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Securities in Unrealized Loss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gridSpan w:val="4"/>
          </w:tcPr>
          <w:p>
            <w:pPr>
              <w:jc w:val="right"/>
              <w:ind w:right="83"/>
              <w:spacing w:after="0"/>
              <w:rPr>
                <w:sz w:val="20"/>
                <w:szCs w:val="20"/>
                <w:color w:val="auto"/>
              </w:rPr>
            </w:pPr>
            <w:r>
              <w:rPr>
                <w:rFonts w:ascii="Times New Roman" w:cs="Times New Roman" w:eastAsia="Times New Roman" w:hAnsi="Times New Roman"/>
                <w:sz w:val="16"/>
                <w:szCs w:val="16"/>
                <w:b w:val="1"/>
                <w:bCs w:val="1"/>
                <w:color w:val="auto"/>
              </w:rPr>
              <w:t>Securities in Unrealized Loss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800" w:type="dxa"/>
            <w:vAlign w:val="bottom"/>
            <w:vMerge w:val="continue"/>
          </w:tcPr>
          <w:p>
            <w:pPr>
              <w:spacing w:after="0"/>
              <w:rPr>
                <w:sz w:val="18"/>
                <w:szCs w:val="18"/>
                <w:color w:val="auto"/>
              </w:rPr>
            </w:pPr>
          </w:p>
        </w:tc>
        <w:tc>
          <w:tcPr>
            <w:tcW w:w="2180" w:type="dxa"/>
            <w:vAlign w:val="bottom"/>
            <w:tcBorders>
              <w:bottom w:val="single" w:sz="8" w:color="auto"/>
            </w:tcBorders>
            <w:gridSpan w:val="5"/>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Position Less than 12 months</w:t>
            </w:r>
          </w:p>
        </w:tc>
        <w:tc>
          <w:tcPr>
            <w:tcW w:w="60" w:type="dxa"/>
            <w:vAlign w:val="bottom"/>
          </w:tcPr>
          <w:p>
            <w:pPr>
              <w:spacing w:after="0"/>
              <w:rPr>
                <w:sz w:val="18"/>
                <w:szCs w:val="18"/>
                <w:color w:val="auto"/>
              </w:rPr>
            </w:pPr>
          </w:p>
        </w:tc>
        <w:tc>
          <w:tcPr>
            <w:tcW w:w="23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Position Greater than 12 months</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vMerge w:val="continue"/>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ind w:right="68"/>
              <w:spacing w:after="0" w:line="161"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60" w:type="dxa"/>
            <w:vAlign w:val="bottom"/>
          </w:tcPr>
          <w:p>
            <w:pPr>
              <w:spacing w:after="0"/>
              <w:rPr>
                <w:sz w:val="13"/>
                <w:szCs w:val="13"/>
                <w:color w:val="auto"/>
              </w:rPr>
            </w:pPr>
          </w:p>
        </w:tc>
        <w:tc>
          <w:tcPr>
            <w:tcW w:w="1060" w:type="dxa"/>
            <w:vAlign w:val="bottom"/>
            <w:gridSpan w:val="2"/>
            <w:vMerge w:val="restart"/>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Fair Market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49"/>
              <w:spacing w:after="0" w:line="161"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60" w:type="dxa"/>
            <w:vAlign w:val="bottom"/>
          </w:tcPr>
          <w:p>
            <w:pPr>
              <w:spacing w:after="0"/>
              <w:rPr>
                <w:sz w:val="13"/>
                <w:szCs w:val="13"/>
                <w:color w:val="auto"/>
              </w:rPr>
            </w:pP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Fair Market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ind w:left="60"/>
              <w:spacing w:after="0" w:line="161" w:lineRule="exact"/>
              <w:rPr>
                <w:sz w:val="20"/>
                <w:szCs w:val="20"/>
                <w:color w:val="auto"/>
              </w:rPr>
            </w:pPr>
            <w:r>
              <w:rPr>
                <w:rFonts w:ascii="Times New Roman" w:cs="Times New Roman" w:eastAsia="Times New Roman" w:hAnsi="Times New Roman"/>
                <w:sz w:val="16"/>
                <w:szCs w:val="16"/>
                <w:b w:val="1"/>
                <w:bCs w:val="1"/>
                <w:color w:val="auto"/>
              </w:rPr>
              <w:t>Gross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center"/>
              <w:ind w:right="68"/>
              <w:spacing w:after="0" w:line="161" w:lineRule="exact"/>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160"/>
        </w:trPr>
        <w:tc>
          <w:tcPr>
            <w:tcW w:w="2800" w:type="dxa"/>
            <w:vAlign w:val="bottom"/>
            <w:vMerge w:val="restart"/>
          </w:tcPr>
          <w:p>
            <w:pPr>
              <w:ind w:left="68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40" w:type="dxa"/>
            <w:vAlign w:val="bottom"/>
          </w:tcPr>
          <w:p>
            <w:pPr>
              <w:spacing w:after="0"/>
              <w:rPr>
                <w:sz w:val="13"/>
                <w:szCs w:val="13"/>
                <w:color w:val="auto"/>
              </w:rPr>
            </w:pPr>
          </w:p>
        </w:tc>
        <w:tc>
          <w:tcPr>
            <w:tcW w:w="920" w:type="dxa"/>
            <w:vAlign w:val="bottom"/>
          </w:tcPr>
          <w:p>
            <w:pPr>
              <w:jc w:val="center"/>
              <w:ind w:right="68"/>
              <w:spacing w:after="0" w:line="160"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6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69"/>
              <w:spacing w:after="0" w:line="160"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6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ind w:left="80"/>
              <w:spacing w:after="0" w:line="160"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center"/>
              <w:ind w:right="68"/>
              <w:spacing w:after="0" w:line="160" w:lineRule="exact"/>
              <w:rPr>
                <w:sz w:val="20"/>
                <w:szCs w:val="20"/>
                <w:color w:val="auto"/>
              </w:rPr>
            </w:pPr>
            <w:r>
              <w:rPr>
                <w:rFonts w:ascii="Times New Roman" w:cs="Times New Roman" w:eastAsia="Times New Roman" w:hAnsi="Times New Roman"/>
                <w:sz w:val="16"/>
                <w:szCs w:val="16"/>
                <w:b w:val="1"/>
                <w:bCs w:val="1"/>
                <w:color w:val="auto"/>
                <w:w w:val="96"/>
              </w:rPr>
              <w:t>Market</w:t>
            </w:r>
          </w:p>
        </w:tc>
        <w:tc>
          <w:tcPr>
            <w:tcW w:w="0" w:type="dxa"/>
            <w:vAlign w:val="bottom"/>
          </w:tcPr>
          <w:p>
            <w:pPr>
              <w:spacing w:after="0"/>
              <w:rPr>
                <w:sz w:val="1"/>
                <w:szCs w:val="1"/>
                <w:color w:val="auto"/>
              </w:rPr>
            </w:pPr>
          </w:p>
        </w:tc>
      </w:tr>
      <w:tr>
        <w:trPr>
          <w:trHeight w:val="214"/>
        </w:trPr>
        <w:tc>
          <w:tcPr>
            <w:tcW w:w="280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6"/>
                <w:szCs w:val="16"/>
                <w:b w:val="1"/>
                <w:bCs w:val="1"/>
                <w:color w:val="auto"/>
              </w:rPr>
              <w:t>Value</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62"/>
        </w:trPr>
        <w:tc>
          <w:tcPr>
            <w:tcW w:w="2800" w:type="dxa"/>
            <w:vAlign w:val="bottom"/>
          </w:tcPr>
          <w:p>
            <w:pPr>
              <w:spacing w:after="0"/>
              <w:rPr>
                <w:sz w:val="20"/>
                <w:szCs w:val="20"/>
                <w:color w:val="auto"/>
              </w:rPr>
            </w:pPr>
            <w:r>
              <w:rPr>
                <w:rFonts w:ascii="Times New Roman" w:cs="Times New Roman" w:eastAsia="Times New Roman" w:hAnsi="Times New Roman"/>
                <w:sz w:val="20"/>
                <w:szCs w:val="20"/>
                <w:color w:val="auto"/>
              </w:rPr>
              <w:t>U.S. treasury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774</w:t>
            </w:r>
          </w:p>
        </w:tc>
        <w:tc>
          <w:tcPr>
            <w:tcW w:w="300" w:type="dxa"/>
            <w:vAlign w:val="bottom"/>
            <w:gridSpan w:val="2"/>
          </w:tcPr>
          <w:p>
            <w:pPr>
              <w:jc w:val="right"/>
              <w:ind w:right="13"/>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49,114</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ind w:right="13"/>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49,114</w:t>
            </w:r>
          </w:p>
        </w:tc>
        <w:tc>
          <w:tcPr>
            <w:tcW w:w="0" w:type="dxa"/>
            <w:vAlign w:val="bottom"/>
          </w:tcPr>
          <w:p>
            <w:pPr>
              <w:spacing w:after="0"/>
              <w:rPr>
                <w:sz w:val="1"/>
                <w:szCs w:val="1"/>
                <w:color w:val="auto"/>
              </w:rPr>
            </w:pPr>
          </w:p>
        </w:tc>
      </w:tr>
      <w:tr>
        <w:trPr>
          <w:trHeight w:val="285"/>
        </w:trPr>
        <w:tc>
          <w:tcPr>
            <w:tcW w:w="2800" w:type="dxa"/>
            <w:vAlign w:val="bottom"/>
          </w:tcPr>
          <w:p>
            <w:pPr>
              <w:spacing w:after="0"/>
              <w:rPr>
                <w:sz w:val="20"/>
                <w:szCs w:val="20"/>
                <w:color w:val="auto"/>
              </w:rPr>
            </w:pPr>
            <w:r>
              <w:rPr>
                <w:rFonts w:ascii="Times New Roman" w:cs="Times New Roman" w:eastAsia="Times New Roman" w:hAnsi="Times New Roman"/>
                <w:sz w:val="20"/>
                <w:szCs w:val="20"/>
                <w:color w:val="auto"/>
              </w:rPr>
              <w:t>Commercial paper</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151,354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151,354</w:t>
            </w:r>
          </w:p>
        </w:tc>
        <w:tc>
          <w:tcPr>
            <w:tcW w:w="0" w:type="dxa"/>
            <w:vAlign w:val="bottom"/>
          </w:tcPr>
          <w:p>
            <w:pPr>
              <w:spacing w:after="0"/>
              <w:rPr>
                <w:sz w:val="1"/>
                <w:szCs w:val="1"/>
                <w:color w:val="auto"/>
              </w:rPr>
            </w:pPr>
          </w:p>
        </w:tc>
      </w:tr>
      <w:tr>
        <w:trPr>
          <w:trHeight w:val="285"/>
        </w:trPr>
        <w:tc>
          <w:tcPr>
            <w:tcW w:w="2800" w:type="dxa"/>
            <w:vAlign w:val="bottom"/>
          </w:tcPr>
          <w:p>
            <w:pPr>
              <w:spacing w:after="0"/>
              <w:rPr>
                <w:sz w:val="20"/>
                <w:szCs w:val="20"/>
                <w:color w:val="auto"/>
              </w:rPr>
            </w:pPr>
            <w:r>
              <w:rPr>
                <w:rFonts w:ascii="Times New Roman" w:cs="Times New Roman" w:eastAsia="Times New Roman" w:hAnsi="Times New Roman"/>
                <w:sz w:val="20"/>
                <w:szCs w:val="20"/>
                <w:color w:val="auto"/>
              </w:rPr>
              <w:t>Corporate debt securities</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6,859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7,224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14,083</w:t>
            </w:r>
          </w:p>
        </w:tc>
        <w:tc>
          <w:tcPr>
            <w:tcW w:w="0" w:type="dxa"/>
            <w:vAlign w:val="bottom"/>
          </w:tcPr>
          <w:p>
            <w:pPr>
              <w:spacing w:after="0"/>
              <w:rPr>
                <w:sz w:val="1"/>
                <w:szCs w:val="1"/>
                <w:color w:val="auto"/>
              </w:rPr>
            </w:pPr>
          </w:p>
        </w:tc>
      </w:tr>
      <w:tr>
        <w:trPr>
          <w:trHeight w:val="288"/>
        </w:trPr>
        <w:tc>
          <w:tcPr>
            <w:tcW w:w="2800" w:type="dxa"/>
            <w:vAlign w:val="bottom"/>
          </w:tcPr>
          <w:p>
            <w:pPr>
              <w:spacing w:after="0"/>
              <w:rPr>
                <w:sz w:val="20"/>
                <w:szCs w:val="20"/>
                <w:color w:val="auto"/>
              </w:rPr>
            </w:pPr>
            <w:r>
              <w:rPr>
                <w:rFonts w:ascii="Times New Roman" w:cs="Times New Roman" w:eastAsia="Times New Roman" w:hAnsi="Times New Roman"/>
                <w:sz w:val="20"/>
                <w:szCs w:val="20"/>
                <w:color w:val="auto"/>
              </w:rPr>
              <w:t>Agency securities</w:t>
            </w: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670</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50,531</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113</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8,887</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783</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59,418</w:t>
            </w:r>
          </w:p>
        </w:tc>
        <w:tc>
          <w:tcPr>
            <w:tcW w:w="0" w:type="dxa"/>
            <w:vAlign w:val="bottom"/>
          </w:tcPr>
          <w:p>
            <w:pPr>
              <w:spacing w:after="0"/>
              <w:rPr>
                <w:sz w:val="1"/>
                <w:szCs w:val="1"/>
                <w:color w:val="auto"/>
              </w:rPr>
            </w:pPr>
          </w:p>
        </w:tc>
      </w:tr>
      <w:tr>
        <w:trPr>
          <w:trHeight w:val="245"/>
        </w:trPr>
        <w:tc>
          <w:tcPr>
            <w:tcW w:w="280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1,724</w:t>
            </w:r>
          </w:p>
        </w:tc>
        <w:tc>
          <w:tcPr>
            <w:tcW w:w="300" w:type="dxa"/>
            <w:vAlign w:val="bottom"/>
            <w:gridSpan w:val="2"/>
          </w:tcPr>
          <w:p>
            <w:pPr>
              <w:jc w:val="right"/>
              <w:ind w:right="13"/>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257,858</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w:t>
            </w:r>
          </w:p>
        </w:tc>
        <w:tc>
          <w:tcPr>
            <w:tcW w:w="320" w:type="dxa"/>
            <w:vAlign w:val="bottom"/>
            <w:gridSpan w:val="2"/>
          </w:tcPr>
          <w:p>
            <w:pPr>
              <w:jc w:val="right"/>
              <w:ind w:right="13"/>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16,111</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273,969</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-1602740</wp:posOffset>
            </wp:positionV>
            <wp:extent cx="5969000" cy="16097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7">
                      <a:extLst>
                        <a:ext uri="{28A0092B-C50C-407E-A947-70E740481C1C}"/>
                      </a:extLst>
                    </a:blip>
                    <a:srcRect/>
                    <a:stretch>
                      <a:fillRect/>
                    </a:stretch>
                  </pic:blipFill>
                  <pic:spPr bwMode="auto">
                    <a:xfrm>
                      <a:off x="0" y="0"/>
                      <a:ext cx="5969000" cy="1609725"/>
                    </a:xfrm>
                    <a:prstGeom prst="rect">
                      <a:avLst/>
                    </a:prstGeom>
                    <a:noFill/>
                  </pic:spPr>
                </pic:pic>
              </a:graphicData>
            </a:graphic>
          </wp:anchor>
        </w:drawing>
      </w:r>
    </w:p>
    <w:p>
      <w:pPr>
        <w:spacing w:after="0" w:line="168" w:lineRule="exact"/>
        <w:rPr>
          <w:sz w:val="20"/>
          <w:szCs w:val="20"/>
          <w:color w:val="auto"/>
        </w:rPr>
      </w:pPr>
    </w:p>
    <w:p>
      <w:pPr>
        <w:ind w:right="120" w:firstLine="410"/>
        <w:spacing w:after="0" w:line="258" w:lineRule="auto"/>
        <w:rPr>
          <w:sz w:val="20"/>
          <w:szCs w:val="20"/>
          <w:color w:val="auto"/>
        </w:rPr>
      </w:pPr>
      <w:r>
        <w:rPr>
          <w:rFonts w:ascii="Times New Roman" w:cs="Times New Roman" w:eastAsia="Times New Roman" w:hAnsi="Times New Roman"/>
          <w:sz w:val="20"/>
          <w:szCs w:val="20"/>
          <w:color w:val="auto"/>
        </w:rPr>
        <w:t>The Company reviewed its investment portfolio based on the underlying risk profile of the securities and has no loss expectation for these investments. The Company also reviewed the securities in an unrealized loss position and evaluated the current expected credit loss by considering factors such as historical experience, market data, issuer-specific factors, and current economic conditions. The Company recognized no credit losses during the years ended December 31, 2023 and 2022, and had no allowance for credit losses as of December 31, 2023.</w:t>
      </w:r>
    </w:p>
    <w:p>
      <w:pPr>
        <w:sectPr>
          <w:pgSz w:w="12240" w:h="15840" w:orient="portrait"/>
          <w:cols w:equalWidth="0" w:num="1">
            <w:col w:w="9360"/>
          </w:cols>
          <w:pgMar w:left="1440" w:top="53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2240" w:h="15840" w:orient="portrait"/>
          <w:cols w:equalWidth="0" w:num="1">
            <w:col w:w="9360"/>
          </w:cols>
          <w:pgMar w:left="1440" w:top="539" w:right="1440" w:bottom="0" w:gutter="0" w:footer="0" w:header="0"/>
          <w:type w:val="continuous"/>
        </w:sectPr>
      </w:pPr>
    </w:p>
    <w:bookmarkStart w:id="104" w:name="page105"/>
    <w:bookmarkEnd w:id="104"/>
    <w:p>
      <w:pPr>
        <w:ind w:left="60"/>
        <w:spacing w:after="0"/>
        <w:rPr>
          <w:sz w:val="20"/>
          <w:szCs w:val="20"/>
          <w:color w:val="auto"/>
        </w:rPr>
      </w:pPr>
      <w:r>
        <w:rPr>
          <w:rFonts w:ascii="Times New Roman" w:cs="Times New Roman" w:eastAsia="Times New Roman" w:hAnsi="Times New Roman"/>
          <w:sz w:val="24"/>
          <w:szCs w:val="24"/>
          <w:b w:val="1"/>
          <w:bCs w:val="1"/>
          <w:color w:val="auto"/>
        </w:rPr>
        <w:t>Nautilus Biotechnology, Inc.</w:t>
      </w:r>
    </w:p>
    <w:p>
      <w:pPr>
        <w:spacing w:after="0" w:line="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4"/>
          <w:szCs w:val="24"/>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13335</wp:posOffset>
                </wp:positionV>
                <wp:extent cx="594360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5pt" to="468pt,1.05pt" o:allowincell="f" strokecolor="#000000" strokeweight="1pt"/>
            </w:pict>
          </mc:Fallback>
        </mc:AlternateContent>
      </w:r>
    </w:p>
    <w:p>
      <w:pPr>
        <w:spacing w:after="0" w:line="218" w:lineRule="exact"/>
        <w:rPr>
          <w:sz w:val="20"/>
          <w:szCs w:val="20"/>
          <w:color w:val="auto"/>
        </w:rPr>
      </w:pPr>
    </w:p>
    <w:p>
      <w:pPr>
        <w:ind w:right="2720"/>
        <w:spacing w:after="0" w:line="442" w:lineRule="auto"/>
        <w:tabs>
          <w:tab w:leader="none" w:pos="720" w:val="left"/>
        </w:tabs>
        <w:numPr>
          <w:ilvl w:val="0"/>
          <w:numId w:val="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Composition of Certain Consolidated Financial Statement Line Items Property and Equipment, Net</w:t>
      </w:r>
    </w:p>
    <w:p>
      <w:pPr>
        <w:ind w:left="360"/>
        <w:spacing w:after="0"/>
        <w:rPr>
          <w:sz w:val="20"/>
          <w:szCs w:val="20"/>
          <w:color w:val="auto"/>
        </w:rPr>
      </w:pPr>
      <w:r>
        <w:rPr>
          <w:rFonts w:ascii="Times New Roman" w:cs="Times New Roman" w:eastAsia="Times New Roman" w:hAnsi="Times New Roman"/>
          <w:sz w:val="20"/>
          <w:szCs w:val="20"/>
          <w:color w:val="auto"/>
        </w:rPr>
        <w:t>Property and equipment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147320</wp:posOffset>
            </wp:positionV>
            <wp:extent cx="5969000" cy="1924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38">
                      <a:extLst>
                        <a:ext uri="{28A0092B-C50C-407E-A947-70E740481C1C}"/>
                      </a:extLst>
                    </a:blip>
                    <a:srcRect/>
                    <a:stretch>
                      <a:fillRect/>
                    </a:stretch>
                  </pic:blipFill>
                  <pic:spPr bwMode="auto">
                    <a:xfrm>
                      <a:off x="0" y="0"/>
                      <a:ext cx="5969000" cy="1924050"/>
                    </a:xfrm>
                    <a:prstGeom prst="rect">
                      <a:avLst/>
                    </a:prstGeom>
                    <a:noFill/>
                  </pic:spPr>
                </pic:pic>
              </a:graphicData>
            </a:graphic>
          </wp:anchor>
        </w:drawing>
      </w:r>
    </w:p>
    <w:p>
      <w:pPr>
        <w:spacing w:after="0" w:line="228"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66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tcPr>
          <w:p>
            <w:pPr>
              <w:spacing w:after="0"/>
              <w:rPr>
                <w:sz w:val="16"/>
                <w:szCs w:val="16"/>
                <w:color w:val="auto"/>
              </w:rPr>
            </w:pPr>
          </w:p>
        </w:tc>
        <w:tc>
          <w:tcPr>
            <w:tcW w:w="1140" w:type="dxa"/>
            <w:vAlign w:val="bottom"/>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664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62"/>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Laboratory equipment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6,337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4,892</w:t>
            </w:r>
          </w:p>
        </w:tc>
        <w:tc>
          <w:tcPr>
            <w:tcW w:w="0" w:type="dxa"/>
            <w:vAlign w:val="bottom"/>
          </w:tcPr>
          <w:p>
            <w:pPr>
              <w:spacing w:after="0"/>
              <w:rPr>
                <w:sz w:val="1"/>
                <w:szCs w:val="1"/>
                <w:color w:val="auto"/>
              </w:rPr>
            </w:pPr>
          </w:p>
        </w:tc>
      </w:tr>
      <w:tr>
        <w:trPr>
          <w:trHeight w:val="285"/>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85"/>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Computer hardware</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w:t>
            </w:r>
          </w:p>
        </w:tc>
        <w:tc>
          <w:tcPr>
            <w:tcW w:w="0" w:type="dxa"/>
            <w:vAlign w:val="bottom"/>
          </w:tcPr>
          <w:p>
            <w:pPr>
              <w:spacing w:after="0"/>
              <w:rPr>
                <w:sz w:val="1"/>
                <w:szCs w:val="1"/>
                <w:color w:val="auto"/>
              </w:rPr>
            </w:pPr>
          </w:p>
        </w:tc>
      </w:tr>
      <w:tr>
        <w:trPr>
          <w:trHeight w:val="285"/>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Furniture, fixtures and office equipment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285"/>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Prototype equipment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332</w:t>
            </w:r>
          </w:p>
        </w:tc>
        <w:tc>
          <w:tcPr>
            <w:tcW w:w="0" w:type="dxa"/>
            <w:vAlign w:val="bottom"/>
          </w:tcPr>
          <w:p>
            <w:pPr>
              <w:spacing w:after="0"/>
              <w:rPr>
                <w:sz w:val="1"/>
                <w:szCs w:val="1"/>
                <w:color w:val="auto"/>
              </w:rPr>
            </w:pPr>
          </w:p>
        </w:tc>
      </w:tr>
      <w:tr>
        <w:trPr>
          <w:trHeight w:val="288"/>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Construction in progress</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904</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1,235</w:t>
            </w:r>
          </w:p>
        </w:tc>
        <w:tc>
          <w:tcPr>
            <w:tcW w:w="0" w:type="dxa"/>
            <w:vAlign w:val="bottom"/>
          </w:tcPr>
          <w:p>
            <w:pPr>
              <w:spacing w:after="0"/>
              <w:rPr>
                <w:sz w:val="1"/>
                <w:szCs w:val="1"/>
                <w:color w:val="auto"/>
              </w:rPr>
            </w:pPr>
          </w:p>
        </w:tc>
      </w:tr>
      <w:tr>
        <w:trPr>
          <w:trHeight w:val="262"/>
        </w:trPr>
        <w:tc>
          <w:tcPr>
            <w:tcW w:w="6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8,901</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6,663</w:t>
            </w:r>
          </w:p>
        </w:tc>
        <w:tc>
          <w:tcPr>
            <w:tcW w:w="0" w:type="dxa"/>
            <w:vAlign w:val="bottom"/>
          </w:tcPr>
          <w:p>
            <w:pPr>
              <w:spacing w:after="0"/>
              <w:rPr>
                <w:sz w:val="1"/>
                <w:szCs w:val="1"/>
                <w:color w:val="auto"/>
              </w:rPr>
            </w:pPr>
          </w:p>
        </w:tc>
      </w:tr>
      <w:tr>
        <w:trPr>
          <w:trHeight w:val="288"/>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(4,634)</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(2,963)</w:t>
            </w:r>
          </w:p>
        </w:tc>
        <w:tc>
          <w:tcPr>
            <w:tcW w:w="0" w:type="dxa"/>
            <w:vAlign w:val="bottom"/>
          </w:tcPr>
          <w:p>
            <w:pPr>
              <w:spacing w:after="0"/>
              <w:rPr>
                <w:sz w:val="1"/>
                <w:szCs w:val="1"/>
                <w:color w:val="auto"/>
              </w:rPr>
            </w:pPr>
          </w:p>
        </w:tc>
      </w:tr>
      <w:tr>
        <w:trPr>
          <w:trHeight w:val="245"/>
        </w:trPr>
        <w:tc>
          <w:tcPr>
            <w:tcW w:w="66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4,267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3,700</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360"/>
        <w:spacing w:after="0" w:line="281" w:lineRule="auto"/>
        <w:rPr>
          <w:sz w:val="20"/>
          <w:szCs w:val="20"/>
          <w:color w:val="auto"/>
        </w:rPr>
      </w:pPr>
      <w:r>
        <w:rPr>
          <w:rFonts w:ascii="Times New Roman" w:cs="Times New Roman" w:eastAsia="Times New Roman" w:hAnsi="Times New Roman"/>
          <w:sz w:val="20"/>
          <w:szCs w:val="20"/>
          <w:color w:val="auto"/>
        </w:rPr>
        <w:t>The Company recorded $1.8 million and $1.2 million of depreciation expense for the years ended December 31, 2023 and 2022, respectively, which was primarily allocated to research and development expense.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Accrued Expenses and Other Liabilities</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Accrued expenses and other liabilities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147320</wp:posOffset>
            </wp:positionV>
            <wp:extent cx="5969000" cy="12001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9">
                      <a:extLst>
                        <a:ext uri="{28A0092B-C50C-407E-A947-70E740481C1C}"/>
                      </a:extLst>
                    </a:blip>
                    <a:srcRect/>
                    <a:stretch>
                      <a:fillRect/>
                    </a:stretch>
                  </pic:blipFill>
                  <pic:spPr bwMode="auto">
                    <a:xfrm>
                      <a:off x="0" y="0"/>
                      <a:ext cx="5969000" cy="120015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tcPr>
          <w:p>
            <w:pPr>
              <w:spacing w:after="0"/>
              <w:rPr>
                <w:sz w:val="16"/>
                <w:szCs w:val="16"/>
                <w:color w:val="auto"/>
              </w:rPr>
            </w:pPr>
          </w:p>
        </w:tc>
        <w:tc>
          <w:tcPr>
            <w:tcW w:w="1140" w:type="dxa"/>
            <w:vAlign w:val="bottom"/>
          </w:tcPr>
          <w:p>
            <w:pPr>
              <w:jc w:val="center"/>
              <w:ind w:right="87"/>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67"/>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670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0" w:type="dxa"/>
            <w:vAlign w:val="bottom"/>
          </w:tcPr>
          <w:p>
            <w:pPr>
              <w:spacing w:after="0"/>
              <w:rPr>
                <w:sz w:val="1"/>
                <w:szCs w:val="1"/>
                <w:color w:val="auto"/>
              </w:rPr>
            </w:pPr>
          </w:p>
        </w:tc>
      </w:tr>
      <w:tr>
        <w:trPr>
          <w:trHeight w:val="262"/>
        </w:trPr>
        <w:tc>
          <w:tcPr>
            <w:tcW w:w="6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Employee compensation</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1,669</w:t>
            </w:r>
          </w:p>
        </w:tc>
        <w:tc>
          <w:tcPr>
            <w:tcW w:w="0" w:type="dxa"/>
            <w:vAlign w:val="bottom"/>
          </w:tcPr>
          <w:p>
            <w:pPr>
              <w:spacing w:after="0"/>
              <w:rPr>
                <w:sz w:val="1"/>
                <w:szCs w:val="1"/>
                <w:color w:val="auto"/>
              </w:rPr>
            </w:pPr>
          </w:p>
        </w:tc>
      </w:tr>
      <w:tr>
        <w:trPr>
          <w:trHeight w:val="285"/>
        </w:trPr>
        <w:tc>
          <w:tcPr>
            <w:tcW w:w="6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Accrued research and development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970</w:t>
            </w:r>
          </w:p>
        </w:tc>
        <w:tc>
          <w:tcPr>
            <w:tcW w:w="0" w:type="dxa"/>
            <w:vAlign w:val="bottom"/>
          </w:tcPr>
          <w:p>
            <w:pPr>
              <w:spacing w:after="0"/>
              <w:rPr>
                <w:sz w:val="1"/>
                <w:szCs w:val="1"/>
                <w:color w:val="auto"/>
              </w:rPr>
            </w:pPr>
          </w:p>
        </w:tc>
      </w:tr>
      <w:tr>
        <w:trPr>
          <w:trHeight w:val="285"/>
        </w:trPr>
        <w:tc>
          <w:tcPr>
            <w:tcW w:w="6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Accrued professional and consulting fees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451</w:t>
            </w:r>
          </w:p>
        </w:tc>
        <w:tc>
          <w:tcPr>
            <w:tcW w:w="0" w:type="dxa"/>
            <w:vAlign w:val="bottom"/>
          </w:tcPr>
          <w:p>
            <w:pPr>
              <w:spacing w:after="0"/>
              <w:rPr>
                <w:sz w:val="1"/>
                <w:szCs w:val="1"/>
                <w:color w:val="auto"/>
              </w:rPr>
            </w:pPr>
          </w:p>
        </w:tc>
      </w:tr>
      <w:tr>
        <w:trPr>
          <w:trHeight w:val="288"/>
        </w:trPr>
        <w:tc>
          <w:tcPr>
            <w:tcW w:w="6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Other</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379</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438</w:t>
            </w:r>
          </w:p>
        </w:tc>
        <w:tc>
          <w:tcPr>
            <w:tcW w:w="0" w:type="dxa"/>
            <w:vAlign w:val="bottom"/>
          </w:tcPr>
          <w:p>
            <w:pPr>
              <w:spacing w:after="0"/>
              <w:rPr>
                <w:sz w:val="1"/>
                <w:szCs w:val="1"/>
                <w:color w:val="auto"/>
              </w:rPr>
            </w:pPr>
          </w:p>
        </w:tc>
      </w:tr>
      <w:tr>
        <w:trPr>
          <w:trHeight w:val="245"/>
        </w:trPr>
        <w:tc>
          <w:tcPr>
            <w:tcW w:w="6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Total</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3,945</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3,528</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Cash, Cash Equivalents and Restricted Cash</w:t>
            </w: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67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67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Cash, cash equivalents and restricted cash consisted of the following:</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670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tcPr>
          <w:p>
            <w:pPr>
              <w:spacing w:after="0"/>
              <w:rPr>
                <w:sz w:val="24"/>
                <w:szCs w:val="24"/>
                <w:color w:val="auto"/>
              </w:rPr>
            </w:pPr>
          </w:p>
        </w:tc>
        <w:tc>
          <w:tcPr>
            <w:tcW w:w="1140" w:type="dxa"/>
            <w:vAlign w:val="bottom"/>
          </w:tcPr>
          <w:p>
            <w:pPr>
              <w:jc w:val="center"/>
              <w:ind w:right="87"/>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67"/>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670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0" w:type="dxa"/>
            <w:vAlign w:val="bottom"/>
          </w:tcPr>
          <w:p>
            <w:pPr>
              <w:spacing w:after="0"/>
              <w:rPr>
                <w:sz w:val="1"/>
                <w:szCs w:val="1"/>
                <w:color w:val="auto"/>
              </w:rPr>
            </w:pPr>
          </w:p>
        </w:tc>
      </w:tr>
      <w:tr>
        <w:trPr>
          <w:trHeight w:val="262"/>
        </w:trPr>
        <w:tc>
          <w:tcPr>
            <w:tcW w:w="6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19,397</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114,523</w:t>
            </w:r>
          </w:p>
        </w:tc>
        <w:tc>
          <w:tcPr>
            <w:tcW w:w="0" w:type="dxa"/>
            <w:vAlign w:val="bottom"/>
          </w:tcPr>
          <w:p>
            <w:pPr>
              <w:spacing w:after="0"/>
              <w:rPr>
                <w:sz w:val="1"/>
                <w:szCs w:val="1"/>
                <w:color w:val="auto"/>
              </w:rPr>
            </w:pPr>
          </w:p>
        </w:tc>
      </w:tr>
      <w:tr>
        <w:trPr>
          <w:trHeight w:val="288"/>
        </w:trPr>
        <w:tc>
          <w:tcPr>
            <w:tcW w:w="6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Restricted cash included in other long-term assets (Note 8)</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1,002</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954</w:t>
            </w:r>
          </w:p>
        </w:tc>
        <w:tc>
          <w:tcPr>
            <w:tcW w:w="0" w:type="dxa"/>
            <w:vAlign w:val="bottom"/>
          </w:tcPr>
          <w:p>
            <w:pPr>
              <w:spacing w:after="0"/>
              <w:rPr>
                <w:sz w:val="1"/>
                <w:szCs w:val="1"/>
                <w:color w:val="auto"/>
              </w:rPr>
            </w:pPr>
          </w:p>
        </w:tc>
      </w:tr>
      <w:tr>
        <w:trPr>
          <w:trHeight w:val="245"/>
        </w:trPr>
        <w:tc>
          <w:tcPr>
            <w:tcW w:w="6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Total</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20,399</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115,477</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-831215</wp:posOffset>
            </wp:positionV>
            <wp:extent cx="5969000" cy="8382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40">
                      <a:extLst>
                        <a:ext uri="{28A0092B-C50C-407E-A947-70E740481C1C}"/>
                      </a:extLst>
                    </a:blip>
                    <a:srcRect/>
                    <a:stretch>
                      <a:fillRect/>
                    </a:stretch>
                  </pic:blipFill>
                  <pic:spPr bwMode="auto">
                    <a:xfrm>
                      <a:off x="0" y="0"/>
                      <a:ext cx="5969000" cy="838200"/>
                    </a:xfrm>
                    <a:prstGeom prst="rect">
                      <a:avLst/>
                    </a:prstGeom>
                    <a:noFill/>
                  </pic:spPr>
                </pic:pic>
              </a:graphicData>
            </a:graphic>
          </wp:anchor>
        </w:drawing>
      </w:r>
    </w:p>
    <w:p>
      <w:pPr>
        <w:spacing w:after="0" w:line="168" w:lineRule="exact"/>
        <w:rPr>
          <w:sz w:val="20"/>
          <w:szCs w:val="20"/>
          <w:color w:val="auto"/>
        </w:rPr>
      </w:pPr>
    </w:p>
    <w:p>
      <w:pPr>
        <w:ind w:right="560" w:firstLine="360"/>
        <w:spacing w:after="0" w:line="281" w:lineRule="auto"/>
        <w:rPr>
          <w:sz w:val="20"/>
          <w:szCs w:val="20"/>
          <w:color w:val="auto"/>
        </w:rPr>
      </w:pPr>
      <w:r>
        <w:rPr>
          <w:rFonts w:ascii="Times New Roman" w:cs="Times New Roman" w:eastAsia="Times New Roman" w:hAnsi="Times New Roman"/>
          <w:sz w:val="20"/>
          <w:szCs w:val="20"/>
          <w:color w:val="auto"/>
        </w:rPr>
        <w:t>Other long-term assets consisted of $1.0 million of restricted cash and $0.2 million of deposits as of December 31, 2023, and $0.9 million of restricted cash and $0.2 million of deposits as of December 31, 2022.</w:t>
      </w:r>
    </w:p>
    <w:p>
      <w:pPr>
        <w:sectPr>
          <w:pgSz w:w="12240" w:h="15840" w:orient="portrait"/>
          <w:cols w:equalWidth="0" w:num="1">
            <w:col w:w="9360"/>
          </w:cols>
          <w:pgMar w:left="1440" w:top="53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2240" w:h="15840" w:orient="portrait"/>
          <w:cols w:equalWidth="0" w:num="1">
            <w:col w:w="9360"/>
          </w:cols>
          <w:pgMar w:left="1440" w:top="539" w:right="1440" w:bottom="0" w:gutter="0" w:footer="0" w:header="0"/>
          <w:type w:val="continuous"/>
        </w:sectPr>
      </w:pPr>
    </w:p>
    <w:bookmarkStart w:id="105" w:name="page106"/>
    <w:bookmarkEnd w:id="105"/>
    <w:p>
      <w:pPr>
        <w:ind w:left="60"/>
        <w:spacing w:after="0"/>
        <w:rPr>
          <w:sz w:val="20"/>
          <w:szCs w:val="20"/>
          <w:color w:val="auto"/>
        </w:rPr>
      </w:pPr>
      <w:r>
        <w:rPr>
          <w:rFonts w:ascii="Times New Roman" w:cs="Times New Roman" w:eastAsia="Times New Roman" w:hAnsi="Times New Roman"/>
          <w:sz w:val="24"/>
          <w:szCs w:val="24"/>
          <w:b w:val="1"/>
          <w:bCs w:val="1"/>
          <w:color w:val="auto"/>
        </w:rPr>
        <w:t>Nautilus Biotechnology, Inc.</w:t>
      </w:r>
    </w:p>
    <w:p>
      <w:pPr>
        <w:spacing w:after="0" w:line="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4"/>
          <w:szCs w:val="24"/>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13335</wp:posOffset>
                </wp:positionV>
                <wp:extent cx="594360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5pt" to="468pt,1.05pt" o:allowincell="f" strokecolor="#000000" strokeweight="1pt"/>
            </w:pict>
          </mc:Fallback>
        </mc:AlternateContent>
      </w:r>
    </w:p>
    <w:p>
      <w:pPr>
        <w:spacing w:after="0" w:line="218" w:lineRule="exact"/>
        <w:rPr>
          <w:sz w:val="20"/>
          <w:szCs w:val="20"/>
          <w:color w:val="auto"/>
        </w:rPr>
      </w:pPr>
    </w:p>
    <w:p>
      <w:pPr>
        <w:ind w:left="720" w:hanging="720"/>
        <w:spacing w:after="0"/>
        <w:tabs>
          <w:tab w:leader="none" w:pos="720"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Common Stock</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There were 125,068,601 shares issued and outstanding as of December 31, 2023.</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Common Stock Reserved for Future Issuance</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Shares of common stock reserved for future issuance on an as-if converted basis,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147320</wp:posOffset>
            </wp:positionV>
            <wp:extent cx="5969000" cy="10191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41">
                      <a:extLst>
                        <a:ext uri="{28A0092B-C50C-407E-A947-70E740481C1C}"/>
                      </a:extLst>
                    </a:blip>
                    <a:srcRect/>
                    <a:stretch>
                      <a:fillRect/>
                    </a:stretch>
                  </pic:blipFill>
                  <pic:spPr bwMode="auto">
                    <a:xfrm>
                      <a:off x="0" y="0"/>
                      <a:ext cx="5969000" cy="1019175"/>
                    </a:xfrm>
                    <a:prstGeom prst="rect">
                      <a:avLst/>
                    </a:prstGeom>
                    <a:noFill/>
                  </pic:spPr>
                </pic:pic>
              </a:graphicData>
            </a:graphic>
          </wp:anchor>
        </w:drawing>
      </w:r>
    </w:p>
    <w:p>
      <w:pPr>
        <w:spacing w:after="0" w:line="228"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30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00" w:type="dxa"/>
            <w:vAlign w:val="bottom"/>
          </w:tcPr>
          <w:p>
            <w:pPr>
              <w:jc w:val="right"/>
              <w:ind w:right="107"/>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16"/>
                <w:szCs w:val="16"/>
                <w:color w:val="auto"/>
              </w:rPr>
            </w:pPr>
          </w:p>
        </w:tc>
        <w:tc>
          <w:tcPr>
            <w:tcW w:w="1300" w:type="dxa"/>
            <w:vAlign w:val="bottom"/>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30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30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c>
          <w:tcPr>
            <w:tcW w:w="13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62"/>
        </w:trPr>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w w:val="99"/>
              </w:rPr>
              <w:t>Shares available for grant under 2021</w:t>
            </w:r>
          </w:p>
        </w:tc>
        <w:tc>
          <w:tcPr>
            <w:tcW w:w="3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Equity Incentive Plan</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20,279,560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17,298,043</w:t>
            </w:r>
          </w:p>
        </w:tc>
      </w:tr>
      <w:tr>
        <w:trPr>
          <w:trHeight w:val="285"/>
        </w:trPr>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Stock options issued and outstanding</w:t>
            </w:r>
          </w:p>
        </w:tc>
        <w:tc>
          <w:tcPr>
            <w:tcW w:w="36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14,676,335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11,485,443</w:t>
            </w:r>
          </w:p>
        </w:tc>
      </w:tr>
      <w:tr>
        <w:trPr>
          <w:trHeight w:val="288"/>
        </w:trPr>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w w:val="99"/>
              </w:rPr>
              <w:t>Shares available for grant under 2021</w:t>
            </w:r>
          </w:p>
        </w:tc>
        <w:tc>
          <w:tcPr>
            <w:tcW w:w="3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Employee Stock Purchase Plan</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3,505,138</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2,388,735</w:t>
            </w:r>
          </w:p>
        </w:tc>
      </w:tr>
      <w:tr>
        <w:trPr>
          <w:trHeight w:val="245"/>
        </w:trPr>
        <w:tc>
          <w:tcPr>
            <w:tcW w:w="6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shares of common stock reserved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38,461,033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31,172,221</w:t>
            </w:r>
          </w:p>
        </w:tc>
      </w:tr>
      <w:tr>
        <w:trPr>
          <w:trHeight w:val="20"/>
        </w:trPr>
        <w:tc>
          <w:tcPr>
            <w:tcW w:w="30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left="720" w:hanging="720"/>
        <w:spacing w:after="0"/>
        <w:tabs>
          <w:tab w:leader="none" w:pos="720" w:val="left"/>
        </w:tabs>
        <w:numPr>
          <w:ilvl w:val="0"/>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Income Taxes</w:t>
      </w:r>
    </w:p>
    <w:p>
      <w:pPr>
        <w:spacing w:after="0" w:line="197" w:lineRule="exact"/>
        <w:rPr>
          <w:sz w:val="20"/>
          <w:szCs w:val="20"/>
          <w:color w:val="auto"/>
        </w:rPr>
      </w:pPr>
    </w:p>
    <w:p>
      <w:pPr>
        <w:ind w:right="60" w:firstLine="360"/>
        <w:spacing w:after="0" w:line="258" w:lineRule="auto"/>
        <w:rPr>
          <w:sz w:val="20"/>
          <w:szCs w:val="20"/>
          <w:color w:val="auto"/>
        </w:rPr>
      </w:pPr>
      <w:r>
        <w:rPr>
          <w:rFonts w:ascii="Times New Roman" w:cs="Times New Roman" w:eastAsia="Times New Roman" w:hAnsi="Times New Roman"/>
          <w:sz w:val="20"/>
          <w:szCs w:val="20"/>
          <w:color w:val="auto"/>
        </w:rPr>
        <w:t>The Company is liable for income taxes in the United States. For the years ended December 31, 2023 and 2022, the Company did not have any income for income tax purposes and therefore, no tax liability or expense has been recorded in these financial statements. The difference between the tax at the statutory federal tax rate and no tax provision recorded by the Company is primarily due to the Company’s full valuation allowance against its deferred tax assets.</w:t>
      </w:r>
    </w:p>
    <w:p>
      <w:pPr>
        <w:spacing w:after="0" w:line="144" w:lineRule="exact"/>
        <w:rPr>
          <w:sz w:val="20"/>
          <w:szCs w:val="20"/>
          <w:color w:val="auto"/>
        </w:rPr>
      </w:pPr>
    </w:p>
    <w:p>
      <w:pPr>
        <w:ind w:right="20" w:firstLine="360"/>
        <w:spacing w:after="0" w:line="281" w:lineRule="auto"/>
        <w:rPr>
          <w:sz w:val="20"/>
          <w:szCs w:val="20"/>
          <w:color w:val="auto"/>
        </w:rPr>
      </w:pPr>
      <w:r>
        <w:rPr>
          <w:rFonts w:ascii="Times New Roman" w:cs="Times New Roman" w:eastAsia="Times New Roman" w:hAnsi="Times New Roman"/>
          <w:sz w:val="20"/>
          <w:szCs w:val="20"/>
          <w:color w:val="auto"/>
        </w:rPr>
        <w:t>A reconciliation between the expected income tax provision at the federal statutory rate and the reported income tax provision is approximately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103505</wp:posOffset>
            </wp:positionV>
            <wp:extent cx="5969000" cy="1657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2">
                      <a:extLst>
                        <a:ext uri="{28A0092B-C50C-407E-A947-70E740481C1C}"/>
                      </a:extLst>
                    </a:blip>
                    <a:srcRect/>
                    <a:stretch>
                      <a:fillRect/>
                    </a:stretch>
                  </pic:blipFill>
                  <pic:spPr bwMode="auto">
                    <a:xfrm>
                      <a:off x="0" y="0"/>
                      <a:ext cx="5969000" cy="1657350"/>
                    </a:xfrm>
                    <a:prstGeom prst="rect">
                      <a:avLst/>
                    </a:prstGeom>
                    <a:noFill/>
                  </pic:spPr>
                </pic:pic>
              </a:graphicData>
            </a:graphic>
          </wp:anchor>
        </w:drawing>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106"/>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86"/>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0" w:type="dxa"/>
            <w:vAlign w:val="bottom"/>
          </w:tcPr>
          <w:p>
            <w:pPr>
              <w:spacing w:after="0"/>
              <w:rPr>
                <w:sz w:val="1"/>
                <w:szCs w:val="1"/>
                <w:color w:val="auto"/>
              </w:rPr>
            </w:pPr>
          </w:p>
        </w:tc>
      </w:tr>
      <w:tr>
        <w:trPr>
          <w:trHeight w:val="160"/>
        </w:trPr>
        <w:tc>
          <w:tcPr>
            <w:tcW w:w="66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80" w:type="dxa"/>
            <w:vAlign w:val="bottom"/>
          </w:tcPr>
          <w:p>
            <w:pPr>
              <w:spacing w:after="0"/>
              <w:rPr>
                <w:sz w:val="13"/>
                <w:szCs w:val="13"/>
                <w:color w:val="auto"/>
              </w:rPr>
            </w:pPr>
          </w:p>
        </w:tc>
        <w:tc>
          <w:tcPr>
            <w:tcW w:w="1140" w:type="dxa"/>
            <w:vAlign w:val="bottom"/>
          </w:tcPr>
          <w:p>
            <w:pPr>
              <w:jc w:val="center"/>
              <w:ind w:right="86"/>
              <w:spacing w:after="0" w:line="160"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center"/>
              <w:ind w:right="86"/>
              <w:spacing w:after="0" w:line="160"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664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0" w:type="dxa"/>
            <w:vAlign w:val="bottom"/>
          </w:tcPr>
          <w:p>
            <w:pPr>
              <w:spacing w:after="0"/>
              <w:rPr>
                <w:sz w:val="1"/>
                <w:szCs w:val="1"/>
                <w:color w:val="auto"/>
              </w:rPr>
            </w:pPr>
          </w:p>
        </w:tc>
      </w:tr>
      <w:tr>
        <w:trPr>
          <w:trHeight w:val="262"/>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Federal income tax at statutory rate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(13,372)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(12,164)</w:t>
            </w:r>
          </w:p>
        </w:tc>
        <w:tc>
          <w:tcPr>
            <w:tcW w:w="0" w:type="dxa"/>
            <w:vAlign w:val="bottom"/>
          </w:tcPr>
          <w:p>
            <w:pPr>
              <w:spacing w:after="0"/>
              <w:rPr>
                <w:sz w:val="1"/>
                <w:szCs w:val="1"/>
                <w:color w:val="auto"/>
              </w:rPr>
            </w:pPr>
          </w:p>
        </w:tc>
      </w:tr>
      <w:tr>
        <w:trPr>
          <w:trHeight w:val="285"/>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State income tax, net of federal benefit</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(4,027)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(3,126)</w:t>
            </w:r>
          </w:p>
        </w:tc>
        <w:tc>
          <w:tcPr>
            <w:tcW w:w="0" w:type="dxa"/>
            <w:vAlign w:val="bottom"/>
          </w:tcPr>
          <w:p>
            <w:pPr>
              <w:spacing w:after="0"/>
              <w:rPr>
                <w:sz w:val="1"/>
                <w:szCs w:val="1"/>
                <w:color w:val="auto"/>
              </w:rPr>
            </w:pPr>
          </w:p>
        </w:tc>
      </w:tr>
      <w:tr>
        <w:trPr>
          <w:trHeight w:val="285"/>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Equity-based Compensation</w:t>
            </w:r>
          </w:p>
        </w:tc>
        <w:tc>
          <w:tcPr>
            <w:tcW w:w="180" w:type="dxa"/>
            <w:vAlign w:val="bottom"/>
          </w:tcPr>
          <w:p>
            <w:pPr>
              <w:spacing w:after="0"/>
              <w:rPr>
                <w:sz w:val="24"/>
                <w:szCs w:val="24"/>
                <w:color w:val="auto"/>
              </w:rPr>
            </w:pPr>
          </w:p>
        </w:tc>
        <w:tc>
          <w:tcPr>
            <w:tcW w:w="114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2,423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w:t>
            </w:r>
          </w:p>
        </w:tc>
        <w:tc>
          <w:tcPr>
            <w:tcW w:w="0" w:type="dxa"/>
            <w:vAlign w:val="bottom"/>
          </w:tcPr>
          <w:p>
            <w:pPr>
              <w:spacing w:after="0"/>
              <w:rPr>
                <w:sz w:val="1"/>
                <w:szCs w:val="1"/>
                <w:color w:val="auto"/>
              </w:rPr>
            </w:pPr>
          </w:p>
        </w:tc>
      </w:tr>
      <w:tr>
        <w:trPr>
          <w:trHeight w:val="285"/>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Tax credits generated in current year</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(2,607)</w:t>
            </w:r>
          </w:p>
        </w:tc>
        <w:tc>
          <w:tcPr>
            <w:tcW w:w="0" w:type="dxa"/>
            <w:vAlign w:val="bottom"/>
          </w:tcPr>
          <w:p>
            <w:pPr>
              <w:spacing w:after="0"/>
              <w:rPr>
                <w:sz w:val="1"/>
                <w:szCs w:val="1"/>
                <w:color w:val="auto"/>
              </w:rPr>
            </w:pPr>
          </w:p>
        </w:tc>
      </w:tr>
      <w:tr>
        <w:trPr>
          <w:trHeight w:val="285"/>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Valuation allowance change</w:t>
            </w:r>
          </w:p>
        </w:tc>
        <w:tc>
          <w:tcPr>
            <w:tcW w:w="180" w:type="dxa"/>
            <w:vAlign w:val="bottom"/>
          </w:tcPr>
          <w:p>
            <w:pPr>
              <w:spacing w:after="0"/>
              <w:rPr>
                <w:sz w:val="24"/>
                <w:szCs w:val="24"/>
                <w:color w:val="auto"/>
              </w:rPr>
            </w:pPr>
          </w:p>
        </w:tc>
        <w:tc>
          <w:tcPr>
            <w:tcW w:w="114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17,011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17,127</w:t>
            </w:r>
          </w:p>
        </w:tc>
        <w:tc>
          <w:tcPr>
            <w:tcW w:w="0" w:type="dxa"/>
            <w:vAlign w:val="bottom"/>
          </w:tcPr>
          <w:p>
            <w:pPr>
              <w:spacing w:after="0"/>
              <w:rPr>
                <w:sz w:val="1"/>
                <w:szCs w:val="1"/>
                <w:color w:val="auto"/>
              </w:rPr>
            </w:pPr>
          </w:p>
        </w:tc>
      </w:tr>
      <w:tr>
        <w:trPr>
          <w:trHeight w:val="288"/>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20"/>
                <w:szCs w:val="20"/>
                <w:color w:val="auto"/>
              </w:rPr>
              <w:t>40</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480</w:t>
            </w:r>
          </w:p>
        </w:tc>
        <w:tc>
          <w:tcPr>
            <w:tcW w:w="0" w:type="dxa"/>
            <w:vAlign w:val="bottom"/>
          </w:tcPr>
          <w:p>
            <w:pPr>
              <w:spacing w:after="0"/>
              <w:rPr>
                <w:sz w:val="1"/>
                <w:szCs w:val="1"/>
                <w:color w:val="auto"/>
              </w:rPr>
            </w:pPr>
          </w:p>
        </w:tc>
      </w:tr>
      <w:tr>
        <w:trPr>
          <w:trHeight w:val="245"/>
        </w:trPr>
        <w:tc>
          <w:tcPr>
            <w:tcW w:w="66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firstLine="360"/>
        <w:spacing w:after="0" w:line="260" w:lineRule="auto"/>
        <w:rPr>
          <w:sz w:val="20"/>
          <w:szCs w:val="20"/>
          <w:color w:val="auto"/>
        </w:rPr>
      </w:pPr>
      <w:r>
        <w:rPr>
          <w:rFonts w:ascii="Times New Roman" w:cs="Times New Roman" w:eastAsia="Times New Roman" w:hAnsi="Times New Roman"/>
          <w:sz w:val="20"/>
          <w:szCs w:val="20"/>
          <w:color w:val="auto"/>
        </w:rPr>
        <w:t>As of December 31, 2023, the Company had federal net operating loss carryforwards of $0.5 million that begin to expire in 2037 and federal net operating loss carryforwards of $70.6 million that arose after the 2017 tax year that will carryforward indefinitely and will be subject to the 80% of taxable income limitation. The Company has state net operating loss carryforwards of $95.5 million that will begin to expire in 2037.</w:t>
      </w:r>
    </w:p>
    <w:p>
      <w:pPr>
        <w:spacing w:after="0" w:line="143" w:lineRule="exact"/>
        <w:rPr>
          <w:sz w:val="20"/>
          <w:szCs w:val="20"/>
          <w:color w:val="auto"/>
        </w:rPr>
      </w:pPr>
    </w:p>
    <w:p>
      <w:pPr>
        <w:ind w:right="100" w:firstLine="360"/>
        <w:spacing w:after="0" w:line="266" w:lineRule="auto"/>
        <w:rPr>
          <w:sz w:val="20"/>
          <w:szCs w:val="20"/>
          <w:color w:val="auto"/>
        </w:rPr>
      </w:pPr>
      <w:r>
        <w:rPr>
          <w:rFonts w:ascii="Times New Roman" w:cs="Times New Roman" w:eastAsia="Times New Roman" w:hAnsi="Times New Roman"/>
          <w:sz w:val="20"/>
          <w:szCs w:val="20"/>
          <w:color w:val="auto"/>
        </w:rPr>
        <w:t>As of December 31, 2023, the Company had research and development tax credit carryover of $6.8 million and $4.7 million for federal and state tax purposes, respectively. If not utilized, the federal carryforward will expire in various amounts beginning in 2039. The California credits can be carried forward indefinitely.</w:t>
      </w:r>
    </w:p>
    <w:p>
      <w:pPr>
        <w:spacing w:after="0" w:line="135" w:lineRule="exact"/>
        <w:rPr>
          <w:sz w:val="20"/>
          <w:szCs w:val="20"/>
          <w:color w:val="auto"/>
        </w:rPr>
      </w:pPr>
    </w:p>
    <w:p>
      <w:pPr>
        <w:ind w:right="20" w:firstLine="360"/>
        <w:spacing w:after="0" w:line="278" w:lineRule="auto"/>
        <w:rPr>
          <w:sz w:val="20"/>
          <w:szCs w:val="20"/>
          <w:color w:val="auto"/>
        </w:rPr>
      </w:pPr>
      <w:r>
        <w:rPr>
          <w:rFonts w:ascii="Times New Roman" w:cs="Times New Roman" w:eastAsia="Times New Roman" w:hAnsi="Times New Roman"/>
          <w:sz w:val="19"/>
          <w:szCs w:val="19"/>
          <w:color w:val="auto"/>
        </w:rPr>
        <w:t>The Company has evaluated the positive and negative evidence bearing upon its ability to realize the deferred tax assets. Management has considered the Company’s history of cumulative net losses incurred since inception and its lack of revenue since inception and has concluded that it is more likely than not that the Company will not realize the benefits of the deferred tax assets. Accordingly, the Company has provided a full valuation allowance against the</w:t>
      </w:r>
    </w:p>
    <w:p>
      <w:pPr>
        <w:sectPr>
          <w:pgSz w:w="12240" w:h="15840" w:orient="portrait"/>
          <w:cols w:equalWidth="0" w:num="1">
            <w:col w:w="9360"/>
          </w:cols>
          <w:pgMar w:left="1440" w:top="53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2240" w:h="15840" w:orient="portrait"/>
          <w:cols w:equalWidth="0" w:num="1">
            <w:col w:w="9360"/>
          </w:cols>
          <w:pgMar w:left="1440" w:top="539" w:right="1440" w:bottom="0" w:gutter="0" w:footer="0" w:header="0"/>
          <w:type w:val="continuous"/>
        </w:sectPr>
      </w:pPr>
    </w:p>
    <w:bookmarkStart w:id="106" w:name="page107"/>
    <w:bookmarkEnd w:id="106"/>
    <w:p>
      <w:pPr>
        <w:ind w:left="60"/>
        <w:spacing w:after="0"/>
        <w:rPr>
          <w:sz w:val="20"/>
          <w:szCs w:val="20"/>
          <w:color w:val="auto"/>
        </w:rPr>
      </w:pPr>
      <w:r>
        <w:rPr>
          <w:rFonts w:ascii="Times New Roman" w:cs="Times New Roman" w:eastAsia="Times New Roman" w:hAnsi="Times New Roman"/>
          <w:sz w:val="24"/>
          <w:szCs w:val="24"/>
          <w:b w:val="1"/>
          <w:bCs w:val="1"/>
          <w:color w:val="auto"/>
        </w:rPr>
        <w:t>Nautilus Biotechnology, Inc.</w:t>
      </w:r>
    </w:p>
    <w:p>
      <w:pPr>
        <w:spacing w:after="0" w:line="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4"/>
          <w:szCs w:val="24"/>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13335</wp:posOffset>
                </wp:positionV>
                <wp:extent cx="5943600"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5pt" to="468pt,1.05pt" o:allowincell="f" strokecolor="#000000" strokeweight="1pt"/>
            </w:pict>
          </mc:Fallback>
        </mc:AlternateContent>
      </w:r>
    </w:p>
    <w:p>
      <w:pPr>
        <w:spacing w:after="0" w:line="225"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20"/>
          <w:szCs w:val="20"/>
          <w:color w:val="auto"/>
        </w:rPr>
        <w:t>net deferred tax assets. The valuation allowance increased by $17.0 million during the year ended December 31, 2023. Management reevaluates the positive and negative evidence at each reporting period.</w:t>
      </w:r>
    </w:p>
    <w:p>
      <w:pPr>
        <w:spacing w:after="0" w:line="121" w:lineRule="exact"/>
        <w:rPr>
          <w:sz w:val="20"/>
          <w:szCs w:val="20"/>
          <w:color w:val="auto"/>
        </w:rPr>
      </w:pPr>
    </w:p>
    <w:p>
      <w:pPr>
        <w:jc w:val="both"/>
        <w:ind w:right="420" w:firstLine="360"/>
        <w:spacing w:after="0" w:line="266" w:lineRule="auto"/>
        <w:rPr>
          <w:sz w:val="20"/>
          <w:szCs w:val="20"/>
          <w:color w:val="auto"/>
        </w:rPr>
      </w:pPr>
      <w:r>
        <w:rPr>
          <w:rFonts w:ascii="Times New Roman" w:cs="Times New Roman" w:eastAsia="Times New Roman" w:hAnsi="Times New Roman"/>
          <w:sz w:val="20"/>
          <w:szCs w:val="20"/>
          <w:color w:val="auto"/>
        </w:rPr>
        <w:t>Deferred income taxes reflect the net tax effects of loss and credit carryforwards and temporary differences between the carrying amounts of assets and liabilities for financial reporting purposes and the amounts used for income tax purposes. Components of the Company’s deferred tax assets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112395</wp:posOffset>
            </wp:positionV>
            <wp:extent cx="5969000" cy="30289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3">
                      <a:extLst>
                        <a:ext uri="{28A0092B-C50C-407E-A947-70E740481C1C}"/>
                      </a:extLst>
                    </a:blip>
                    <a:srcRect/>
                    <a:stretch>
                      <a:fillRect/>
                    </a:stretch>
                  </pic:blipFill>
                  <pic:spPr bwMode="auto">
                    <a:xfrm>
                      <a:off x="0" y="0"/>
                      <a:ext cx="5969000" cy="3028950"/>
                    </a:xfrm>
                    <a:prstGeom prst="rect">
                      <a:avLst/>
                    </a:prstGeom>
                    <a:noFill/>
                  </pic:spPr>
                </pic:pic>
              </a:graphicData>
            </a:graphic>
          </wp:anchor>
        </w:drawing>
      </w:r>
    </w:p>
    <w:p>
      <w:pPr>
        <w:spacing w:after="0" w:line="174"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66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tcPr>
          <w:p>
            <w:pPr>
              <w:spacing w:after="0"/>
              <w:rPr>
                <w:sz w:val="16"/>
                <w:szCs w:val="16"/>
                <w:color w:val="auto"/>
              </w:rPr>
            </w:pPr>
          </w:p>
        </w:tc>
        <w:tc>
          <w:tcPr>
            <w:tcW w:w="1140" w:type="dxa"/>
            <w:vAlign w:val="bottom"/>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8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664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62"/>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66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6,508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11,142</w:t>
            </w:r>
          </w:p>
        </w:tc>
        <w:tc>
          <w:tcPr>
            <w:tcW w:w="0" w:type="dxa"/>
            <w:vAlign w:val="bottom"/>
          </w:tcPr>
          <w:p>
            <w:pPr>
              <w:spacing w:after="0"/>
              <w:rPr>
                <w:sz w:val="1"/>
                <w:szCs w:val="1"/>
                <w:color w:val="auto"/>
              </w:rPr>
            </w:pPr>
          </w:p>
        </w:tc>
      </w:tr>
      <w:tr>
        <w:trPr>
          <w:trHeight w:val="285"/>
        </w:trPr>
        <w:tc>
          <w:tcPr>
            <w:tcW w:w="66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Capitalized research and development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16,502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7,607</w:t>
            </w:r>
          </w:p>
        </w:tc>
        <w:tc>
          <w:tcPr>
            <w:tcW w:w="0" w:type="dxa"/>
            <w:vAlign w:val="bottom"/>
          </w:tcPr>
          <w:p>
            <w:pPr>
              <w:spacing w:after="0"/>
              <w:rPr>
                <w:sz w:val="1"/>
                <w:szCs w:val="1"/>
                <w:color w:val="auto"/>
              </w:rPr>
            </w:pPr>
          </w:p>
        </w:tc>
      </w:tr>
      <w:tr>
        <w:trPr>
          <w:trHeight w:val="285"/>
        </w:trPr>
        <w:tc>
          <w:tcPr>
            <w:tcW w:w="66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Loss carryforwards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21,617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12,402</w:t>
            </w:r>
          </w:p>
        </w:tc>
        <w:tc>
          <w:tcPr>
            <w:tcW w:w="0" w:type="dxa"/>
            <w:vAlign w:val="bottom"/>
          </w:tcPr>
          <w:p>
            <w:pPr>
              <w:spacing w:after="0"/>
              <w:rPr>
                <w:sz w:val="1"/>
                <w:szCs w:val="1"/>
                <w:color w:val="auto"/>
              </w:rPr>
            </w:pPr>
          </w:p>
        </w:tc>
      </w:tr>
      <w:tr>
        <w:trPr>
          <w:trHeight w:val="315"/>
        </w:trPr>
        <w:tc>
          <w:tcPr>
            <w:tcW w:w="66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Lease liabilities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9,213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8,005</w:t>
            </w:r>
          </w:p>
        </w:tc>
        <w:tc>
          <w:tcPr>
            <w:tcW w:w="0" w:type="dxa"/>
            <w:vAlign w:val="bottom"/>
          </w:tcPr>
          <w:p>
            <w:pPr>
              <w:spacing w:after="0"/>
              <w:rPr>
                <w:sz w:val="1"/>
                <w:szCs w:val="1"/>
                <w:color w:val="auto"/>
              </w:rPr>
            </w:pPr>
          </w:p>
        </w:tc>
      </w:tr>
      <w:tr>
        <w:trPr>
          <w:trHeight w:val="285"/>
        </w:trPr>
        <w:tc>
          <w:tcPr>
            <w:tcW w:w="66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Tax credit carryforwards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8,438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5,408</w:t>
            </w:r>
          </w:p>
        </w:tc>
        <w:tc>
          <w:tcPr>
            <w:tcW w:w="0" w:type="dxa"/>
            <w:vAlign w:val="bottom"/>
          </w:tcPr>
          <w:p>
            <w:pPr>
              <w:spacing w:after="0"/>
              <w:rPr>
                <w:sz w:val="1"/>
                <w:szCs w:val="1"/>
                <w:color w:val="auto"/>
              </w:rPr>
            </w:pPr>
          </w:p>
        </w:tc>
      </w:tr>
      <w:tr>
        <w:trPr>
          <w:trHeight w:val="285"/>
        </w:trPr>
        <w:tc>
          <w:tcPr>
            <w:tcW w:w="66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Equity-based compensation</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4,015</w:t>
            </w:r>
          </w:p>
        </w:tc>
        <w:tc>
          <w:tcPr>
            <w:tcW w:w="0" w:type="dxa"/>
            <w:vAlign w:val="bottom"/>
          </w:tcPr>
          <w:p>
            <w:pPr>
              <w:spacing w:after="0"/>
              <w:rPr>
                <w:sz w:val="1"/>
                <w:szCs w:val="1"/>
                <w:color w:val="auto"/>
              </w:rPr>
            </w:pPr>
          </w:p>
        </w:tc>
      </w:tr>
      <w:tr>
        <w:trPr>
          <w:trHeight w:val="288"/>
        </w:trPr>
        <w:tc>
          <w:tcPr>
            <w:tcW w:w="66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Other accruals and reserves</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424</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246</w:t>
            </w:r>
          </w:p>
        </w:tc>
        <w:tc>
          <w:tcPr>
            <w:tcW w:w="0" w:type="dxa"/>
            <w:vAlign w:val="bottom"/>
          </w:tcPr>
          <w:p>
            <w:pPr>
              <w:spacing w:after="0"/>
              <w:rPr>
                <w:sz w:val="1"/>
                <w:szCs w:val="1"/>
                <w:color w:val="auto"/>
              </w:rPr>
            </w:pPr>
          </w:p>
        </w:tc>
      </w:tr>
      <w:tr>
        <w:trPr>
          <w:trHeight w:val="262"/>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Total deferred tax assets</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66,898</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48,825</w:t>
            </w:r>
          </w:p>
        </w:tc>
        <w:tc>
          <w:tcPr>
            <w:tcW w:w="0" w:type="dxa"/>
            <w:vAlign w:val="bottom"/>
          </w:tcPr>
          <w:p>
            <w:pPr>
              <w:spacing w:after="0"/>
              <w:rPr>
                <w:sz w:val="1"/>
                <w:szCs w:val="1"/>
                <w:color w:val="auto"/>
              </w:rPr>
            </w:pPr>
          </w:p>
        </w:tc>
      </w:tr>
      <w:tr>
        <w:trPr>
          <w:trHeight w:val="288"/>
        </w:trPr>
        <w:tc>
          <w:tcPr>
            <w:tcW w:w="66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Valuation allowance for deferred tax assets</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(58,215)</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(41,205)</w:t>
            </w:r>
          </w:p>
        </w:tc>
        <w:tc>
          <w:tcPr>
            <w:tcW w:w="0" w:type="dxa"/>
            <w:vAlign w:val="bottom"/>
          </w:tcPr>
          <w:p>
            <w:pPr>
              <w:spacing w:after="0"/>
              <w:rPr>
                <w:sz w:val="1"/>
                <w:szCs w:val="1"/>
                <w:color w:val="auto"/>
              </w:rPr>
            </w:pPr>
          </w:p>
        </w:tc>
      </w:tr>
      <w:tr>
        <w:trPr>
          <w:trHeight w:val="262"/>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Total deferred tax assets, net of valuation allowance</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8,683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7,620</w:t>
            </w:r>
          </w:p>
        </w:tc>
        <w:tc>
          <w:tcPr>
            <w:tcW w:w="0" w:type="dxa"/>
            <w:vAlign w:val="bottom"/>
          </w:tcPr>
          <w:p>
            <w:pPr>
              <w:spacing w:after="0"/>
              <w:rPr>
                <w:sz w:val="1"/>
                <w:szCs w:val="1"/>
                <w:color w:val="auto"/>
              </w:rPr>
            </w:pPr>
          </w:p>
        </w:tc>
      </w:tr>
      <w:tr>
        <w:trPr>
          <w:trHeight w:val="570"/>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liability</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6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Right-of-use assets</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(8,683)</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(7,620)</w:t>
            </w:r>
          </w:p>
        </w:tc>
        <w:tc>
          <w:tcPr>
            <w:tcW w:w="0" w:type="dxa"/>
            <w:vAlign w:val="bottom"/>
          </w:tcPr>
          <w:p>
            <w:pPr>
              <w:spacing w:after="0"/>
              <w:rPr>
                <w:sz w:val="1"/>
                <w:szCs w:val="1"/>
                <w:color w:val="auto"/>
              </w:rPr>
            </w:pPr>
          </w:p>
        </w:tc>
      </w:tr>
      <w:tr>
        <w:trPr>
          <w:trHeight w:val="245"/>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Net deferred tax assets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940" w:firstLine="360"/>
        <w:spacing w:after="0" w:line="281" w:lineRule="auto"/>
        <w:rPr>
          <w:sz w:val="20"/>
          <w:szCs w:val="20"/>
          <w:color w:val="auto"/>
        </w:rPr>
      </w:pPr>
      <w:r>
        <w:rPr>
          <w:rFonts w:ascii="Times New Roman" w:cs="Times New Roman" w:eastAsia="Times New Roman" w:hAnsi="Times New Roman"/>
          <w:sz w:val="20"/>
          <w:szCs w:val="20"/>
          <w:color w:val="auto"/>
        </w:rPr>
        <w:t>The Company began to file income tax returns in the United States in 2017. All tax years are open to examination.</w:t>
      </w:r>
    </w:p>
    <w:p>
      <w:pPr>
        <w:spacing w:after="0" w:line="121"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20"/>
          <w:szCs w:val="20"/>
          <w:color w:val="auto"/>
        </w:rPr>
        <w:t>The Tax Cuts and Jobs Act contained a provision which requires the capitalization of Section 174 costs incurred in years beginning on or after January 1, 2022. Section 174 costs are expenditures which represent research and development costs that are incident to the development or improvement of a product, process, formula, invention, computer software, or technique. This provision changes the treatment of Section 174 costs such that the expenditures are no longer allowed as an immediate deduction but rather must be capitalized and amortized. We have included the impact of this provision, which results in a deferred tax asset of approximately $16.5 million as of December 31, 2023.</w:t>
      </w:r>
    </w:p>
    <w:p>
      <w:pPr>
        <w:spacing w:after="0" w:line="150" w:lineRule="exact"/>
        <w:rPr>
          <w:sz w:val="20"/>
          <w:szCs w:val="20"/>
          <w:color w:val="auto"/>
        </w:rPr>
      </w:pPr>
    </w:p>
    <w:p>
      <w:pPr>
        <w:ind w:right="20" w:firstLine="360"/>
        <w:spacing w:after="0" w:line="256" w:lineRule="auto"/>
        <w:rPr>
          <w:sz w:val="20"/>
          <w:szCs w:val="20"/>
          <w:color w:val="auto"/>
        </w:rPr>
      </w:pPr>
      <w:r>
        <w:rPr>
          <w:rFonts w:ascii="Times New Roman" w:cs="Times New Roman" w:eastAsia="Times New Roman" w:hAnsi="Times New Roman"/>
          <w:sz w:val="20"/>
          <w:szCs w:val="20"/>
          <w:color w:val="auto"/>
        </w:rPr>
        <w:t>A valuation allowance of $58.2 million and $41.2 million at December 31, 2023 and 2022, respectively, has been recognized to offset net deferred tax assets where realization of such net deferred tax assets is determined to be more likely than not to not be realized. The valuation allowance increased by $17.0 million in 2023 and increased by $17.1 million in 2022, which was primarily due to changes in our deferred tax asset balances. The increases in the valuation allowance in 2023 and 2022 was primarily due to the net operating loss and tax credit generation, capitalized research and development expense and share-based compensation.</w:t>
      </w:r>
    </w:p>
    <w:p>
      <w:pPr>
        <w:spacing w:after="0" w:line="148"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20"/>
          <w:szCs w:val="20"/>
          <w:color w:val="auto"/>
        </w:rPr>
        <w:t>The Company had an unrecognized tax benefit balance of $2.4 million and $1.5 million related to research and development credits and California net operating loss carryforward as of December 31, 2023 and 2022, respectively. No amount of unrecognized tax benefits as of December 31, 2023, if recognized, would reduce the Company’s effective tax rate because the benefits would be in the form of tax credit carryforwards, which would be reduced to $0 by a full valuation allowance. There are no provisions for which it is reasonably possible that the total amounts of unrecognized tax benefits will significantly increase or decrease within 12 months of the reporting date. Because the statute of limitations does not expire until after the net operating loss and credit carryforwards are actually used, the statutes are still open on calendars years ending 2017 forward for federal and state purposes.</w:t>
      </w:r>
    </w:p>
    <w:p>
      <w:pPr>
        <w:sectPr>
          <w:pgSz w:w="12240" w:h="15840" w:orient="portrait"/>
          <w:cols w:equalWidth="0" w:num="1">
            <w:col w:w="9360"/>
          </w:cols>
          <w:pgMar w:left="1440" w:top="53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2240" w:h="15840" w:orient="portrait"/>
          <w:cols w:equalWidth="0" w:num="1">
            <w:col w:w="9360"/>
          </w:cols>
          <w:pgMar w:left="1440" w:top="539" w:right="1440" w:bottom="0" w:gutter="0" w:footer="0" w:header="0"/>
          <w:type w:val="continuous"/>
        </w:sectPr>
      </w:pPr>
    </w:p>
    <w:bookmarkStart w:id="107" w:name="page108"/>
    <w:bookmarkEnd w:id="107"/>
    <w:p>
      <w:pPr>
        <w:ind w:left="60"/>
        <w:spacing w:after="0"/>
        <w:rPr>
          <w:sz w:val="20"/>
          <w:szCs w:val="20"/>
          <w:color w:val="auto"/>
        </w:rPr>
      </w:pPr>
      <w:r>
        <w:rPr>
          <w:rFonts w:ascii="Times New Roman" w:cs="Times New Roman" w:eastAsia="Times New Roman" w:hAnsi="Times New Roman"/>
          <w:sz w:val="24"/>
          <w:szCs w:val="24"/>
          <w:b w:val="1"/>
          <w:bCs w:val="1"/>
          <w:color w:val="auto"/>
        </w:rPr>
        <w:t>Nautilus Biotechnology, Inc.</w:t>
      </w:r>
    </w:p>
    <w:p>
      <w:pPr>
        <w:spacing w:after="0" w:line="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4"/>
          <w:szCs w:val="24"/>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13335</wp:posOffset>
                </wp:positionV>
                <wp:extent cx="5943600"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5pt" to="468pt,1.05pt" o:allowincell="f" strokecolor="#000000" strokeweight="1pt"/>
            </w:pict>
          </mc:Fallback>
        </mc:AlternateContent>
      </w:r>
    </w:p>
    <w:p>
      <w:pPr>
        <w:spacing w:after="0" w:line="225" w:lineRule="exact"/>
        <w:rPr>
          <w:sz w:val="20"/>
          <w:szCs w:val="20"/>
          <w:color w:val="auto"/>
        </w:rPr>
      </w:pPr>
    </w:p>
    <w:p>
      <w:pPr>
        <w:ind w:right="560" w:firstLine="360"/>
        <w:spacing w:after="0" w:line="281" w:lineRule="auto"/>
        <w:rPr>
          <w:sz w:val="20"/>
          <w:szCs w:val="20"/>
          <w:color w:val="auto"/>
        </w:rPr>
      </w:pPr>
      <w:r>
        <w:rPr>
          <w:rFonts w:ascii="Times New Roman" w:cs="Times New Roman" w:eastAsia="Times New Roman" w:hAnsi="Times New Roman"/>
          <w:sz w:val="20"/>
          <w:szCs w:val="20"/>
          <w:color w:val="auto"/>
        </w:rPr>
        <w:t>A reconciliation of the beginning and ending amount of the liability for uncertain tax positions, excluding potential interest and penalties,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103505</wp:posOffset>
            </wp:positionV>
            <wp:extent cx="5969000" cy="10191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4">
                      <a:extLst>
                        <a:ext uri="{28A0092B-C50C-407E-A947-70E740481C1C}"/>
                      </a:extLst>
                    </a:blip>
                    <a:srcRect/>
                    <a:stretch>
                      <a:fillRect/>
                    </a:stretch>
                  </pic:blipFill>
                  <pic:spPr bwMode="auto">
                    <a:xfrm>
                      <a:off x="0" y="0"/>
                      <a:ext cx="5969000" cy="1019175"/>
                    </a:xfrm>
                    <a:prstGeom prst="rect">
                      <a:avLst/>
                    </a:prstGeom>
                    <a:noFill/>
                  </pic:spPr>
                </pic:pic>
              </a:graphicData>
            </a:graphic>
          </wp:anchor>
        </w:drawing>
      </w:r>
    </w:p>
    <w:p>
      <w:pPr>
        <w:spacing w:after="0" w:line="160"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67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tcPr>
          <w:p>
            <w:pPr>
              <w:spacing w:after="0"/>
              <w:rPr>
                <w:sz w:val="16"/>
                <w:szCs w:val="16"/>
                <w:color w:val="auto"/>
              </w:rPr>
            </w:pPr>
          </w:p>
        </w:tc>
        <w:tc>
          <w:tcPr>
            <w:tcW w:w="1120" w:type="dxa"/>
            <w:vAlign w:val="bottom"/>
          </w:tcPr>
          <w:p>
            <w:pPr>
              <w:jc w:val="right"/>
              <w:ind w:right="87"/>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80" w:type="dxa"/>
            <w:vAlign w:val="bottom"/>
          </w:tcPr>
          <w:p>
            <w:pPr>
              <w:spacing w:after="0"/>
              <w:rPr>
                <w:sz w:val="16"/>
                <w:szCs w:val="16"/>
                <w:color w:val="auto"/>
              </w:rPr>
            </w:pPr>
          </w:p>
        </w:tc>
        <w:tc>
          <w:tcPr>
            <w:tcW w:w="1140" w:type="dxa"/>
            <w:vAlign w:val="bottom"/>
          </w:tcPr>
          <w:p>
            <w:pPr>
              <w:jc w:val="right"/>
              <w:ind w:right="87"/>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670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62"/>
        </w:trPr>
        <w:tc>
          <w:tcPr>
            <w:tcW w:w="6700" w:type="dxa"/>
            <w:vAlign w:val="bottom"/>
          </w:tcPr>
          <w:p>
            <w:pPr>
              <w:spacing w:after="0"/>
              <w:rPr>
                <w:sz w:val="20"/>
                <w:szCs w:val="20"/>
                <w:color w:val="auto"/>
              </w:rPr>
            </w:pPr>
            <w:r>
              <w:rPr>
                <w:rFonts w:ascii="Times New Roman" w:cs="Times New Roman" w:eastAsia="Times New Roman" w:hAnsi="Times New Roman"/>
                <w:sz w:val="20"/>
                <w:szCs w:val="20"/>
                <w:color w:val="auto"/>
              </w:rPr>
              <w:t>Beginning balance</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1,544</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837</w:t>
            </w:r>
          </w:p>
        </w:tc>
        <w:tc>
          <w:tcPr>
            <w:tcW w:w="0" w:type="dxa"/>
            <w:vAlign w:val="bottom"/>
          </w:tcPr>
          <w:p>
            <w:pPr>
              <w:spacing w:after="0"/>
              <w:rPr>
                <w:sz w:val="1"/>
                <w:szCs w:val="1"/>
                <w:color w:val="auto"/>
              </w:rPr>
            </w:pPr>
          </w:p>
        </w:tc>
      </w:tr>
      <w:tr>
        <w:trPr>
          <w:trHeight w:val="285"/>
        </w:trPr>
        <w:tc>
          <w:tcPr>
            <w:tcW w:w="6700" w:type="dxa"/>
            <w:vAlign w:val="bottom"/>
          </w:tcPr>
          <w:p>
            <w:pPr>
              <w:spacing w:after="0"/>
              <w:rPr>
                <w:sz w:val="20"/>
                <w:szCs w:val="20"/>
                <w:color w:val="auto"/>
              </w:rPr>
            </w:pPr>
            <w:r>
              <w:rPr>
                <w:rFonts w:ascii="Times New Roman" w:cs="Times New Roman" w:eastAsia="Times New Roman" w:hAnsi="Times New Roman"/>
                <w:sz w:val="20"/>
                <w:szCs w:val="20"/>
                <w:color w:val="auto"/>
              </w:rPr>
              <w:t>Increase based on current year tax positions</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812</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616</w:t>
            </w:r>
          </w:p>
        </w:tc>
        <w:tc>
          <w:tcPr>
            <w:tcW w:w="0" w:type="dxa"/>
            <w:vAlign w:val="bottom"/>
          </w:tcPr>
          <w:p>
            <w:pPr>
              <w:spacing w:after="0"/>
              <w:rPr>
                <w:sz w:val="1"/>
                <w:szCs w:val="1"/>
                <w:color w:val="auto"/>
              </w:rPr>
            </w:pPr>
          </w:p>
        </w:tc>
      </w:tr>
      <w:tr>
        <w:trPr>
          <w:trHeight w:val="288"/>
        </w:trPr>
        <w:tc>
          <w:tcPr>
            <w:tcW w:w="6700" w:type="dxa"/>
            <w:vAlign w:val="bottom"/>
          </w:tcPr>
          <w:p>
            <w:pPr>
              <w:spacing w:after="0"/>
              <w:rPr>
                <w:sz w:val="20"/>
                <w:szCs w:val="20"/>
                <w:color w:val="auto"/>
              </w:rPr>
            </w:pPr>
            <w:r>
              <w:rPr>
                <w:rFonts w:ascii="Times New Roman" w:cs="Times New Roman" w:eastAsia="Times New Roman" w:hAnsi="Times New Roman"/>
                <w:sz w:val="20"/>
                <w:szCs w:val="20"/>
                <w:color w:val="auto"/>
              </w:rPr>
              <w:t>Increase for prior year tax positions</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0" w:type="dxa"/>
            <w:vAlign w:val="bottom"/>
          </w:tcPr>
          <w:p>
            <w:pPr>
              <w:spacing w:after="0"/>
              <w:rPr>
                <w:sz w:val="1"/>
                <w:szCs w:val="1"/>
                <w:color w:val="auto"/>
              </w:rPr>
            </w:pPr>
          </w:p>
        </w:tc>
      </w:tr>
      <w:tr>
        <w:trPr>
          <w:trHeight w:val="245"/>
        </w:trPr>
        <w:tc>
          <w:tcPr>
            <w:tcW w:w="67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Ending balance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2,365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1,544</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80" w:firstLine="360"/>
        <w:spacing w:after="0" w:line="254" w:lineRule="auto"/>
        <w:rPr>
          <w:sz w:val="20"/>
          <w:szCs w:val="20"/>
          <w:color w:val="auto"/>
        </w:rPr>
      </w:pPr>
      <w:r>
        <w:rPr>
          <w:rFonts w:ascii="Times New Roman" w:cs="Times New Roman" w:eastAsia="Times New Roman" w:hAnsi="Times New Roman"/>
          <w:sz w:val="20"/>
          <w:szCs w:val="20"/>
          <w:color w:val="auto"/>
        </w:rPr>
        <w:t>Net operating loss and tax credit carry-forwards are subject to review and possible adjustment by the Internal Revenue Service (the “IRS”) and may become subject to an annual limitation in the event of certain cumulative changes in the ownership interest of significant stockholders over a three-year period in excess of 50% as defined under Sections 382 and 383 in the Code, which could limit the amount of tax attributes that can be utilized annually to offset future taxable income or tax liabilities. The amount of the annual limitation is determined based on the Company’s value immediately prior to the ownership change. Subsequent ownership changes may further affect the limitation in future years. The Company has not, as yet, conducted a study to determine if any such changes have occurred that could limit its ability to use the net operating loss and tax credit carryforwards.</w:t>
      </w:r>
    </w:p>
    <w:p>
      <w:pPr>
        <w:spacing w:after="0" w:line="170" w:lineRule="exact"/>
        <w:rPr>
          <w:sz w:val="20"/>
          <w:szCs w:val="20"/>
          <w:color w:val="auto"/>
        </w:rPr>
      </w:pPr>
    </w:p>
    <w:p>
      <w:pPr>
        <w:ind w:left="720" w:hanging="720"/>
        <w:spacing w:after="0"/>
        <w:tabs>
          <w:tab w:leader="none" w:pos="720"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Equity Incentive Plans and Stock-based Compensation</w:t>
      </w:r>
    </w:p>
    <w:p>
      <w:pPr>
        <w:spacing w:after="0" w:line="197" w:lineRule="exact"/>
        <w:rPr>
          <w:sz w:val="20"/>
          <w:szCs w:val="20"/>
          <w:color w:val="auto"/>
        </w:rPr>
      </w:pPr>
    </w:p>
    <w:p>
      <w:pPr>
        <w:ind w:right="120" w:firstLine="360"/>
        <w:spacing w:after="0" w:line="266" w:lineRule="auto"/>
        <w:rPr>
          <w:sz w:val="20"/>
          <w:szCs w:val="20"/>
          <w:color w:val="auto"/>
        </w:rPr>
      </w:pPr>
      <w:r>
        <w:rPr>
          <w:rFonts w:ascii="Times New Roman" w:cs="Times New Roman" w:eastAsia="Times New Roman" w:hAnsi="Times New Roman"/>
          <w:sz w:val="20"/>
          <w:szCs w:val="20"/>
          <w:color w:val="auto"/>
        </w:rPr>
        <w:t>On June 8, 2021, the stockholders of the Company approved the 2021 Equity Incentive Plan (“2021 Plan”) and the 2021 Employee Stock Purchase Plan (“2021 ESPP”). As of December 31, 2023, 20,279,560 and 3,505,138 shares were available for grant under the 2021 Plan and 2021 ESPP, respectively.</w:t>
      </w:r>
    </w:p>
    <w:p>
      <w:pPr>
        <w:spacing w:after="0" w:line="1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2021 Employee Stock Purchase Plan</w:t>
      </w:r>
    </w:p>
    <w:p>
      <w:pPr>
        <w:spacing w:after="0" w:line="199" w:lineRule="exact"/>
        <w:rPr>
          <w:sz w:val="20"/>
          <w:szCs w:val="20"/>
          <w:color w:val="auto"/>
        </w:rPr>
      </w:pPr>
    </w:p>
    <w:p>
      <w:pPr>
        <w:ind w:right="60" w:firstLine="360"/>
        <w:spacing w:after="0" w:line="267" w:lineRule="auto"/>
        <w:rPr>
          <w:sz w:val="20"/>
          <w:szCs w:val="20"/>
          <w:color w:val="auto"/>
        </w:rPr>
      </w:pPr>
      <w:r>
        <w:rPr>
          <w:rFonts w:ascii="Times New Roman" w:cs="Times New Roman" w:eastAsia="Times New Roman" w:hAnsi="Times New Roman"/>
          <w:sz w:val="19"/>
          <w:szCs w:val="19"/>
          <w:color w:val="auto"/>
        </w:rPr>
        <w:t>Under the 2021 ESPP, participants are permitted to purchase shares of Common Stock, up to the IRS allowable limit, through contributions (in the form of payroll deductions or otherwise to the extent permitted by the administrator) of up to 15% of their eligible compensation. Participants are permitted to purchase shares of the Company’s Common Stock at 85% of the lower of the fair market value of the Company’s Common Stock on the first trading day of an offering period or on the last trading date in each purchase period. Participants may end their participation at any time during an offering and will be paid their accrued contributions that have not yet been used to purchase shares. Participation ends automatically upon termination of employment with the Company. The number of shares of common stock available for issuance under the 2021 ESPP will be increased on the first day of each fiscal year beginning on January 1, 2022, in an amount equal to the least of (i) 3,734,500 shares of common stock, (ii) a number of shares of common stock equal to one percent (1%) of the total number of shares of all classes of common stock of the Company on the last day of the immediately preceding fiscal year, or (iii) such number of shares determined by the Administrator no later than the last day of the immediately preceding fiscal year.</w:t>
      </w:r>
    </w:p>
    <w:p>
      <w:pPr>
        <w:spacing w:after="0" w:line="143" w:lineRule="exact"/>
        <w:rPr>
          <w:sz w:val="20"/>
          <w:szCs w:val="20"/>
          <w:color w:val="auto"/>
        </w:rPr>
      </w:pPr>
    </w:p>
    <w:p>
      <w:pPr>
        <w:ind w:right="180" w:firstLine="360"/>
        <w:spacing w:after="0" w:line="266" w:lineRule="auto"/>
        <w:rPr>
          <w:sz w:val="20"/>
          <w:szCs w:val="20"/>
          <w:color w:val="auto"/>
        </w:rPr>
      </w:pPr>
      <w:r>
        <w:rPr>
          <w:rFonts w:ascii="Times New Roman" w:cs="Times New Roman" w:eastAsia="Times New Roman" w:hAnsi="Times New Roman"/>
          <w:sz w:val="20"/>
          <w:szCs w:val="20"/>
          <w:color w:val="auto"/>
        </w:rPr>
        <w:t>The first offering period was from October 1, 2021 through June 1, 2022. For subsequent offering periods, the Company offers a six month purchase period. During the years ended December 31, 2023 and 2022, 132,251 and 99,195 shares of common stock, respectively, were purchased under the 2021 ESPP.</w:t>
      </w:r>
    </w:p>
    <w:p>
      <w:pPr>
        <w:spacing w:after="0" w:line="1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2021 Equity Incentive Plan</w:t>
      </w:r>
    </w:p>
    <w:p>
      <w:pPr>
        <w:spacing w:after="0" w:line="199"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Under the 2021 Plan, the Company can grant incentive stock options, nonstatutory stock options, stock appreciation rights, restricted stock, restricted stock units and performance awards to employees, non-employee directors and consultants. Options generally expire ten years after the date of grant. The number of shares available for issuance under the 2021 Plan will be increased on the first day of each fiscal year, beginning on January 1, 2022, in an amount equal to the least of (i) 18,672,200 shares, (ii) a number of shares equal to five percent (5%) of the total number of shares of all classes of common stock of the Company outstanding on the last day of the immediately preceding fiscal year, or (iii) such number of shares determined by the Administrator no later than the last day of the immediately preceding fiscal year.</w:t>
      </w:r>
    </w:p>
    <w:p>
      <w:pPr>
        <w:sectPr>
          <w:pgSz w:w="12240" w:h="15840" w:orient="portrait"/>
          <w:cols w:equalWidth="0" w:num="1">
            <w:col w:w="9360"/>
          </w:cols>
          <w:pgMar w:left="1440" w:top="53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2240" w:h="15840" w:orient="portrait"/>
          <w:cols w:equalWidth="0" w:num="1">
            <w:col w:w="9360"/>
          </w:cols>
          <w:pgMar w:left="1440" w:top="539" w:right="1440" w:bottom="0" w:gutter="0" w:footer="0" w:header="0"/>
          <w:type w:val="continuous"/>
        </w:sectPr>
      </w:pPr>
    </w:p>
    <w:bookmarkStart w:id="108" w:name="page109"/>
    <w:bookmarkEnd w:id="108"/>
    <w:p>
      <w:pPr>
        <w:ind w:left="60"/>
        <w:spacing w:after="0"/>
        <w:rPr>
          <w:sz w:val="20"/>
          <w:szCs w:val="20"/>
          <w:color w:val="auto"/>
        </w:rPr>
      </w:pPr>
      <w:r>
        <w:rPr>
          <w:rFonts w:ascii="Times New Roman" w:cs="Times New Roman" w:eastAsia="Times New Roman" w:hAnsi="Times New Roman"/>
          <w:sz w:val="24"/>
          <w:szCs w:val="24"/>
          <w:b w:val="1"/>
          <w:bCs w:val="1"/>
          <w:color w:val="auto"/>
        </w:rPr>
        <w:t>Nautilus Biotechnology, Inc.</w:t>
      </w:r>
    </w:p>
    <w:p>
      <w:pPr>
        <w:spacing w:after="0" w:line="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4"/>
          <w:szCs w:val="24"/>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13335</wp:posOffset>
                </wp:positionV>
                <wp:extent cx="5943600"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5pt" to="468pt,1.05pt" o:allowincell="f" strokecolor="#000000" strokeweight="1pt"/>
            </w:pict>
          </mc:Fallback>
        </mc:AlternateContent>
      </w:r>
    </w:p>
    <w:p>
      <w:pPr>
        <w:spacing w:after="0" w:line="2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2017 Equity Incentive Plan</w:t>
      </w:r>
    </w:p>
    <w:p>
      <w:pPr>
        <w:spacing w:after="0" w:line="199" w:lineRule="exact"/>
        <w:rPr>
          <w:sz w:val="20"/>
          <w:szCs w:val="20"/>
          <w:color w:val="auto"/>
        </w:rPr>
      </w:pPr>
    </w:p>
    <w:p>
      <w:pPr>
        <w:jc w:val="both"/>
        <w:ind w:right="180" w:firstLine="360"/>
        <w:spacing w:after="0" w:line="266" w:lineRule="auto"/>
        <w:rPr>
          <w:sz w:val="20"/>
          <w:szCs w:val="20"/>
          <w:color w:val="auto"/>
        </w:rPr>
      </w:pPr>
      <w:r>
        <w:rPr>
          <w:rFonts w:ascii="Times New Roman" w:cs="Times New Roman" w:eastAsia="Times New Roman" w:hAnsi="Times New Roman"/>
          <w:sz w:val="20"/>
          <w:szCs w:val="20"/>
          <w:color w:val="auto"/>
        </w:rPr>
        <w:t>At the time of adoption of the 2021 Plan and the 2021 ESPP, no further awards will be granted under the 2017 Equity Incentive Plan (“2017 Plan”). Stock-based awards forfeited or cancelled from the 2017 Plan are returned to the pool of shares of Common Stock available for issuance under the 2021 Plan.</w:t>
      </w:r>
    </w:p>
    <w:p>
      <w:pPr>
        <w:spacing w:after="0" w:line="1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Grant Date Fair Value of Stock Options</w:t>
      </w:r>
    </w:p>
    <w:p>
      <w:pPr>
        <w:spacing w:after="0" w:line="199" w:lineRule="exact"/>
        <w:rPr>
          <w:sz w:val="20"/>
          <w:szCs w:val="20"/>
          <w:color w:val="auto"/>
        </w:rPr>
      </w:pPr>
    </w:p>
    <w:p>
      <w:pPr>
        <w:ind w:right="120" w:firstLine="360"/>
        <w:spacing w:after="0" w:line="266" w:lineRule="auto"/>
        <w:rPr>
          <w:sz w:val="20"/>
          <w:szCs w:val="20"/>
          <w:color w:val="auto"/>
        </w:rPr>
      </w:pPr>
      <w:r>
        <w:rPr>
          <w:rFonts w:ascii="Times New Roman" w:cs="Times New Roman" w:eastAsia="Times New Roman" w:hAnsi="Times New Roman"/>
          <w:sz w:val="20"/>
          <w:szCs w:val="20"/>
          <w:color w:val="auto"/>
        </w:rPr>
        <w:t>In determining the compensation cost of the option awards, the fair value for each option award has been estimated using the Black Scholes model. The significant assumptions used in these calculations are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112395</wp:posOffset>
            </wp:positionV>
            <wp:extent cx="5969000" cy="10064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5">
                      <a:extLst>
                        <a:ext uri="{28A0092B-C50C-407E-A947-70E740481C1C}"/>
                      </a:extLst>
                    </a:blip>
                    <a:srcRect/>
                    <a:stretch>
                      <a:fillRect/>
                    </a:stretch>
                  </pic:blipFill>
                  <pic:spPr bwMode="auto">
                    <a:xfrm>
                      <a:off x="0" y="0"/>
                      <a:ext cx="5969000" cy="1006475"/>
                    </a:xfrm>
                    <a:prstGeom prst="rect">
                      <a:avLst/>
                    </a:prstGeom>
                    <a:noFill/>
                  </pic:spPr>
                </pic:pic>
              </a:graphicData>
            </a:graphic>
          </wp:anchor>
        </w:drawing>
      </w:r>
    </w:p>
    <w:p>
      <w:pPr>
        <w:spacing w:after="0" w:line="174"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6040" w:type="dxa"/>
            <w:vAlign w:val="bottom"/>
          </w:tcPr>
          <w:p>
            <w:pPr>
              <w:spacing w:after="0"/>
              <w:rPr>
                <w:sz w:val="16"/>
                <w:szCs w:val="16"/>
                <w:color w:val="auto"/>
              </w:rPr>
            </w:pPr>
          </w:p>
        </w:tc>
        <w:tc>
          <w:tcPr>
            <w:tcW w:w="1600" w:type="dxa"/>
            <w:vAlign w:val="bottom"/>
          </w:tcPr>
          <w:p>
            <w:pPr>
              <w:jc w:val="right"/>
              <w:ind w:right="307"/>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60" w:type="dxa"/>
            <w:vAlign w:val="bottom"/>
          </w:tcPr>
          <w:p>
            <w:pPr>
              <w:spacing w:after="0"/>
              <w:rPr>
                <w:sz w:val="16"/>
                <w:szCs w:val="16"/>
                <w:color w:val="auto"/>
              </w:rPr>
            </w:pPr>
          </w:p>
        </w:tc>
        <w:tc>
          <w:tcPr>
            <w:tcW w:w="160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14"/>
        </w:trPr>
        <w:tc>
          <w:tcPr>
            <w:tcW w:w="6040" w:type="dxa"/>
            <w:vAlign w:val="bottom"/>
          </w:tcPr>
          <w:p>
            <w:pPr>
              <w:spacing w:after="0"/>
              <w:rPr>
                <w:sz w:val="18"/>
                <w:szCs w:val="18"/>
                <w:color w:val="auto"/>
              </w:rPr>
            </w:pPr>
          </w:p>
        </w:tc>
        <w:tc>
          <w:tcPr>
            <w:tcW w:w="160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60" w:type="dxa"/>
            <w:vAlign w:val="bottom"/>
          </w:tcPr>
          <w:p>
            <w:pPr>
              <w:spacing w:after="0"/>
              <w:rPr>
                <w:sz w:val="18"/>
                <w:szCs w:val="18"/>
                <w:color w:val="auto"/>
              </w:rPr>
            </w:pPr>
          </w:p>
        </w:tc>
        <w:tc>
          <w:tcPr>
            <w:tcW w:w="16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62"/>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auto"/>
              </w:rPr>
              <w:t>Expected term (in years)</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5.3 - 6.4</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5.3 - 6.1</w:t>
            </w:r>
          </w:p>
        </w:tc>
      </w:tr>
      <w:tr>
        <w:trPr>
          <w:trHeight w:val="285"/>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102.7% - 107.5%</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105.2% - 110.4%</w:t>
            </w:r>
          </w:p>
        </w:tc>
      </w:tr>
      <w:tr>
        <w:trPr>
          <w:trHeight w:val="285"/>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auto"/>
              </w:rPr>
              <w:t>Expected dividend rate</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0.0%</w:t>
            </w:r>
          </w:p>
        </w:tc>
      </w:tr>
      <w:tr>
        <w:trPr>
          <w:trHeight w:val="285"/>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auto"/>
              </w:rPr>
              <w:t>Risk free interest rate</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 - 4.8%</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 - 4.4%</w:t>
            </w:r>
          </w:p>
        </w:tc>
      </w:tr>
    </w:tbl>
    <w:p>
      <w:pPr>
        <w:spacing w:after="0" w:line="191"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20"/>
          <w:szCs w:val="20"/>
          <w:color w:val="auto"/>
        </w:rPr>
        <w:t>Expected term: The expected term of stock options represents the weighted-average period the stock options are expected to remain outstanding. The Company does not have sufficient historical exercise and post-vesting termination activity to provide accurate data for estimating the expected term of options and has opted to use the “simplified method,” whereby the expected term equals the arithmetic average of the vesting term and the original contractual term of the option.</w:t>
      </w:r>
    </w:p>
    <w:p>
      <w:pPr>
        <w:spacing w:after="0" w:line="129" w:lineRule="exact"/>
        <w:rPr>
          <w:sz w:val="20"/>
          <w:szCs w:val="20"/>
          <w:color w:val="auto"/>
        </w:rPr>
      </w:pPr>
    </w:p>
    <w:p>
      <w:pPr>
        <w:ind w:right="280" w:firstLine="360"/>
        <w:spacing w:after="0" w:line="259" w:lineRule="auto"/>
        <w:rPr>
          <w:sz w:val="20"/>
          <w:szCs w:val="20"/>
          <w:color w:val="auto"/>
        </w:rPr>
      </w:pPr>
      <w:r>
        <w:rPr>
          <w:rFonts w:ascii="Times New Roman" w:cs="Times New Roman" w:eastAsia="Times New Roman" w:hAnsi="Times New Roman"/>
          <w:sz w:val="20"/>
          <w:szCs w:val="20"/>
          <w:color w:val="auto"/>
        </w:rPr>
        <w:t>Expected volatility: Historically, the Company has been a private company and lacked company</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specific historical and implied volatility information for its common stock. Therefore, the expected volatility of the Company’s common stock was determined by using an average of historical volatilities of selected industry peers deemed to be comparable to the Company’s business corresponding to the expected term of the awards and the Company expects to continue to do so until such time as the Company has adequate historical data regarding the volatility of its traded common stock price.</w:t>
      </w:r>
    </w:p>
    <w:p>
      <w:pPr>
        <w:spacing w:after="0" w:line="145" w:lineRule="exact"/>
        <w:rPr>
          <w:sz w:val="20"/>
          <w:szCs w:val="20"/>
          <w:color w:val="auto"/>
        </w:rPr>
      </w:pPr>
    </w:p>
    <w:p>
      <w:pPr>
        <w:ind w:right="300" w:firstLine="360"/>
        <w:spacing w:after="0" w:line="281" w:lineRule="auto"/>
        <w:rPr>
          <w:sz w:val="20"/>
          <w:szCs w:val="20"/>
          <w:color w:val="auto"/>
        </w:rPr>
      </w:pPr>
      <w:r>
        <w:rPr>
          <w:rFonts w:ascii="Times New Roman" w:cs="Times New Roman" w:eastAsia="Times New Roman" w:hAnsi="Times New Roman"/>
          <w:sz w:val="20"/>
          <w:szCs w:val="20"/>
          <w:color w:val="auto"/>
        </w:rPr>
        <w:t>Expected dividend yield: The expected dividend rate is zero as the Company has no history or expectation of declaring dividends on its common stock.</w:t>
      </w:r>
    </w:p>
    <w:p>
      <w:pPr>
        <w:spacing w:after="0" w:line="121" w:lineRule="exact"/>
        <w:rPr>
          <w:sz w:val="20"/>
          <w:szCs w:val="20"/>
          <w:color w:val="auto"/>
        </w:rPr>
      </w:pPr>
    </w:p>
    <w:p>
      <w:pPr>
        <w:ind w:right="200" w:firstLine="360"/>
        <w:spacing w:after="0" w:line="309" w:lineRule="auto"/>
        <w:rPr>
          <w:sz w:val="20"/>
          <w:szCs w:val="20"/>
          <w:color w:val="auto"/>
        </w:rPr>
      </w:pPr>
      <w:r>
        <w:rPr>
          <w:rFonts w:ascii="Times New Roman" w:cs="Times New Roman" w:eastAsia="Times New Roman" w:hAnsi="Times New Roman"/>
          <w:sz w:val="19"/>
          <w:szCs w:val="19"/>
          <w:color w:val="auto"/>
        </w:rPr>
        <w:t>Risk-free interest rate: The risk-free interest rate is based on the U.S. Treasury yield curve in effect at the time of grant for zero-coupon U.S. Treasury notes with maturities corresponding to the expected term of the awards.</w:t>
      </w:r>
    </w:p>
    <w:p>
      <w:pPr>
        <w:spacing w:after="0" w:line="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summarizes option award activity during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147320</wp:posOffset>
            </wp:positionV>
            <wp:extent cx="5969000" cy="19907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46">
                      <a:extLst>
                        <a:ext uri="{28A0092B-C50C-407E-A947-70E740481C1C}"/>
                      </a:extLst>
                    </a:blip>
                    <a:srcRect/>
                    <a:stretch>
                      <a:fillRect/>
                    </a:stretch>
                  </pic:blipFill>
                  <pic:spPr bwMode="auto">
                    <a:xfrm>
                      <a:off x="0" y="0"/>
                      <a:ext cx="5969000" cy="1990725"/>
                    </a:xfrm>
                    <a:prstGeom prst="rect">
                      <a:avLst/>
                    </a:prstGeom>
                    <a:noFill/>
                  </pic:spPr>
                </pic:pic>
              </a:graphicData>
            </a:graphic>
          </wp:anchor>
        </w:drawing>
      </w:r>
    </w:p>
    <w:p>
      <w:pPr>
        <w:spacing w:after="0" w:line="228"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39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9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60" w:type="dxa"/>
            <w:vAlign w:val="bottom"/>
          </w:tcPr>
          <w:p>
            <w:pPr>
              <w:spacing w:after="0"/>
              <w:rPr>
                <w:sz w:val="13"/>
                <w:szCs w:val="13"/>
                <w:color w:val="auto"/>
              </w:rPr>
            </w:pPr>
          </w:p>
        </w:tc>
        <w:tc>
          <w:tcPr>
            <w:tcW w:w="13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restart"/>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0"/>
        </w:trPr>
        <w:tc>
          <w:tcPr>
            <w:tcW w:w="390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Number of Stock</w:t>
            </w:r>
          </w:p>
        </w:tc>
        <w:tc>
          <w:tcPr>
            <w:tcW w:w="6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90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6"/>
                <w:szCs w:val="16"/>
                <w:b w:val="1"/>
                <w:bCs w:val="1"/>
                <w:color w:val="auto"/>
              </w:rPr>
              <w:t>Average Exercise</w:t>
            </w:r>
          </w:p>
        </w:tc>
        <w:tc>
          <w:tcPr>
            <w:tcW w:w="60" w:type="dxa"/>
            <w:vAlign w:val="bottom"/>
          </w:tcPr>
          <w:p>
            <w:pPr>
              <w:spacing w:after="0"/>
              <w:rPr>
                <w:sz w:val="13"/>
                <w:szCs w:val="13"/>
                <w:color w:val="auto"/>
              </w:rPr>
            </w:pPr>
          </w:p>
        </w:tc>
        <w:tc>
          <w:tcPr>
            <w:tcW w:w="13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Contractual Life</w:t>
            </w:r>
          </w:p>
        </w:tc>
        <w:tc>
          <w:tcPr>
            <w:tcW w:w="60" w:type="dxa"/>
            <w:vAlign w:val="bottom"/>
          </w:tcPr>
          <w:p>
            <w:pPr>
              <w:spacing w:after="0"/>
              <w:rPr>
                <w:sz w:val="13"/>
                <w:szCs w:val="13"/>
                <w:color w:val="auto"/>
              </w:rPr>
            </w:pPr>
          </w:p>
        </w:tc>
        <w:tc>
          <w:tcPr>
            <w:tcW w:w="13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Intrinsic Value</w:t>
            </w:r>
          </w:p>
        </w:tc>
        <w:tc>
          <w:tcPr>
            <w:tcW w:w="0" w:type="dxa"/>
            <w:vAlign w:val="bottom"/>
          </w:tcPr>
          <w:p>
            <w:pPr>
              <w:spacing w:after="0"/>
              <w:rPr>
                <w:sz w:val="1"/>
                <w:szCs w:val="1"/>
                <w:color w:val="auto"/>
              </w:rPr>
            </w:pPr>
          </w:p>
        </w:tc>
      </w:tr>
      <w:tr>
        <w:trPr>
          <w:trHeight w:val="214"/>
        </w:trPr>
        <w:tc>
          <w:tcPr>
            <w:tcW w:w="3900" w:type="dxa"/>
            <w:vAlign w:val="bottom"/>
          </w:tcPr>
          <w:p>
            <w:pPr>
              <w:spacing w:after="0"/>
              <w:rPr>
                <w:sz w:val="18"/>
                <w:szCs w:val="18"/>
                <w:color w:val="auto"/>
              </w:rPr>
            </w:pPr>
          </w:p>
        </w:tc>
        <w:tc>
          <w:tcPr>
            <w:tcW w:w="13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60" w:type="dxa"/>
            <w:vAlign w:val="bottom"/>
          </w:tcPr>
          <w:p>
            <w:pPr>
              <w:spacing w:after="0"/>
              <w:rPr>
                <w:sz w:val="18"/>
                <w:szCs w:val="18"/>
                <w:color w:val="auto"/>
              </w:rPr>
            </w:pPr>
          </w:p>
        </w:tc>
        <w:tc>
          <w:tcPr>
            <w:tcW w:w="860" w:type="dxa"/>
            <w:vAlign w:val="bottom"/>
            <w:tcBorders>
              <w:bottom w:val="single" w:sz="8" w:color="auto"/>
            </w:tcBorders>
          </w:tcPr>
          <w:p>
            <w:pPr>
              <w:jc w:val="center"/>
              <w:ind w:left="38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4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(Years)</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262"/>
        </w:trPr>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as of December 31, 2022</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11,485,443</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4.12</w:t>
            </w: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4,009,775</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2.42</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Exercised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(70,865)</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1.46</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Forfeited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(748,018)</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4.97</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as of December 31, 2023</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14,676,335</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3.63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11,451</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line="217" w:lineRule="exact"/>
              <w:rPr>
                <w:sz w:val="20"/>
                <w:szCs w:val="20"/>
                <w:color w:val="auto"/>
              </w:rPr>
            </w:pPr>
            <w:r>
              <w:rPr>
                <w:rFonts w:ascii="Times New Roman" w:cs="Times New Roman" w:eastAsia="Times New Roman" w:hAnsi="Times New Roman"/>
                <w:sz w:val="20"/>
                <w:szCs w:val="20"/>
                <w:color w:val="auto"/>
              </w:rPr>
              <w:t>Options vested and expected to vest as of</w:t>
            </w: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900" w:type="dxa"/>
            <w:vAlign w:val="bottom"/>
            <w:vMerge w:val="continue"/>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14,676,335</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7"/>
              </w:rPr>
              <w:t>3.63</w:t>
            </w:r>
          </w:p>
        </w:tc>
        <w:tc>
          <w:tcPr>
            <w:tcW w:w="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39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December 31, 2023</w:t>
            </w:r>
          </w:p>
        </w:tc>
        <w:tc>
          <w:tcPr>
            <w:tcW w:w="1300" w:type="dxa"/>
            <w:vAlign w:val="bottom"/>
            <w:vMerge w:val="continue"/>
          </w:tcPr>
          <w:p>
            <w:pPr>
              <w:spacing w:after="0"/>
              <w:rPr>
                <w:sz w:val="22"/>
                <w:szCs w:val="22"/>
                <w:color w:val="auto"/>
              </w:rPr>
            </w:pPr>
          </w:p>
        </w:tc>
        <w:tc>
          <w:tcPr>
            <w:tcW w:w="920" w:type="dxa"/>
            <w:vAlign w:val="bottom"/>
            <w:gridSpan w:val="2"/>
            <w:vMerge w:val="continue"/>
          </w:tcPr>
          <w:p>
            <w:pPr>
              <w:spacing w:after="0"/>
              <w:rPr>
                <w:sz w:val="22"/>
                <w:szCs w:val="22"/>
                <w:color w:val="auto"/>
              </w:rPr>
            </w:pPr>
          </w:p>
        </w:tc>
        <w:tc>
          <w:tcPr>
            <w:tcW w:w="4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Vested and exercisable at December 31, 2023</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7,488,649</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3.90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7,366</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40" w:firstLine="360"/>
        <w:spacing w:after="0" w:line="281" w:lineRule="auto"/>
        <w:rPr>
          <w:sz w:val="20"/>
          <w:szCs w:val="20"/>
          <w:color w:val="auto"/>
        </w:rPr>
      </w:pPr>
      <w:r>
        <w:rPr>
          <w:rFonts w:ascii="Times New Roman" w:cs="Times New Roman" w:eastAsia="Times New Roman" w:hAnsi="Times New Roman"/>
          <w:sz w:val="20"/>
          <w:szCs w:val="20"/>
          <w:color w:val="auto"/>
        </w:rPr>
        <w:t>As of December 31, 2023, there was $19.1 million of total unrecognized compensation expense expected to be recognized over a weighted average-period of 2.1 years. The total intrinsic value of options exercised during the</w:t>
      </w:r>
    </w:p>
    <w:p>
      <w:pPr>
        <w:sectPr>
          <w:pgSz w:w="12240" w:h="15840" w:orient="portrait"/>
          <w:cols w:equalWidth="0" w:num="1">
            <w:col w:w="9360"/>
          </w:cols>
          <w:pgMar w:left="1440" w:top="53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2240" w:h="15840" w:orient="portrait"/>
          <w:cols w:equalWidth="0" w:num="1">
            <w:col w:w="9360"/>
          </w:cols>
          <w:pgMar w:left="1440" w:top="539" w:right="1440" w:bottom="0" w:gutter="0" w:footer="0" w:header="0"/>
          <w:type w:val="continuous"/>
        </w:sectPr>
      </w:pPr>
    </w:p>
    <w:bookmarkStart w:id="109" w:name="page110"/>
    <w:bookmarkEnd w:id="109"/>
    <w:p>
      <w:pPr>
        <w:ind w:left="60"/>
        <w:spacing w:after="0"/>
        <w:rPr>
          <w:sz w:val="20"/>
          <w:szCs w:val="20"/>
          <w:color w:val="auto"/>
        </w:rPr>
      </w:pPr>
      <w:r>
        <w:rPr>
          <w:rFonts w:ascii="Times New Roman" w:cs="Times New Roman" w:eastAsia="Times New Roman" w:hAnsi="Times New Roman"/>
          <w:sz w:val="24"/>
          <w:szCs w:val="24"/>
          <w:b w:val="1"/>
          <w:bCs w:val="1"/>
          <w:color w:val="auto"/>
        </w:rPr>
        <w:t>Nautilus Biotechnology, Inc.</w:t>
      </w:r>
    </w:p>
    <w:p>
      <w:pPr>
        <w:spacing w:after="0" w:line="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4"/>
          <w:szCs w:val="24"/>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13335</wp:posOffset>
                </wp:positionV>
                <wp:extent cx="5943600"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5pt" to="468pt,1.05pt" o:allowincell="f" strokecolor="#000000" strokeweight="1pt"/>
            </w:pict>
          </mc:Fallback>
        </mc:AlternateConten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20"/>
          <w:szCs w:val="20"/>
          <w:color w:val="auto"/>
        </w:rPr>
        <w:t>years ended December 31, 2023 and 2022 was $0.1 million and $1.2 million, respectively. Aggregate intrinsic value represents the difference between the fair market value of the common stock and the exercise price of outstanding, in-the-money options.</w:t>
      </w:r>
    </w:p>
    <w:p>
      <w:pPr>
        <w:spacing w:after="0" w:line="135" w:lineRule="exact"/>
        <w:rPr>
          <w:sz w:val="20"/>
          <w:szCs w:val="20"/>
          <w:color w:val="auto"/>
        </w:rPr>
      </w:pPr>
    </w:p>
    <w:p>
      <w:pPr>
        <w:ind w:right="220" w:firstLine="360"/>
        <w:spacing w:after="0" w:line="281" w:lineRule="auto"/>
        <w:rPr>
          <w:sz w:val="20"/>
          <w:szCs w:val="20"/>
          <w:color w:val="auto"/>
        </w:rPr>
      </w:pPr>
      <w:r>
        <w:rPr>
          <w:rFonts w:ascii="Times New Roman" w:cs="Times New Roman" w:eastAsia="Times New Roman" w:hAnsi="Times New Roman"/>
          <w:sz w:val="20"/>
          <w:szCs w:val="20"/>
          <w:color w:val="auto"/>
        </w:rPr>
        <w:t>The weighted-average grant-date fair value of options granted during the years ended December 31, 2023 and 2022 was $1.98 and $2.98 per share, respectively.</w:t>
      </w:r>
    </w:p>
    <w:p>
      <w:pPr>
        <w:spacing w:after="0" w:line="1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 Expense</w:t>
      </w:r>
    </w:p>
    <w:p>
      <w:pPr>
        <w:spacing w:after="0" w:line="199" w:lineRule="exact"/>
        <w:rPr>
          <w:sz w:val="20"/>
          <w:szCs w:val="20"/>
          <w:color w:val="auto"/>
        </w:rPr>
      </w:pPr>
    </w:p>
    <w:p>
      <w:pPr>
        <w:ind w:right="20" w:firstLine="360"/>
        <w:spacing w:after="0" w:line="281" w:lineRule="auto"/>
        <w:rPr>
          <w:sz w:val="20"/>
          <w:szCs w:val="20"/>
          <w:color w:val="auto"/>
        </w:rPr>
      </w:pPr>
      <w:r>
        <w:rPr>
          <w:rFonts w:ascii="Times New Roman" w:cs="Times New Roman" w:eastAsia="Times New Roman" w:hAnsi="Times New Roman"/>
          <w:sz w:val="20"/>
          <w:szCs w:val="20"/>
          <w:color w:val="auto"/>
        </w:rPr>
        <w:t>The following sets forth the total stock-based compensation expense for the Company’s stock options and ESPP included in the Company’s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103505</wp:posOffset>
            </wp:positionV>
            <wp:extent cx="5969000" cy="933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47">
                      <a:extLst>
                        <a:ext uri="{28A0092B-C50C-407E-A947-70E740481C1C}"/>
                      </a:extLst>
                    </a:blip>
                    <a:srcRect/>
                    <a:stretch>
                      <a:fillRect/>
                    </a:stretch>
                  </pic:blipFill>
                  <pic:spPr bwMode="auto">
                    <a:xfrm>
                      <a:off x="0" y="0"/>
                      <a:ext cx="5969000" cy="933450"/>
                    </a:xfrm>
                    <a:prstGeom prst="rect">
                      <a:avLst/>
                    </a:prstGeom>
                    <a:noFill/>
                  </pic:spPr>
                </pic:pic>
              </a:graphicData>
            </a:graphic>
          </wp:anchor>
        </w:drawing>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11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0" w:type="dxa"/>
            <w:vAlign w:val="bottom"/>
          </w:tcPr>
          <w:p>
            <w:pPr>
              <w:spacing w:after="0"/>
              <w:rPr>
                <w:sz w:val="1"/>
                <w:szCs w:val="1"/>
                <w:color w:val="auto"/>
              </w:rPr>
            </w:pPr>
          </w:p>
        </w:tc>
      </w:tr>
      <w:tr>
        <w:trPr>
          <w:trHeight w:val="160"/>
        </w:trPr>
        <w:tc>
          <w:tcPr>
            <w:tcW w:w="66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80" w:type="dxa"/>
            <w:vAlign w:val="bottom"/>
          </w:tcPr>
          <w:p>
            <w:pPr>
              <w:spacing w:after="0"/>
              <w:rPr>
                <w:sz w:val="13"/>
                <w:szCs w:val="13"/>
                <w:color w:val="auto"/>
              </w:rPr>
            </w:pPr>
          </w:p>
        </w:tc>
        <w:tc>
          <w:tcPr>
            <w:tcW w:w="1140" w:type="dxa"/>
            <w:vAlign w:val="bottom"/>
          </w:tcPr>
          <w:p>
            <w:pPr>
              <w:jc w:val="center"/>
              <w:ind w:right="90"/>
              <w:spacing w:after="0" w:line="160"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center"/>
              <w:ind w:right="90"/>
              <w:spacing w:after="0" w:line="160"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664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0" w:type="dxa"/>
            <w:vAlign w:val="bottom"/>
          </w:tcPr>
          <w:p>
            <w:pPr>
              <w:spacing w:after="0"/>
              <w:rPr>
                <w:sz w:val="1"/>
                <w:szCs w:val="1"/>
                <w:color w:val="auto"/>
              </w:rPr>
            </w:pPr>
          </w:p>
        </w:tc>
      </w:tr>
      <w:tr>
        <w:trPr>
          <w:trHeight w:val="262"/>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4,199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3,840</w:t>
            </w:r>
          </w:p>
        </w:tc>
        <w:tc>
          <w:tcPr>
            <w:tcW w:w="0" w:type="dxa"/>
            <w:vAlign w:val="bottom"/>
          </w:tcPr>
          <w:p>
            <w:pPr>
              <w:spacing w:after="0"/>
              <w:rPr>
                <w:sz w:val="1"/>
                <w:szCs w:val="1"/>
                <w:color w:val="auto"/>
              </w:rPr>
            </w:pPr>
          </w:p>
        </w:tc>
      </w:tr>
      <w:tr>
        <w:trPr>
          <w:trHeight w:val="288"/>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20"/>
                <w:szCs w:val="20"/>
                <w:color w:val="auto"/>
              </w:rPr>
              <w:t>7,938</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6,540</w:t>
            </w:r>
          </w:p>
        </w:tc>
        <w:tc>
          <w:tcPr>
            <w:tcW w:w="0" w:type="dxa"/>
            <w:vAlign w:val="bottom"/>
          </w:tcPr>
          <w:p>
            <w:pPr>
              <w:spacing w:after="0"/>
              <w:rPr>
                <w:sz w:val="1"/>
                <w:szCs w:val="1"/>
                <w:color w:val="auto"/>
              </w:rPr>
            </w:pPr>
          </w:p>
        </w:tc>
      </w:tr>
      <w:tr>
        <w:trPr>
          <w:trHeight w:val="245"/>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Total stock-based compensation 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12,137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10,380</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720" w:hanging="720"/>
        <w:spacing w:after="0"/>
        <w:tabs>
          <w:tab w:leader="none" w:pos="720" w:val="left"/>
        </w:tabs>
        <w:numPr>
          <w:ilvl w:val="0"/>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Commitments and Contingencies</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Purchase Commitments</w:t>
      </w:r>
    </w:p>
    <w:p>
      <w:pPr>
        <w:spacing w:after="0" w:line="199" w:lineRule="exact"/>
        <w:rPr>
          <w:sz w:val="20"/>
          <w:szCs w:val="20"/>
          <w:color w:val="auto"/>
        </w:rPr>
      </w:pPr>
    </w:p>
    <w:p>
      <w:pPr>
        <w:ind w:right="220" w:firstLine="360"/>
        <w:spacing w:after="0" w:line="275" w:lineRule="auto"/>
        <w:rPr>
          <w:sz w:val="20"/>
          <w:szCs w:val="20"/>
          <w:color w:val="auto"/>
        </w:rPr>
      </w:pPr>
      <w:r>
        <w:rPr>
          <w:rFonts w:ascii="Times New Roman" w:cs="Times New Roman" w:eastAsia="Times New Roman" w:hAnsi="Times New Roman"/>
          <w:sz w:val="19"/>
          <w:szCs w:val="19"/>
          <w:color w:val="auto"/>
        </w:rPr>
        <w:t>Open purchase commitments are for the purchase of goods and services related to, but not limited to, research and development, facilities, and professional services under non-cancellable contracts. They were not recorded as liabilities on the consolidated balance sheet as of December 31, 2023 as the Company had not yet received the related goods or services. As of December 31, 2023, the Company had open purchase commitments for goods and services of $2.5 million, of which $1.8 million are expected to be received through the next 12 months.</w:t>
      </w:r>
    </w:p>
    <w:p>
      <w:pPr>
        <w:spacing w:after="0" w:line="1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Legal Proceedings</w:t>
      </w:r>
    </w:p>
    <w:p>
      <w:pPr>
        <w:spacing w:after="0" w:line="199"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20"/>
          <w:szCs w:val="20"/>
          <w:color w:val="auto"/>
        </w:rPr>
        <w:t>From time to time, the Company may become involved in litigation relating to claims arising from the ordinary course of business where the expense, distraction and/or the ultimate disposition could have a material adverse effect on the Company’s results of operations, financial condition or cash flows. The Company filed suit in the United States District Court for the Northern District of California against Somalogic (now known as Standard Biotools, Inc.), and the California Institute of Technology seeking declaratory judgment that the Company does not infringe any claims of the ‘793 Patent, allegedly licensed from the California Institute of Technology through Somalogic’s purchase of Palamedrix, Inc. While the Company believes that it will be able to prevail as to its claims in this litigation, the Company may incur significant expense and management distraction in prosecuting this litigation. Moreover, notwithstanding management’s belief as to the strength of our claims in this matter, litigation generally, and patent litigation in particular, can be unpredictable. As such, management cannot be certain that the Company will prevail in this litigation.</w:t>
      </w:r>
    </w:p>
    <w:p>
      <w:pPr>
        <w:spacing w:after="0" w:line="1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Company is obligated under certain non-cancellable operating leases for office space and laboratory space.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space includes operating leases in Seattle, Washington, San Carlos, California, and San Diego, California.</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Seattle Lease</w:t>
      </w:r>
    </w:p>
    <w:p>
      <w:pPr>
        <w:spacing w:after="0" w:line="194" w:lineRule="exact"/>
        <w:rPr>
          <w:sz w:val="20"/>
          <w:szCs w:val="20"/>
          <w:color w:val="auto"/>
        </w:rPr>
      </w:pPr>
    </w:p>
    <w:p>
      <w:pPr>
        <w:ind w:right="120" w:firstLine="360"/>
        <w:spacing w:after="0" w:line="266" w:lineRule="auto"/>
        <w:rPr>
          <w:sz w:val="20"/>
          <w:szCs w:val="20"/>
          <w:color w:val="auto"/>
        </w:rPr>
      </w:pPr>
      <w:r>
        <w:rPr>
          <w:rFonts w:ascii="Times New Roman" w:cs="Times New Roman" w:eastAsia="Times New Roman" w:hAnsi="Times New Roman"/>
          <w:sz w:val="20"/>
          <w:szCs w:val="20"/>
          <w:color w:val="auto"/>
        </w:rPr>
        <w:t>In July 2021, the Company entered into a 7-year non-cancellable operating lease, which commenced in August 2021, for office space in Seattle, Washington. Total non-cancellable payments under this lease aggregate $4.5 million through June 2028.</w:t>
      </w:r>
    </w:p>
    <w:p>
      <w:pPr>
        <w:sectPr>
          <w:pgSz w:w="12240" w:h="15840" w:orient="portrait"/>
          <w:cols w:equalWidth="0" w:num="1">
            <w:col w:w="9360"/>
          </w:cols>
          <w:pgMar w:left="1440" w:top="53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2240" w:h="15840" w:orient="portrait"/>
          <w:cols w:equalWidth="0" w:num="1">
            <w:col w:w="9360"/>
          </w:cols>
          <w:pgMar w:left="1440" w:top="539" w:right="1440" w:bottom="0" w:gutter="0" w:footer="0" w:header="0"/>
          <w:type w:val="continuous"/>
        </w:sectPr>
      </w:pPr>
    </w:p>
    <w:bookmarkStart w:id="110" w:name="page111"/>
    <w:bookmarkEnd w:id="110"/>
    <w:p>
      <w:pPr>
        <w:ind w:left="60"/>
        <w:spacing w:after="0"/>
        <w:rPr>
          <w:sz w:val="20"/>
          <w:szCs w:val="20"/>
          <w:color w:val="auto"/>
        </w:rPr>
      </w:pPr>
      <w:r>
        <w:rPr>
          <w:rFonts w:ascii="Times New Roman" w:cs="Times New Roman" w:eastAsia="Times New Roman" w:hAnsi="Times New Roman"/>
          <w:sz w:val="24"/>
          <w:szCs w:val="24"/>
          <w:b w:val="1"/>
          <w:bCs w:val="1"/>
          <w:color w:val="auto"/>
        </w:rPr>
        <w:t>Nautilus Biotechnology, Inc.</w:t>
      </w:r>
    </w:p>
    <w:p>
      <w:pPr>
        <w:spacing w:after="0" w:line="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4"/>
          <w:szCs w:val="24"/>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13335</wp:posOffset>
                </wp:positionV>
                <wp:extent cx="5943600"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5pt" to="468pt,1.05pt" o:allowincell="f" strokecolor="#000000" strokeweight="1pt"/>
            </w:pict>
          </mc:Fallback>
        </mc:AlternateContent>
      </w:r>
    </w:p>
    <w:p>
      <w:pPr>
        <w:spacing w:after="0" w:line="2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San Carlos Leases</w:t>
      </w:r>
    </w:p>
    <w:p>
      <w:pPr>
        <w:spacing w:after="0" w:line="194" w:lineRule="exact"/>
        <w:rPr>
          <w:sz w:val="20"/>
          <w:szCs w:val="20"/>
          <w:color w:val="auto"/>
        </w:rPr>
      </w:pPr>
    </w:p>
    <w:p>
      <w:pPr>
        <w:ind w:right="340" w:firstLine="360"/>
        <w:spacing w:after="0" w:line="309" w:lineRule="auto"/>
        <w:rPr>
          <w:sz w:val="20"/>
          <w:szCs w:val="20"/>
          <w:color w:val="auto"/>
        </w:rPr>
      </w:pPr>
      <w:r>
        <w:rPr>
          <w:rFonts w:ascii="Times New Roman" w:cs="Times New Roman" w:eastAsia="Times New Roman" w:hAnsi="Times New Roman"/>
          <w:sz w:val="19"/>
          <w:szCs w:val="19"/>
          <w:color w:val="auto"/>
        </w:rPr>
        <w:t>In December 2020, the Company entered into a new lease in San Carlos, California for ten years which commenced in October 2021 and expiring in October 2031 with total minimum lease payments of $40.7 million.</w:t>
      </w:r>
    </w:p>
    <w:p>
      <w:pPr>
        <w:spacing w:after="0" w:line="97" w:lineRule="exact"/>
        <w:rPr>
          <w:sz w:val="20"/>
          <w:szCs w:val="20"/>
          <w:color w:val="auto"/>
        </w:rPr>
      </w:pPr>
    </w:p>
    <w:p>
      <w:pPr>
        <w:ind w:right="80" w:firstLine="360"/>
        <w:spacing w:after="0" w:line="256" w:lineRule="auto"/>
        <w:rPr>
          <w:sz w:val="20"/>
          <w:szCs w:val="20"/>
          <w:color w:val="auto"/>
        </w:rPr>
      </w:pPr>
      <w:r>
        <w:rPr>
          <w:rFonts w:ascii="Times New Roman" w:cs="Times New Roman" w:eastAsia="Times New Roman" w:hAnsi="Times New Roman"/>
          <w:sz w:val="20"/>
          <w:szCs w:val="20"/>
          <w:color w:val="auto"/>
        </w:rPr>
        <w:t>In December 2021, the Company entered into another lease in San Carlos, California for nine years commencing in March 2023. The Company can terminate this lease after five years from the commencement date without bearing any significant termination penalties and therefore the Company concluded that the lease term is five years with total minimum lease payments of $7.2 million. The Company utilized $2.0 million from the landlord with an interest rate of 7% to finance its tenant improvements. The principal and interest payments are included in the payments used to measure the lease liability.</w:t>
      </w:r>
    </w:p>
    <w:p>
      <w:pPr>
        <w:spacing w:after="0" w:line="1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San Diego Lease</w:t>
      </w:r>
    </w:p>
    <w:p>
      <w:pPr>
        <w:spacing w:after="0" w:line="194" w:lineRule="exact"/>
        <w:rPr>
          <w:sz w:val="20"/>
          <w:szCs w:val="20"/>
          <w:color w:val="auto"/>
        </w:rPr>
      </w:pPr>
    </w:p>
    <w:p>
      <w:pPr>
        <w:ind w:right="260" w:firstLine="360"/>
        <w:spacing w:after="0" w:line="281" w:lineRule="auto"/>
        <w:rPr>
          <w:sz w:val="20"/>
          <w:szCs w:val="20"/>
          <w:color w:val="auto"/>
        </w:rPr>
      </w:pPr>
      <w:r>
        <w:rPr>
          <w:rFonts w:ascii="Times New Roman" w:cs="Times New Roman" w:eastAsia="Times New Roman" w:hAnsi="Times New Roman"/>
          <w:sz w:val="20"/>
          <w:szCs w:val="20"/>
          <w:color w:val="auto"/>
        </w:rPr>
        <w:t>In November 2022, the Company entered into a lease in San Diego, California for 39 months commencing in December 2022. Total non-cancellable payments under this lease aggregate $2.1 million through March 2026.</w:t>
      </w:r>
    </w:p>
    <w:p>
      <w:pPr>
        <w:spacing w:after="0" w:line="121" w:lineRule="exact"/>
        <w:rPr>
          <w:sz w:val="20"/>
          <w:szCs w:val="20"/>
          <w:color w:val="auto"/>
        </w:rPr>
      </w:pPr>
    </w:p>
    <w:p>
      <w:pPr>
        <w:ind w:right="400" w:firstLine="360"/>
        <w:spacing w:after="0" w:line="281" w:lineRule="auto"/>
        <w:rPr>
          <w:sz w:val="20"/>
          <w:szCs w:val="20"/>
          <w:color w:val="auto"/>
        </w:rPr>
      </w:pPr>
      <w:r>
        <w:rPr>
          <w:rFonts w:ascii="Times New Roman" w:cs="Times New Roman" w:eastAsia="Times New Roman" w:hAnsi="Times New Roman"/>
          <w:sz w:val="20"/>
          <w:szCs w:val="20"/>
          <w:color w:val="auto"/>
        </w:rPr>
        <w:t>The components of lease costs which were included in operating expenses in the consolidated statements of operations were as follows:</w:t>
      </w:r>
    </w:p>
    <w:p>
      <w:pPr>
        <w:spacing w:after="0" w:line="110"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0" w:type="dxa"/>
            <w:vAlign w:val="bottom"/>
          </w:tcPr>
          <w:p>
            <w:pPr>
              <w:spacing w:after="0"/>
              <w:rPr>
                <w:sz w:val="1"/>
                <w:szCs w:val="1"/>
                <w:color w:val="auto"/>
              </w:rPr>
            </w:pPr>
          </w:p>
        </w:tc>
      </w:tr>
      <w:tr>
        <w:trPr>
          <w:trHeight w:val="160"/>
        </w:trPr>
        <w:tc>
          <w:tcPr>
            <w:tcW w:w="66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tcPr>
          <w:p>
            <w:pPr>
              <w:spacing w:after="0"/>
              <w:rPr>
                <w:sz w:val="13"/>
                <w:szCs w:val="13"/>
                <w:color w:val="auto"/>
              </w:rPr>
            </w:pPr>
          </w:p>
        </w:tc>
        <w:tc>
          <w:tcPr>
            <w:tcW w:w="1140" w:type="dxa"/>
            <w:vAlign w:val="bottom"/>
          </w:tcPr>
          <w:p>
            <w:pPr>
              <w:jc w:val="center"/>
              <w:ind w:right="89"/>
              <w:spacing w:after="0" w:line="160"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ind w:right="69"/>
              <w:spacing w:after="0" w:line="160"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664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0" w:type="dxa"/>
            <w:vAlign w:val="bottom"/>
          </w:tcPr>
          <w:p>
            <w:pPr>
              <w:spacing w:after="0"/>
              <w:rPr>
                <w:sz w:val="1"/>
                <w:szCs w:val="1"/>
                <w:color w:val="auto"/>
              </w:rPr>
            </w:pPr>
          </w:p>
        </w:tc>
      </w:tr>
      <w:tr>
        <w:trPr>
          <w:trHeight w:val="292"/>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Fixed operating lease costs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6,893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4,751</w:t>
            </w:r>
          </w:p>
        </w:tc>
        <w:tc>
          <w:tcPr>
            <w:tcW w:w="0" w:type="dxa"/>
            <w:vAlign w:val="bottom"/>
          </w:tcPr>
          <w:p>
            <w:pPr>
              <w:spacing w:after="0"/>
              <w:rPr>
                <w:sz w:val="1"/>
                <w:szCs w:val="1"/>
                <w:color w:val="auto"/>
              </w:rPr>
            </w:pPr>
          </w:p>
        </w:tc>
      </w:tr>
      <w:tr>
        <w:trPr>
          <w:trHeight w:val="285"/>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Variable operating lease costs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1,655</w:t>
            </w:r>
          </w:p>
        </w:tc>
        <w:tc>
          <w:tcPr>
            <w:tcW w:w="0" w:type="dxa"/>
            <w:vAlign w:val="bottom"/>
          </w:tcPr>
          <w:p>
            <w:pPr>
              <w:spacing w:after="0"/>
              <w:rPr>
                <w:sz w:val="1"/>
                <w:szCs w:val="1"/>
                <w:color w:val="auto"/>
              </w:rPr>
            </w:pPr>
          </w:p>
        </w:tc>
      </w:tr>
      <w:tr>
        <w:trPr>
          <w:trHeight w:val="288"/>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Short-term lease costs</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245"/>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Total lease costs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9,325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6,431</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-774065</wp:posOffset>
            </wp:positionV>
            <wp:extent cx="5969000" cy="781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48">
                      <a:extLst>
                        <a:ext uri="{28A0092B-C50C-407E-A947-70E740481C1C}"/>
                      </a:extLst>
                    </a:blip>
                    <a:srcRect/>
                    <a:stretch>
                      <a:fillRect/>
                    </a:stretch>
                  </pic:blipFill>
                  <pic:spPr bwMode="auto">
                    <a:xfrm>
                      <a:off x="0" y="0"/>
                      <a:ext cx="5969000" cy="781050"/>
                    </a:xfrm>
                    <a:prstGeom prst="rect">
                      <a:avLst/>
                    </a:prstGeom>
                    <a:noFill/>
                  </pic:spPr>
                </pic:pic>
              </a:graphicData>
            </a:graphic>
          </wp:anchor>
        </w:drawing>
      </w:r>
    </w:p>
    <w:p>
      <w:pPr>
        <w:spacing w:after="0" w:line="168" w:lineRule="exact"/>
        <w:rPr>
          <w:sz w:val="20"/>
          <w:szCs w:val="20"/>
          <w:color w:val="auto"/>
        </w:rPr>
      </w:pPr>
    </w:p>
    <w:p>
      <w:pPr>
        <w:jc w:val="both"/>
        <w:ind w:right="520" w:firstLine="360"/>
        <w:spacing w:after="0" w:line="266" w:lineRule="auto"/>
        <w:rPr>
          <w:sz w:val="20"/>
          <w:szCs w:val="20"/>
          <w:color w:val="auto"/>
        </w:rPr>
      </w:pPr>
      <w:r>
        <w:rPr>
          <w:rFonts w:ascii="Times New Roman" w:cs="Times New Roman" w:eastAsia="Times New Roman" w:hAnsi="Times New Roman"/>
          <w:sz w:val="20"/>
          <w:szCs w:val="20"/>
          <w:color w:val="auto"/>
        </w:rPr>
        <w:t>For the years ended December 31, 2023 and 2022, cash paid for amounts included in the measurement of operating lease liabilities included in cash flows used in operating activities was $6.2 million and $3.9 million, respectively.</w:t>
      </w:r>
    </w:p>
    <w:p>
      <w:pPr>
        <w:spacing w:after="0" w:line="135" w:lineRule="exact"/>
        <w:rPr>
          <w:sz w:val="20"/>
          <w:szCs w:val="20"/>
          <w:color w:val="auto"/>
        </w:rPr>
      </w:pPr>
    </w:p>
    <w:p>
      <w:pPr>
        <w:ind w:right="240" w:firstLine="360"/>
        <w:spacing w:after="0" w:line="281" w:lineRule="auto"/>
        <w:rPr>
          <w:sz w:val="20"/>
          <w:szCs w:val="20"/>
          <w:color w:val="auto"/>
        </w:rPr>
      </w:pPr>
      <w:r>
        <w:rPr>
          <w:rFonts w:ascii="Times New Roman" w:cs="Times New Roman" w:eastAsia="Times New Roman" w:hAnsi="Times New Roman"/>
          <w:sz w:val="20"/>
          <w:szCs w:val="20"/>
          <w:color w:val="auto"/>
        </w:rPr>
        <w:t>As of December 31, 2023, the weighted-average remaining lease term and weighted-average discount rate for operating leases was 6.7 years and 9.1%, respectively.</w:t>
      </w:r>
    </w:p>
    <w:p>
      <w:pPr>
        <w:spacing w:after="0" w:line="121" w:lineRule="exact"/>
        <w:rPr>
          <w:sz w:val="20"/>
          <w:szCs w:val="20"/>
          <w:color w:val="auto"/>
        </w:rPr>
      </w:pPr>
    </w:p>
    <w:p>
      <w:pPr>
        <w:ind w:right="480" w:firstLine="360"/>
        <w:spacing w:after="0" w:line="281" w:lineRule="auto"/>
        <w:rPr>
          <w:sz w:val="20"/>
          <w:szCs w:val="20"/>
          <w:color w:val="auto"/>
        </w:rPr>
      </w:pPr>
      <w:r>
        <w:rPr>
          <w:rFonts w:ascii="Times New Roman" w:cs="Times New Roman" w:eastAsia="Times New Roman" w:hAnsi="Times New Roman"/>
          <w:sz w:val="20"/>
          <w:szCs w:val="20"/>
          <w:color w:val="auto"/>
        </w:rPr>
        <w:t>The following table summarizes the Company's future principal contractual obligations for operating lease commitments as of December 31, 2023:</w:t>
      </w:r>
    </w:p>
    <w:p>
      <w:pPr>
        <w:spacing w:after="0" w:line="196"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80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0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00" w:type="dxa"/>
            <w:vAlign w:val="bottom"/>
          </w:tcPr>
          <w:p>
            <w:pPr>
              <w:spacing w:after="0"/>
              <w:rPr>
                <w:sz w:val="17"/>
                <w:szCs w:val="17"/>
                <w:color w:val="auto"/>
              </w:rPr>
            </w:pPr>
          </w:p>
        </w:tc>
        <w:tc>
          <w:tcPr>
            <w:tcW w:w="1100" w:type="dxa"/>
            <w:vAlign w:val="bottom"/>
          </w:tcPr>
          <w:p>
            <w:pPr>
              <w:jc w:val="right"/>
              <w:ind w:right="364"/>
              <w:spacing w:after="0"/>
              <w:rPr>
                <w:sz w:val="20"/>
                <w:szCs w:val="20"/>
                <w:color w:val="auto"/>
              </w:rPr>
            </w:pPr>
            <w:r>
              <w:rPr>
                <w:rFonts w:ascii="Times New Roman" w:cs="Times New Roman" w:eastAsia="Times New Roman" w:hAnsi="Times New Roman"/>
                <w:sz w:val="16"/>
                <w:szCs w:val="16"/>
                <w:b w:val="1"/>
                <w:bCs w:val="1"/>
                <w:color w:val="auto"/>
              </w:rPr>
              <w:t>Lease</w:t>
            </w:r>
          </w:p>
        </w:tc>
        <w:tc>
          <w:tcPr>
            <w:tcW w:w="0" w:type="dxa"/>
            <w:vAlign w:val="bottom"/>
          </w:tcPr>
          <w:p>
            <w:pPr>
              <w:spacing w:after="0"/>
              <w:rPr>
                <w:sz w:val="1"/>
                <w:szCs w:val="1"/>
                <w:color w:val="auto"/>
              </w:rPr>
            </w:pPr>
          </w:p>
        </w:tc>
      </w:tr>
      <w:tr>
        <w:trPr>
          <w:trHeight w:val="211"/>
        </w:trPr>
        <w:tc>
          <w:tcPr>
            <w:tcW w:w="80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64"/>
              <w:spacing w:after="0"/>
              <w:rPr>
                <w:sz w:val="20"/>
                <w:szCs w:val="20"/>
                <w:color w:val="auto"/>
              </w:rPr>
            </w:pPr>
            <w:r>
              <w:rPr>
                <w:rFonts w:ascii="Times New Roman" w:cs="Times New Roman" w:eastAsia="Times New Roman" w:hAnsi="Times New Roman"/>
                <w:sz w:val="16"/>
                <w:szCs w:val="16"/>
                <w:b w:val="1"/>
                <w:bCs w:val="1"/>
                <w:color w:val="auto"/>
              </w:rPr>
              <w:t>Obligations</w:t>
            </w:r>
          </w:p>
        </w:tc>
        <w:tc>
          <w:tcPr>
            <w:tcW w:w="0" w:type="dxa"/>
            <w:vAlign w:val="bottom"/>
          </w:tcPr>
          <w:p>
            <w:pPr>
              <w:spacing w:after="0"/>
              <w:rPr>
                <w:sz w:val="1"/>
                <w:szCs w:val="1"/>
                <w:color w:val="auto"/>
              </w:rPr>
            </w:pPr>
          </w:p>
        </w:tc>
      </w:tr>
      <w:tr>
        <w:trPr>
          <w:trHeight w:val="286"/>
        </w:trPr>
        <w:tc>
          <w:tcPr>
            <w:tcW w:w="8000" w:type="dxa"/>
            <w:vAlign w:val="bottom"/>
          </w:tcPr>
          <w:p>
            <w:pPr>
              <w:spacing w:after="0"/>
              <w:rPr>
                <w:sz w:val="20"/>
                <w:szCs w:val="20"/>
                <w:color w:val="auto"/>
              </w:rPr>
            </w:pPr>
            <w:r>
              <w:rPr>
                <w:rFonts w:ascii="Times New Roman" w:cs="Times New Roman" w:eastAsia="Times New Roman" w:hAnsi="Times New Roman"/>
                <w:sz w:val="20"/>
                <w:szCs w:val="20"/>
                <w:color w:val="auto"/>
              </w:rPr>
              <w:t>2024</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6,414</w:t>
            </w:r>
          </w:p>
        </w:tc>
        <w:tc>
          <w:tcPr>
            <w:tcW w:w="0" w:type="dxa"/>
            <w:vAlign w:val="bottom"/>
          </w:tcPr>
          <w:p>
            <w:pPr>
              <w:spacing w:after="0"/>
              <w:rPr>
                <w:sz w:val="1"/>
                <w:szCs w:val="1"/>
                <w:color w:val="auto"/>
              </w:rPr>
            </w:pPr>
          </w:p>
        </w:tc>
      </w:tr>
      <w:tr>
        <w:trPr>
          <w:trHeight w:val="285"/>
        </w:trPr>
        <w:tc>
          <w:tcPr>
            <w:tcW w:w="8000" w:type="dxa"/>
            <w:vAlign w:val="bottom"/>
          </w:tcPr>
          <w:p>
            <w:pPr>
              <w:spacing w:after="0"/>
              <w:rPr>
                <w:sz w:val="20"/>
                <w:szCs w:val="20"/>
                <w:color w:val="auto"/>
              </w:rPr>
            </w:pPr>
            <w:r>
              <w:rPr>
                <w:rFonts w:ascii="Times New Roman" w:cs="Times New Roman" w:eastAsia="Times New Roman" w:hAnsi="Times New Roman"/>
                <w:sz w:val="20"/>
                <w:szCs w:val="20"/>
                <w:color w:val="auto"/>
              </w:rPr>
              <w:t>2025</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7,186</w:t>
            </w:r>
          </w:p>
        </w:tc>
        <w:tc>
          <w:tcPr>
            <w:tcW w:w="0" w:type="dxa"/>
            <w:vAlign w:val="bottom"/>
          </w:tcPr>
          <w:p>
            <w:pPr>
              <w:spacing w:after="0"/>
              <w:rPr>
                <w:sz w:val="1"/>
                <w:szCs w:val="1"/>
                <w:color w:val="auto"/>
              </w:rPr>
            </w:pPr>
          </w:p>
        </w:tc>
      </w:tr>
      <w:tr>
        <w:trPr>
          <w:trHeight w:val="285"/>
        </w:trPr>
        <w:tc>
          <w:tcPr>
            <w:tcW w:w="800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6,878</w:t>
            </w:r>
          </w:p>
        </w:tc>
        <w:tc>
          <w:tcPr>
            <w:tcW w:w="0" w:type="dxa"/>
            <w:vAlign w:val="bottom"/>
          </w:tcPr>
          <w:p>
            <w:pPr>
              <w:spacing w:after="0"/>
              <w:rPr>
                <w:sz w:val="1"/>
                <w:szCs w:val="1"/>
                <w:color w:val="auto"/>
              </w:rPr>
            </w:pPr>
          </w:p>
        </w:tc>
      </w:tr>
      <w:tr>
        <w:trPr>
          <w:trHeight w:val="285"/>
        </w:trPr>
        <w:tc>
          <w:tcPr>
            <w:tcW w:w="800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6,893</w:t>
            </w:r>
          </w:p>
        </w:tc>
        <w:tc>
          <w:tcPr>
            <w:tcW w:w="0" w:type="dxa"/>
            <w:vAlign w:val="bottom"/>
          </w:tcPr>
          <w:p>
            <w:pPr>
              <w:spacing w:after="0"/>
              <w:rPr>
                <w:sz w:val="1"/>
                <w:szCs w:val="1"/>
                <w:color w:val="auto"/>
              </w:rPr>
            </w:pPr>
          </w:p>
        </w:tc>
      </w:tr>
      <w:tr>
        <w:trPr>
          <w:trHeight w:val="288"/>
        </w:trPr>
        <w:tc>
          <w:tcPr>
            <w:tcW w:w="8000" w:type="dxa"/>
            <w:vAlign w:val="bottom"/>
          </w:tcPr>
          <w:p>
            <w:pPr>
              <w:spacing w:after="0"/>
              <w:rPr>
                <w:sz w:val="20"/>
                <w:szCs w:val="20"/>
                <w:color w:val="auto"/>
              </w:rPr>
            </w:pPr>
            <w:r>
              <w:rPr>
                <w:rFonts w:ascii="Times New Roman" w:cs="Times New Roman" w:eastAsia="Times New Roman" w:hAnsi="Times New Roman"/>
                <w:sz w:val="20"/>
                <w:szCs w:val="20"/>
                <w:color w:val="auto"/>
              </w:rPr>
              <w:t>2028 and thereafter</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19,028</w:t>
            </w:r>
          </w:p>
        </w:tc>
        <w:tc>
          <w:tcPr>
            <w:tcW w:w="0" w:type="dxa"/>
            <w:vAlign w:val="bottom"/>
          </w:tcPr>
          <w:p>
            <w:pPr>
              <w:spacing w:after="0"/>
              <w:rPr>
                <w:sz w:val="1"/>
                <w:szCs w:val="1"/>
                <w:color w:val="auto"/>
              </w:rPr>
            </w:pPr>
          </w:p>
        </w:tc>
      </w:tr>
      <w:tr>
        <w:trPr>
          <w:trHeight w:val="262"/>
        </w:trPr>
        <w:tc>
          <w:tcPr>
            <w:tcW w:w="8000" w:type="dxa"/>
            <w:vAlign w:val="bottom"/>
          </w:tcPr>
          <w:p>
            <w:pPr>
              <w:spacing w:after="0"/>
              <w:rPr>
                <w:sz w:val="20"/>
                <w:szCs w:val="20"/>
                <w:color w:val="auto"/>
              </w:rPr>
            </w:pPr>
            <w:r>
              <w:rPr>
                <w:rFonts w:ascii="Times New Roman" w:cs="Times New Roman" w:eastAsia="Times New Roman" w:hAnsi="Times New Roman"/>
                <w:sz w:val="20"/>
                <w:szCs w:val="20"/>
                <w:color w:val="auto"/>
              </w:rPr>
              <w:t>Total future minimum lease payments</w:t>
            </w: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46,399</w:t>
            </w:r>
          </w:p>
        </w:tc>
        <w:tc>
          <w:tcPr>
            <w:tcW w:w="0" w:type="dxa"/>
            <w:vAlign w:val="bottom"/>
          </w:tcPr>
          <w:p>
            <w:pPr>
              <w:spacing w:after="0"/>
              <w:rPr>
                <w:sz w:val="1"/>
                <w:szCs w:val="1"/>
                <w:color w:val="auto"/>
              </w:rPr>
            </w:pPr>
          </w:p>
        </w:tc>
      </w:tr>
      <w:tr>
        <w:trPr>
          <w:trHeight w:val="288"/>
        </w:trPr>
        <w:tc>
          <w:tcPr>
            <w:tcW w:w="8000" w:type="dxa"/>
            <w:vAlign w:val="bottom"/>
          </w:tcPr>
          <w:p>
            <w:pPr>
              <w:spacing w:after="0"/>
              <w:rPr>
                <w:sz w:val="20"/>
                <w:szCs w:val="20"/>
                <w:color w:val="auto"/>
              </w:rPr>
            </w:pPr>
            <w:r>
              <w:rPr>
                <w:rFonts w:ascii="Times New Roman" w:cs="Times New Roman" w:eastAsia="Times New Roman" w:hAnsi="Times New Roman"/>
                <w:sz w:val="20"/>
                <w:szCs w:val="20"/>
                <w:color w:val="auto"/>
              </w:rPr>
              <w:t>Less: Imputed interest</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(11,771)</w:t>
            </w:r>
          </w:p>
        </w:tc>
        <w:tc>
          <w:tcPr>
            <w:tcW w:w="0" w:type="dxa"/>
            <w:vAlign w:val="bottom"/>
          </w:tcPr>
          <w:p>
            <w:pPr>
              <w:spacing w:after="0"/>
              <w:rPr>
                <w:sz w:val="1"/>
                <w:szCs w:val="1"/>
                <w:color w:val="auto"/>
              </w:rPr>
            </w:pPr>
          </w:p>
        </w:tc>
      </w:tr>
      <w:tr>
        <w:trPr>
          <w:trHeight w:val="245"/>
        </w:trPr>
        <w:tc>
          <w:tcPr>
            <w:tcW w:w="8000" w:type="dxa"/>
            <w:vAlign w:val="bottom"/>
          </w:tcPr>
          <w:p>
            <w:pPr>
              <w:spacing w:after="0"/>
              <w:rPr>
                <w:sz w:val="20"/>
                <w:szCs w:val="20"/>
                <w:color w:val="auto"/>
              </w:rPr>
            </w:pPr>
            <w:r>
              <w:rPr>
                <w:rFonts w:ascii="Times New Roman" w:cs="Times New Roman" w:eastAsia="Times New Roman" w:hAnsi="Times New Roman"/>
                <w:sz w:val="20"/>
                <w:szCs w:val="20"/>
                <w:color w:val="auto"/>
              </w:rPr>
              <w:t>Total operating lease liabilities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34,628</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-1736090</wp:posOffset>
            </wp:positionV>
            <wp:extent cx="5969000" cy="17430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49">
                      <a:extLst>
                        <a:ext uri="{28A0092B-C50C-407E-A947-70E740481C1C}"/>
                      </a:extLst>
                    </a:blip>
                    <a:srcRect/>
                    <a:stretch>
                      <a:fillRect/>
                    </a:stretch>
                  </pic:blipFill>
                  <pic:spPr bwMode="auto">
                    <a:xfrm>
                      <a:off x="0" y="0"/>
                      <a:ext cx="5969000" cy="1743075"/>
                    </a:xfrm>
                    <a:prstGeom prst="rect">
                      <a:avLst/>
                    </a:prstGeom>
                    <a:noFill/>
                  </pic:spPr>
                </pic:pic>
              </a:graphicData>
            </a:graphic>
          </wp:anchor>
        </w:drawing>
      </w:r>
    </w:p>
    <w:p>
      <w:pPr>
        <w:spacing w:after="0" w:line="1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Guarantees and Indemnifications</w:t>
      </w:r>
    </w:p>
    <w:p>
      <w:pPr>
        <w:spacing w:after="0" w:line="199" w:lineRule="exact"/>
        <w:rPr>
          <w:sz w:val="20"/>
          <w:szCs w:val="20"/>
          <w:color w:val="auto"/>
        </w:rPr>
      </w:pPr>
    </w:p>
    <w:p>
      <w:pPr>
        <w:ind w:right="300" w:firstLine="360"/>
        <w:spacing w:after="0" w:line="286" w:lineRule="auto"/>
        <w:rPr>
          <w:sz w:val="20"/>
          <w:szCs w:val="20"/>
          <w:color w:val="auto"/>
        </w:rPr>
      </w:pPr>
      <w:r>
        <w:rPr>
          <w:rFonts w:ascii="Times New Roman" w:cs="Times New Roman" w:eastAsia="Times New Roman" w:hAnsi="Times New Roman"/>
          <w:sz w:val="19"/>
          <w:szCs w:val="19"/>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w:t>
      </w:r>
    </w:p>
    <w:p>
      <w:pPr>
        <w:sectPr>
          <w:pgSz w:w="12240" w:h="15840" w:orient="portrait"/>
          <w:cols w:equalWidth="0" w:num="1">
            <w:col w:w="9360"/>
          </w:cols>
          <w:pgMar w:left="1440" w:top="53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2240" w:h="15840" w:orient="portrait"/>
          <w:cols w:equalWidth="0" w:num="1">
            <w:col w:w="9360"/>
          </w:cols>
          <w:pgMar w:left="1440" w:top="539" w:right="1440" w:bottom="0" w:gutter="0" w:footer="0" w:header="0"/>
          <w:type w:val="continuous"/>
        </w:sectPr>
      </w:pPr>
    </w:p>
    <w:bookmarkStart w:id="111" w:name="page112"/>
    <w:bookmarkEnd w:id="111"/>
    <w:p>
      <w:pPr>
        <w:ind w:left="60"/>
        <w:spacing w:after="0"/>
        <w:rPr>
          <w:sz w:val="20"/>
          <w:szCs w:val="20"/>
          <w:color w:val="auto"/>
        </w:rPr>
      </w:pPr>
      <w:r>
        <w:rPr>
          <w:rFonts w:ascii="Times New Roman" w:cs="Times New Roman" w:eastAsia="Times New Roman" w:hAnsi="Times New Roman"/>
          <w:sz w:val="24"/>
          <w:szCs w:val="24"/>
          <w:b w:val="1"/>
          <w:bCs w:val="1"/>
          <w:color w:val="auto"/>
        </w:rPr>
        <w:t>Nautilus Biotechnology, Inc.</w:t>
      </w:r>
    </w:p>
    <w:p>
      <w:pPr>
        <w:spacing w:after="0" w:line="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4"/>
          <w:szCs w:val="24"/>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13335</wp:posOffset>
                </wp:positionV>
                <wp:extent cx="5943600"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5pt" to="468pt,1.05pt" o:allowincell="f" strokecolor="#000000" strokeweight="1pt"/>
            </w:pict>
          </mc:Fallback>
        </mc:AlternateContent>
      </w:r>
    </w:p>
    <w:p>
      <w:pPr>
        <w:spacing w:after="0" w:line="225"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auto"/>
        </w:rPr>
        <w:t>arising from third-party actions. In some cases, the indemnifications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w:t>
      </w:r>
    </w:p>
    <w:p>
      <w:pPr>
        <w:spacing w:after="0" w:line="143" w:lineRule="exact"/>
        <w:rPr>
          <w:sz w:val="20"/>
          <w:szCs w:val="20"/>
          <w:color w:val="auto"/>
        </w:rPr>
      </w:pPr>
    </w:p>
    <w:p>
      <w:pPr>
        <w:ind w:right="120" w:firstLine="360"/>
        <w:spacing w:after="0" w:line="256" w:lineRule="auto"/>
        <w:rPr>
          <w:sz w:val="20"/>
          <w:szCs w:val="20"/>
          <w:color w:val="auto"/>
        </w:rPr>
      </w:pPr>
      <w:r>
        <w:rPr>
          <w:rFonts w:ascii="Times New Roman" w:cs="Times New Roman" w:eastAsia="Times New Roman" w:hAnsi="Times New Roman"/>
          <w:sz w:val="20"/>
          <w:szCs w:val="20"/>
          <w:color w:val="auto"/>
        </w:rPr>
        <w:t>The Company has also agreed to indemnify its directors and executive officers for costs associated with any fees, expenses, judgments, fines and settlement amounts incurred by them in any action or proceeding to which any of them are, or are threatened to be, made a party by reason of their service as a director or officer. The Company maintains director and officer insurance coverage that would generally enable it to recover a portion of any future amounts paid. The Company may be subject to indemnification obligation by law with respect to the actions of its employees under certain circumstances and in certain jurisdictions.</w:t>
      </w:r>
    </w:p>
    <w:p>
      <w:pPr>
        <w:spacing w:after="0" w:line="1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Letters of Credit</w:t>
      </w:r>
    </w:p>
    <w:p>
      <w:pPr>
        <w:spacing w:after="0" w:line="199"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20"/>
          <w:szCs w:val="20"/>
          <w:color w:val="auto"/>
        </w:rPr>
        <w:t>In conjunction with the San Carlos lease agreement entered in December 2020, the Company issued a cash-collateralized letter of credit in lieu of security deposit of $0.6 million. In conjunction with the San Carlos lease agreement entered in December 2021, the Company issued a cash-collateralized letter of credit in lieu of security deposit of $0.2 million. In conjunction with the San Diego lease agreement entered in November 2022, the Company issued a cash-collateralized letter of credit in lieu of a security deposit of $0.1 million.</w:t>
      </w:r>
    </w:p>
    <w:p>
      <w:pPr>
        <w:spacing w:after="0" w:line="161" w:lineRule="exact"/>
        <w:rPr>
          <w:sz w:val="20"/>
          <w:szCs w:val="20"/>
          <w:color w:val="auto"/>
        </w:rPr>
      </w:pPr>
    </w:p>
    <w:p>
      <w:pPr>
        <w:ind w:left="720" w:hanging="720"/>
        <w:spacing w:after="0"/>
        <w:tabs>
          <w:tab w:leader="none" w:pos="720"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Basic and Diluted Net Loss per Share</w:t>
      </w:r>
    </w:p>
    <w:p>
      <w:pPr>
        <w:spacing w:after="0" w:line="197" w:lineRule="exact"/>
        <w:rPr>
          <w:sz w:val="20"/>
          <w:szCs w:val="20"/>
          <w:color w:val="auto"/>
        </w:rPr>
      </w:pPr>
    </w:p>
    <w:p>
      <w:pPr>
        <w:ind w:right="20" w:firstLine="360"/>
        <w:spacing w:after="0" w:line="281" w:lineRule="auto"/>
        <w:rPr>
          <w:sz w:val="20"/>
          <w:szCs w:val="20"/>
          <w:color w:val="auto"/>
        </w:rPr>
      </w:pPr>
      <w:r>
        <w:rPr>
          <w:rFonts w:ascii="Times New Roman" w:cs="Times New Roman" w:eastAsia="Times New Roman" w:hAnsi="Times New Roman"/>
          <w:sz w:val="20"/>
          <w:szCs w:val="20"/>
          <w:color w:val="auto"/>
        </w:rPr>
        <w:t>The following tables set forth the computation of the Company’s basic and diluted net loss per share attributable to common stockholders 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103505</wp:posOffset>
            </wp:positionV>
            <wp:extent cx="5969000" cy="1409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0">
                      <a:extLst>
                        <a:ext uri="{28A0092B-C50C-407E-A947-70E740481C1C}"/>
                      </a:extLst>
                    </a:blip>
                    <a:srcRect/>
                    <a:stretch>
                      <a:fillRect/>
                    </a:stretch>
                  </pic:blipFill>
                  <pic:spPr bwMode="auto">
                    <a:xfrm>
                      <a:off x="0" y="0"/>
                      <a:ext cx="5969000" cy="1409700"/>
                    </a:xfrm>
                    <a:prstGeom prst="rect">
                      <a:avLst/>
                    </a:prstGeom>
                    <a:noFill/>
                  </pic:spPr>
                </pic:pic>
              </a:graphicData>
            </a:graphic>
          </wp:anchor>
        </w:drawing>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11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0" w:type="dxa"/>
            <w:vAlign w:val="bottom"/>
          </w:tcPr>
          <w:p>
            <w:pPr>
              <w:spacing w:after="0"/>
              <w:rPr>
                <w:sz w:val="1"/>
                <w:szCs w:val="1"/>
                <w:color w:val="auto"/>
              </w:rPr>
            </w:pPr>
          </w:p>
        </w:tc>
      </w:tr>
      <w:tr>
        <w:trPr>
          <w:trHeight w:val="160"/>
        </w:trPr>
        <w:tc>
          <w:tcPr>
            <w:tcW w:w="66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share and per share data)</w:t>
            </w:r>
          </w:p>
        </w:tc>
        <w:tc>
          <w:tcPr>
            <w:tcW w:w="180" w:type="dxa"/>
            <w:vAlign w:val="bottom"/>
          </w:tcPr>
          <w:p>
            <w:pPr>
              <w:spacing w:after="0"/>
              <w:rPr>
                <w:sz w:val="13"/>
                <w:szCs w:val="13"/>
                <w:color w:val="auto"/>
              </w:rPr>
            </w:pPr>
          </w:p>
        </w:tc>
        <w:tc>
          <w:tcPr>
            <w:tcW w:w="1140" w:type="dxa"/>
            <w:vAlign w:val="bottom"/>
          </w:tcPr>
          <w:p>
            <w:pPr>
              <w:jc w:val="center"/>
              <w:ind w:right="90"/>
              <w:spacing w:after="0" w:line="160"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center"/>
              <w:ind w:right="90"/>
              <w:spacing w:after="0" w:line="160"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664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0" w:type="dxa"/>
            <w:vAlign w:val="bottom"/>
          </w:tcPr>
          <w:p>
            <w:pPr>
              <w:spacing w:after="0"/>
              <w:rPr>
                <w:sz w:val="1"/>
                <w:szCs w:val="1"/>
                <w:color w:val="auto"/>
              </w:rPr>
            </w:pPr>
          </w:p>
        </w:tc>
      </w:tr>
      <w:tr>
        <w:trPr>
          <w:trHeight w:val="262"/>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Numerator:</w:t>
            </w: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Net loss attributable to common stockholders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(63,675)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(57,924)</w:t>
            </w:r>
          </w:p>
        </w:tc>
        <w:tc>
          <w:tcPr>
            <w:tcW w:w="0" w:type="dxa"/>
            <w:vAlign w:val="bottom"/>
          </w:tcPr>
          <w:p>
            <w:pPr>
              <w:spacing w:after="0"/>
              <w:rPr>
                <w:sz w:val="1"/>
                <w:szCs w:val="1"/>
                <w:color w:val="auto"/>
              </w:rPr>
            </w:pPr>
          </w:p>
        </w:tc>
      </w:tr>
      <w:tr>
        <w:trPr>
          <w:trHeight w:val="285"/>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Denominator:</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64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Weighted average shares used in computing net loss per share attributable to</w:t>
            </w:r>
          </w:p>
        </w:tc>
        <w:tc>
          <w:tcPr>
            <w:tcW w:w="18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124,919,144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124,589,555</w:t>
            </w:r>
          </w:p>
        </w:tc>
        <w:tc>
          <w:tcPr>
            <w:tcW w:w="0" w:type="dxa"/>
            <w:vAlign w:val="bottom"/>
          </w:tcPr>
          <w:p>
            <w:pPr>
              <w:spacing w:after="0"/>
              <w:rPr>
                <w:sz w:val="1"/>
                <w:szCs w:val="1"/>
                <w:color w:val="auto"/>
              </w:rPr>
            </w:pPr>
          </w:p>
        </w:tc>
      </w:tr>
      <w:tr>
        <w:trPr>
          <w:trHeight w:val="263"/>
        </w:trPr>
        <w:tc>
          <w:tcPr>
            <w:tcW w:w="6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common stockholders, basic and diluted</w:t>
            </w: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Net loss per share attributable to common stockholders, basic and 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(0.46)</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60" w:firstLine="360"/>
        <w:spacing w:after="0" w:line="266" w:lineRule="auto"/>
        <w:rPr>
          <w:sz w:val="20"/>
          <w:szCs w:val="20"/>
          <w:color w:val="auto"/>
        </w:rPr>
      </w:pPr>
      <w:r>
        <w:rPr>
          <w:rFonts w:ascii="Times New Roman" w:cs="Times New Roman" w:eastAsia="Times New Roman" w:hAnsi="Times New Roman"/>
          <w:sz w:val="20"/>
          <w:szCs w:val="20"/>
          <w:color w:val="auto"/>
        </w:rPr>
        <w:t>The potential shares of common stock that were excluded from the computation of diluted net loss per share attributable to common stockholders for the periods presented because including them would have had an antidilutive effect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112395</wp:posOffset>
            </wp:positionV>
            <wp:extent cx="5969000" cy="933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51">
                      <a:extLst>
                        <a:ext uri="{28A0092B-C50C-407E-A947-70E740481C1C}"/>
                      </a:extLst>
                    </a:blip>
                    <a:srcRect/>
                    <a:stretch>
                      <a:fillRect/>
                    </a:stretch>
                  </pic:blipFill>
                  <pic:spPr bwMode="auto">
                    <a:xfrm>
                      <a:off x="0" y="0"/>
                      <a:ext cx="5969000" cy="933450"/>
                    </a:xfrm>
                    <a:prstGeom prst="rect">
                      <a:avLst/>
                    </a:prstGeom>
                    <a:noFill/>
                  </pic:spPr>
                </pic:pic>
              </a:graphicData>
            </a:graphic>
          </wp:anchor>
        </w:drawing>
      </w:r>
    </w:p>
    <w:p>
      <w:pPr>
        <w:spacing w:after="0" w:line="164"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w:t>
            </w:r>
          </w:p>
        </w:tc>
      </w:tr>
      <w:tr>
        <w:trPr>
          <w:trHeight w:val="160"/>
        </w:trPr>
        <w:tc>
          <w:tcPr>
            <w:tcW w:w="6640" w:type="dxa"/>
            <w:vAlign w:val="bottom"/>
          </w:tcPr>
          <w:p>
            <w:pPr>
              <w:spacing w:after="0"/>
              <w:rPr>
                <w:sz w:val="13"/>
                <w:szCs w:val="13"/>
                <w:color w:val="auto"/>
              </w:rPr>
            </w:pPr>
          </w:p>
        </w:tc>
        <w:tc>
          <w:tcPr>
            <w:tcW w:w="13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Pr>
          <w:p>
            <w:pPr>
              <w:spacing w:after="0"/>
              <w:rPr>
                <w:sz w:val="13"/>
                <w:szCs w:val="13"/>
                <w:color w:val="auto"/>
              </w:rPr>
            </w:pPr>
          </w:p>
        </w:tc>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664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0" w:type="dxa"/>
            <w:vAlign w:val="bottom"/>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262"/>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Options to purchase common stock</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14,676,335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11,485,443</w:t>
            </w:r>
          </w:p>
        </w:tc>
      </w:tr>
      <w:tr>
        <w:trPr>
          <w:trHeight w:val="288"/>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Employee stock purchase plan</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141,720</w:t>
            </w:r>
          </w:p>
        </w:tc>
        <w:tc>
          <w:tcPr>
            <w:tcW w:w="60" w:type="dxa"/>
            <w:vAlign w:val="bottom"/>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63,246</w:t>
            </w:r>
          </w:p>
        </w:tc>
      </w:tr>
      <w:tr>
        <w:trPr>
          <w:trHeight w:val="245"/>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Total potentially dilutive common share equivalents</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14,818,055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11,548,689</w:t>
            </w:r>
          </w:p>
        </w:tc>
      </w:tr>
      <w:tr>
        <w:trPr>
          <w:trHeight w:val="20"/>
        </w:trPr>
        <w:tc>
          <w:tcPr>
            <w:tcW w:w="66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53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2240" w:h="15840" w:orient="portrait"/>
          <w:cols w:equalWidth="0" w:num="1">
            <w:col w:w="9360"/>
          </w:cols>
          <w:pgMar w:left="1440" w:top="539" w:right="1440" w:bottom="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Disclosures</w:t>
      </w:r>
    </w:p>
    <w:p>
      <w:pPr>
        <w:spacing w:after="0" w:line="1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Evaluation of Disclosure Controls and Procedures</w:t>
      </w:r>
    </w:p>
    <w:p>
      <w:pPr>
        <w:spacing w:after="0" w:line="199"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20"/>
          <w:szCs w:val="20"/>
          <w:color w:val="auto"/>
        </w:rPr>
        <w:t>We maintain disclosure controls and procedures that are designed to ensure that information required to be disclosed in our reports filed or submitted under the Securities Exchange Act of 1934 is recorded, processed, summarized and reported within the time period specified in the SEC's rules and forms, and that such information is accumulated and communicated to management including our Chief Executive Officer and Chief Financial Officer, as appropriate, to allow timely decisions regarding required disclosure.</w:t>
      </w:r>
    </w:p>
    <w:p>
      <w:pPr>
        <w:spacing w:after="0" w:line="144"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20"/>
          <w:szCs w:val="20"/>
          <w:color w:val="auto"/>
        </w:rPr>
        <w:t>Our management, with the participation and supervision of our Chief Executive Officer and our Chief Financial Officer, have evaluated the effectiveness of our disclosure controls and procedures (as defined in Rules 13a-15(e) and 15d-15(e) under the Exchange Act) as of the end of the period covered by this Annual Report on Form 10-K. Based on such evaluation, our Chief Executive Officer and Chief Financial Officer have concluded that as of such date, our disclosure controls and procedures were, in design and operation, effective at a reasonable assurance level.</w:t>
      </w:r>
    </w:p>
    <w:p>
      <w:pPr>
        <w:spacing w:after="0" w:line="1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Management’s Report on Internal Control Over Financial Reporting</w:t>
      </w:r>
    </w:p>
    <w:p>
      <w:pPr>
        <w:spacing w:after="0" w:line="199"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(as defined in Rule 13a-15(f) under the Exchange Act). Under the supervision of and with the participation of our principal executive officer and principal financial officer, our management assessed the effectiveness of our internal control over financial reporting as of December 31, 2023 based on the criteria set forth by the Committee of Sponsoring Organizations of the Treadway Commission in “Internal Control-Integrated Framework” (2013). Based on this assessment, management concluded that our internal control over financial reporting was effective as of December 31, 2023.</w:t>
      </w:r>
    </w:p>
    <w:p>
      <w:pPr>
        <w:spacing w:after="0" w:line="148" w:lineRule="exact"/>
        <w:rPr>
          <w:sz w:val="20"/>
          <w:szCs w:val="20"/>
          <w:color w:val="auto"/>
        </w:rPr>
      </w:pPr>
    </w:p>
    <w:p>
      <w:pPr>
        <w:jc w:val="both"/>
        <w:ind w:right="240" w:firstLine="360"/>
        <w:spacing w:after="0" w:line="266" w:lineRule="auto"/>
        <w:rPr>
          <w:sz w:val="20"/>
          <w:szCs w:val="20"/>
          <w:color w:val="auto"/>
        </w:rPr>
      </w:pPr>
      <w:r>
        <w:rPr>
          <w:rFonts w:ascii="Times New Roman" w:cs="Times New Roman" w:eastAsia="Times New Roman" w:hAnsi="Times New Roman"/>
          <w:sz w:val="20"/>
          <w:szCs w:val="20"/>
          <w:color w:val="auto"/>
        </w:rPr>
        <w:t>This Annual Report on Form 10-K does not include an attestation report of our independent registered public accounting firm on our internal control over financial reporting due to an exemption established by the JOBS Act for “emerging growth companies.”</w:t>
      </w:r>
    </w:p>
    <w:p>
      <w:pPr>
        <w:spacing w:after="0" w:line="1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Changes in Internal Control over Financial Reporting</w:t>
      </w:r>
    </w:p>
    <w:p>
      <w:pPr>
        <w:spacing w:after="0" w:line="196" w:lineRule="exact"/>
        <w:rPr>
          <w:sz w:val="20"/>
          <w:szCs w:val="20"/>
          <w:color w:val="auto"/>
        </w:rPr>
      </w:pPr>
    </w:p>
    <w:p>
      <w:pPr>
        <w:jc w:val="both"/>
        <w:ind w:right="120" w:firstLine="360"/>
        <w:spacing w:after="0" w:line="266" w:lineRule="auto"/>
        <w:rPr>
          <w:sz w:val="20"/>
          <w:szCs w:val="20"/>
          <w:color w:val="auto"/>
        </w:rPr>
      </w:pPr>
      <w:r>
        <w:rPr>
          <w:rFonts w:ascii="Times New Roman" w:cs="Times New Roman" w:eastAsia="Times New Roman" w:hAnsi="Times New Roman"/>
          <w:sz w:val="20"/>
          <w:szCs w:val="20"/>
          <w:color w:val="auto"/>
        </w:rPr>
        <w:t>There was no change in our internal control over financial reporting identified in connection with the evaluation required by Rule 13a-15(d) and 15d-15(d) of the Securities Exchange Act of 1934 that occurred during the quarter ended December 31, 2023, that has materially affected, or is reasonably likely to materially affect, our internal control over financial reporting.</w:t>
      </w:r>
    </w:p>
    <w:p>
      <w:pPr>
        <w:spacing w:after="0" w:line="1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Inherent Limitations on Effectiveness of Controls</w:t>
      </w:r>
    </w:p>
    <w:p>
      <w:pPr>
        <w:spacing w:after="0" w:line="199" w:lineRule="exact"/>
        <w:rPr>
          <w:sz w:val="20"/>
          <w:szCs w:val="20"/>
          <w:color w:val="auto"/>
        </w:rPr>
      </w:pPr>
    </w:p>
    <w:p>
      <w:pPr>
        <w:ind w:right="40" w:firstLine="360"/>
        <w:spacing w:after="0" w:line="253" w:lineRule="auto"/>
        <w:rPr>
          <w:sz w:val="20"/>
          <w:szCs w:val="20"/>
          <w:color w:val="auto"/>
        </w:rPr>
      </w:pPr>
      <w:r>
        <w:rPr>
          <w:rFonts w:ascii="Times New Roman" w:cs="Times New Roman" w:eastAsia="Times New Roman" w:hAnsi="Times New Roman"/>
          <w:sz w:val="20"/>
          <w:szCs w:val="20"/>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in designing and evaluating the disclosure controls and procedures, management recognizes that any system of internal control over financial reporting, including ours, no matter how well designed and operated, can only provide reasonable, not absolute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Moreover,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1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Not applicable.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240"/>
          </w:cols>
          <w:pgMar w:left="1000" w:top="789"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2240" w:h="15840" w:orient="portrait"/>
          <w:cols w:equalWidth="0" w:num="1">
            <w:col w:w="10240"/>
          </w:cols>
          <w:pgMar w:left="1000" w:top="789" w:right="1000" w:bottom="0" w:gutter="0" w:footer="0" w:header="0"/>
          <w:type w:val="continuous"/>
        </w:sectPr>
      </w:pPr>
    </w:p>
    <w:bookmarkStart w:id="113" w:name="page114"/>
    <w:bookmarkEnd w:id="113"/>
    <w:p>
      <w:pPr>
        <w:ind w:left="4720"/>
        <w:spacing w:after="0"/>
        <w:rPr>
          <w:sz w:val="20"/>
          <w:szCs w:val="20"/>
          <w:color w:val="auto"/>
        </w:rPr>
      </w:pPr>
      <w:r>
        <w:rPr>
          <w:rFonts w:ascii="Times New Roman" w:cs="Times New Roman" w:eastAsia="Times New Roman" w:hAnsi="Times New Roman"/>
          <w:sz w:val="24"/>
          <w:szCs w:val="24"/>
          <w:b w:val="1"/>
          <w:bCs w:val="1"/>
          <w:color w:val="auto"/>
        </w:rPr>
        <w:t>Part III</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Board of Directors</w:t>
      </w:r>
    </w:p>
    <w:p>
      <w:pPr>
        <w:spacing w:after="0" w:line="197" w:lineRule="exact"/>
        <w:rPr>
          <w:sz w:val="20"/>
          <w:szCs w:val="20"/>
          <w:color w:val="auto"/>
        </w:rPr>
      </w:pPr>
    </w:p>
    <w:p>
      <w:pPr>
        <w:ind w:right="80" w:firstLine="360"/>
        <w:spacing w:after="0" w:line="260" w:lineRule="auto"/>
        <w:rPr>
          <w:sz w:val="20"/>
          <w:szCs w:val="20"/>
          <w:color w:val="auto"/>
        </w:rPr>
      </w:pPr>
      <w:r>
        <w:rPr>
          <w:rFonts w:ascii="Times New Roman" w:cs="Times New Roman" w:eastAsia="Times New Roman" w:hAnsi="Times New Roman"/>
          <w:sz w:val="20"/>
          <w:szCs w:val="20"/>
          <w:color w:val="auto"/>
        </w:rPr>
        <w:t>Our board of directors currently consists of nine directors, seven of whom are independent under the listing standards of The Nasdaq Stock Market LLC, or Nasdaq. Our board of directors is divided into three classes with staggered three-year terms. Thus, at each annual meeting of stockholders, a class of directors will be elected for a three-year term to succeed the class whose term is then expiring.</w:t>
      </w:r>
    </w:p>
    <w:p>
      <w:pPr>
        <w:spacing w:after="0" w:line="143" w:lineRule="exact"/>
        <w:rPr>
          <w:sz w:val="20"/>
          <w:szCs w:val="20"/>
          <w:color w:val="auto"/>
        </w:rPr>
      </w:pPr>
    </w:p>
    <w:p>
      <w:pPr>
        <w:ind w:right="620" w:firstLine="360"/>
        <w:spacing w:after="0" w:line="281" w:lineRule="auto"/>
        <w:rPr>
          <w:sz w:val="20"/>
          <w:szCs w:val="20"/>
          <w:color w:val="auto"/>
        </w:rPr>
      </w:pPr>
      <w:r>
        <w:rPr>
          <w:rFonts w:ascii="Times New Roman" w:cs="Times New Roman" w:eastAsia="Times New Roman" w:hAnsi="Times New Roman"/>
          <w:sz w:val="20"/>
          <w:szCs w:val="20"/>
          <w:color w:val="auto"/>
        </w:rPr>
        <w:t>The following table sets forth the names, ages as of February 28, 2024, and certain other information for each of our current directors:</w:t>
      </w:r>
    </w:p>
    <w:p>
      <w:pPr>
        <w:spacing w:after="0" w:line="196" w:lineRule="exact"/>
        <w:rPr>
          <w:sz w:val="20"/>
          <w:szCs w:val="20"/>
          <w:color w:val="auto"/>
        </w:rPr>
      </w:pPr>
    </w:p>
    <w:tbl>
      <w:tblPr>
        <w:tblLayout w:type="fixed"/>
        <w:tblInd w:w="360" w:type="dxa"/>
        <w:tblCellMar>
          <w:top w:w="0" w:type="dxa"/>
          <w:left w:w="0" w:type="dxa"/>
          <w:bottom w:w="0" w:type="dxa"/>
          <w:right w:w="0" w:type="dxa"/>
        </w:tblCellMar>
      </w:tblPr>
      <w:tr>
        <w:trPr>
          <w:trHeight w:val="217"/>
        </w:trPr>
        <w:tc>
          <w:tcPr>
            <w:tcW w:w="390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6"/>
                <w:szCs w:val="16"/>
                <w:b w:val="1"/>
                <w:bCs w:val="1"/>
                <w:color w:val="auto"/>
              </w:rPr>
              <w:t>Name</w:t>
            </w:r>
          </w:p>
        </w:tc>
        <w:tc>
          <w:tcPr>
            <w:tcW w:w="6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Age</w:t>
            </w:r>
          </w:p>
        </w:tc>
        <w:tc>
          <w:tcPr>
            <w:tcW w:w="60" w:type="dxa"/>
            <w:vAlign w:val="bottom"/>
          </w:tcPr>
          <w:p>
            <w:pPr>
              <w:spacing w:after="0"/>
              <w:rPr>
                <w:sz w:val="18"/>
                <w:szCs w:val="18"/>
                <w:color w:val="auto"/>
              </w:rPr>
            </w:pPr>
          </w:p>
        </w:tc>
        <w:tc>
          <w:tcPr>
            <w:tcW w:w="5180" w:type="dxa"/>
            <w:vAlign w:val="bottom"/>
            <w:tcBorders>
              <w:bottom w:val="single" w:sz="8" w:color="auto"/>
            </w:tcBorders>
            <w:gridSpan w:val="2"/>
          </w:tcPr>
          <w:p>
            <w:pPr>
              <w:ind w:left="2220"/>
              <w:spacing w:after="0"/>
              <w:rPr>
                <w:sz w:val="20"/>
                <w:szCs w:val="20"/>
                <w:color w:val="auto"/>
              </w:rPr>
            </w:pPr>
            <w:r>
              <w:rPr>
                <w:rFonts w:ascii="Times New Roman" w:cs="Times New Roman" w:eastAsia="Times New Roman" w:hAnsi="Times New Roman"/>
                <w:sz w:val="16"/>
                <w:szCs w:val="16"/>
                <w:b w:val="1"/>
                <w:bCs w:val="1"/>
                <w:color w:val="auto"/>
              </w:rPr>
              <w:t>Position(s)</w:t>
            </w:r>
          </w:p>
        </w:tc>
        <w:tc>
          <w:tcPr>
            <w:tcW w:w="0" w:type="dxa"/>
            <w:vAlign w:val="bottom"/>
          </w:tcPr>
          <w:p>
            <w:pPr>
              <w:spacing w:after="0"/>
              <w:rPr>
                <w:sz w:val="1"/>
                <w:szCs w:val="1"/>
                <w:color w:val="auto"/>
              </w:rPr>
            </w:pPr>
          </w:p>
        </w:tc>
      </w:tr>
      <w:tr>
        <w:trPr>
          <w:trHeight w:val="275"/>
        </w:trPr>
        <w:tc>
          <w:tcPr>
            <w:tcW w:w="3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Sujal Patel</w:t>
            </w:r>
          </w:p>
        </w:tc>
        <w:tc>
          <w:tcPr>
            <w:tcW w:w="6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49</w:t>
            </w:r>
          </w:p>
        </w:tc>
        <w:tc>
          <w:tcPr>
            <w:tcW w:w="60" w:type="dxa"/>
            <w:vAlign w:val="bottom"/>
          </w:tcPr>
          <w:p>
            <w:pPr>
              <w:spacing w:after="0"/>
              <w:rPr>
                <w:sz w:val="23"/>
                <w:szCs w:val="23"/>
                <w:color w:val="auto"/>
              </w:rPr>
            </w:pPr>
          </w:p>
        </w:tc>
        <w:tc>
          <w:tcPr>
            <w:tcW w:w="51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Chief Executive Officer, President, Secretary and Director</w:t>
            </w:r>
          </w:p>
        </w:tc>
        <w:tc>
          <w:tcPr>
            <w:tcW w:w="20" w:type="dxa"/>
            <w:vAlign w:val="bottom"/>
            <w:shd w:val="clear" w:color="auto" w:fill="DEDEDE"/>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3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Parag Mallick</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47</w:t>
            </w:r>
          </w:p>
        </w:tc>
        <w:tc>
          <w:tcPr>
            <w:tcW w:w="60" w:type="dxa"/>
            <w:vAlign w:val="bottom"/>
          </w:tcPr>
          <w:p>
            <w:pPr>
              <w:spacing w:after="0"/>
              <w:rPr>
                <w:sz w:val="21"/>
                <w:szCs w:val="21"/>
                <w:color w:val="auto"/>
              </w:rPr>
            </w:pPr>
          </w:p>
        </w:tc>
        <w:tc>
          <w:tcPr>
            <w:tcW w:w="51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Chief Scientist and Director</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3900" w:type="dxa"/>
            <w:vAlign w:val="bottom"/>
            <w:vMerge w:val="restart"/>
          </w:tcPr>
          <w:p>
            <w:pPr>
              <w:ind w:left="40"/>
              <w:spacing w:after="0" w:line="291" w:lineRule="exact"/>
              <w:rPr>
                <w:sz w:val="20"/>
                <w:szCs w:val="20"/>
                <w:color w:val="auto"/>
              </w:rPr>
            </w:pPr>
            <w:r>
              <w:rPr>
                <w:rFonts w:ascii="Times New Roman" w:cs="Times New Roman" w:eastAsia="Times New Roman" w:hAnsi="Times New Roman"/>
                <w:sz w:val="20"/>
                <w:szCs w:val="20"/>
                <w:color w:val="auto"/>
              </w:rPr>
              <w:t xml:space="preserve">Farzad Nazem </w:t>
            </w:r>
            <w:r>
              <w:rPr>
                <w:rFonts w:ascii="Times New Roman" w:cs="Times New Roman" w:eastAsia="Times New Roman" w:hAnsi="Times New Roman"/>
                <w:sz w:val="26"/>
                <w:szCs w:val="26"/>
                <w:color w:val="auto"/>
                <w:vertAlign w:val="superscript"/>
              </w:rPr>
              <w:t>(2)</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62</w:t>
            </w:r>
          </w:p>
        </w:tc>
        <w:tc>
          <w:tcPr>
            <w:tcW w:w="60" w:type="dxa"/>
            <w:vAlign w:val="bottom"/>
          </w:tcPr>
          <w:p>
            <w:pPr>
              <w:spacing w:after="0"/>
              <w:rPr>
                <w:sz w:val="2"/>
                <w:szCs w:val="2"/>
                <w:color w:val="auto"/>
              </w:rPr>
            </w:pPr>
          </w:p>
        </w:tc>
        <w:tc>
          <w:tcPr>
            <w:tcW w:w="51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Director</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3900" w:type="dxa"/>
            <w:vAlign w:val="bottom"/>
            <w:vMerge w:val="continue"/>
          </w:tcPr>
          <w:p>
            <w:pPr>
              <w:spacing w:after="0"/>
              <w:rPr>
                <w:sz w:val="23"/>
                <w:szCs w:val="23"/>
                <w:color w:val="auto"/>
              </w:rPr>
            </w:pPr>
          </w:p>
        </w:tc>
        <w:tc>
          <w:tcPr>
            <w:tcW w:w="760" w:type="dxa"/>
            <w:vAlign w:val="bottom"/>
            <w:gridSpan w:val="2"/>
            <w:vMerge w:val="continue"/>
          </w:tcPr>
          <w:p>
            <w:pPr>
              <w:spacing w:after="0"/>
              <w:rPr>
                <w:sz w:val="23"/>
                <w:szCs w:val="23"/>
                <w:color w:val="auto"/>
              </w:rPr>
            </w:pPr>
          </w:p>
        </w:tc>
        <w:tc>
          <w:tcPr>
            <w:tcW w:w="60" w:type="dxa"/>
            <w:vAlign w:val="bottom"/>
          </w:tcPr>
          <w:p>
            <w:pPr>
              <w:spacing w:after="0"/>
              <w:rPr>
                <w:sz w:val="23"/>
                <w:szCs w:val="23"/>
                <w:color w:val="auto"/>
              </w:rPr>
            </w:pPr>
          </w:p>
        </w:tc>
        <w:tc>
          <w:tcPr>
            <w:tcW w:w="5160" w:type="dxa"/>
            <w:vAlign w:val="bottom"/>
            <w:vMerge w:val="continue"/>
          </w:tcPr>
          <w:p>
            <w:pPr>
              <w:spacing w:after="0"/>
              <w:rPr>
                <w:sz w:val="23"/>
                <w:szCs w:val="23"/>
                <w:color w:val="auto"/>
              </w:rPr>
            </w:pPr>
          </w:p>
        </w:tc>
        <w:tc>
          <w:tcPr>
            <w:tcW w:w="20" w:type="dxa"/>
            <w:vAlign w:val="bottom"/>
            <w:tcBorders>
              <w:bottom w:val="single" w:sz="8" w:color="DEDEDE"/>
            </w:tcBorders>
            <w:shd w:val="clear" w:color="auto" w:fill="DEDEDE"/>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900" w:type="dxa"/>
            <w:vAlign w:val="bottom"/>
          </w:tcPr>
          <w:p>
            <w:pPr>
              <w:ind w:left="40"/>
              <w:spacing w:after="0" w:line="257" w:lineRule="exact"/>
              <w:rPr>
                <w:sz w:val="20"/>
                <w:szCs w:val="20"/>
                <w:color w:val="auto"/>
              </w:rPr>
            </w:pPr>
            <w:r>
              <w:rPr>
                <w:rFonts w:ascii="Times New Roman" w:cs="Times New Roman" w:eastAsia="Times New Roman" w:hAnsi="Times New Roman"/>
                <w:sz w:val="20"/>
                <w:szCs w:val="20"/>
                <w:color w:val="auto"/>
              </w:rPr>
              <w:t>Karen Akinsanya</w:t>
            </w:r>
            <w:r>
              <w:rPr>
                <w:rFonts w:ascii="Times New Roman" w:cs="Times New Roman" w:eastAsia="Times New Roman" w:hAnsi="Times New Roman"/>
                <w:sz w:val="26"/>
                <w:szCs w:val="26"/>
                <w:color w:val="auto"/>
                <w:vertAlign w:val="superscript"/>
              </w:rPr>
              <w:t>(3)</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56</w:t>
            </w:r>
          </w:p>
        </w:tc>
        <w:tc>
          <w:tcPr>
            <w:tcW w:w="60" w:type="dxa"/>
            <w:vAlign w:val="bottom"/>
          </w:tcPr>
          <w:p>
            <w:pPr>
              <w:spacing w:after="0"/>
              <w:rPr>
                <w:sz w:val="22"/>
                <w:szCs w:val="22"/>
                <w:color w:val="auto"/>
              </w:rPr>
            </w:pPr>
          </w:p>
        </w:tc>
        <w:tc>
          <w:tcPr>
            <w:tcW w:w="51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Director</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
        </w:trPr>
        <w:tc>
          <w:tcPr>
            <w:tcW w:w="3900" w:type="dxa"/>
            <w:vAlign w:val="bottom"/>
            <w:vMerge w:val="restart"/>
          </w:tcPr>
          <w:p>
            <w:pPr>
              <w:ind w:left="40"/>
              <w:spacing w:after="0" w:line="285" w:lineRule="exact"/>
              <w:rPr>
                <w:sz w:val="20"/>
                <w:szCs w:val="20"/>
                <w:color w:val="auto"/>
              </w:rPr>
            </w:pPr>
            <w:r>
              <w:rPr>
                <w:rFonts w:ascii="Times New Roman" w:cs="Times New Roman" w:eastAsia="Times New Roman" w:hAnsi="Times New Roman"/>
                <w:sz w:val="20"/>
                <w:szCs w:val="20"/>
                <w:color w:val="auto"/>
              </w:rPr>
              <w:t xml:space="preserve">Matthew L. Posard </w:t>
            </w:r>
            <w:r>
              <w:rPr>
                <w:rFonts w:ascii="Times New Roman" w:cs="Times New Roman" w:eastAsia="Times New Roman" w:hAnsi="Times New Roman"/>
                <w:sz w:val="26"/>
                <w:szCs w:val="26"/>
                <w:color w:val="auto"/>
                <w:vertAlign w:val="superscript"/>
              </w:rPr>
              <w:t>(1) (2)</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56</w:t>
            </w:r>
          </w:p>
        </w:tc>
        <w:tc>
          <w:tcPr>
            <w:tcW w:w="60" w:type="dxa"/>
            <w:vAlign w:val="bottom"/>
          </w:tcPr>
          <w:p>
            <w:pPr>
              <w:spacing w:after="0"/>
              <w:rPr>
                <w:sz w:val="2"/>
                <w:szCs w:val="2"/>
                <w:color w:val="auto"/>
              </w:rPr>
            </w:pPr>
          </w:p>
        </w:tc>
        <w:tc>
          <w:tcPr>
            <w:tcW w:w="51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Chairperson</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3900" w:type="dxa"/>
            <w:vAlign w:val="bottom"/>
            <w:vMerge w:val="continue"/>
          </w:tcPr>
          <w:p>
            <w:pPr>
              <w:spacing w:after="0"/>
              <w:rPr>
                <w:sz w:val="23"/>
                <w:szCs w:val="23"/>
                <w:color w:val="auto"/>
              </w:rPr>
            </w:pPr>
          </w:p>
        </w:tc>
        <w:tc>
          <w:tcPr>
            <w:tcW w:w="760" w:type="dxa"/>
            <w:vAlign w:val="bottom"/>
            <w:gridSpan w:val="2"/>
            <w:vMerge w:val="continue"/>
          </w:tcPr>
          <w:p>
            <w:pPr>
              <w:spacing w:after="0"/>
              <w:rPr>
                <w:sz w:val="23"/>
                <w:szCs w:val="23"/>
                <w:color w:val="auto"/>
              </w:rPr>
            </w:pPr>
          </w:p>
        </w:tc>
        <w:tc>
          <w:tcPr>
            <w:tcW w:w="60" w:type="dxa"/>
            <w:vAlign w:val="bottom"/>
          </w:tcPr>
          <w:p>
            <w:pPr>
              <w:spacing w:after="0"/>
              <w:rPr>
                <w:sz w:val="23"/>
                <w:szCs w:val="23"/>
                <w:color w:val="auto"/>
              </w:rPr>
            </w:pPr>
          </w:p>
        </w:tc>
        <w:tc>
          <w:tcPr>
            <w:tcW w:w="5160" w:type="dxa"/>
            <w:vAlign w:val="bottom"/>
            <w:vMerge w:val="continue"/>
          </w:tcPr>
          <w:p>
            <w:pPr>
              <w:spacing w:after="0"/>
              <w:rPr>
                <w:sz w:val="23"/>
                <w:szCs w:val="23"/>
                <w:color w:val="auto"/>
              </w:rPr>
            </w:pPr>
          </w:p>
        </w:tc>
        <w:tc>
          <w:tcPr>
            <w:tcW w:w="20" w:type="dxa"/>
            <w:vAlign w:val="bottom"/>
            <w:tcBorders>
              <w:bottom w:val="single" w:sz="8" w:color="DEDEDE"/>
            </w:tcBorders>
            <w:shd w:val="clear" w:color="auto" w:fill="DEDEDE"/>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900" w:type="dxa"/>
            <w:vAlign w:val="bottom"/>
          </w:tcPr>
          <w:p>
            <w:pPr>
              <w:ind w:left="40"/>
              <w:spacing w:after="0" w:line="257" w:lineRule="exact"/>
              <w:rPr>
                <w:sz w:val="20"/>
                <w:szCs w:val="20"/>
                <w:color w:val="auto"/>
              </w:rPr>
            </w:pPr>
            <w:r>
              <w:rPr>
                <w:rFonts w:ascii="Times New Roman" w:cs="Times New Roman" w:eastAsia="Times New Roman" w:hAnsi="Times New Roman"/>
                <w:sz w:val="20"/>
                <w:szCs w:val="20"/>
                <w:color w:val="auto"/>
              </w:rPr>
              <w:t xml:space="preserve">Matthew McIlwain </w:t>
            </w:r>
            <w:r>
              <w:rPr>
                <w:rFonts w:ascii="Times New Roman" w:cs="Times New Roman" w:eastAsia="Times New Roman" w:hAnsi="Times New Roman"/>
                <w:sz w:val="26"/>
                <w:szCs w:val="26"/>
                <w:color w:val="auto"/>
                <w:vertAlign w:val="superscript"/>
              </w:rPr>
              <w:t>(1) (3)</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59</w:t>
            </w:r>
          </w:p>
        </w:tc>
        <w:tc>
          <w:tcPr>
            <w:tcW w:w="60" w:type="dxa"/>
            <w:vAlign w:val="bottom"/>
          </w:tcPr>
          <w:p>
            <w:pPr>
              <w:spacing w:after="0"/>
              <w:rPr>
                <w:sz w:val="22"/>
                <w:szCs w:val="22"/>
                <w:color w:val="auto"/>
              </w:rPr>
            </w:pPr>
          </w:p>
        </w:tc>
        <w:tc>
          <w:tcPr>
            <w:tcW w:w="51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Director</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
        </w:trPr>
        <w:tc>
          <w:tcPr>
            <w:tcW w:w="3900" w:type="dxa"/>
            <w:vAlign w:val="bottom"/>
            <w:vMerge w:val="restart"/>
          </w:tcPr>
          <w:p>
            <w:pPr>
              <w:ind w:left="40"/>
              <w:spacing w:after="0" w:line="285" w:lineRule="exact"/>
              <w:rPr>
                <w:sz w:val="20"/>
                <w:szCs w:val="20"/>
                <w:color w:val="auto"/>
              </w:rPr>
            </w:pPr>
            <w:r>
              <w:rPr>
                <w:rFonts w:ascii="Times New Roman" w:cs="Times New Roman" w:eastAsia="Times New Roman" w:hAnsi="Times New Roman"/>
                <w:sz w:val="20"/>
                <w:szCs w:val="20"/>
                <w:color w:val="auto"/>
              </w:rPr>
              <w:t xml:space="preserve">Melissa Epperly </w:t>
            </w:r>
            <w:r>
              <w:rPr>
                <w:rFonts w:ascii="Times New Roman" w:cs="Times New Roman" w:eastAsia="Times New Roman" w:hAnsi="Times New Roman"/>
                <w:sz w:val="26"/>
                <w:szCs w:val="26"/>
                <w:color w:val="auto"/>
                <w:vertAlign w:val="superscript"/>
              </w:rPr>
              <w:t>(1)</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46</w:t>
            </w:r>
          </w:p>
        </w:tc>
        <w:tc>
          <w:tcPr>
            <w:tcW w:w="60" w:type="dxa"/>
            <w:vAlign w:val="bottom"/>
          </w:tcPr>
          <w:p>
            <w:pPr>
              <w:spacing w:after="0"/>
              <w:rPr>
                <w:sz w:val="2"/>
                <w:szCs w:val="2"/>
                <w:color w:val="auto"/>
              </w:rPr>
            </w:pPr>
          </w:p>
        </w:tc>
        <w:tc>
          <w:tcPr>
            <w:tcW w:w="51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Director</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3900" w:type="dxa"/>
            <w:vAlign w:val="bottom"/>
            <w:vMerge w:val="continue"/>
          </w:tcPr>
          <w:p>
            <w:pPr>
              <w:spacing w:after="0"/>
              <w:rPr>
                <w:sz w:val="23"/>
                <w:szCs w:val="23"/>
                <w:color w:val="auto"/>
              </w:rPr>
            </w:pPr>
          </w:p>
        </w:tc>
        <w:tc>
          <w:tcPr>
            <w:tcW w:w="760" w:type="dxa"/>
            <w:vAlign w:val="bottom"/>
            <w:gridSpan w:val="2"/>
            <w:vMerge w:val="continue"/>
          </w:tcPr>
          <w:p>
            <w:pPr>
              <w:spacing w:after="0"/>
              <w:rPr>
                <w:sz w:val="23"/>
                <w:szCs w:val="23"/>
                <w:color w:val="auto"/>
              </w:rPr>
            </w:pPr>
          </w:p>
        </w:tc>
        <w:tc>
          <w:tcPr>
            <w:tcW w:w="60" w:type="dxa"/>
            <w:vAlign w:val="bottom"/>
          </w:tcPr>
          <w:p>
            <w:pPr>
              <w:spacing w:after="0"/>
              <w:rPr>
                <w:sz w:val="23"/>
                <w:szCs w:val="23"/>
                <w:color w:val="auto"/>
              </w:rPr>
            </w:pPr>
          </w:p>
        </w:tc>
        <w:tc>
          <w:tcPr>
            <w:tcW w:w="5160" w:type="dxa"/>
            <w:vAlign w:val="bottom"/>
            <w:vMerge w:val="continue"/>
          </w:tcPr>
          <w:p>
            <w:pPr>
              <w:spacing w:after="0"/>
              <w:rPr>
                <w:sz w:val="23"/>
                <w:szCs w:val="23"/>
                <w:color w:val="auto"/>
              </w:rPr>
            </w:pPr>
          </w:p>
        </w:tc>
        <w:tc>
          <w:tcPr>
            <w:tcW w:w="20" w:type="dxa"/>
            <w:vAlign w:val="bottom"/>
            <w:tcBorders>
              <w:bottom w:val="single" w:sz="8" w:color="DEDEDE"/>
            </w:tcBorders>
            <w:shd w:val="clear" w:color="auto" w:fill="DEDEDE"/>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900" w:type="dxa"/>
            <w:vAlign w:val="bottom"/>
          </w:tcPr>
          <w:p>
            <w:pPr>
              <w:ind w:left="40"/>
              <w:spacing w:after="0" w:line="257" w:lineRule="exact"/>
              <w:rPr>
                <w:sz w:val="20"/>
                <w:szCs w:val="20"/>
                <w:color w:val="auto"/>
              </w:rPr>
            </w:pPr>
            <w:r>
              <w:rPr>
                <w:rFonts w:ascii="Times New Roman" w:cs="Times New Roman" w:eastAsia="Times New Roman" w:hAnsi="Times New Roman"/>
                <w:sz w:val="20"/>
                <w:szCs w:val="20"/>
                <w:color w:val="auto"/>
              </w:rPr>
              <w:t xml:space="preserve">Michael Altman </w:t>
            </w:r>
            <w:r>
              <w:rPr>
                <w:rFonts w:ascii="Times New Roman" w:cs="Times New Roman" w:eastAsia="Times New Roman" w:hAnsi="Times New Roman"/>
                <w:sz w:val="26"/>
                <w:szCs w:val="26"/>
                <w:color w:val="auto"/>
                <w:vertAlign w:val="superscript"/>
              </w:rPr>
              <w:t>(2)</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42</w:t>
            </w:r>
          </w:p>
        </w:tc>
        <w:tc>
          <w:tcPr>
            <w:tcW w:w="60" w:type="dxa"/>
            <w:vAlign w:val="bottom"/>
          </w:tcPr>
          <w:p>
            <w:pPr>
              <w:spacing w:after="0"/>
              <w:rPr>
                <w:sz w:val="22"/>
                <w:szCs w:val="22"/>
                <w:color w:val="auto"/>
              </w:rPr>
            </w:pPr>
          </w:p>
        </w:tc>
        <w:tc>
          <w:tcPr>
            <w:tcW w:w="51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Director</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
        </w:trPr>
        <w:tc>
          <w:tcPr>
            <w:tcW w:w="39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 xml:space="preserve">Vijay Pande </w:t>
            </w:r>
            <w:r>
              <w:rPr>
                <w:rFonts w:ascii="Times New Roman" w:cs="Times New Roman" w:eastAsia="Times New Roman" w:hAnsi="Times New Roman"/>
                <w:sz w:val="26"/>
                <w:szCs w:val="26"/>
                <w:color w:val="auto"/>
                <w:vertAlign w:val="superscript"/>
              </w:rPr>
              <w:t>(3)</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53</w:t>
            </w:r>
          </w:p>
        </w:tc>
        <w:tc>
          <w:tcPr>
            <w:tcW w:w="60" w:type="dxa"/>
            <w:vAlign w:val="bottom"/>
          </w:tcPr>
          <w:p>
            <w:pPr>
              <w:spacing w:after="0"/>
              <w:rPr>
                <w:sz w:val="2"/>
                <w:szCs w:val="2"/>
                <w:color w:val="auto"/>
              </w:rPr>
            </w:pPr>
          </w:p>
        </w:tc>
        <w:tc>
          <w:tcPr>
            <w:tcW w:w="51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Director</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5"/>
        </w:trPr>
        <w:tc>
          <w:tcPr>
            <w:tcW w:w="3900" w:type="dxa"/>
            <w:vAlign w:val="bottom"/>
            <w:vMerge w:val="continue"/>
          </w:tcPr>
          <w:p>
            <w:pPr>
              <w:spacing w:after="0"/>
              <w:rPr>
                <w:sz w:val="24"/>
                <w:szCs w:val="24"/>
                <w:color w:val="auto"/>
              </w:rPr>
            </w:pPr>
          </w:p>
        </w:tc>
        <w:tc>
          <w:tcPr>
            <w:tcW w:w="76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5160" w:type="dxa"/>
            <w:vAlign w:val="bottom"/>
            <w:vMerge w:val="continu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-1640840</wp:posOffset>
            </wp:positionV>
            <wp:extent cx="6311900" cy="2063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2">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209550</wp:posOffset>
            </wp:positionH>
            <wp:positionV relativeFrom="paragraph">
              <wp:posOffset>-1278890</wp:posOffset>
            </wp:positionV>
            <wp:extent cx="6311900" cy="2063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53">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209550</wp:posOffset>
            </wp:positionH>
            <wp:positionV relativeFrom="paragraph">
              <wp:posOffset>-916940</wp:posOffset>
            </wp:positionV>
            <wp:extent cx="6311900" cy="2063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4">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209550</wp:posOffset>
            </wp:positionH>
            <wp:positionV relativeFrom="paragraph">
              <wp:posOffset>-554990</wp:posOffset>
            </wp:positionV>
            <wp:extent cx="6311900" cy="2063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55">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209550</wp:posOffset>
            </wp:positionH>
            <wp:positionV relativeFrom="paragraph">
              <wp:posOffset>-193040</wp:posOffset>
            </wp:positionV>
            <wp:extent cx="6311900" cy="2063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6">
                      <a:extLst>
                        <a:ext uri="{28A0092B-C50C-407E-A947-70E740481C1C}"/>
                      </a:extLst>
                    </a:blip>
                    <a:srcRect/>
                    <a:stretch>
                      <a:fillRect/>
                    </a:stretch>
                  </pic:blipFill>
                  <pic:spPr bwMode="auto">
                    <a:xfrm>
                      <a:off x="0" y="0"/>
                      <a:ext cx="6311900" cy="206375"/>
                    </a:xfrm>
                    <a:prstGeom prst="rect">
                      <a:avLst/>
                    </a:prstGeom>
                    <a:noFill/>
                  </pic:spPr>
                </pic:pic>
              </a:graphicData>
            </a:graphic>
          </wp:anchor>
        </w:drawing>
      </w:r>
    </w:p>
    <w:p>
      <w:pPr>
        <w:spacing w:after="0" w:line="1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___________________</w:t>
      </w:r>
    </w:p>
    <w:p>
      <w:pPr>
        <w:spacing w:after="0" w:line="267" w:lineRule="exact"/>
        <w:rPr>
          <w:sz w:val="20"/>
          <w:szCs w:val="20"/>
          <w:color w:val="auto"/>
        </w:rPr>
      </w:pPr>
    </w:p>
    <w:p>
      <w:pPr>
        <w:ind w:left="440" w:hanging="322"/>
        <w:spacing w:after="0"/>
        <w:tabs>
          <w:tab w:leader="none" w:pos="44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audit committee</w:t>
      </w:r>
    </w:p>
    <w:p>
      <w:pPr>
        <w:spacing w:after="0" w:line="56" w:lineRule="exact"/>
        <w:rPr>
          <w:rFonts w:ascii="Times New Roman" w:cs="Times New Roman" w:eastAsia="Times New Roman" w:hAnsi="Times New Roman"/>
          <w:sz w:val="16"/>
          <w:szCs w:val="16"/>
          <w:color w:val="auto"/>
        </w:rPr>
      </w:pPr>
    </w:p>
    <w:p>
      <w:pPr>
        <w:ind w:left="440" w:hanging="322"/>
        <w:spacing w:after="0"/>
        <w:tabs>
          <w:tab w:leader="none" w:pos="44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compensation committee</w:t>
      </w:r>
    </w:p>
    <w:p>
      <w:pPr>
        <w:spacing w:after="0" w:line="56" w:lineRule="exact"/>
        <w:rPr>
          <w:rFonts w:ascii="Times New Roman" w:cs="Times New Roman" w:eastAsia="Times New Roman" w:hAnsi="Times New Roman"/>
          <w:sz w:val="16"/>
          <w:szCs w:val="16"/>
          <w:color w:val="auto"/>
        </w:rPr>
      </w:pPr>
    </w:p>
    <w:p>
      <w:pPr>
        <w:ind w:left="440" w:hanging="322"/>
        <w:spacing w:after="0"/>
        <w:tabs>
          <w:tab w:leader="none" w:pos="44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nominating and governance committee</w:t>
      </w:r>
    </w:p>
    <w:p>
      <w:pPr>
        <w:spacing w:after="0" w:line="200" w:lineRule="exact"/>
        <w:rPr>
          <w:sz w:val="20"/>
          <w:szCs w:val="20"/>
          <w:color w:val="auto"/>
        </w:rPr>
      </w:pPr>
    </w:p>
    <w:p>
      <w:pPr>
        <w:spacing w:after="0" w:line="296" w:lineRule="exact"/>
        <w:rPr>
          <w:sz w:val="20"/>
          <w:szCs w:val="20"/>
          <w:color w:val="auto"/>
        </w:rPr>
      </w:pPr>
    </w:p>
    <w:p>
      <w:pPr>
        <w:ind w:right="100" w:firstLine="36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Sujal Patel</w:t>
      </w:r>
      <w:r>
        <w:rPr>
          <w:rFonts w:ascii="Times New Roman" w:cs="Times New Roman" w:eastAsia="Times New Roman" w:hAnsi="Times New Roman"/>
          <w:sz w:val="20"/>
          <w:szCs w:val="20"/>
          <w:color w:val="auto"/>
        </w:rPr>
        <w:t>. Sujal Patel has served as our Chief Executive Officer, President, Secretary and a member of our board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directors since June 2021. Mr. Patel co-founded Legacy Nautilus and served as its Chief Executive Officer and a member of its board of directors from January 2017 through the closing of the Business Combination. Previously, from January 2001 to December 2010, Mr. Patel founded and served in various executive positions at Isilon Systems, Inc., an enterprise data storage company, including as Chief Executive Officer from 2007 until Isilon Systems was acquired by EMC Corporation, an enterprise storage systems and software company, in December 2010. Following the acquisition, Mr. Patel served as the President of EMC’s Isilon Storage Division until October 2012. Mr. Patel has been a Strategic Director at Madrona Venture Group, a Seattle venture capital firm, since January 2015. Mr. Patel holds a B.S. in Computer Science from the University of Maryland, College Park.</w:t>
      </w:r>
    </w:p>
    <w:p>
      <w:pPr>
        <w:spacing w:after="0" w:line="153" w:lineRule="exact"/>
        <w:rPr>
          <w:sz w:val="20"/>
          <w:szCs w:val="20"/>
          <w:color w:val="auto"/>
        </w:rPr>
      </w:pPr>
    </w:p>
    <w:p>
      <w:pPr>
        <w:ind w:right="360" w:firstLine="360"/>
        <w:spacing w:after="0" w:line="281" w:lineRule="auto"/>
        <w:rPr>
          <w:sz w:val="20"/>
          <w:szCs w:val="20"/>
          <w:color w:val="auto"/>
        </w:rPr>
      </w:pPr>
      <w:r>
        <w:rPr>
          <w:rFonts w:ascii="Times New Roman" w:cs="Times New Roman" w:eastAsia="Times New Roman" w:hAnsi="Times New Roman"/>
          <w:sz w:val="20"/>
          <w:szCs w:val="20"/>
          <w:color w:val="auto"/>
        </w:rPr>
        <w:t>We believe Mr. Patel is qualified to serve on our board of directors because of his deep knowledge of our business, and strategy, and his extensive executive leadership and operational experience.</w:t>
      </w:r>
    </w:p>
    <w:p>
      <w:pPr>
        <w:spacing w:after="0" w:line="118"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Parag Mallick</w:t>
      </w:r>
      <w:r>
        <w:rPr>
          <w:rFonts w:ascii="Times New Roman" w:cs="Times New Roman" w:eastAsia="Times New Roman" w:hAnsi="Times New Roman"/>
          <w:sz w:val="20"/>
          <w:szCs w:val="20"/>
          <w:color w:val="auto"/>
        </w:rPr>
        <w:t>. Parag Mallick has served as our Chief Scientist and a member of our board of directors since June 2021.</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Dr. Mallick co-founded Legacy Nautilus and served as its Chief Scientist and a member of its board of directors from December 2016 through the closing of the Business Combination. Dr. Mallick served as Assistant Professor at Stanford University from 2011 to 2017 and as Associate Professor at Stanford University from 2017 to the present. Previously, he served as Adjunct Assistant Professor at the University of California, Los Angeles from 2005 to 2011 and at the University of Southern California from 2009 to 2011. Dr. Mallick served as Director of Clinical Proteomics at Cedars-Sinai from 2005 to 2009. Dr. Mallick completed his post-doctoral fellowship in clinical proteomics and systems biology at the Institute for Systems Biology from 2002 to 2004. Dr. Mallick holds a B.S. in Computer Science from Washington University in St. Louis and a Ph.D. in Chemistry and Biochemistry from the University of California, Los Angeles.</w:t>
      </w:r>
    </w:p>
    <w:p>
      <w:pPr>
        <w:spacing w:after="0" w:line="153" w:lineRule="exact"/>
        <w:rPr>
          <w:sz w:val="20"/>
          <w:szCs w:val="20"/>
          <w:color w:val="auto"/>
        </w:rPr>
      </w:pPr>
    </w:p>
    <w:p>
      <w:pPr>
        <w:ind w:right="580" w:firstLine="360"/>
        <w:spacing w:after="0" w:line="281" w:lineRule="auto"/>
        <w:rPr>
          <w:sz w:val="20"/>
          <w:szCs w:val="20"/>
          <w:color w:val="auto"/>
        </w:rPr>
      </w:pPr>
      <w:r>
        <w:rPr>
          <w:rFonts w:ascii="Times New Roman" w:cs="Times New Roman" w:eastAsia="Times New Roman" w:hAnsi="Times New Roman"/>
          <w:sz w:val="20"/>
          <w:szCs w:val="20"/>
          <w:color w:val="auto"/>
        </w:rPr>
        <w:t>We believe Dr. Mallick is qualified to serve on our board of directors because of his scientific expertise and his deep understanding of our business, operations and strategy.</w:t>
      </w:r>
    </w:p>
    <w:p>
      <w:pPr>
        <w:sectPr>
          <w:pgSz w:w="12240" w:h="15840" w:orient="portrait"/>
          <w:cols w:equalWidth="0" w:num="1">
            <w:col w:w="10260"/>
          </w:cols>
          <w:pgMar w:left="1000" w:top="77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112</w:t>
      </w:r>
    </w:p>
    <w:p>
      <w:pPr>
        <w:sectPr>
          <w:pgSz w:w="12240" w:h="15840" w:orient="portrait"/>
          <w:cols w:equalWidth="0" w:num="1">
            <w:col w:w="10260"/>
          </w:cols>
          <w:pgMar w:left="1000" w:top="771" w:right="980" w:bottom="0" w:gutter="0" w:footer="0" w:header="0"/>
          <w:type w:val="continuous"/>
        </w:sectPr>
      </w:pPr>
    </w:p>
    <w:bookmarkStart w:id="114" w:name="page115"/>
    <w:bookmarkEnd w:id="114"/>
    <w:p>
      <w:pPr>
        <w:ind w:right="120" w:firstLine="3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Farzad Nazem</w:t>
      </w:r>
      <w:r>
        <w:rPr>
          <w:rFonts w:ascii="Times New Roman" w:cs="Times New Roman" w:eastAsia="Times New Roman" w:hAnsi="Times New Roman"/>
          <w:sz w:val="20"/>
          <w:szCs w:val="20"/>
          <w:color w:val="auto"/>
        </w:rPr>
        <w:t>. Farzad Nazem has served on our board of directors since June 2021 and served on the Legacy Nautilus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board of directors from June 2017 through the closing of the Business Combination. Mr. Nazem spent over 11 years at Yahoo! Inc., a web services provider, where he served as Chief Technology Officer, and over 10 years at Oracle Corporation, a database management company, where he spent time as Vice President of the Web and Media Server Division. Mr. Nazem holds a B.S. in Computer Science from California Polytechnic State University–San Luis Obispo.</w:t>
      </w:r>
    </w:p>
    <w:p>
      <w:pPr>
        <w:spacing w:after="0" w:line="143" w:lineRule="exact"/>
        <w:rPr>
          <w:sz w:val="20"/>
          <w:szCs w:val="20"/>
          <w:color w:val="auto"/>
        </w:rPr>
      </w:pPr>
    </w:p>
    <w:p>
      <w:pPr>
        <w:ind w:right="80" w:firstLine="360"/>
        <w:spacing w:after="0" w:line="281" w:lineRule="auto"/>
        <w:rPr>
          <w:sz w:val="20"/>
          <w:szCs w:val="20"/>
          <w:color w:val="auto"/>
        </w:rPr>
      </w:pPr>
      <w:r>
        <w:rPr>
          <w:rFonts w:ascii="Times New Roman" w:cs="Times New Roman" w:eastAsia="Times New Roman" w:hAnsi="Times New Roman"/>
          <w:sz w:val="20"/>
          <w:szCs w:val="20"/>
          <w:color w:val="auto"/>
        </w:rPr>
        <w:t>We believe Mr. Nazem is qualified to serve on our board of directors because of his technical expertise, extensive industry background and management experience.</w:t>
      </w:r>
    </w:p>
    <w:p>
      <w:pPr>
        <w:spacing w:after="0" w:line="118" w:lineRule="exact"/>
        <w:rPr>
          <w:sz w:val="20"/>
          <w:szCs w:val="20"/>
          <w:color w:val="auto"/>
        </w:rPr>
      </w:pPr>
    </w:p>
    <w:p>
      <w:pPr>
        <w:ind w:firstLine="360"/>
        <w:spacing w:after="0" w:line="267" w:lineRule="auto"/>
        <w:rPr>
          <w:sz w:val="20"/>
          <w:szCs w:val="20"/>
          <w:color w:val="auto"/>
        </w:rPr>
      </w:pPr>
      <w:r>
        <w:rPr>
          <w:rFonts w:ascii="Times New Roman" w:cs="Times New Roman" w:eastAsia="Times New Roman" w:hAnsi="Times New Roman"/>
          <w:sz w:val="19"/>
          <w:szCs w:val="19"/>
          <w:b w:val="1"/>
          <w:bCs w:val="1"/>
          <w:i w:val="1"/>
          <w:iCs w:val="1"/>
          <w:color w:val="auto"/>
        </w:rPr>
        <w:t>Karen Akinsanya</w:t>
      </w:r>
      <w:r>
        <w:rPr>
          <w:rFonts w:ascii="Times New Roman" w:cs="Times New Roman" w:eastAsia="Times New Roman" w:hAnsi="Times New Roman"/>
          <w:sz w:val="19"/>
          <w:szCs w:val="19"/>
          <w:color w:val="auto"/>
        </w:rPr>
        <w:t>. Karen Akinsanya has served on our board of directors since March 2022. Dr. Akinsanya has served as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President of R&amp;D, Therapeutics of Schrödinger, Inc. (NASDAQ: SDGR), a life sciences company, since February 2022, and its Executive Vice President and Chief Biomedical Scientist since January 2020 and previously served as its Senior Vice President and Chief Biomedical Scientist from April 2018 to December 2019. Prior to joining Schrödinger, Dr. Akinsanya spent 12 years at Merck &amp; Co., Inc., or Merck, a pharmaceutical company, beginning in 2005, where she held a variety of positions across Merck Research Labs, including Associate Vice President, Early Scientific Assessment Lead, Business Development &amp; Licensing from December 2013 to July 2017, Collaboration Lead and Executive Director, Cardiovascular Research from January 2010 to December 2013, and Associate Director of Clinical Pharmacology from October 2005 to December 2009. Prior to Merck, Dr. Akinsanya held a number of roles in drug discovery at Ferring Pharmaceuticals in the United Kingdom and the United States from 1997 to 2005. In 2007, Dr. Akinsanya founded Envision Science Group LLC, or Envision, a translational science consulting company, where she currently serves as President. Dr. Akinsanya provided consulting services on behalf of Envision to companies in the pharmaceutical industry between July 2017 and April 2018. Dr. Akinsanya received a B.Sc. in Biochemistry from Queen Mary College, University of London, a Ph.D. in Endocrine Physiology from the Imperial College and completed postdoctoral studies at the Ludwig Institute for Cancer Research, University College, London.</w:t>
      </w:r>
    </w:p>
    <w:p>
      <w:pPr>
        <w:spacing w:after="0" w:line="141" w:lineRule="exact"/>
        <w:rPr>
          <w:sz w:val="20"/>
          <w:szCs w:val="20"/>
          <w:color w:val="auto"/>
        </w:rPr>
      </w:pPr>
    </w:p>
    <w:p>
      <w:pPr>
        <w:ind w:right="60" w:firstLine="360"/>
        <w:spacing w:after="0" w:line="281" w:lineRule="auto"/>
        <w:rPr>
          <w:sz w:val="20"/>
          <w:szCs w:val="20"/>
          <w:color w:val="auto"/>
        </w:rPr>
      </w:pPr>
      <w:r>
        <w:rPr>
          <w:rFonts w:ascii="Times New Roman" w:cs="Times New Roman" w:eastAsia="Times New Roman" w:hAnsi="Times New Roman"/>
          <w:sz w:val="20"/>
          <w:szCs w:val="20"/>
          <w:color w:val="auto"/>
        </w:rPr>
        <w:t>We believe Dr. Akinsanya is qualified to serve on our board of directors because of her extensive industry background and experience in the life sciences industry.</w:t>
      </w:r>
    </w:p>
    <w:p>
      <w:pPr>
        <w:spacing w:after="0" w:line="118" w:lineRule="exact"/>
        <w:rPr>
          <w:sz w:val="20"/>
          <w:szCs w:val="20"/>
          <w:color w:val="auto"/>
        </w:rPr>
      </w:pPr>
    </w:p>
    <w:p>
      <w:pPr>
        <w:ind w:right="40" w:firstLine="36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Matthew L. Posard</w:t>
      </w:r>
      <w:r>
        <w:rPr>
          <w:rFonts w:ascii="Times New Roman" w:cs="Times New Roman" w:eastAsia="Times New Roman" w:hAnsi="Times New Roman"/>
          <w:sz w:val="20"/>
          <w:szCs w:val="20"/>
          <w:color w:val="auto"/>
        </w:rPr>
        <w:t>. Matthew L. Posard has served on our board of directors and as Chairperson since June 2021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served on the Legacy Nautilus board of directors from February 2019 through the closing of the Business Combination. Mr. Posard currently serves as Founding Partner at Explore-DNA, a life sciences and diagnostics consulting firm. Previously, Mr. Posard served as the President and Chief Commercial Officer of GenePeeks, Inc., a genetic information company, from February 2017 to April 2018, and as Executive Vice President and Chief Commercial Officer at Trovagene Inc. (now Cardiff Oncology, Inc.), an oncology therapeutics company, from March 2015 to April 2016. Mr. Posard also held multiple executive leadership roles at Illumina, Inc., a biotechnology company, from 2006 to 2015. Mr. Posard currently serves on multiple boards including Halozyme Therapeutics (NASDAQ: HALO), Talis Biomedical (NASDAQ: TLIS), and DermTech (NASDAQ CM: DMTK). Mr. Posard holds a B.A. in Management Science from the University of California, San Diego.</w:t>
      </w:r>
    </w:p>
    <w:p>
      <w:pPr>
        <w:spacing w:after="0" w:line="153" w:lineRule="exact"/>
        <w:rPr>
          <w:sz w:val="20"/>
          <w:szCs w:val="20"/>
          <w:color w:val="auto"/>
        </w:rPr>
      </w:pPr>
    </w:p>
    <w:p>
      <w:pPr>
        <w:ind w:right="220" w:firstLine="360"/>
        <w:spacing w:after="0" w:line="281" w:lineRule="auto"/>
        <w:rPr>
          <w:sz w:val="20"/>
          <w:szCs w:val="20"/>
          <w:color w:val="auto"/>
        </w:rPr>
      </w:pPr>
      <w:r>
        <w:rPr>
          <w:rFonts w:ascii="Times New Roman" w:cs="Times New Roman" w:eastAsia="Times New Roman" w:hAnsi="Times New Roman"/>
          <w:sz w:val="20"/>
          <w:szCs w:val="20"/>
          <w:color w:val="auto"/>
        </w:rPr>
        <w:t>We believe Mr. Posard is qualified to serve on our board of directors because of his extensive experience as an executive and serving on various boards of directors of companies in the life sciences industry.</w:t>
      </w:r>
    </w:p>
    <w:p>
      <w:pPr>
        <w:spacing w:after="0" w:line="118"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Matthew McIlwain</w:t>
      </w:r>
      <w:r>
        <w:rPr>
          <w:rFonts w:ascii="Times New Roman" w:cs="Times New Roman" w:eastAsia="Times New Roman" w:hAnsi="Times New Roman"/>
          <w:sz w:val="20"/>
          <w:szCs w:val="20"/>
          <w:color w:val="auto"/>
        </w:rPr>
        <w:t>. Matthew McIlwain has served on our board of directors since June 2021 and served on the Legacy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Nautilus board of directors from January 2021 through the closing of the Business Combination. Mr. McIlwain currently serves as a Managing Director at Madrona Venture Group, a venture capital firm, a position he has held since June 2002, and joined as a Venture Partner in June 2000. Prior to joining Madrona Venture Group, Mr. McIlwain served as Vice President of Business Process at Genuine Parts Company from January 1996 to May 2000, a consultant at McKinsey &amp; Company from August 1992 to December 1995, and in investment banking at Credit Suisse First Boston from July 1987 to July 1989. Mr. McIlwain currently serves as a director on the boards of directors of Smartsheet Inc. (NYSE: SMAR). Mr. McIlwain holds a B.A. in Government and Economics from Dartmouth College, an M.P.P. in Public Policy from Harvard University’s Kennedy School of Government, and an M.B.A. from Harvard Business School.</w:t>
      </w:r>
    </w:p>
    <w:p>
      <w:pPr>
        <w:spacing w:after="0" w:line="153" w:lineRule="exact"/>
        <w:rPr>
          <w:sz w:val="20"/>
          <w:szCs w:val="20"/>
          <w:color w:val="auto"/>
        </w:rPr>
      </w:pPr>
    </w:p>
    <w:p>
      <w:pPr>
        <w:ind w:right="480" w:firstLine="360"/>
        <w:spacing w:after="0" w:line="281" w:lineRule="auto"/>
        <w:rPr>
          <w:sz w:val="20"/>
          <w:szCs w:val="20"/>
          <w:color w:val="auto"/>
        </w:rPr>
      </w:pPr>
      <w:r>
        <w:rPr>
          <w:rFonts w:ascii="Times New Roman" w:cs="Times New Roman" w:eastAsia="Times New Roman" w:hAnsi="Times New Roman"/>
          <w:sz w:val="20"/>
          <w:szCs w:val="20"/>
          <w:color w:val="auto"/>
        </w:rPr>
        <w:t>We believe Mr. McIlwain is qualified to serve on our board of directors due to his extensive industry background and experience investing in the technology and life sciences industry.</w:t>
      </w:r>
    </w:p>
    <w:p>
      <w:pPr>
        <w:spacing w:after="0" w:line="118" w:lineRule="exact"/>
        <w:rPr>
          <w:sz w:val="20"/>
          <w:szCs w:val="20"/>
          <w:color w:val="auto"/>
        </w:rPr>
      </w:pPr>
    </w:p>
    <w:p>
      <w:pPr>
        <w:ind w:firstLine="360"/>
        <w:spacing w:after="0" w:line="270" w:lineRule="auto"/>
        <w:rPr>
          <w:sz w:val="20"/>
          <w:szCs w:val="20"/>
          <w:color w:val="auto"/>
        </w:rPr>
      </w:pPr>
      <w:r>
        <w:rPr>
          <w:rFonts w:ascii="Times New Roman" w:cs="Times New Roman" w:eastAsia="Times New Roman" w:hAnsi="Times New Roman"/>
          <w:sz w:val="19"/>
          <w:szCs w:val="19"/>
          <w:b w:val="1"/>
          <w:bCs w:val="1"/>
          <w:i w:val="1"/>
          <w:iCs w:val="1"/>
          <w:color w:val="auto"/>
        </w:rPr>
        <w:t>Melissa Epperly</w:t>
      </w:r>
      <w:r>
        <w:rPr>
          <w:rFonts w:ascii="Times New Roman" w:cs="Times New Roman" w:eastAsia="Times New Roman" w:hAnsi="Times New Roman"/>
          <w:sz w:val="19"/>
          <w:szCs w:val="19"/>
          <w:color w:val="auto"/>
        </w:rPr>
        <w:t>. Melissa Epperly has served on our board of directors since June 2021 and served on the Legacy Nautilus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board of directors from January 2021 through the closing of the Business Combination. Ms. Epperly currently serves as Chief Financial Officer of Zentalis Pharmaceuticals, Inc. (NASDAQ: ZNTL), a clinical-stage cancer company, a position she has held since September 2019. From June 2018 to August 2019, Ms. Epperly served as Chief Financial Officer of PsiOxus Therapeutics Ltd., a clinical-stage gene therapy cancer company, where she led the company’s financial operations. Prior to joining PsiOxus, Ms. Epperly served as Chief Financial Officer and Head of Business Development at R-Pharm US, a commercial-stage oncology company, from October 2015 to June 2018, where she led the company’s financial operations and business development. Ms. Epperly served as a Director at Anchorage Capital Group, a credit-focused hedge fund, from August 2012 to</w:t>
      </w:r>
    </w:p>
    <w:p>
      <w:pPr>
        <w:sectPr>
          <w:pgSz w:w="12240" w:h="15840" w:orient="portrait"/>
          <w:cols w:equalWidth="0" w:num="1">
            <w:col w:w="10240"/>
          </w:cols>
          <w:pgMar w:left="1000" w:top="789" w:right="1000" w:bottom="0" w:gutter="0" w:footer="0" w:header="0"/>
        </w:sect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2240" w:h="15840" w:orient="portrait"/>
          <w:cols w:equalWidth="0" w:num="1">
            <w:col w:w="10240"/>
          </w:cols>
          <w:pgMar w:left="1000" w:top="789" w:right="1000" w:bottom="0" w:gutter="0" w:footer="0" w:header="0"/>
          <w:type w:val="continuous"/>
        </w:sectPr>
      </w:pPr>
    </w:p>
    <w:bookmarkStart w:id="115" w:name="page116"/>
    <w:bookmarkEnd w:id="115"/>
    <w:p>
      <w:pPr>
        <w:jc w:val="both"/>
        <w:ind w:right="80"/>
        <w:spacing w:after="0" w:line="271" w:lineRule="auto"/>
        <w:rPr>
          <w:sz w:val="20"/>
          <w:szCs w:val="20"/>
          <w:color w:val="auto"/>
        </w:rPr>
      </w:pPr>
      <w:r>
        <w:rPr>
          <w:rFonts w:ascii="Times New Roman" w:cs="Times New Roman" w:eastAsia="Times New Roman" w:hAnsi="Times New Roman"/>
          <w:sz w:val="19"/>
          <w:szCs w:val="19"/>
          <w:color w:val="auto"/>
        </w:rPr>
        <w:t>September 2015. Previously, Ms. Epperly was a Vice President at Goldman Sachs in equity research in New York and London, a management consultant with Bain &amp; Company, and a healthcare investment banker at Morgan Stanley. Ms. Epperly currently serves on the board of directors of Kinnate Biopharma Inc. (NASDAQ: KNTE) and Roivant Sciences Ltd (NASDAQ: ROIV).</w:t>
      </w:r>
    </w:p>
    <w:p>
      <w:pPr>
        <w:ind w:right="40"/>
        <w:spacing w:after="0" w:line="260" w:lineRule="auto"/>
        <w:rPr>
          <w:sz w:val="20"/>
          <w:szCs w:val="20"/>
          <w:color w:val="auto"/>
        </w:rPr>
      </w:pPr>
      <w:r>
        <w:rPr>
          <w:rFonts w:ascii="Times New Roman" w:cs="Times New Roman" w:eastAsia="Times New Roman" w:hAnsi="Times New Roman"/>
          <w:sz w:val="20"/>
          <w:szCs w:val="20"/>
          <w:color w:val="auto"/>
        </w:rPr>
        <w:t>Ms. Epperly holds a B.A. in Biochemisty and Economics from the University of Virginia and an M.B.A from Harvard Business School.</w:t>
      </w:r>
    </w:p>
    <w:p>
      <w:pPr>
        <w:spacing w:after="0" w:line="142" w:lineRule="exact"/>
        <w:rPr>
          <w:sz w:val="20"/>
          <w:szCs w:val="20"/>
          <w:color w:val="auto"/>
        </w:rPr>
      </w:pPr>
    </w:p>
    <w:p>
      <w:pPr>
        <w:ind w:right="500" w:firstLine="360"/>
        <w:spacing w:after="0" w:line="281" w:lineRule="auto"/>
        <w:rPr>
          <w:sz w:val="20"/>
          <w:szCs w:val="20"/>
          <w:color w:val="auto"/>
        </w:rPr>
      </w:pPr>
      <w:r>
        <w:rPr>
          <w:rFonts w:ascii="Times New Roman" w:cs="Times New Roman" w:eastAsia="Times New Roman" w:hAnsi="Times New Roman"/>
          <w:sz w:val="20"/>
          <w:szCs w:val="20"/>
          <w:color w:val="auto"/>
        </w:rPr>
        <w:t>We believe Ms. Epperly is qualified to serve on our board of directors because of her extensive experience as a senior financing executive in the life sciences industry.</w:t>
      </w:r>
    </w:p>
    <w:p>
      <w:pPr>
        <w:spacing w:after="0" w:line="118" w:lineRule="exact"/>
        <w:rPr>
          <w:sz w:val="20"/>
          <w:szCs w:val="20"/>
          <w:color w:val="auto"/>
        </w:rPr>
      </w:pPr>
    </w:p>
    <w:p>
      <w:pPr>
        <w:ind w:right="80" w:firstLine="36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Michael Altman</w:t>
      </w:r>
      <w:r>
        <w:rPr>
          <w:rFonts w:ascii="Times New Roman" w:cs="Times New Roman" w:eastAsia="Times New Roman" w:hAnsi="Times New Roman"/>
          <w:sz w:val="20"/>
          <w:szCs w:val="20"/>
          <w:color w:val="auto"/>
        </w:rPr>
        <w:t>. Michael Altman, CFA, has served on our board of directors since June 2021 and served on the ARYA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board of directors from inception until the closing of the Business Combination. Mr. Altman also served as ARYA’s Chief Financial Officer from inception until the closing of the Business Combination. Mr. Altman has served as a Managing Director on the investment team of Perceptive Advisors since 2007, and is a member of the internal investment committee of Perceptive Advisors’ credit opportunities fund. Mr. Altman’s focus is on medical devices, diagnostics, digital health and specialty pharmaceuticals. Mr. Altman also serves on the board of directors of Lyra Therapeutics (Nasdaq: LYRA), which is a portfolio company of Perceptive Advisors. Mr. Altman also serves as the Chief Financial Officer and on the board of directors of ARYA Sciences Acquisition Corp IV (Nasdaq: ARYD) and ARYA Sciences Acquisition Corp V (Nasdaq: ARYE). Mr. Altman graduated from the University of Vermont with a BS in Business Administration.</w:t>
      </w:r>
    </w:p>
    <w:p>
      <w:pPr>
        <w:spacing w:after="0" w:line="153" w:lineRule="exact"/>
        <w:rPr>
          <w:sz w:val="20"/>
          <w:szCs w:val="20"/>
          <w:color w:val="auto"/>
        </w:rPr>
      </w:pPr>
    </w:p>
    <w:p>
      <w:pPr>
        <w:ind w:right="300" w:firstLine="360"/>
        <w:spacing w:after="0" w:line="281" w:lineRule="auto"/>
        <w:rPr>
          <w:sz w:val="20"/>
          <w:szCs w:val="20"/>
          <w:color w:val="auto"/>
        </w:rPr>
      </w:pPr>
      <w:r>
        <w:rPr>
          <w:rFonts w:ascii="Times New Roman" w:cs="Times New Roman" w:eastAsia="Times New Roman" w:hAnsi="Times New Roman"/>
          <w:sz w:val="20"/>
          <w:szCs w:val="20"/>
          <w:color w:val="auto"/>
        </w:rPr>
        <w:t>We believe Mr. Altman is qualified to serve on our board of directors because of his broad operational and transactional experience.</w:t>
      </w:r>
    </w:p>
    <w:p>
      <w:pPr>
        <w:spacing w:after="0" w:line="118" w:lineRule="exact"/>
        <w:rPr>
          <w:sz w:val="20"/>
          <w:szCs w:val="20"/>
          <w:color w:val="auto"/>
        </w:rPr>
      </w:pPr>
    </w:p>
    <w:p>
      <w:pPr>
        <w:ind w:right="60" w:firstLine="36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Vijay Pande</w:t>
      </w:r>
      <w:r>
        <w:rPr>
          <w:rFonts w:ascii="Times New Roman" w:cs="Times New Roman" w:eastAsia="Times New Roman" w:hAnsi="Times New Roman"/>
          <w:sz w:val="20"/>
          <w:szCs w:val="20"/>
          <w:color w:val="auto"/>
        </w:rPr>
        <w:t>. Vijay Pande has served on our board of directors since June 2021, and served on the Legacy Nautilus board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directors from May 2018 through the closing of the Business Combination. Since September 2015, Dr. Pande has served as a general partner at Andreessen Horowitz, a venture capital fund, where he focuses on investments in biopharma and healthcare companies. From October 1999 to February 2019, Dr. Pande served as founding director of Folding@home, a distributed computing project for disease research. Dr. Pande holds a B.S. in Physics from Princeton University and a Ph.D. in Physics from Massachusetts Institute of Technology.</w:t>
      </w:r>
    </w:p>
    <w:p>
      <w:pPr>
        <w:spacing w:after="0" w:line="146" w:lineRule="exact"/>
        <w:rPr>
          <w:sz w:val="20"/>
          <w:szCs w:val="20"/>
          <w:color w:val="auto"/>
        </w:rPr>
      </w:pPr>
    </w:p>
    <w:p>
      <w:pPr>
        <w:ind w:right="40" w:firstLine="360"/>
        <w:spacing w:after="0" w:line="281" w:lineRule="auto"/>
        <w:rPr>
          <w:sz w:val="20"/>
          <w:szCs w:val="20"/>
          <w:color w:val="auto"/>
        </w:rPr>
      </w:pPr>
      <w:r>
        <w:rPr>
          <w:rFonts w:ascii="Times New Roman" w:cs="Times New Roman" w:eastAsia="Times New Roman" w:hAnsi="Times New Roman"/>
          <w:sz w:val="20"/>
          <w:szCs w:val="20"/>
          <w:color w:val="auto"/>
        </w:rPr>
        <w:t>We believe Dr. Pande is qualified to serve on our board of directors because of his extensive industry experience and board experience with healthcare companies.</w:t>
      </w:r>
    </w:p>
    <w:p>
      <w:pPr>
        <w:spacing w:after="0" w:line="1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Executive Officers</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sets forth certain information about our executive officers as of February 28, 2024.</w:t>
      </w:r>
    </w:p>
    <w:p>
      <w:pPr>
        <w:spacing w:after="0" w:line="250" w:lineRule="exact"/>
        <w:rPr>
          <w:sz w:val="20"/>
          <w:szCs w:val="20"/>
          <w:color w:val="auto"/>
        </w:rPr>
      </w:pPr>
    </w:p>
    <w:tbl>
      <w:tblPr>
        <w:tblLayout w:type="fixed"/>
        <w:tblInd w:w="360" w:type="dxa"/>
        <w:tblCellMar>
          <w:top w:w="0" w:type="dxa"/>
          <w:left w:w="0" w:type="dxa"/>
          <w:bottom w:w="0" w:type="dxa"/>
          <w:right w:w="0" w:type="dxa"/>
        </w:tblCellMar>
      </w:tblPr>
      <w:tr>
        <w:trPr>
          <w:trHeight w:val="211"/>
        </w:trPr>
        <w:tc>
          <w:tcPr>
            <w:tcW w:w="3180" w:type="dxa"/>
            <w:vAlign w:val="bottom"/>
          </w:tcPr>
          <w:p>
            <w:pPr>
              <w:ind w:left="1380"/>
              <w:spacing w:after="0"/>
              <w:rPr>
                <w:sz w:val="20"/>
                <w:szCs w:val="20"/>
                <w:color w:val="auto"/>
              </w:rPr>
            </w:pPr>
            <w:r>
              <w:rPr>
                <w:rFonts w:ascii="Times New Roman" w:cs="Times New Roman" w:eastAsia="Times New Roman" w:hAnsi="Times New Roman"/>
                <w:sz w:val="16"/>
                <w:szCs w:val="16"/>
                <w:b w:val="1"/>
                <w:bCs w:val="1"/>
                <w:color w:val="auto"/>
              </w:rPr>
              <w:t>Name</w:t>
            </w:r>
          </w:p>
        </w:tc>
        <w:tc>
          <w:tcPr>
            <w:tcW w:w="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Age</w:t>
            </w:r>
          </w:p>
        </w:tc>
        <w:tc>
          <w:tcPr>
            <w:tcW w:w="60" w:type="dxa"/>
            <w:vAlign w:val="bottom"/>
          </w:tcPr>
          <w:p>
            <w:pPr>
              <w:spacing w:after="0"/>
              <w:rPr>
                <w:sz w:val="18"/>
                <w:szCs w:val="18"/>
                <w:color w:val="auto"/>
              </w:rPr>
            </w:pPr>
          </w:p>
        </w:tc>
        <w:tc>
          <w:tcPr>
            <w:tcW w:w="5940" w:type="dxa"/>
            <w:vAlign w:val="bottom"/>
          </w:tcPr>
          <w:p>
            <w:pPr>
              <w:ind w:left="268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21"/>
        </w:trPr>
        <w:tc>
          <w:tcPr>
            <w:tcW w:w="3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940" w:type="dxa"/>
            <w:vAlign w:val="bottom"/>
            <w:tcBorders>
              <w:bottom w:val="single" w:sz="8" w:color="auto"/>
            </w:tcBorders>
          </w:tcPr>
          <w:p>
            <w:pPr>
              <w:spacing w:after="0" w:line="20" w:lineRule="exact"/>
              <w:rPr>
                <w:sz w:val="1"/>
                <w:szCs w:val="1"/>
                <w:color w:val="auto"/>
              </w:rPr>
            </w:pPr>
          </w:p>
        </w:tc>
      </w:tr>
      <w:tr>
        <w:trPr>
          <w:trHeight w:val="260"/>
        </w:trPr>
        <w:tc>
          <w:tcPr>
            <w:tcW w:w="3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Sujal Patel</w:t>
            </w:r>
          </w:p>
        </w:tc>
        <w:tc>
          <w:tcPr>
            <w:tcW w:w="6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49</w:t>
            </w:r>
          </w:p>
        </w:tc>
        <w:tc>
          <w:tcPr>
            <w:tcW w:w="60" w:type="dxa"/>
            <w:vAlign w:val="bottom"/>
          </w:tcPr>
          <w:p>
            <w:pPr>
              <w:spacing w:after="0"/>
              <w:rPr>
                <w:sz w:val="22"/>
                <w:szCs w:val="22"/>
                <w:color w:val="auto"/>
              </w:rPr>
            </w:pPr>
          </w:p>
        </w:tc>
        <w:tc>
          <w:tcPr>
            <w:tcW w:w="5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Chief Executive Officer, President, Secretary and Director</w:t>
            </w:r>
          </w:p>
        </w:tc>
      </w:tr>
      <w:tr>
        <w:trPr>
          <w:trHeight w:val="246"/>
        </w:trPr>
        <w:tc>
          <w:tcPr>
            <w:tcW w:w="3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Parag Mallick</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47</w:t>
            </w:r>
          </w:p>
        </w:tc>
        <w:tc>
          <w:tcPr>
            <w:tcW w:w="60" w:type="dxa"/>
            <w:vAlign w:val="bottom"/>
          </w:tcPr>
          <w:p>
            <w:pPr>
              <w:spacing w:after="0"/>
              <w:rPr>
                <w:sz w:val="21"/>
                <w:szCs w:val="21"/>
                <w:color w:val="auto"/>
              </w:rPr>
            </w:pPr>
          </w:p>
        </w:tc>
        <w:tc>
          <w:tcPr>
            <w:tcW w:w="5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Chief Scientist and Director</w:t>
            </w:r>
          </w:p>
        </w:tc>
      </w:tr>
      <w:tr>
        <w:trPr>
          <w:trHeight w:val="240"/>
        </w:trPr>
        <w:tc>
          <w:tcPr>
            <w:tcW w:w="3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Anna Mowry</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46</w:t>
            </w:r>
          </w:p>
        </w:tc>
        <w:tc>
          <w:tcPr>
            <w:tcW w:w="60" w:type="dxa"/>
            <w:vAlign w:val="bottom"/>
          </w:tcPr>
          <w:p>
            <w:pPr>
              <w:spacing w:after="0"/>
              <w:rPr>
                <w:sz w:val="20"/>
                <w:szCs w:val="20"/>
                <w:color w:val="auto"/>
              </w:rPr>
            </w:pPr>
          </w:p>
        </w:tc>
        <w:tc>
          <w:tcPr>
            <w:tcW w:w="5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Chief Financial Officer and Treasurer</w:t>
            </w:r>
          </w:p>
        </w:tc>
      </w:tr>
      <w:tr>
        <w:trPr>
          <w:trHeight w:val="240"/>
        </w:trPr>
        <w:tc>
          <w:tcPr>
            <w:tcW w:w="3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Nick Nelson</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41</w:t>
            </w:r>
          </w:p>
        </w:tc>
        <w:tc>
          <w:tcPr>
            <w:tcW w:w="60" w:type="dxa"/>
            <w:vAlign w:val="bottom"/>
          </w:tcPr>
          <w:p>
            <w:pPr>
              <w:spacing w:after="0"/>
              <w:rPr>
                <w:sz w:val="20"/>
                <w:szCs w:val="20"/>
                <w:color w:val="auto"/>
              </w:rPr>
            </w:pPr>
          </w:p>
        </w:tc>
        <w:tc>
          <w:tcPr>
            <w:tcW w:w="5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Chief Business Officer and Senior Vice President, Business</w:t>
            </w:r>
          </w:p>
        </w:tc>
      </w:tr>
      <w:tr>
        <w:trPr>
          <w:trHeight w:val="240"/>
        </w:trPr>
        <w:tc>
          <w:tcPr>
            <w:tcW w:w="3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Subra Sankar</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64</w:t>
            </w:r>
          </w:p>
        </w:tc>
        <w:tc>
          <w:tcPr>
            <w:tcW w:w="60" w:type="dxa"/>
            <w:vAlign w:val="bottom"/>
          </w:tcPr>
          <w:p>
            <w:pPr>
              <w:spacing w:after="0"/>
              <w:rPr>
                <w:sz w:val="20"/>
                <w:szCs w:val="20"/>
                <w:color w:val="auto"/>
              </w:rPr>
            </w:pPr>
          </w:p>
        </w:tc>
        <w:tc>
          <w:tcPr>
            <w:tcW w:w="5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Senior Vice President, Product Development</w:t>
            </w:r>
          </w:p>
        </w:tc>
      </w:tr>
      <w:tr>
        <w:trPr>
          <w:trHeight w:val="240"/>
        </w:trPr>
        <w:tc>
          <w:tcPr>
            <w:tcW w:w="3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Matthew Murphy</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59</w:t>
            </w:r>
          </w:p>
        </w:tc>
        <w:tc>
          <w:tcPr>
            <w:tcW w:w="60" w:type="dxa"/>
            <w:vAlign w:val="bottom"/>
          </w:tcPr>
          <w:p>
            <w:pPr>
              <w:spacing w:after="0"/>
              <w:rPr>
                <w:sz w:val="20"/>
                <w:szCs w:val="20"/>
                <w:color w:val="auto"/>
              </w:rPr>
            </w:pPr>
          </w:p>
        </w:tc>
        <w:tc>
          <w:tcPr>
            <w:tcW w:w="5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General Counsel</w:t>
            </w:r>
          </w:p>
        </w:tc>
      </w:tr>
      <w:tr>
        <w:trPr>
          <w:trHeight w:val="240"/>
        </w:trPr>
        <w:tc>
          <w:tcPr>
            <w:tcW w:w="3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Gwen Weld</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66</w:t>
            </w:r>
          </w:p>
        </w:tc>
        <w:tc>
          <w:tcPr>
            <w:tcW w:w="60" w:type="dxa"/>
            <w:vAlign w:val="bottom"/>
          </w:tcPr>
          <w:p>
            <w:pPr>
              <w:spacing w:after="0"/>
              <w:rPr>
                <w:sz w:val="20"/>
                <w:szCs w:val="20"/>
                <w:color w:val="auto"/>
              </w:rPr>
            </w:pPr>
          </w:p>
        </w:tc>
        <w:tc>
          <w:tcPr>
            <w:tcW w:w="5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Chief People Officer</w:t>
            </w:r>
          </w:p>
        </w:tc>
      </w:tr>
      <w:tr>
        <w:trPr>
          <w:trHeight w:val="260"/>
        </w:trPr>
        <w:tc>
          <w:tcPr>
            <w:tcW w:w="3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Mary Godwin</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65</w:t>
            </w:r>
          </w:p>
        </w:tc>
        <w:tc>
          <w:tcPr>
            <w:tcW w:w="60" w:type="dxa"/>
            <w:vAlign w:val="bottom"/>
          </w:tcPr>
          <w:p>
            <w:pPr>
              <w:spacing w:after="0"/>
              <w:rPr>
                <w:sz w:val="22"/>
                <w:szCs w:val="22"/>
                <w:color w:val="auto"/>
              </w:rPr>
            </w:pPr>
          </w:p>
        </w:tc>
        <w:tc>
          <w:tcPr>
            <w:tcW w:w="5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Senior Vice President, Operations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-1266825</wp:posOffset>
            </wp:positionV>
            <wp:extent cx="6311900" cy="2063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57">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209550</wp:posOffset>
            </wp:positionH>
            <wp:positionV relativeFrom="paragraph">
              <wp:posOffset>-933450</wp:posOffset>
            </wp:positionV>
            <wp:extent cx="6311900" cy="1778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58">
                      <a:extLst>
                        <a:ext uri="{28A0092B-C50C-407E-A947-70E740481C1C}"/>
                      </a:extLst>
                    </a:blip>
                    <a:srcRect/>
                    <a:stretch>
                      <a:fillRect/>
                    </a:stretch>
                  </pic:blipFill>
                  <pic:spPr bwMode="auto">
                    <a:xfrm>
                      <a:off x="0" y="0"/>
                      <a:ext cx="6311900" cy="177800"/>
                    </a:xfrm>
                    <a:prstGeom prst="rect">
                      <a:avLst/>
                    </a:prstGeom>
                    <a:noFill/>
                  </pic:spPr>
                </pic:pic>
              </a:graphicData>
            </a:graphic>
          </wp:anchor>
        </w:drawing>
        <w:drawing>
          <wp:anchor simplePos="0" relativeHeight="251657728" behindDoc="1" locked="0" layoutInCell="0" allowOverlap="1">
            <wp:simplePos x="0" y="0"/>
            <wp:positionH relativeFrom="column">
              <wp:posOffset>209550</wp:posOffset>
            </wp:positionH>
            <wp:positionV relativeFrom="paragraph">
              <wp:posOffset>-628650</wp:posOffset>
            </wp:positionV>
            <wp:extent cx="6311900" cy="1778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59">
                      <a:extLst>
                        <a:ext uri="{28A0092B-C50C-407E-A947-70E740481C1C}"/>
                      </a:extLst>
                    </a:blip>
                    <a:srcRect/>
                    <a:stretch>
                      <a:fillRect/>
                    </a:stretch>
                  </pic:blipFill>
                  <pic:spPr bwMode="auto">
                    <a:xfrm>
                      <a:off x="0" y="0"/>
                      <a:ext cx="6311900" cy="177800"/>
                    </a:xfrm>
                    <a:prstGeom prst="rect">
                      <a:avLst/>
                    </a:prstGeom>
                    <a:noFill/>
                  </pic:spPr>
                </pic:pic>
              </a:graphicData>
            </a:graphic>
          </wp:anchor>
        </w:drawing>
        <w:drawing>
          <wp:anchor simplePos="0" relativeHeight="251657728" behindDoc="1" locked="0" layoutInCell="0" allowOverlap="1">
            <wp:simplePos x="0" y="0"/>
            <wp:positionH relativeFrom="column">
              <wp:posOffset>209550</wp:posOffset>
            </wp:positionH>
            <wp:positionV relativeFrom="paragraph">
              <wp:posOffset>-323850</wp:posOffset>
            </wp:positionV>
            <wp:extent cx="6311900" cy="1778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60">
                      <a:extLst>
                        <a:ext uri="{28A0092B-C50C-407E-A947-70E740481C1C}"/>
                      </a:extLst>
                    </a:blip>
                    <a:srcRect/>
                    <a:stretch>
                      <a:fillRect/>
                    </a:stretch>
                  </pic:blipFill>
                  <pic:spPr bwMode="auto">
                    <a:xfrm>
                      <a:off x="0" y="0"/>
                      <a:ext cx="6311900" cy="177800"/>
                    </a:xfrm>
                    <a:prstGeom prst="rect">
                      <a:avLst/>
                    </a:prstGeom>
                    <a:noFill/>
                  </pic:spPr>
                </pic:pic>
              </a:graphicData>
            </a:graphic>
          </wp:anchor>
        </w:drawing>
      </w:r>
    </w:p>
    <w:p>
      <w:pPr>
        <w:spacing w:after="0" w:line="183" w:lineRule="exact"/>
        <w:rPr>
          <w:sz w:val="20"/>
          <w:szCs w:val="20"/>
          <w:color w:val="auto"/>
        </w:rPr>
      </w:pPr>
    </w:p>
    <w:p>
      <w:pPr>
        <w:ind w:right="900" w:firstLine="360"/>
        <w:spacing w:after="0" w:line="286" w:lineRule="auto"/>
        <w:rPr>
          <w:sz w:val="20"/>
          <w:szCs w:val="20"/>
          <w:color w:val="auto"/>
        </w:rPr>
      </w:pPr>
      <w:r>
        <w:rPr>
          <w:rFonts w:ascii="Times New Roman" w:cs="Times New Roman" w:eastAsia="Times New Roman" w:hAnsi="Times New Roman"/>
          <w:sz w:val="20"/>
          <w:szCs w:val="20"/>
          <w:color w:val="auto"/>
        </w:rPr>
        <w:t>For the biography of each of Mr. Patel and Dr. Mallick, please see “</w:t>
      </w:r>
      <w:r>
        <w:rPr>
          <w:rFonts w:ascii="Times New Roman" w:cs="Times New Roman" w:eastAsia="Times New Roman" w:hAnsi="Times New Roman"/>
          <w:sz w:val="20"/>
          <w:szCs w:val="20"/>
          <w:b w:val="1"/>
          <w:bCs w:val="1"/>
          <w:i w:val="1"/>
          <w:iCs w:val="1"/>
          <w:color w:val="auto"/>
        </w:rPr>
        <w:t>Directors, Executive Officers and Corporate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Governance – Board of Directors</w:t>
      </w:r>
      <w:r>
        <w:rPr>
          <w:rFonts w:ascii="Times New Roman" w:cs="Times New Roman" w:eastAsia="Times New Roman" w:hAnsi="Times New Roman"/>
          <w:sz w:val="20"/>
          <w:szCs w:val="20"/>
          <w:color w:val="auto"/>
        </w:rPr>
        <w:t>.”</w:t>
      </w:r>
    </w:p>
    <w:p>
      <w:pPr>
        <w:spacing w:after="0" w:line="112" w:lineRule="exact"/>
        <w:rPr>
          <w:sz w:val="20"/>
          <w:szCs w:val="20"/>
          <w:color w:val="auto"/>
        </w:rPr>
      </w:pPr>
    </w:p>
    <w:p>
      <w:pPr>
        <w:ind w:right="60" w:firstLine="36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Anna Mowry</w:t>
      </w:r>
      <w:r>
        <w:rPr>
          <w:rFonts w:ascii="Times New Roman" w:cs="Times New Roman" w:eastAsia="Times New Roman" w:hAnsi="Times New Roman"/>
          <w:sz w:val="20"/>
          <w:szCs w:val="20"/>
          <w:color w:val="auto"/>
        </w:rPr>
        <w:t>. Anna Mowry has served as our Chief Financial Officer and Treasurer since June 2021. Ms. Mowry served as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Legacy Nautilus’ Chief Financial Officer and Treasurer from January 2021 through the closing of the Business Combination. Previously, Ms. Mowry served as Vice President of Finance and Operations at Igneous, Inc., an unstructured data management solutions company, from April 2018 to December 2020. From August 2014 to March 2018, Ms. Mowry served at ExtraHop Networks, Inc., a cloud-native network detection and response company, initially as Director of Finance and subsequently, as Senior Director of Finance and Sales Operations. From January 2014 to July 2014, Ms. Mowry served as Senior Manager of Worldwide Operations, Commercial Sales at Amazon Web Services, a provider of cloud computing services. Ms. Mowry held a variety of finance and operational roles at Isilon Systems, an enterprise data storage company, from November 2006 until Isilon Systems was acquired by EMC Corporation, an enterprise storage systems and software company, in December 2010. Following the acquisition, Ms. Mowry served as Director of Sales Finance and Operation of EMC’s Isilon Storage Division until December 2013. Ms. Mowry holds a B.S. in Biochemistry from Western Washington University and a master’s in business administration in finance from the University of Washington.</w:t>
      </w:r>
    </w:p>
    <w:p>
      <w:pPr>
        <w:sectPr>
          <w:pgSz w:w="12240" w:h="15840" w:orient="portrait"/>
          <w:cols w:equalWidth="0" w:num="1">
            <w:col w:w="10260"/>
          </w:cols>
          <w:pgMar w:left="1000" w:top="793" w:right="980" w:bottom="0" w:gutter="0" w:footer="0" w:header="0"/>
        </w:sectPr>
      </w:pPr>
    </w:p>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114</w:t>
      </w:r>
    </w:p>
    <w:p>
      <w:pPr>
        <w:sectPr>
          <w:pgSz w:w="12240" w:h="15840" w:orient="portrait"/>
          <w:cols w:equalWidth="0" w:num="1">
            <w:col w:w="10260"/>
          </w:cols>
          <w:pgMar w:left="1000" w:top="793" w:right="980" w:bottom="0" w:gutter="0" w:footer="0" w:header="0"/>
          <w:type w:val="continuous"/>
        </w:sectPr>
      </w:pPr>
    </w:p>
    <w:bookmarkStart w:id="116" w:name="page117"/>
    <w:bookmarkEnd w:id="116"/>
    <w:p>
      <w:pPr>
        <w:ind w:right="20" w:firstLine="36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Nick Nelson</w:t>
      </w:r>
      <w:r>
        <w:rPr>
          <w:rFonts w:ascii="Times New Roman" w:cs="Times New Roman" w:eastAsia="Times New Roman" w:hAnsi="Times New Roman"/>
          <w:sz w:val="20"/>
          <w:szCs w:val="20"/>
          <w:color w:val="auto"/>
        </w:rPr>
        <w:t>. Nick Nelson has served as our Chief Business Officer and Senior Vice President, Business Development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since June 2021. Mr Nelson served as Legacy Nautilus’ Chief Business Officer and Senior Vice President, Business Development from October 2020 through the closing of the Business Combination. Previously, Mr. Nelson served as Chief Business Officer and Senior Vice President at Caris Life Sciences, Inc., an oncology precision medicine diagnostic company, from May 2018 to July 2020. Prior to Caris, Mr. Nelson served as Vice President of Corporate Development at Trovagene, Inc. (now Cardiff Oncology, Inc.), an oncology diagnostic and therapeutics company, from March 2015 to May 2018. Prior to joining Trovagene, Mr. Nelson spent 10 years at Illumina, Inc., a biotechnology company, in positions spanning research and development, technical service, sales, market development and business management. Mr. Nelson holds a B.S. in Cellular and Molecular Biology from San Diego State University.</w:t>
      </w:r>
    </w:p>
    <w:p>
      <w:pPr>
        <w:spacing w:after="0" w:line="149"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Subra Sankar</w:t>
      </w:r>
      <w:r>
        <w:rPr>
          <w:rFonts w:ascii="Times New Roman" w:cs="Times New Roman" w:eastAsia="Times New Roman" w:hAnsi="Times New Roman"/>
          <w:sz w:val="20"/>
          <w:szCs w:val="20"/>
          <w:color w:val="auto"/>
        </w:rPr>
        <w:t>. Subra Sankar has served as our Senior Vice President, Product Development since June 2021. Dr. Sankar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served as Legacy Nautilus’ Senior Vice President, Product Development from December 2020 through the closing of the Business Combination. Previously, Dr. Sankar served at GenapSys Inc., a DNA sequencing technology company, as Senior Vice President, Product Development from November 2019 to December 2020 and Vice President, Product Development from July 2015 to November 2019. Prior to joining GenapSys, Dr. Sankar served as the Vice President, Engineering and Development at LumaSense Technologies, Inc., a temperature and gas sensing solutions company, from January 2014 to July 2015. Dr. Sankar holds a B.Tech. in Aeronautical Engineering from the Indian Institute of Technology, Madras, India, a Master of Science degree in Aerospace Engineering from Georgia Institute of Technology, a Ph.D. in Aerospace Engineering from Georgia Institute of Technology, and a Master of Business Administration degree from Haas School of Business, University of California, Berkeley.</w:t>
      </w:r>
    </w:p>
    <w:p>
      <w:pPr>
        <w:spacing w:after="0" w:line="146"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Matthew Murphy</w:t>
      </w:r>
      <w:r>
        <w:rPr>
          <w:rFonts w:ascii="Times New Roman" w:cs="Times New Roman" w:eastAsia="Times New Roman" w:hAnsi="Times New Roman"/>
          <w:sz w:val="20"/>
          <w:szCs w:val="20"/>
          <w:color w:val="auto"/>
        </w:rPr>
        <w:t>. Matthew Murphy has served as our General Counsel since June 2021. Mr. Murphy served as Legacy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Nautilus’ General Counsel from April 2021 through the closing of the Business Combination. Prior to joining us, from August 2020 to March 2021, Mr. Murphy provided advisory services to various life sciences companies and, from July 2018 to August 2020, Mr. Murphy served as a Strategic Consultant and Consulting General Counsel to various life sciences and technology companies. From August 2016 to July 2018, Mr. Murphy served as General Counsel at BioElectron Technology Corporation, a clinical-stage biotechnology company. From February 2014 to July 2016, Mr. Murphy served as Vice President, General Counsel and Secretary at 10X Genomics, Inc., a biotechnology company that designs and manufactures gene sequencing technology used in scientific research. Mr. Murphy also previously served in Vice President and General Counsel roles at various companies including Siluria Technologies, Inc. and Pacific Biosciences of California, Inc. Mr. Murphy holds a B.S. in Fermentation Science from the University of California at Davis and a J.D. from the University of San Francisco School of Law.</w:t>
      </w:r>
    </w:p>
    <w:p>
      <w:pPr>
        <w:spacing w:after="0" w:line="143" w:lineRule="exact"/>
        <w:rPr>
          <w:sz w:val="20"/>
          <w:szCs w:val="20"/>
          <w:color w:val="auto"/>
        </w:rPr>
      </w:pPr>
    </w:p>
    <w:p>
      <w:pPr>
        <w:ind w:right="100" w:firstLine="36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Gwen Weld. </w:t>
      </w:r>
      <w:r>
        <w:rPr>
          <w:rFonts w:ascii="Times New Roman" w:cs="Times New Roman" w:eastAsia="Times New Roman" w:hAnsi="Times New Roman"/>
          <w:sz w:val="20"/>
          <w:szCs w:val="20"/>
          <w:color w:val="auto"/>
        </w:rPr>
        <w:t>Gwen Weld has served as our Chief People Officer since April 2022. Ms. Weld served as a human resources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consultant for us and Legacy Nautilus from September 2020 to April 2022. Prior to joining us, from April 2019 to April 2022, Ms. Weld served as Interim Chief People Officer at Amperity, a software company. From April 2021 to April 2022, Ms. Weld served as a human resources consultant for OctoML, a software development company. From June 2006 to December 2011, Ms. Weld served as Vice President of Global People and Infrastructure at Isilon Systems, an enterprise data storage company, and previously served as General Manager of Human Resources at Microsoft Corporation, a technology company, for nearly twenty years, leading Microsoft’s human resources agenda for its various groups and overseeing worldwide recruiting and alternative staffing. Ms. Weld studied business administration at Pace University.</w:t>
      </w:r>
    </w:p>
    <w:p>
      <w:pPr>
        <w:spacing w:after="0" w:line="145" w:lineRule="exact"/>
        <w:rPr>
          <w:sz w:val="20"/>
          <w:szCs w:val="20"/>
          <w:color w:val="auto"/>
        </w:rPr>
      </w:pPr>
    </w:p>
    <w:p>
      <w:pPr>
        <w:jc w:val="both"/>
        <w:ind w:right="20" w:firstLine="3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Mary Godwin</w:t>
      </w:r>
      <w:r>
        <w:rPr>
          <w:rFonts w:ascii="Times New Roman" w:cs="Times New Roman" w:eastAsia="Times New Roman" w:hAnsi="Times New Roman"/>
          <w:sz w:val="20"/>
          <w:szCs w:val="20"/>
          <w:color w:val="auto"/>
        </w:rPr>
        <w:t>. Mary Godwin has served as our Senior Vice President, Operations since July 2022. Ms. Godwin previously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served as our Vice President, Operations from January 2020 to June 2022. Prior to joining us, from January 2014 to November 2018, Ms. Godwin served as Vice President, Operations at Qumulo, Inc., a data storage company. Ms. Godwin holds a B.S. in Plastics Engineering from the University of Massachusetts, Lowell and a Master of Business Administration degree from Santa Clara University.</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Family Relationships</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There are no family relationships among any of our directors or executive officers.</w:t>
      </w:r>
    </w:p>
    <w:p>
      <w:pPr>
        <w:spacing w:after="0" w:line="1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Director Independence</w:t>
      </w:r>
    </w:p>
    <w:p>
      <w:pPr>
        <w:spacing w:after="0" w:line="197"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20"/>
          <w:szCs w:val="20"/>
          <w:color w:val="auto"/>
        </w:rPr>
        <w:t>Our common stock is listed on Nasdaq. As a company listed on Nasdaq, we are required under Nasdaq listing rules to maintain a board comprised of a majority of independent directors as determined affirmatively by our board. Under Nasdaq listing rules, a director will only qualify as an independent director if, in the opinion of that listed company’s board of directors, the director does not have a relationship that would interfere with the exercise of independent judgment in carrying out the responsibilities of a director. In addition, the Nasdaq listing rules require that, subject to specified exceptions, each member of our audit, compensation and nominating and governance committees be independent.</w:t>
      </w:r>
    </w:p>
    <w:p>
      <w:pPr>
        <w:sectPr>
          <w:pgSz w:w="12240" w:h="15840" w:orient="portrait"/>
          <w:cols w:equalWidth="0" w:num="1">
            <w:col w:w="10200"/>
          </w:cols>
          <w:pgMar w:left="1000" w:top="789"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115</w:t>
      </w:r>
    </w:p>
    <w:p>
      <w:pPr>
        <w:sectPr>
          <w:pgSz w:w="12240" w:h="15840" w:orient="portrait"/>
          <w:cols w:equalWidth="0" w:num="1">
            <w:col w:w="10200"/>
          </w:cols>
          <w:pgMar w:left="1000" w:top="789" w:right="1040" w:bottom="0" w:gutter="0" w:footer="0" w:header="0"/>
          <w:type w:val="continuous"/>
        </w:sectPr>
      </w:pPr>
    </w:p>
    <w:bookmarkStart w:id="117" w:name="page118"/>
    <w:bookmarkEnd w:id="117"/>
    <w:p>
      <w:pPr>
        <w:ind w:right="400" w:firstLine="360"/>
        <w:spacing w:after="0" w:line="260" w:lineRule="auto"/>
        <w:rPr>
          <w:sz w:val="20"/>
          <w:szCs w:val="20"/>
          <w:color w:val="auto"/>
        </w:rPr>
      </w:pPr>
      <w:r>
        <w:rPr>
          <w:rFonts w:ascii="Times New Roman" w:cs="Times New Roman" w:eastAsia="Times New Roman" w:hAnsi="Times New Roman"/>
          <w:sz w:val="20"/>
          <w:szCs w:val="20"/>
          <w:color w:val="auto"/>
        </w:rPr>
        <w:t>Audit committee members must also satisfy the additional independence criteria set forth in Rule 10A-3 under the Securities Exchange Act of 1934, as amended, or the Exchange Act, and Nasdaq listing rules applicable to audit committee members. Compensation committee members must also satisfy the additional independence criteria set forth in Rule 10C-1 under the Exchange Act and Nasdaq listing rules applicable to compensation committee members.</w:t>
      </w:r>
    </w:p>
    <w:p>
      <w:pPr>
        <w:spacing w:after="0" w:line="143"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20"/>
          <w:szCs w:val="20"/>
          <w:color w:val="auto"/>
        </w:rPr>
        <w:t>Our board of directors has undertaken a review of the independence of each of our directors. Based on information provided by each director concerning his or her background, employment and affiliations, our board of directors has determined that none of Mr. Pande, Mr. Altman, Mr. Nazem, Mr. McIlwain, Ms. Epperly, Mr. Posard and Ms. Akinsanya, representing seven of our nine directors, has a relationship that would interfere with the exercise of independent judgment in carrying out the responsibilities of a director and that each of these directors is an “independent director” as defined under the listing standards of Nasdaq. Sujal Patel is not considered an independent director because of his position as our Chief Executive Officer, President and Secretary and Parag Mallick is not considered an independent director because of his position as our Chief Scientist.</w:t>
      </w:r>
    </w:p>
    <w:p>
      <w:pPr>
        <w:spacing w:after="0" w:line="153" w:lineRule="exact"/>
        <w:rPr>
          <w:sz w:val="20"/>
          <w:szCs w:val="20"/>
          <w:color w:val="auto"/>
        </w:rPr>
      </w:pPr>
    </w:p>
    <w:p>
      <w:pPr>
        <w:ind w:right="60" w:firstLine="360"/>
        <w:spacing w:after="0" w:line="258" w:lineRule="auto"/>
        <w:rPr>
          <w:sz w:val="20"/>
          <w:szCs w:val="20"/>
          <w:color w:val="auto"/>
        </w:rPr>
      </w:pPr>
      <w:r>
        <w:rPr>
          <w:rFonts w:ascii="Times New Roman" w:cs="Times New Roman" w:eastAsia="Times New Roman" w:hAnsi="Times New Roman"/>
          <w:sz w:val="20"/>
          <w:szCs w:val="20"/>
          <w:color w:val="auto"/>
        </w:rPr>
        <w:t>In making these determinations, our board of directors considered the current and prior relationships that each non-employee director has with our company and all other facts and circumstances that our board of directors deemed relevant in determining their independence, including the beneficial ownership of our capital stock by each non-employee director, and the transactions involving them described in the section titled “</w:t>
      </w:r>
      <w:r>
        <w:rPr>
          <w:rFonts w:ascii="Times New Roman" w:cs="Times New Roman" w:eastAsia="Times New Roman" w:hAnsi="Times New Roman"/>
          <w:sz w:val="20"/>
          <w:szCs w:val="20"/>
          <w:b w:val="1"/>
          <w:bCs w:val="1"/>
          <w:i w:val="1"/>
          <w:iCs w:val="1"/>
          <w:color w:val="auto"/>
        </w:rPr>
        <w:t>Certain Relationships and Related Transactions, and Director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Independence</w:t>
      </w:r>
      <w:r>
        <w:rPr>
          <w:rFonts w:ascii="Times New Roman" w:cs="Times New Roman" w:eastAsia="Times New Roman" w:hAnsi="Times New Roman"/>
          <w:sz w:val="20"/>
          <w:szCs w:val="20"/>
          <w:color w:val="auto"/>
        </w:rPr>
        <w:t>.”</w:t>
      </w:r>
    </w:p>
    <w:p>
      <w:pPr>
        <w:spacing w:after="0" w:line="1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Board Leadership Structure</w:t>
      </w:r>
    </w:p>
    <w:p>
      <w:pPr>
        <w:spacing w:after="0" w:line="197" w:lineRule="exact"/>
        <w:rPr>
          <w:sz w:val="20"/>
          <w:szCs w:val="20"/>
          <w:color w:val="auto"/>
        </w:rPr>
      </w:pPr>
    </w:p>
    <w:p>
      <w:pPr>
        <w:ind w:right="80" w:firstLine="360"/>
        <w:spacing w:after="0" w:line="256" w:lineRule="auto"/>
        <w:rPr>
          <w:sz w:val="20"/>
          <w:szCs w:val="20"/>
          <w:color w:val="auto"/>
        </w:rPr>
      </w:pPr>
      <w:r>
        <w:rPr>
          <w:rFonts w:ascii="Times New Roman" w:cs="Times New Roman" w:eastAsia="Times New Roman" w:hAnsi="Times New Roman"/>
          <w:sz w:val="20"/>
          <w:szCs w:val="20"/>
          <w:color w:val="auto"/>
        </w:rPr>
        <w:t>Our corporate governance framework provides our board flexibility to determine the appropriate leadership structure for the company, and whether the roles of chairperson and chief executive officer should be separated or combined. In making this determination, our board considers many factors, including the needs of the business, our board’s assessment of its leadership needs from time to time and the best interests of our stockholders. If the role of chairperson is filled by a director who does not qualify as an independent director, then our corporate governance guidelines provide that one of our independent directors may serve as our lead independent director.</w:t>
      </w:r>
    </w:p>
    <w:p>
      <w:pPr>
        <w:spacing w:after="0" w:line="148"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20"/>
          <w:szCs w:val="20"/>
          <w:color w:val="auto"/>
        </w:rPr>
        <w:t>Our board believes that it is currently appropriate to separate the roles of chairperson and chief executive officer. The chief executive officer is responsible for day-to-day leadership, while our chairperson, along with the rest of our independent directors, ensures that our board’s time and attention is focused on providing independent oversight of management and matters critical to our company. The board believes that Mr. Posard’s deep knowledge of the company and industry, as well as strong leadership and governance experience, enable Mr. Posard to lead our board effectively and independently.</w:t>
      </w:r>
    </w:p>
    <w:p>
      <w:pPr>
        <w:spacing w:after="0" w:line="1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Role of Board in Risk Oversight Process</w:t>
      </w:r>
    </w:p>
    <w:p>
      <w:pPr>
        <w:spacing w:after="0" w:line="197" w:lineRule="exact"/>
        <w:rPr>
          <w:sz w:val="20"/>
          <w:szCs w:val="20"/>
          <w:color w:val="auto"/>
        </w:rPr>
      </w:pPr>
    </w:p>
    <w:p>
      <w:pPr>
        <w:ind w:right="40" w:firstLine="360"/>
        <w:spacing w:after="0" w:line="253" w:lineRule="auto"/>
        <w:rPr>
          <w:sz w:val="20"/>
          <w:szCs w:val="20"/>
          <w:color w:val="auto"/>
        </w:rPr>
      </w:pPr>
      <w:r>
        <w:rPr>
          <w:rFonts w:ascii="Times New Roman" w:cs="Times New Roman" w:eastAsia="Times New Roman" w:hAnsi="Times New Roman"/>
          <w:sz w:val="20"/>
          <w:szCs w:val="20"/>
          <w:color w:val="auto"/>
        </w:rPr>
        <w:t>One of the key functions of our board of directors is informed oversight of the risk management process. 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has the responsibility to consider and discuss major financial risk exposures as well as risks and exposures associated with cybersecurity, information security and privacy matters, and the steps our management takes to monitor and control such exposures, including guidelines and policies to govern the process by which risk assessment and management is undertaken. The audit committee also monitors compliance with legal and regulatory requirements. Our compensation committee is responsible for overseeing the management of risks relating to executive compensation plans and arrangements. The compensation committee also assesses and monitors whether compensation plans, policies and programs comply with applicable legal and regulatory requirements.</w:t>
      </w:r>
    </w:p>
    <w:p>
      <w:pPr>
        <w:spacing w:after="0" w:line="1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Board Committees</w:t>
      </w:r>
    </w:p>
    <w:p>
      <w:pPr>
        <w:spacing w:after="0" w:line="197" w:lineRule="exact"/>
        <w:rPr>
          <w:sz w:val="20"/>
          <w:szCs w:val="20"/>
          <w:color w:val="auto"/>
        </w:rPr>
      </w:pPr>
    </w:p>
    <w:p>
      <w:pPr>
        <w:ind w:right="160" w:firstLine="360"/>
        <w:spacing w:after="0" w:line="266" w:lineRule="auto"/>
        <w:rPr>
          <w:sz w:val="20"/>
          <w:szCs w:val="20"/>
          <w:color w:val="auto"/>
        </w:rPr>
      </w:pPr>
      <w:r>
        <w:rPr>
          <w:rFonts w:ascii="Times New Roman" w:cs="Times New Roman" w:eastAsia="Times New Roman" w:hAnsi="Times New Roman"/>
          <w:sz w:val="20"/>
          <w:szCs w:val="20"/>
          <w:color w:val="auto"/>
        </w:rPr>
        <w:t>Our board of directors has established the following standing committees of the board: audit committee; compensation committee; and nominating and governance committee. The composition and responsibilities of each of the committees of our board of directors is described below.</w:t>
      </w:r>
    </w:p>
    <w:p>
      <w:pPr>
        <w:spacing w:after="0" w:line="1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Audit Committee</w:t>
      </w:r>
    </w:p>
    <w:p>
      <w:pPr>
        <w:spacing w:after="0" w:line="199" w:lineRule="exact"/>
        <w:rPr>
          <w:sz w:val="20"/>
          <w:szCs w:val="20"/>
          <w:color w:val="auto"/>
        </w:rPr>
      </w:pPr>
    </w:p>
    <w:p>
      <w:pPr>
        <w:ind w:firstLine="360"/>
        <w:spacing w:after="0" w:line="278" w:lineRule="auto"/>
        <w:rPr>
          <w:sz w:val="20"/>
          <w:szCs w:val="20"/>
          <w:color w:val="auto"/>
        </w:rPr>
      </w:pPr>
      <w:r>
        <w:rPr>
          <w:rFonts w:ascii="Times New Roman" w:cs="Times New Roman" w:eastAsia="Times New Roman" w:hAnsi="Times New Roman"/>
          <w:sz w:val="19"/>
          <w:szCs w:val="19"/>
          <w:color w:val="auto"/>
        </w:rPr>
        <w:t>The current members of our audit committee are Ms. Epperly, Mr. McIlwain and Mr. Posard. Ms. Epperly is the chairperson of our audit committee. Our board of directors has determined that each member of our audit committee meets the requirements for independence of audit committee members under the rules and regulations of the SEC and the listing standards of Nasdaq, and also meets the financial literacy requirements of the listing standards of Nasdaq. Our board of directors has</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2240" w:h="15840" w:orient="portrait"/>
          <w:cols w:equalWidth="0" w:num="1">
            <w:col w:w="10240"/>
          </w:cols>
          <w:pgMar w:left="1000" w:top="793" w:right="1000" w:bottom="0" w:gutter="0" w:footer="0" w:header="0"/>
          <w:type w:val="continuous"/>
        </w:sectPr>
      </w:pPr>
    </w:p>
    <w:bookmarkStart w:id="118" w:name="page119"/>
    <w:bookmarkEnd w:id="118"/>
    <w:p>
      <w:pPr>
        <w:ind w:right="520"/>
        <w:spacing w:after="0" w:line="281" w:lineRule="auto"/>
        <w:rPr>
          <w:sz w:val="20"/>
          <w:szCs w:val="20"/>
          <w:color w:val="auto"/>
        </w:rPr>
      </w:pPr>
      <w:r>
        <w:rPr>
          <w:rFonts w:ascii="Times New Roman" w:cs="Times New Roman" w:eastAsia="Times New Roman" w:hAnsi="Times New Roman"/>
          <w:sz w:val="20"/>
          <w:szCs w:val="20"/>
          <w:color w:val="auto"/>
        </w:rPr>
        <w:t>determined that each of Ms. Epperly and Mr. McIlwain is an audit committee financial expert within the meaning of Item 407(d) of Regulation S-K. Our audit committee is responsible for, among other things:</w:t>
      </w:r>
    </w:p>
    <w:p>
      <w:pPr>
        <w:spacing w:after="0" w:line="121" w:lineRule="exact"/>
        <w:rPr>
          <w:sz w:val="20"/>
          <w:szCs w:val="20"/>
          <w:color w:val="auto"/>
        </w:rPr>
      </w:pPr>
    </w:p>
    <w:p>
      <w:pPr>
        <w:ind w:right="640" w:firstLine="350"/>
        <w:spacing w:after="0" w:line="281" w:lineRule="auto"/>
        <w:tabs>
          <w:tab w:leader="none" w:pos="7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selecting, retaining, compensating, evaluating, overseeing and, where appropriate, terminating our independent registered public accounting firm;</w:t>
      </w:r>
    </w:p>
    <w:p>
      <w:pPr>
        <w:spacing w:after="0" w:line="121" w:lineRule="exact"/>
        <w:rPr>
          <w:rFonts w:ascii="Times New Roman" w:cs="Times New Roman" w:eastAsia="Times New Roman" w:hAnsi="Times New Roman"/>
          <w:sz w:val="20"/>
          <w:szCs w:val="20"/>
          <w:color w:val="auto"/>
        </w:rPr>
      </w:pPr>
    </w:p>
    <w:p>
      <w:pPr>
        <w:ind w:right="440" w:firstLine="350"/>
        <w:spacing w:after="0" w:line="281" w:lineRule="auto"/>
        <w:tabs>
          <w:tab w:leader="none" w:pos="7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approving the scope and plans for the audits and the audit fees and approving all non-audit and tax services to be performed by the independent auditor;</w:t>
      </w:r>
    </w:p>
    <w:p>
      <w:pPr>
        <w:spacing w:after="0" w:line="12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evaluating the independence and qualifications of our independent registered public accounting firm;</w:t>
      </w:r>
    </w:p>
    <w:p>
      <w:pPr>
        <w:spacing w:after="0" w:line="190" w:lineRule="exact"/>
        <w:rPr>
          <w:rFonts w:ascii="Times New Roman" w:cs="Times New Roman" w:eastAsia="Times New Roman" w:hAnsi="Times New Roman"/>
          <w:sz w:val="20"/>
          <w:szCs w:val="20"/>
          <w:color w:val="auto"/>
        </w:rPr>
      </w:pPr>
    </w:p>
    <w:p>
      <w:pPr>
        <w:ind w:right="20" w:firstLine="350"/>
        <w:spacing w:after="0" w:line="281" w:lineRule="auto"/>
        <w:tabs>
          <w:tab w:leader="none" w:pos="7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our financial statements, and discussing with management and our independent registered public accounting firm the results of the annual audit and the quarterly reviews;</w:t>
      </w:r>
    </w:p>
    <w:p>
      <w:pPr>
        <w:spacing w:after="0" w:line="121" w:lineRule="exact"/>
        <w:rPr>
          <w:rFonts w:ascii="Times New Roman" w:cs="Times New Roman" w:eastAsia="Times New Roman" w:hAnsi="Times New Roman"/>
          <w:sz w:val="20"/>
          <w:szCs w:val="20"/>
          <w:color w:val="auto"/>
        </w:rPr>
      </w:pPr>
    </w:p>
    <w:p>
      <w:pPr>
        <w:ind w:right="380" w:firstLine="350"/>
        <w:spacing w:after="0" w:line="281" w:lineRule="auto"/>
        <w:tabs>
          <w:tab w:leader="none" w:pos="7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discussing with management and our independent registered public accounting firm the quality and adequacy of our internal controls and our disclosure controls and procedures;</w:t>
      </w:r>
    </w:p>
    <w:p>
      <w:pPr>
        <w:spacing w:after="0" w:line="121" w:lineRule="exact"/>
        <w:rPr>
          <w:rFonts w:ascii="Times New Roman" w:cs="Times New Roman" w:eastAsia="Times New Roman" w:hAnsi="Times New Roman"/>
          <w:sz w:val="20"/>
          <w:szCs w:val="20"/>
          <w:color w:val="auto"/>
        </w:rPr>
      </w:pPr>
    </w:p>
    <w:p>
      <w:pPr>
        <w:ind w:right="300" w:firstLine="350"/>
        <w:spacing w:after="0" w:line="281" w:lineRule="auto"/>
        <w:tabs>
          <w:tab w:leader="none" w:pos="7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discussing with management our procedures regarding the presentation of our financial information, and reviewing earnings press releases and guidance;</w:t>
      </w:r>
    </w:p>
    <w:p>
      <w:pPr>
        <w:spacing w:after="0" w:line="12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overseeing the design, implementation and performance of our internal audit function, if any;</w:t>
      </w:r>
    </w:p>
    <w:p>
      <w:pPr>
        <w:spacing w:after="0" w:line="190" w:lineRule="exact"/>
        <w:rPr>
          <w:rFonts w:ascii="Times New Roman" w:cs="Times New Roman" w:eastAsia="Times New Roman" w:hAnsi="Times New Roman"/>
          <w:sz w:val="20"/>
          <w:szCs w:val="20"/>
          <w:color w:val="auto"/>
        </w:rPr>
      </w:pPr>
    </w:p>
    <w:p>
      <w:pPr>
        <w:ind w:right="320" w:firstLine="350"/>
        <w:spacing w:after="0" w:line="281" w:lineRule="auto"/>
        <w:tabs>
          <w:tab w:leader="none" w:pos="7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setting hiring policies with regard to the hiring of employees and former employees of our independent auditor and overseeing compliance with such policies;</w:t>
      </w:r>
    </w:p>
    <w:p>
      <w:pPr>
        <w:spacing w:after="0" w:line="12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approving and monitoring related party transactions;</w:t>
      </w:r>
    </w:p>
    <w:p>
      <w:pPr>
        <w:spacing w:after="0" w:line="190" w:lineRule="exact"/>
        <w:rPr>
          <w:rFonts w:ascii="Times New Roman" w:cs="Times New Roman" w:eastAsia="Times New Roman" w:hAnsi="Times New Roman"/>
          <w:sz w:val="20"/>
          <w:szCs w:val="20"/>
          <w:color w:val="auto"/>
        </w:rPr>
      </w:pPr>
    </w:p>
    <w:p>
      <w:pPr>
        <w:ind w:firstLine="350"/>
        <w:spacing w:after="0" w:line="281" w:lineRule="auto"/>
        <w:tabs>
          <w:tab w:leader="none" w:pos="7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monitoring compliance with our code of business conduct and ethics, and reviewing conflicts of interest of our board members and officers;</w:t>
      </w:r>
    </w:p>
    <w:p>
      <w:pPr>
        <w:spacing w:after="0" w:line="121" w:lineRule="exact"/>
        <w:rPr>
          <w:rFonts w:ascii="Times New Roman" w:cs="Times New Roman" w:eastAsia="Times New Roman" w:hAnsi="Times New Roman"/>
          <w:sz w:val="20"/>
          <w:szCs w:val="20"/>
          <w:color w:val="auto"/>
        </w:rPr>
      </w:pPr>
    </w:p>
    <w:p>
      <w:pPr>
        <w:ind w:right="440" w:firstLine="350"/>
        <w:spacing w:after="0" w:line="266" w:lineRule="auto"/>
        <w:tabs>
          <w:tab w:leader="none" w:pos="7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adopting and overseeing procedures to address complaints regarding accounting, internal accounting controls and auditing matters, including confidential, anonymous submissions by our employees of concerns regarding questionable accounting or auditing matters;</w:t>
      </w:r>
    </w:p>
    <w:p>
      <w:pPr>
        <w:spacing w:after="0" w:line="135" w:lineRule="exact"/>
        <w:rPr>
          <w:rFonts w:ascii="Times New Roman" w:cs="Times New Roman" w:eastAsia="Times New Roman" w:hAnsi="Times New Roman"/>
          <w:sz w:val="20"/>
          <w:szCs w:val="20"/>
          <w:color w:val="auto"/>
        </w:rPr>
      </w:pPr>
    </w:p>
    <w:p>
      <w:pPr>
        <w:ind w:right="160" w:firstLine="350"/>
        <w:spacing w:after="0" w:line="281" w:lineRule="auto"/>
        <w:tabs>
          <w:tab w:leader="none" w:pos="7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discussing with management and our independent auditor the adequacy and effectiveness of our legal, regulatory and ethical compliance programs; and</w:t>
      </w:r>
    </w:p>
    <w:p>
      <w:pPr>
        <w:spacing w:after="0" w:line="121" w:lineRule="exact"/>
        <w:rPr>
          <w:rFonts w:ascii="Times New Roman" w:cs="Times New Roman" w:eastAsia="Times New Roman" w:hAnsi="Times New Roman"/>
          <w:sz w:val="20"/>
          <w:szCs w:val="20"/>
          <w:color w:val="auto"/>
        </w:rPr>
      </w:pPr>
    </w:p>
    <w:p>
      <w:pPr>
        <w:ind w:right="380" w:firstLine="350"/>
        <w:spacing w:after="0" w:line="266" w:lineRule="auto"/>
        <w:tabs>
          <w:tab w:leader="none" w:pos="7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discussing with management and our independent auditor our guidelines and policies to identify, monitor and address enterprise risks, including major financial risks exposures and and risks and exposures associated with cybersecurity, information security and privacy matters.</w:t>
      </w:r>
    </w:p>
    <w:p>
      <w:pPr>
        <w:spacing w:after="0" w:line="135" w:lineRule="exact"/>
        <w:rPr>
          <w:sz w:val="20"/>
          <w:szCs w:val="20"/>
          <w:color w:val="auto"/>
        </w:rPr>
      </w:pPr>
    </w:p>
    <w:p>
      <w:pPr>
        <w:ind w:right="160" w:firstLine="360"/>
        <w:spacing w:after="0" w:line="266" w:lineRule="auto"/>
        <w:rPr>
          <w:sz w:val="20"/>
          <w:szCs w:val="20"/>
          <w:color w:val="auto"/>
        </w:rPr>
      </w:pPr>
      <w:r>
        <w:rPr>
          <w:rFonts w:ascii="Times New Roman" w:cs="Times New Roman" w:eastAsia="Times New Roman" w:hAnsi="Times New Roman"/>
          <w:sz w:val="20"/>
          <w:szCs w:val="20"/>
          <w:color w:val="auto"/>
        </w:rPr>
        <w:t>Our audit committee operates under a written charter that satisfies the applicable rules and regulations of the SEC and the listing standards of Nasdaq. A copy of the charter of our audit committee is available on our website at http:// investors.nautilus.bio/. During 2023, our audit committee held four meetings.</w:t>
      </w:r>
    </w:p>
    <w:p>
      <w:pPr>
        <w:spacing w:after="0" w:line="1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Compensation Committee</w:t>
      </w:r>
    </w:p>
    <w:p>
      <w:pPr>
        <w:spacing w:after="0" w:line="199" w:lineRule="exact"/>
        <w:rPr>
          <w:sz w:val="20"/>
          <w:szCs w:val="20"/>
          <w:color w:val="auto"/>
        </w:rPr>
      </w:pPr>
    </w:p>
    <w:p>
      <w:pPr>
        <w:ind w:right="120" w:firstLine="360"/>
        <w:spacing w:after="0" w:line="256" w:lineRule="auto"/>
        <w:rPr>
          <w:sz w:val="20"/>
          <w:szCs w:val="20"/>
          <w:color w:val="auto"/>
        </w:rPr>
      </w:pPr>
      <w:r>
        <w:rPr>
          <w:rFonts w:ascii="Times New Roman" w:cs="Times New Roman" w:eastAsia="Times New Roman" w:hAnsi="Times New Roman"/>
          <w:sz w:val="20"/>
          <w:szCs w:val="20"/>
          <w:color w:val="auto"/>
        </w:rPr>
        <w:t>The current members of our compensation committee are Mr. Posard, Mr. Altman and Mr. Nazem. Mr. Posard is the chairperson of our compensation committee. Our board of directors has determined that each member of our compensation committee meets the requirements for independence for compensation committee members under the rules and regulations of the SEC and the listing standards of Nasdaq. Each member of the compensation committee is also a non-employee director, as defined pursuant to Rule 16b-3 promulgated under the Exchange Act. Our compensation committee is responsible for, among other things:</w:t>
      </w:r>
    </w:p>
    <w:p>
      <w:pPr>
        <w:spacing w:after="0" w:line="148" w:lineRule="exact"/>
        <w:rPr>
          <w:sz w:val="20"/>
          <w:szCs w:val="20"/>
          <w:color w:val="auto"/>
        </w:rPr>
      </w:pPr>
    </w:p>
    <w:p>
      <w:pPr>
        <w:ind w:right="600" w:firstLine="350"/>
        <w:spacing w:after="0" w:line="281" w:lineRule="auto"/>
        <w:tabs>
          <w:tab w:leader="none" w:pos="72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approving or making recommendations to our board of directors regarding the compensation for our executive officers, including our chief executive officer;</w:t>
      </w:r>
    </w:p>
    <w:p>
      <w:pPr>
        <w:spacing w:after="0" w:line="12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approving and administering our employee benefit and equity incentive plans;</w:t>
      </w:r>
    </w:p>
    <w:p>
      <w:pPr>
        <w:spacing w:after="0" w:line="190" w:lineRule="exact"/>
        <w:rPr>
          <w:rFonts w:ascii="Times New Roman" w:cs="Times New Roman" w:eastAsia="Times New Roman" w:hAnsi="Times New Roman"/>
          <w:sz w:val="20"/>
          <w:szCs w:val="20"/>
          <w:color w:val="auto"/>
        </w:rPr>
      </w:pPr>
    </w:p>
    <w:p>
      <w:pPr>
        <w:ind w:right="700" w:firstLine="350"/>
        <w:spacing w:after="0" w:line="281" w:lineRule="auto"/>
        <w:tabs>
          <w:tab w:leader="none" w:pos="72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establishing and reviewing the compensation plans and programs of our employees, and ensuring that they are consistent with our general compensation strategy;</w:t>
      </w:r>
    </w:p>
    <w:p>
      <w:pPr>
        <w:spacing w:after="0" w:line="12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monitoring compliance with any stock ownership guidelines;</w:t>
      </w:r>
    </w:p>
    <w:p>
      <w:pPr>
        <w:sectPr>
          <w:pgSz w:w="12240" w:h="15840" w:orient="portrait"/>
          <w:cols w:equalWidth="0" w:num="1">
            <w:col w:w="10220"/>
          </w:cols>
          <w:pgMar w:left="1000" w:top="793"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ectPr>
          <w:pgSz w:w="12240" w:h="15840" w:orient="portrait"/>
          <w:cols w:equalWidth="0" w:num="1">
            <w:col w:w="10220"/>
          </w:cols>
          <w:pgMar w:left="1000" w:top="793" w:right="1020" w:bottom="0" w:gutter="0" w:footer="0" w:header="0"/>
          <w:type w:val="continuous"/>
        </w:sectPr>
      </w:pPr>
    </w:p>
    <w:bookmarkStart w:id="119" w:name="page120"/>
    <w:bookmarkEnd w:id="119"/>
    <w:p>
      <w:pPr>
        <w:ind w:right="300" w:firstLine="350"/>
        <w:spacing w:after="0" w:line="281" w:lineRule="auto"/>
        <w:tabs>
          <w:tab w:leader="none" w:pos="72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approving or making recommendations to our board of directors regarding the creation or revision of any clawback policy; and</w:t>
      </w:r>
    </w:p>
    <w:p>
      <w:pPr>
        <w:spacing w:after="0" w:line="12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making recommendations to our board of directors regarding non-employee director compensation.</w:t>
      </w:r>
    </w:p>
    <w:p>
      <w:pPr>
        <w:spacing w:after="0" w:line="190" w:lineRule="exact"/>
        <w:rPr>
          <w:sz w:val="20"/>
          <w:szCs w:val="20"/>
          <w:color w:val="auto"/>
        </w:rPr>
      </w:pPr>
    </w:p>
    <w:p>
      <w:pPr>
        <w:jc w:val="both"/>
        <w:ind w:right="80" w:firstLine="360"/>
        <w:spacing w:after="0" w:line="266" w:lineRule="auto"/>
        <w:rPr>
          <w:sz w:val="20"/>
          <w:szCs w:val="20"/>
          <w:color w:val="auto"/>
        </w:rPr>
      </w:pPr>
      <w:r>
        <w:rPr>
          <w:rFonts w:ascii="Times New Roman" w:cs="Times New Roman" w:eastAsia="Times New Roman" w:hAnsi="Times New Roman"/>
          <w:sz w:val="20"/>
          <w:szCs w:val="20"/>
          <w:color w:val="auto"/>
        </w:rPr>
        <w:t>Our compensation committee operates under a written charter that satisfies the applicable rules and regulations of the SEC and the listing standards of Nasdaq. A copy of the charter of our compensation committee is available on our website at http:// investors.nautilus.bio/. During 2023, our compensation committee held four meetings.</w:t>
      </w:r>
    </w:p>
    <w:p>
      <w:pPr>
        <w:spacing w:after="0" w:line="1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Nominating and Governance Committee</w:t>
      </w:r>
    </w:p>
    <w:p>
      <w:pPr>
        <w:spacing w:after="0" w:line="199"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20"/>
          <w:szCs w:val="20"/>
          <w:color w:val="auto"/>
        </w:rPr>
        <w:t>The current members of our nominating and governance committee are Mr. McIlwain, Mr. Pande and Ms. Akinsanya. Mr. McIlwain is the chairperson of our nominating and governance committee. Our board of directors has determined that each member of our nominating and governance committee meets the requirements for independence for nominating and governance committee members under the listing standards of Nasdaq. Our nominating and governance committee is responsible for, among other things:</w:t>
      </w:r>
    </w:p>
    <w:p>
      <w:pPr>
        <w:spacing w:after="0" w:line="144" w:lineRule="exact"/>
        <w:rPr>
          <w:sz w:val="20"/>
          <w:szCs w:val="20"/>
          <w:color w:val="auto"/>
        </w:rPr>
      </w:pPr>
    </w:p>
    <w:p>
      <w:pPr>
        <w:ind w:right="500" w:firstLine="350"/>
        <w:spacing w:after="0" w:line="281" w:lineRule="auto"/>
        <w:tabs>
          <w:tab w:leader="none" w:pos="7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assessing and making recommendations to our board of directors regarding desired qualifications, expertise and characteristics sought of board members;</w:t>
      </w:r>
    </w:p>
    <w:p>
      <w:pPr>
        <w:spacing w:after="0" w:line="121" w:lineRule="exact"/>
        <w:rPr>
          <w:rFonts w:ascii="Times New Roman" w:cs="Times New Roman" w:eastAsia="Times New Roman" w:hAnsi="Times New Roman"/>
          <w:sz w:val="20"/>
          <w:szCs w:val="20"/>
          <w:color w:val="auto"/>
        </w:rPr>
      </w:pPr>
    </w:p>
    <w:p>
      <w:pPr>
        <w:ind w:right="640" w:firstLine="350"/>
        <w:spacing w:after="0" w:line="281" w:lineRule="auto"/>
        <w:tabs>
          <w:tab w:leader="none" w:pos="7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identifying, evaluating, selecting or making recommendations to our board of directors regarding nominees for election to our board of directors;</w:t>
      </w:r>
    </w:p>
    <w:p>
      <w:pPr>
        <w:spacing w:after="0" w:line="12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developing policies and procedures for considering stockholder nominees for election to our board of directors;</w:t>
      </w:r>
    </w:p>
    <w:p>
      <w:pPr>
        <w:spacing w:after="0" w:line="190" w:lineRule="exact"/>
        <w:rPr>
          <w:rFonts w:ascii="Times New Roman" w:cs="Times New Roman" w:eastAsia="Times New Roman" w:hAnsi="Times New Roman"/>
          <w:sz w:val="20"/>
          <w:szCs w:val="20"/>
          <w:color w:val="auto"/>
        </w:rPr>
      </w:pPr>
    </w:p>
    <w:p>
      <w:pPr>
        <w:ind w:right="380" w:firstLine="350"/>
        <w:spacing w:after="0" w:line="281" w:lineRule="auto"/>
        <w:tabs>
          <w:tab w:leader="none" w:pos="7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our succession planning process for our chief executive officer and any other members of our executive management team;</w:t>
      </w:r>
    </w:p>
    <w:p>
      <w:pPr>
        <w:spacing w:after="0" w:line="121" w:lineRule="exact"/>
        <w:rPr>
          <w:rFonts w:ascii="Times New Roman" w:cs="Times New Roman" w:eastAsia="Times New Roman" w:hAnsi="Times New Roman"/>
          <w:sz w:val="20"/>
          <w:szCs w:val="20"/>
          <w:color w:val="auto"/>
        </w:rPr>
      </w:pPr>
    </w:p>
    <w:p>
      <w:pPr>
        <w:ind w:right="680" w:firstLine="350"/>
        <w:spacing w:after="0" w:line="281" w:lineRule="auto"/>
        <w:tabs>
          <w:tab w:leader="none" w:pos="7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making recommendations to our board of directors regarding the composition, organization and governance of our board of directors and its committees;</w:t>
      </w:r>
    </w:p>
    <w:p>
      <w:pPr>
        <w:spacing w:after="0" w:line="121" w:lineRule="exact"/>
        <w:rPr>
          <w:rFonts w:ascii="Times New Roman" w:cs="Times New Roman" w:eastAsia="Times New Roman" w:hAnsi="Times New Roman"/>
          <w:sz w:val="20"/>
          <w:szCs w:val="20"/>
          <w:color w:val="auto"/>
        </w:rPr>
      </w:pPr>
    </w:p>
    <w:p>
      <w:pPr>
        <w:ind w:right="140" w:firstLine="350"/>
        <w:spacing w:after="0" w:line="281" w:lineRule="auto"/>
        <w:tabs>
          <w:tab w:leader="none" w:pos="7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making recommendations to our board of directors regarding our corporate governance guidelines and corporate governance framework;</w:t>
      </w:r>
    </w:p>
    <w:p>
      <w:pPr>
        <w:spacing w:after="0" w:line="12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overseeing director orientation for new directors and continuing education for our directors;</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overseeing the evaluation of the performance of our board of directors and its committees; and</w:t>
      </w:r>
    </w:p>
    <w:p>
      <w:pPr>
        <w:spacing w:after="0" w:line="190" w:lineRule="exact"/>
        <w:rPr>
          <w:rFonts w:ascii="Times New Roman" w:cs="Times New Roman" w:eastAsia="Times New Roman" w:hAnsi="Times New Roman"/>
          <w:sz w:val="20"/>
          <w:szCs w:val="20"/>
          <w:color w:val="auto"/>
        </w:rPr>
      </w:pPr>
    </w:p>
    <w:p>
      <w:pPr>
        <w:ind w:right="640" w:firstLine="350"/>
        <w:spacing w:after="0" w:line="281" w:lineRule="auto"/>
        <w:tabs>
          <w:tab w:leader="none" w:pos="7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administering policies and procedures for communications with the non-management members of our board of directors.</w:t>
      </w:r>
    </w:p>
    <w:p>
      <w:pPr>
        <w:spacing w:after="0" w:line="121" w:lineRule="exact"/>
        <w:rPr>
          <w:sz w:val="20"/>
          <w:szCs w:val="20"/>
          <w:color w:val="auto"/>
        </w:rPr>
      </w:pPr>
    </w:p>
    <w:p>
      <w:pPr>
        <w:ind w:right="40" w:firstLine="360"/>
        <w:spacing w:after="0" w:line="266" w:lineRule="auto"/>
        <w:rPr>
          <w:sz w:val="20"/>
          <w:szCs w:val="20"/>
          <w:color w:val="auto"/>
        </w:rPr>
      </w:pPr>
      <w:r>
        <w:rPr>
          <w:rFonts w:ascii="Times New Roman" w:cs="Times New Roman" w:eastAsia="Times New Roman" w:hAnsi="Times New Roman"/>
          <w:sz w:val="20"/>
          <w:szCs w:val="20"/>
          <w:color w:val="auto"/>
        </w:rPr>
        <w:t>Our nominating and governance committee operates under a written charter that satisfies the applicable listing standards of Nasdaq. A copy of the charter of our nominating and governance committee is available on our website at http:// investors.nautilus.bio/. During 2023, our nominating and governance committee held four meetings.</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Director Diversity</w:t>
      </w:r>
    </w:p>
    <w:p>
      <w:pPr>
        <w:spacing w:after="0" w:line="197" w:lineRule="exact"/>
        <w:rPr>
          <w:sz w:val="20"/>
          <w:szCs w:val="20"/>
          <w:color w:val="auto"/>
        </w:rPr>
      </w:pPr>
    </w:p>
    <w:p>
      <w:pPr>
        <w:ind w:right="100" w:firstLine="360"/>
        <w:spacing w:after="0" w:line="258" w:lineRule="auto"/>
        <w:rPr>
          <w:sz w:val="20"/>
          <w:szCs w:val="20"/>
          <w:color w:val="auto"/>
        </w:rPr>
      </w:pPr>
      <w:r>
        <w:rPr>
          <w:rFonts w:ascii="Times New Roman" w:cs="Times New Roman" w:eastAsia="Times New Roman" w:hAnsi="Times New Roman"/>
          <w:sz w:val="20"/>
          <w:szCs w:val="20"/>
          <w:color w:val="auto"/>
        </w:rPr>
        <w:t>Our nominating and governance committee is committed to continuing to identify and recruit highly qualified director candidates with diverse experiences, perspectives, and backgrounds to join our board of directors. The table below provides certain information regarding the composition of our board of directors. Each of the categories listed in the below table has the meaning as it is used in Nasdaq Rule 5605(f). As shown below in the board diversity matrix, the Company is currently in compliance with the diversity requirements of Nasdaq Rule 5605(f).</w:t>
      </w:r>
    </w:p>
    <w:p>
      <w:pPr>
        <w:sectPr>
          <w:pgSz w:w="12240" w:h="15840" w:orient="portrait"/>
          <w:cols w:equalWidth="0" w:num="1">
            <w:col w:w="10220"/>
          </w:cols>
          <w:pgMar w:left="1000" w:top="793"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ectPr>
          <w:pgSz w:w="12240" w:h="15840" w:orient="portrait"/>
          <w:cols w:equalWidth="0" w:num="1">
            <w:col w:w="10220"/>
          </w:cols>
          <w:pgMar w:left="1000" w:top="793" w:right="1020" w:bottom="0" w:gutter="0" w:footer="0" w:header="0"/>
          <w:type w:val="continuous"/>
        </w:sectPr>
      </w:pPr>
    </w:p>
    <w:bookmarkStart w:id="120" w:name="page121"/>
    <w:bookmarkEnd w:id="120"/>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Board Diversity Matrix (as of February 28, 2024)</w:t>
      </w:r>
    </w:p>
    <w:p>
      <w:pPr>
        <w:spacing w:after="0" w:line="2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4"/>
          <w:szCs w:val="24"/>
          <w:b w:val="1"/>
          <w:bCs w:val="1"/>
          <w:u w:val="single" w:color="auto"/>
          <w:color w:val="auto"/>
        </w:rPr>
        <w:t>Board Size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222250</wp:posOffset>
                </wp:positionH>
                <wp:positionV relativeFrom="paragraph">
                  <wp:posOffset>-161925</wp:posOffset>
                </wp:positionV>
                <wp:extent cx="0" cy="390779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907790"/>
                        </a:xfrm>
                        <a:prstGeom prst="line">
                          <a:avLst/>
                        </a:prstGeom>
                        <a:solidFill>
                          <a:srgbClr val="FFFFFF"/>
                        </a:solidFill>
                        <a:ln w="0">
                          <a:solidFill>
                            <a:srgbClr val="000000"/>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5pt,-12.7499pt" to="17.5pt,294.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1479550</wp:posOffset>
                </wp:positionH>
                <wp:positionV relativeFrom="paragraph">
                  <wp:posOffset>27940</wp:posOffset>
                </wp:positionV>
                <wp:extent cx="0" cy="1146175"/>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146175"/>
                        </a:xfrm>
                        <a:prstGeom prst="line">
                          <a:avLst/>
                        </a:prstGeom>
                        <a:solidFill>
                          <a:srgbClr val="FFFFFF"/>
                        </a:solidFill>
                        <a:ln w="0">
                          <a:solidFill>
                            <a:srgbClr val="000000"/>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6.5pt,2.2pt" to="116.5pt,92.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6508750</wp:posOffset>
                </wp:positionH>
                <wp:positionV relativeFrom="paragraph">
                  <wp:posOffset>-161925</wp:posOffset>
                </wp:positionV>
                <wp:extent cx="0" cy="390779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907790"/>
                        </a:xfrm>
                        <a:prstGeom prst="line">
                          <a:avLst/>
                        </a:prstGeom>
                        <a:solidFill>
                          <a:srgbClr val="FFFFFF"/>
                        </a:solidFill>
                        <a:ln w="0">
                          <a:solidFill>
                            <a:srgbClr val="000000"/>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2.5pt,-12.7499pt" to="512.5pt,294.95pt" o:allowincell="f" strokecolor="#000000" strokeweight="0pt"/>
            </w:pict>
          </mc:Fallback>
        </mc:AlternateContent>
        <w:drawing>
          <wp:anchor simplePos="0" relativeHeight="251657728" behindDoc="1" locked="0" layoutInCell="0" allowOverlap="1">
            <wp:simplePos x="0" y="0"/>
            <wp:positionH relativeFrom="column">
              <wp:posOffset>209550</wp:posOffset>
            </wp:positionH>
            <wp:positionV relativeFrom="paragraph">
              <wp:posOffset>-161290</wp:posOffset>
            </wp:positionV>
            <wp:extent cx="6311900" cy="39147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61">
                      <a:extLst>
                        <a:ext uri="{28A0092B-C50C-407E-A947-70E740481C1C}"/>
                      </a:extLst>
                    </a:blip>
                    <a:srcRect/>
                    <a:stretch>
                      <a:fillRect/>
                    </a:stretch>
                  </pic:blipFill>
                  <pic:spPr bwMode="auto">
                    <a:xfrm>
                      <a:off x="0" y="0"/>
                      <a:ext cx="6311900" cy="3914775"/>
                    </a:xfrm>
                    <a:prstGeom prst="rect">
                      <a:avLst/>
                    </a:prstGeom>
                    <a:noFill/>
                  </pic:spPr>
                </pic:pic>
              </a:graphicData>
            </a:graphic>
          </wp:anchor>
        </w:drawing>
      </w:r>
    </w:p>
    <w:p>
      <w:pPr>
        <w:spacing w:after="0" w:line="22" w:lineRule="exact"/>
        <w:rPr>
          <w:sz w:val="20"/>
          <w:szCs w:val="20"/>
          <w:color w:val="auto"/>
        </w:rPr>
      </w:pPr>
    </w:p>
    <w:tbl>
      <w:tblPr>
        <w:tblLayout w:type="fixed"/>
        <w:tblInd w:w="340" w:type="dxa"/>
        <w:tblCellMar>
          <w:top w:w="0" w:type="dxa"/>
          <w:left w:w="0" w:type="dxa"/>
          <w:bottom w:w="0" w:type="dxa"/>
          <w:right w:w="0" w:type="dxa"/>
        </w:tblCellMar>
      </w:tblPr>
      <w:tr>
        <w:trPr>
          <w:trHeight w:val="208"/>
        </w:trPr>
        <w:tc>
          <w:tcPr>
            <w:tcW w:w="2000" w:type="dxa"/>
            <w:vAlign w:val="bottom"/>
            <w:tcBorders>
              <w:top w:val="single" w:sz="8" w:color="auto"/>
              <w:right w:val="single" w:sz="8" w:color="auto"/>
            </w:tcBorders>
          </w:tcPr>
          <w:p>
            <w:pPr>
              <w:ind w:left="60"/>
              <w:spacing w:after="0" w:line="208" w:lineRule="exact"/>
              <w:rPr>
                <w:sz w:val="20"/>
                <w:szCs w:val="20"/>
                <w:color w:val="auto"/>
              </w:rPr>
            </w:pPr>
            <w:r>
              <w:rPr>
                <w:rFonts w:ascii="Times New Roman" w:cs="Times New Roman" w:eastAsia="Times New Roman" w:hAnsi="Times New Roman"/>
                <w:sz w:val="20"/>
                <w:szCs w:val="20"/>
                <w:color w:val="auto"/>
              </w:rPr>
              <w:t>Total Number of</w:t>
            </w:r>
          </w:p>
        </w:tc>
        <w:tc>
          <w:tcPr>
            <w:tcW w:w="19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gridSpan w:val="2"/>
          </w:tcPr>
          <w:p>
            <w:pPr>
              <w:jc w:val="right"/>
              <w:ind w:right="1840"/>
              <w:spacing w:after="0" w:line="208" w:lineRule="exact"/>
              <w:rPr>
                <w:sz w:val="20"/>
                <w:szCs w:val="20"/>
                <w:color w:val="auto"/>
              </w:rPr>
            </w:pPr>
            <w:r>
              <w:rPr>
                <w:rFonts w:ascii="Times New Roman" w:cs="Times New Roman" w:eastAsia="Times New Roman" w:hAnsi="Times New Roman"/>
                <w:sz w:val="20"/>
                <w:szCs w:val="20"/>
                <w:color w:val="auto"/>
              </w:rPr>
              <w:t>9</w:t>
            </w:r>
          </w:p>
        </w:tc>
        <w:tc>
          <w:tcPr>
            <w:tcW w:w="1980" w:type="dxa"/>
            <w:vAlign w:val="bottom"/>
            <w:tcBorders>
              <w:top w:val="single" w:sz="8" w:color="auto"/>
            </w:tcBorders>
          </w:tcPr>
          <w:p>
            <w:pPr>
              <w:spacing w:after="0"/>
              <w:rPr>
                <w:sz w:val="18"/>
                <w:szCs w:val="18"/>
                <w:color w:val="auto"/>
              </w:rPr>
            </w:pPr>
          </w:p>
        </w:tc>
      </w:tr>
      <w:tr>
        <w:trPr>
          <w:trHeight w:val="270"/>
        </w:trPr>
        <w:tc>
          <w:tcPr>
            <w:tcW w:w="20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Directors</w:t>
            </w:r>
          </w:p>
        </w:tc>
        <w:tc>
          <w:tcPr>
            <w:tcW w:w="19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980" w:type="dxa"/>
            <w:vAlign w:val="bottom"/>
            <w:tcBorders>
              <w:bottom w:val="single" w:sz="8" w:color="auto"/>
            </w:tcBorders>
          </w:tcPr>
          <w:p>
            <w:pPr>
              <w:spacing w:after="0"/>
              <w:rPr>
                <w:sz w:val="23"/>
                <w:szCs w:val="23"/>
                <w:color w:val="auto"/>
              </w:rPr>
            </w:pPr>
          </w:p>
        </w:tc>
        <w:tc>
          <w:tcPr>
            <w:tcW w:w="1980" w:type="dxa"/>
            <w:vAlign w:val="bottom"/>
            <w:tcBorders>
              <w:bottom w:val="single" w:sz="8" w:color="auto"/>
            </w:tcBorders>
          </w:tcPr>
          <w:p>
            <w:pPr>
              <w:spacing w:after="0"/>
              <w:rPr>
                <w:sz w:val="23"/>
                <w:szCs w:val="23"/>
                <w:color w:val="auto"/>
              </w:rPr>
            </w:pPr>
          </w:p>
        </w:tc>
      </w:tr>
      <w:tr>
        <w:trPr>
          <w:trHeight w:val="205"/>
        </w:trPr>
        <w:tc>
          <w:tcPr>
            <w:tcW w:w="2000" w:type="dxa"/>
            <w:vAlign w:val="bottom"/>
            <w:tcBorders>
              <w:right w:val="single" w:sz="8" w:color="auto"/>
            </w:tcBorders>
          </w:tcPr>
          <w:p>
            <w:pPr>
              <w:ind w:left="60"/>
              <w:spacing w:after="0" w:line="205" w:lineRule="exact"/>
              <w:rPr>
                <w:sz w:val="20"/>
                <w:szCs w:val="20"/>
                <w:color w:val="auto"/>
              </w:rPr>
            </w:pPr>
            <w:r>
              <w:rPr>
                <w:rFonts w:ascii="Times New Roman" w:cs="Times New Roman" w:eastAsia="Times New Roman" w:hAnsi="Times New Roman"/>
                <w:sz w:val="23"/>
                <w:szCs w:val="23"/>
                <w:b w:val="1"/>
                <w:bCs w:val="1"/>
                <w:color w:val="auto"/>
              </w:rPr>
              <w:t>Part I: Gender</w:t>
            </w:r>
          </w:p>
        </w:tc>
        <w:tc>
          <w:tcPr>
            <w:tcW w:w="198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20"/>
                <w:szCs w:val="20"/>
                <w:b w:val="1"/>
                <w:bCs w:val="1"/>
                <w:color w:val="auto"/>
              </w:rPr>
              <w:t>Male</w:t>
            </w:r>
          </w:p>
        </w:tc>
        <w:tc>
          <w:tcPr>
            <w:tcW w:w="1600" w:type="dxa"/>
            <w:vAlign w:val="bottom"/>
          </w:tcPr>
          <w:p>
            <w:pPr>
              <w:jc w:val="center"/>
              <w:ind w:left="260"/>
              <w:spacing w:after="0" w:line="205" w:lineRule="exact"/>
              <w:rPr>
                <w:sz w:val="20"/>
                <w:szCs w:val="20"/>
                <w:color w:val="auto"/>
              </w:rPr>
            </w:pPr>
            <w:r>
              <w:rPr>
                <w:rFonts w:ascii="Times New Roman" w:cs="Times New Roman" w:eastAsia="Times New Roman" w:hAnsi="Times New Roman"/>
                <w:sz w:val="20"/>
                <w:szCs w:val="20"/>
                <w:b w:val="1"/>
                <w:bCs w:val="1"/>
                <w:color w:val="auto"/>
              </w:rPr>
              <w:t>Female</w:t>
            </w:r>
          </w:p>
        </w:tc>
        <w:tc>
          <w:tcPr>
            <w:tcW w:w="380" w:type="dxa"/>
            <w:vAlign w:val="bottom"/>
            <w:tcBorders>
              <w:right w:val="single" w:sz="8" w:color="auto"/>
            </w:tcBorders>
          </w:tcPr>
          <w:p>
            <w:pPr>
              <w:spacing w:after="0"/>
              <w:rPr>
                <w:sz w:val="17"/>
                <w:szCs w:val="17"/>
                <w:color w:val="auto"/>
              </w:rPr>
            </w:pPr>
          </w:p>
        </w:tc>
        <w:tc>
          <w:tcPr>
            <w:tcW w:w="1980" w:type="dxa"/>
            <w:vAlign w:val="bottom"/>
            <w:tcBorders>
              <w:right w:val="single" w:sz="8" w:color="auto"/>
            </w:tcBorders>
          </w:tcPr>
          <w:p>
            <w:pPr>
              <w:jc w:val="right"/>
              <w:ind w:right="400"/>
              <w:spacing w:after="0" w:line="205" w:lineRule="exact"/>
              <w:rPr>
                <w:sz w:val="20"/>
                <w:szCs w:val="20"/>
                <w:color w:val="auto"/>
              </w:rPr>
            </w:pPr>
            <w:r>
              <w:rPr>
                <w:rFonts w:ascii="Times New Roman" w:cs="Times New Roman" w:eastAsia="Times New Roman" w:hAnsi="Times New Roman"/>
                <w:sz w:val="20"/>
                <w:szCs w:val="20"/>
                <w:b w:val="1"/>
                <w:bCs w:val="1"/>
                <w:color w:val="auto"/>
              </w:rPr>
              <w:t>Non-Binary</w:t>
            </w:r>
          </w:p>
        </w:tc>
        <w:tc>
          <w:tcPr>
            <w:tcW w:w="1980" w:type="dxa"/>
            <w:vAlign w:val="bottom"/>
          </w:tcPr>
          <w:p>
            <w:pPr>
              <w:jc w:val="center"/>
              <w:spacing w:after="0" w:line="205" w:lineRule="exact"/>
              <w:rPr>
                <w:sz w:val="20"/>
                <w:szCs w:val="20"/>
                <w:color w:val="auto"/>
              </w:rPr>
            </w:pPr>
            <w:r>
              <w:rPr>
                <w:rFonts w:ascii="Times New Roman" w:cs="Times New Roman" w:eastAsia="Times New Roman" w:hAnsi="Times New Roman"/>
                <w:sz w:val="20"/>
                <w:szCs w:val="20"/>
                <w:b w:val="1"/>
                <w:bCs w:val="1"/>
                <w:color w:val="auto"/>
                <w:w w:val="99"/>
              </w:rPr>
              <w:t>Did Not Disclose</w:t>
            </w:r>
          </w:p>
        </w:tc>
      </w:tr>
      <w:tr>
        <w:trPr>
          <w:trHeight w:val="345"/>
        </w:trPr>
        <w:tc>
          <w:tcPr>
            <w:tcW w:w="20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4"/>
                <w:szCs w:val="24"/>
                <w:b w:val="1"/>
                <w:bCs w:val="1"/>
                <w:color w:val="auto"/>
              </w:rPr>
              <w:t>Identity</w:t>
            </w:r>
          </w:p>
        </w:tc>
        <w:tc>
          <w:tcPr>
            <w:tcW w:w="198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Gender</w:t>
            </w:r>
          </w:p>
        </w:tc>
      </w:tr>
      <w:tr>
        <w:trPr>
          <w:trHeight w:val="205"/>
        </w:trPr>
        <w:tc>
          <w:tcPr>
            <w:tcW w:w="2000" w:type="dxa"/>
            <w:vAlign w:val="bottom"/>
            <w:tcBorders>
              <w:right w:val="single" w:sz="8" w:color="auto"/>
            </w:tcBorders>
          </w:tcPr>
          <w:p>
            <w:pPr>
              <w:ind w:left="60"/>
              <w:spacing w:after="0" w:line="205" w:lineRule="exact"/>
              <w:rPr>
                <w:sz w:val="20"/>
                <w:szCs w:val="20"/>
                <w:color w:val="auto"/>
              </w:rPr>
            </w:pPr>
            <w:r>
              <w:rPr>
                <w:rFonts w:ascii="Times New Roman" w:cs="Times New Roman" w:eastAsia="Times New Roman" w:hAnsi="Times New Roman"/>
                <w:sz w:val="20"/>
                <w:szCs w:val="20"/>
                <w:color w:val="auto"/>
              </w:rPr>
              <w:t>Number of directors</w:t>
            </w:r>
          </w:p>
        </w:tc>
        <w:tc>
          <w:tcPr>
            <w:tcW w:w="198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20"/>
                <w:szCs w:val="20"/>
                <w:color w:val="auto"/>
                <w:w w:val="99"/>
              </w:rPr>
              <w:t>7</w:t>
            </w:r>
          </w:p>
        </w:tc>
        <w:tc>
          <w:tcPr>
            <w:tcW w:w="1600" w:type="dxa"/>
            <w:vAlign w:val="bottom"/>
          </w:tcPr>
          <w:p>
            <w:pPr>
              <w:jc w:val="center"/>
              <w:ind w:left="280"/>
              <w:spacing w:after="0" w:line="205" w:lineRule="exact"/>
              <w:rPr>
                <w:sz w:val="20"/>
                <w:szCs w:val="20"/>
                <w:color w:val="auto"/>
              </w:rPr>
            </w:pPr>
            <w:r>
              <w:rPr>
                <w:rFonts w:ascii="Times New Roman" w:cs="Times New Roman" w:eastAsia="Times New Roman" w:hAnsi="Times New Roman"/>
                <w:sz w:val="20"/>
                <w:szCs w:val="20"/>
                <w:color w:val="auto"/>
                <w:w w:val="99"/>
              </w:rPr>
              <w:t>2</w:t>
            </w:r>
          </w:p>
        </w:tc>
        <w:tc>
          <w:tcPr>
            <w:tcW w:w="380" w:type="dxa"/>
            <w:vAlign w:val="bottom"/>
            <w:tcBorders>
              <w:right w:val="single" w:sz="8" w:color="auto"/>
            </w:tcBorders>
          </w:tcPr>
          <w:p>
            <w:pPr>
              <w:spacing w:after="0"/>
              <w:rPr>
                <w:sz w:val="17"/>
                <w:szCs w:val="17"/>
                <w:color w:val="auto"/>
              </w:rPr>
            </w:pPr>
          </w:p>
        </w:tc>
        <w:tc>
          <w:tcPr>
            <w:tcW w:w="1980" w:type="dxa"/>
            <w:vAlign w:val="bottom"/>
            <w:tcBorders>
              <w:right w:val="single" w:sz="8" w:color="auto"/>
            </w:tcBorders>
          </w:tcPr>
          <w:p>
            <w:pPr>
              <w:spacing w:after="0"/>
              <w:rPr>
                <w:sz w:val="17"/>
                <w:szCs w:val="17"/>
                <w:color w:val="auto"/>
              </w:rPr>
            </w:pPr>
          </w:p>
        </w:tc>
        <w:tc>
          <w:tcPr>
            <w:tcW w:w="1980" w:type="dxa"/>
            <w:vAlign w:val="bottom"/>
          </w:tcPr>
          <w:p>
            <w:pPr>
              <w:spacing w:after="0"/>
              <w:rPr>
                <w:sz w:val="17"/>
                <w:szCs w:val="17"/>
                <w:color w:val="auto"/>
              </w:rPr>
            </w:pPr>
          </w:p>
        </w:tc>
      </w:tr>
      <w:tr>
        <w:trPr>
          <w:trHeight w:val="224"/>
        </w:trPr>
        <w:tc>
          <w:tcPr>
            <w:tcW w:w="2000" w:type="dxa"/>
            <w:vAlign w:val="bottom"/>
            <w:tcBorders>
              <w:right w:val="single" w:sz="8" w:color="auto"/>
            </w:tcBorders>
          </w:tcPr>
          <w:p>
            <w:pPr>
              <w:ind w:left="60"/>
              <w:spacing w:after="0" w:line="224" w:lineRule="exact"/>
              <w:rPr>
                <w:sz w:val="20"/>
                <w:szCs w:val="20"/>
                <w:color w:val="auto"/>
              </w:rPr>
            </w:pPr>
            <w:r>
              <w:rPr>
                <w:rFonts w:ascii="Times New Roman" w:cs="Times New Roman" w:eastAsia="Times New Roman" w:hAnsi="Times New Roman"/>
                <w:sz w:val="20"/>
                <w:szCs w:val="20"/>
                <w:color w:val="auto"/>
              </w:rPr>
              <w:t>based on gender</w:t>
            </w:r>
          </w:p>
        </w:tc>
        <w:tc>
          <w:tcPr>
            <w:tcW w:w="1980" w:type="dxa"/>
            <w:vAlign w:val="bottom"/>
            <w:tcBorders>
              <w:right w:val="single" w:sz="8" w:color="auto"/>
            </w:tcBorders>
          </w:tcPr>
          <w:p>
            <w:pPr>
              <w:spacing w:after="0"/>
              <w:rPr>
                <w:sz w:val="19"/>
                <w:szCs w:val="19"/>
                <w:color w:val="auto"/>
              </w:rPr>
            </w:pPr>
          </w:p>
        </w:tc>
        <w:tc>
          <w:tcPr>
            <w:tcW w:w="160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tcPr>
          <w:p>
            <w:pPr>
              <w:spacing w:after="0"/>
              <w:rPr>
                <w:sz w:val="19"/>
                <w:szCs w:val="19"/>
                <w:color w:val="auto"/>
              </w:rPr>
            </w:pPr>
          </w:p>
        </w:tc>
        <w:tc>
          <w:tcPr>
            <w:tcW w:w="1980" w:type="dxa"/>
            <w:vAlign w:val="bottom"/>
          </w:tcPr>
          <w:p>
            <w:pPr>
              <w:spacing w:after="0"/>
              <w:rPr>
                <w:sz w:val="19"/>
                <w:szCs w:val="19"/>
                <w:color w:val="auto"/>
              </w:rPr>
            </w:pPr>
          </w:p>
        </w:tc>
      </w:tr>
      <w:tr>
        <w:trPr>
          <w:trHeight w:val="271"/>
        </w:trPr>
        <w:tc>
          <w:tcPr>
            <w:tcW w:w="20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identity</w:t>
            </w:r>
          </w:p>
        </w:tc>
        <w:tc>
          <w:tcPr>
            <w:tcW w:w="1980" w:type="dxa"/>
            <w:vAlign w:val="bottom"/>
            <w:tcBorders>
              <w:bottom w:val="single" w:sz="8" w:color="auto"/>
              <w:right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380" w:type="dxa"/>
            <w:vAlign w:val="bottom"/>
            <w:tcBorders>
              <w:bottom w:val="single" w:sz="8" w:color="auto"/>
              <w:right w:val="single" w:sz="8" w:color="auto"/>
            </w:tcBorders>
          </w:tcPr>
          <w:p>
            <w:pPr>
              <w:spacing w:after="0"/>
              <w:rPr>
                <w:sz w:val="23"/>
                <w:szCs w:val="23"/>
                <w:color w:val="auto"/>
              </w:rPr>
            </w:pPr>
          </w:p>
        </w:tc>
        <w:tc>
          <w:tcPr>
            <w:tcW w:w="1980" w:type="dxa"/>
            <w:vAlign w:val="bottom"/>
            <w:tcBorders>
              <w:bottom w:val="single" w:sz="8" w:color="auto"/>
              <w:right w:val="single" w:sz="8" w:color="auto"/>
            </w:tcBorders>
          </w:tcPr>
          <w:p>
            <w:pPr>
              <w:spacing w:after="0"/>
              <w:rPr>
                <w:sz w:val="23"/>
                <w:szCs w:val="23"/>
                <w:color w:val="auto"/>
              </w:rPr>
            </w:pPr>
          </w:p>
        </w:tc>
        <w:tc>
          <w:tcPr>
            <w:tcW w:w="1980" w:type="dxa"/>
            <w:vAlign w:val="bottom"/>
            <w:tcBorders>
              <w:bottom w:val="single" w:sz="8" w:color="auto"/>
            </w:tcBorders>
          </w:tcPr>
          <w:p>
            <w:pPr>
              <w:spacing w:after="0"/>
              <w:rPr>
                <w:sz w:val="23"/>
                <w:szCs w:val="23"/>
                <w:color w:val="auto"/>
              </w:rPr>
            </w:pPr>
          </w:p>
        </w:tc>
      </w:tr>
      <w:tr>
        <w:trPr>
          <w:trHeight w:val="250"/>
        </w:trPr>
        <w:tc>
          <w:tcPr>
            <w:tcW w:w="20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Part II: Demographic</w:t>
            </w:r>
          </w:p>
        </w:tc>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Background</w:t>
            </w:r>
          </w:p>
        </w:tc>
        <w:tc>
          <w:tcPr>
            <w:tcW w:w="16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spacing w:after="0"/>
              <w:rPr>
                <w:sz w:val="21"/>
                <w:szCs w:val="21"/>
                <w:color w:val="auto"/>
              </w:rPr>
            </w:pPr>
          </w:p>
        </w:tc>
      </w:tr>
      <w:tr>
        <w:trPr>
          <w:trHeight w:val="205"/>
        </w:trPr>
        <w:tc>
          <w:tcPr>
            <w:tcW w:w="2000" w:type="dxa"/>
            <w:vAlign w:val="bottom"/>
            <w:tcBorders>
              <w:right w:val="single" w:sz="8" w:color="auto"/>
            </w:tcBorders>
          </w:tcPr>
          <w:p>
            <w:pPr>
              <w:ind w:left="60"/>
              <w:spacing w:after="0" w:line="205" w:lineRule="exact"/>
              <w:rPr>
                <w:sz w:val="20"/>
                <w:szCs w:val="20"/>
                <w:color w:val="auto"/>
              </w:rPr>
            </w:pPr>
            <w:r>
              <w:rPr>
                <w:rFonts w:ascii="Times New Roman" w:cs="Times New Roman" w:eastAsia="Times New Roman" w:hAnsi="Times New Roman"/>
                <w:sz w:val="20"/>
                <w:szCs w:val="20"/>
                <w:color w:val="auto"/>
              </w:rPr>
              <w:t>African American or</w:t>
            </w:r>
          </w:p>
        </w:tc>
        <w:tc>
          <w:tcPr>
            <w:tcW w:w="1980" w:type="dxa"/>
            <w:vAlign w:val="bottom"/>
            <w:tcBorders>
              <w:right w:val="single" w:sz="8" w:color="auto"/>
            </w:tcBorders>
          </w:tcPr>
          <w:p>
            <w:pPr>
              <w:spacing w:after="0"/>
              <w:rPr>
                <w:sz w:val="17"/>
                <w:szCs w:val="17"/>
                <w:color w:val="auto"/>
              </w:rPr>
            </w:pPr>
          </w:p>
        </w:tc>
        <w:tc>
          <w:tcPr>
            <w:tcW w:w="160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980" w:type="dxa"/>
            <w:vAlign w:val="bottom"/>
            <w:tcBorders>
              <w:right w:val="single" w:sz="8" w:color="auto"/>
            </w:tcBorders>
          </w:tcPr>
          <w:p>
            <w:pPr>
              <w:spacing w:after="0"/>
              <w:rPr>
                <w:sz w:val="17"/>
                <w:szCs w:val="17"/>
                <w:color w:val="auto"/>
              </w:rPr>
            </w:pPr>
          </w:p>
        </w:tc>
        <w:tc>
          <w:tcPr>
            <w:tcW w:w="1980" w:type="dxa"/>
            <w:vAlign w:val="bottom"/>
          </w:tcPr>
          <w:p>
            <w:pPr>
              <w:spacing w:after="0"/>
              <w:rPr>
                <w:sz w:val="17"/>
                <w:szCs w:val="17"/>
                <w:color w:val="auto"/>
              </w:rPr>
            </w:pPr>
          </w:p>
        </w:tc>
      </w:tr>
      <w:tr>
        <w:trPr>
          <w:trHeight w:val="270"/>
        </w:trPr>
        <w:tc>
          <w:tcPr>
            <w:tcW w:w="20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Black</w:t>
            </w:r>
          </w:p>
        </w:tc>
        <w:tc>
          <w:tcPr>
            <w:tcW w:w="1980" w:type="dxa"/>
            <w:vAlign w:val="bottom"/>
            <w:tcBorders>
              <w:bottom w:val="single" w:sz="8" w:color="auto"/>
              <w:right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380" w:type="dxa"/>
            <w:vAlign w:val="bottom"/>
            <w:tcBorders>
              <w:bottom w:val="single" w:sz="8" w:color="auto"/>
              <w:right w:val="single" w:sz="8" w:color="auto"/>
            </w:tcBorders>
          </w:tcPr>
          <w:p>
            <w:pPr>
              <w:spacing w:after="0"/>
              <w:rPr>
                <w:sz w:val="23"/>
                <w:szCs w:val="23"/>
                <w:color w:val="auto"/>
              </w:rPr>
            </w:pPr>
          </w:p>
        </w:tc>
        <w:tc>
          <w:tcPr>
            <w:tcW w:w="1980" w:type="dxa"/>
            <w:vAlign w:val="bottom"/>
            <w:tcBorders>
              <w:bottom w:val="single" w:sz="8" w:color="auto"/>
              <w:right w:val="single" w:sz="8" w:color="auto"/>
            </w:tcBorders>
          </w:tcPr>
          <w:p>
            <w:pPr>
              <w:spacing w:after="0"/>
              <w:rPr>
                <w:sz w:val="23"/>
                <w:szCs w:val="23"/>
                <w:color w:val="auto"/>
              </w:rPr>
            </w:pPr>
          </w:p>
        </w:tc>
        <w:tc>
          <w:tcPr>
            <w:tcW w:w="1980" w:type="dxa"/>
            <w:vAlign w:val="bottom"/>
            <w:tcBorders>
              <w:bottom w:val="single" w:sz="8" w:color="auto"/>
            </w:tcBorders>
          </w:tcPr>
          <w:p>
            <w:pPr>
              <w:spacing w:after="0"/>
              <w:rPr>
                <w:sz w:val="23"/>
                <w:szCs w:val="23"/>
                <w:color w:val="auto"/>
              </w:rPr>
            </w:pPr>
          </w:p>
        </w:tc>
      </w:tr>
      <w:tr>
        <w:trPr>
          <w:trHeight w:val="205"/>
        </w:trPr>
        <w:tc>
          <w:tcPr>
            <w:tcW w:w="2000" w:type="dxa"/>
            <w:vAlign w:val="bottom"/>
            <w:tcBorders>
              <w:right w:val="single" w:sz="8" w:color="auto"/>
            </w:tcBorders>
          </w:tcPr>
          <w:p>
            <w:pPr>
              <w:ind w:left="60"/>
              <w:spacing w:after="0" w:line="205" w:lineRule="exact"/>
              <w:rPr>
                <w:sz w:val="20"/>
                <w:szCs w:val="20"/>
                <w:color w:val="auto"/>
              </w:rPr>
            </w:pPr>
            <w:r>
              <w:rPr>
                <w:rFonts w:ascii="Times New Roman" w:cs="Times New Roman" w:eastAsia="Times New Roman" w:hAnsi="Times New Roman"/>
                <w:sz w:val="20"/>
                <w:szCs w:val="20"/>
                <w:color w:val="auto"/>
              </w:rPr>
              <w:t>Alaskan Native or</w:t>
            </w:r>
          </w:p>
        </w:tc>
        <w:tc>
          <w:tcPr>
            <w:tcW w:w="1980" w:type="dxa"/>
            <w:vAlign w:val="bottom"/>
            <w:tcBorders>
              <w:right w:val="single" w:sz="8" w:color="auto"/>
            </w:tcBorders>
          </w:tcPr>
          <w:p>
            <w:pPr>
              <w:spacing w:after="0"/>
              <w:rPr>
                <w:sz w:val="17"/>
                <w:szCs w:val="17"/>
                <w:color w:val="auto"/>
              </w:rPr>
            </w:pPr>
          </w:p>
        </w:tc>
        <w:tc>
          <w:tcPr>
            <w:tcW w:w="160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980" w:type="dxa"/>
            <w:vAlign w:val="bottom"/>
            <w:tcBorders>
              <w:right w:val="single" w:sz="8" w:color="auto"/>
            </w:tcBorders>
          </w:tcPr>
          <w:p>
            <w:pPr>
              <w:spacing w:after="0"/>
              <w:rPr>
                <w:sz w:val="17"/>
                <w:szCs w:val="17"/>
                <w:color w:val="auto"/>
              </w:rPr>
            </w:pPr>
          </w:p>
        </w:tc>
        <w:tc>
          <w:tcPr>
            <w:tcW w:w="1980" w:type="dxa"/>
            <w:vAlign w:val="bottom"/>
          </w:tcPr>
          <w:p>
            <w:pPr>
              <w:spacing w:after="0"/>
              <w:rPr>
                <w:sz w:val="17"/>
                <w:szCs w:val="17"/>
                <w:color w:val="auto"/>
              </w:rPr>
            </w:pPr>
          </w:p>
        </w:tc>
      </w:tr>
      <w:tr>
        <w:trPr>
          <w:trHeight w:val="270"/>
        </w:trPr>
        <w:tc>
          <w:tcPr>
            <w:tcW w:w="20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Native American</w:t>
            </w:r>
          </w:p>
        </w:tc>
        <w:tc>
          <w:tcPr>
            <w:tcW w:w="1980" w:type="dxa"/>
            <w:vAlign w:val="bottom"/>
            <w:tcBorders>
              <w:bottom w:val="single" w:sz="8" w:color="auto"/>
              <w:right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380" w:type="dxa"/>
            <w:vAlign w:val="bottom"/>
            <w:tcBorders>
              <w:bottom w:val="single" w:sz="8" w:color="auto"/>
              <w:right w:val="single" w:sz="8" w:color="auto"/>
            </w:tcBorders>
          </w:tcPr>
          <w:p>
            <w:pPr>
              <w:spacing w:after="0"/>
              <w:rPr>
                <w:sz w:val="23"/>
                <w:szCs w:val="23"/>
                <w:color w:val="auto"/>
              </w:rPr>
            </w:pPr>
          </w:p>
        </w:tc>
        <w:tc>
          <w:tcPr>
            <w:tcW w:w="1980" w:type="dxa"/>
            <w:vAlign w:val="bottom"/>
            <w:tcBorders>
              <w:bottom w:val="single" w:sz="8" w:color="auto"/>
              <w:right w:val="single" w:sz="8" w:color="auto"/>
            </w:tcBorders>
          </w:tcPr>
          <w:p>
            <w:pPr>
              <w:spacing w:after="0"/>
              <w:rPr>
                <w:sz w:val="23"/>
                <w:szCs w:val="23"/>
                <w:color w:val="auto"/>
              </w:rPr>
            </w:pPr>
          </w:p>
        </w:tc>
        <w:tc>
          <w:tcPr>
            <w:tcW w:w="1980" w:type="dxa"/>
            <w:vAlign w:val="bottom"/>
            <w:tcBorders>
              <w:bottom w:val="single" w:sz="8" w:color="auto"/>
            </w:tcBorders>
          </w:tcPr>
          <w:p>
            <w:pPr>
              <w:spacing w:after="0"/>
              <w:rPr>
                <w:sz w:val="23"/>
                <w:szCs w:val="23"/>
                <w:color w:val="auto"/>
              </w:rPr>
            </w:pPr>
          </w:p>
        </w:tc>
      </w:tr>
      <w:tr>
        <w:trPr>
          <w:trHeight w:val="250"/>
        </w:trPr>
        <w:tc>
          <w:tcPr>
            <w:tcW w:w="20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Asian</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w:t>
            </w:r>
          </w:p>
        </w:tc>
        <w:tc>
          <w:tcPr>
            <w:tcW w:w="1600" w:type="dxa"/>
            <w:vAlign w:val="bottom"/>
            <w:tcBorders>
              <w:bottom w:val="single" w:sz="8" w:color="auto"/>
            </w:tcBorders>
          </w:tcPr>
          <w:p>
            <w:pPr>
              <w:spacing w:after="0"/>
              <w:rPr>
                <w:sz w:val="21"/>
                <w:szCs w:val="21"/>
                <w:color w:val="auto"/>
              </w:rPr>
            </w:pPr>
          </w:p>
        </w:tc>
        <w:tc>
          <w:tcPr>
            <w:tcW w:w="380" w:type="dxa"/>
            <w:vAlign w:val="bottom"/>
            <w:tcBorders>
              <w:bottom w:val="single" w:sz="8" w:color="auto"/>
              <w:right w:val="single" w:sz="8" w:color="auto"/>
            </w:tcBorders>
          </w:tcPr>
          <w:p>
            <w:pPr>
              <w:spacing w:after="0"/>
              <w:rPr>
                <w:sz w:val="21"/>
                <w:szCs w:val="21"/>
                <w:color w:val="auto"/>
              </w:rPr>
            </w:pPr>
          </w:p>
        </w:tc>
        <w:tc>
          <w:tcPr>
            <w:tcW w:w="1980" w:type="dxa"/>
            <w:vAlign w:val="bottom"/>
            <w:tcBorders>
              <w:bottom w:val="single" w:sz="8" w:color="auto"/>
              <w:right w:val="single" w:sz="8" w:color="auto"/>
            </w:tcBorders>
          </w:tcPr>
          <w:p>
            <w:pPr>
              <w:spacing w:after="0"/>
              <w:rPr>
                <w:sz w:val="21"/>
                <w:szCs w:val="21"/>
                <w:color w:val="auto"/>
              </w:rPr>
            </w:pPr>
          </w:p>
        </w:tc>
        <w:tc>
          <w:tcPr>
            <w:tcW w:w="1980" w:type="dxa"/>
            <w:vAlign w:val="bottom"/>
            <w:tcBorders>
              <w:bottom w:val="single" w:sz="8" w:color="auto"/>
            </w:tcBorders>
          </w:tcPr>
          <w:p>
            <w:pPr>
              <w:spacing w:after="0"/>
              <w:rPr>
                <w:sz w:val="21"/>
                <w:szCs w:val="21"/>
                <w:color w:val="auto"/>
              </w:rPr>
            </w:pPr>
          </w:p>
        </w:tc>
      </w:tr>
      <w:tr>
        <w:trPr>
          <w:trHeight w:val="250"/>
        </w:trPr>
        <w:tc>
          <w:tcPr>
            <w:tcW w:w="20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Hispanic or Latinx</w:t>
            </w:r>
          </w:p>
        </w:tc>
        <w:tc>
          <w:tcPr>
            <w:tcW w:w="198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380" w:type="dxa"/>
            <w:vAlign w:val="bottom"/>
            <w:tcBorders>
              <w:bottom w:val="single" w:sz="8" w:color="auto"/>
              <w:right w:val="single" w:sz="8" w:color="auto"/>
            </w:tcBorders>
          </w:tcPr>
          <w:p>
            <w:pPr>
              <w:spacing w:after="0"/>
              <w:rPr>
                <w:sz w:val="21"/>
                <w:szCs w:val="21"/>
                <w:color w:val="auto"/>
              </w:rPr>
            </w:pPr>
          </w:p>
        </w:tc>
        <w:tc>
          <w:tcPr>
            <w:tcW w:w="1980" w:type="dxa"/>
            <w:vAlign w:val="bottom"/>
            <w:tcBorders>
              <w:bottom w:val="single" w:sz="8" w:color="auto"/>
              <w:right w:val="single" w:sz="8" w:color="auto"/>
            </w:tcBorders>
          </w:tcPr>
          <w:p>
            <w:pPr>
              <w:spacing w:after="0"/>
              <w:rPr>
                <w:sz w:val="21"/>
                <w:szCs w:val="21"/>
                <w:color w:val="auto"/>
              </w:rPr>
            </w:pPr>
          </w:p>
        </w:tc>
        <w:tc>
          <w:tcPr>
            <w:tcW w:w="1980" w:type="dxa"/>
            <w:vAlign w:val="bottom"/>
            <w:tcBorders>
              <w:bottom w:val="single" w:sz="8" w:color="auto"/>
            </w:tcBorders>
          </w:tcPr>
          <w:p>
            <w:pPr>
              <w:spacing w:after="0"/>
              <w:rPr>
                <w:sz w:val="21"/>
                <w:szCs w:val="21"/>
                <w:color w:val="auto"/>
              </w:rPr>
            </w:pPr>
          </w:p>
        </w:tc>
      </w:tr>
      <w:tr>
        <w:trPr>
          <w:trHeight w:val="205"/>
        </w:trPr>
        <w:tc>
          <w:tcPr>
            <w:tcW w:w="2000" w:type="dxa"/>
            <w:vAlign w:val="bottom"/>
            <w:tcBorders>
              <w:right w:val="single" w:sz="8" w:color="auto"/>
            </w:tcBorders>
          </w:tcPr>
          <w:p>
            <w:pPr>
              <w:ind w:left="60"/>
              <w:spacing w:after="0" w:line="205" w:lineRule="exact"/>
              <w:rPr>
                <w:sz w:val="20"/>
                <w:szCs w:val="20"/>
                <w:color w:val="auto"/>
              </w:rPr>
            </w:pPr>
            <w:r>
              <w:rPr>
                <w:rFonts w:ascii="Times New Roman" w:cs="Times New Roman" w:eastAsia="Times New Roman" w:hAnsi="Times New Roman"/>
                <w:sz w:val="20"/>
                <w:szCs w:val="20"/>
                <w:color w:val="auto"/>
              </w:rPr>
              <w:t>Native Hawaiian or</w:t>
            </w:r>
          </w:p>
        </w:tc>
        <w:tc>
          <w:tcPr>
            <w:tcW w:w="1980" w:type="dxa"/>
            <w:vAlign w:val="bottom"/>
            <w:tcBorders>
              <w:right w:val="single" w:sz="8" w:color="auto"/>
            </w:tcBorders>
          </w:tcPr>
          <w:p>
            <w:pPr>
              <w:spacing w:after="0"/>
              <w:rPr>
                <w:sz w:val="17"/>
                <w:szCs w:val="17"/>
                <w:color w:val="auto"/>
              </w:rPr>
            </w:pPr>
          </w:p>
        </w:tc>
        <w:tc>
          <w:tcPr>
            <w:tcW w:w="160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980" w:type="dxa"/>
            <w:vAlign w:val="bottom"/>
            <w:tcBorders>
              <w:right w:val="single" w:sz="8" w:color="auto"/>
            </w:tcBorders>
          </w:tcPr>
          <w:p>
            <w:pPr>
              <w:spacing w:after="0"/>
              <w:rPr>
                <w:sz w:val="17"/>
                <w:szCs w:val="17"/>
                <w:color w:val="auto"/>
              </w:rPr>
            </w:pPr>
          </w:p>
        </w:tc>
        <w:tc>
          <w:tcPr>
            <w:tcW w:w="1980" w:type="dxa"/>
            <w:vAlign w:val="bottom"/>
          </w:tcPr>
          <w:p>
            <w:pPr>
              <w:spacing w:after="0"/>
              <w:rPr>
                <w:sz w:val="17"/>
                <w:szCs w:val="17"/>
                <w:color w:val="auto"/>
              </w:rPr>
            </w:pPr>
          </w:p>
        </w:tc>
      </w:tr>
      <w:tr>
        <w:trPr>
          <w:trHeight w:val="270"/>
        </w:trPr>
        <w:tc>
          <w:tcPr>
            <w:tcW w:w="20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Pacific Islander</w:t>
            </w:r>
          </w:p>
        </w:tc>
        <w:tc>
          <w:tcPr>
            <w:tcW w:w="1980" w:type="dxa"/>
            <w:vAlign w:val="bottom"/>
            <w:tcBorders>
              <w:bottom w:val="single" w:sz="8" w:color="auto"/>
              <w:right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380" w:type="dxa"/>
            <w:vAlign w:val="bottom"/>
            <w:tcBorders>
              <w:bottom w:val="single" w:sz="8" w:color="auto"/>
              <w:right w:val="single" w:sz="8" w:color="auto"/>
            </w:tcBorders>
          </w:tcPr>
          <w:p>
            <w:pPr>
              <w:spacing w:after="0"/>
              <w:rPr>
                <w:sz w:val="23"/>
                <w:szCs w:val="23"/>
                <w:color w:val="auto"/>
              </w:rPr>
            </w:pPr>
          </w:p>
        </w:tc>
        <w:tc>
          <w:tcPr>
            <w:tcW w:w="1980" w:type="dxa"/>
            <w:vAlign w:val="bottom"/>
            <w:tcBorders>
              <w:bottom w:val="single" w:sz="8" w:color="auto"/>
              <w:right w:val="single" w:sz="8" w:color="auto"/>
            </w:tcBorders>
          </w:tcPr>
          <w:p>
            <w:pPr>
              <w:spacing w:after="0"/>
              <w:rPr>
                <w:sz w:val="23"/>
                <w:szCs w:val="23"/>
                <w:color w:val="auto"/>
              </w:rPr>
            </w:pPr>
          </w:p>
        </w:tc>
        <w:tc>
          <w:tcPr>
            <w:tcW w:w="1980" w:type="dxa"/>
            <w:vAlign w:val="bottom"/>
            <w:tcBorders>
              <w:bottom w:val="single" w:sz="8" w:color="auto"/>
            </w:tcBorders>
          </w:tcPr>
          <w:p>
            <w:pPr>
              <w:spacing w:after="0"/>
              <w:rPr>
                <w:sz w:val="23"/>
                <w:szCs w:val="23"/>
                <w:color w:val="auto"/>
              </w:rPr>
            </w:pPr>
          </w:p>
        </w:tc>
      </w:tr>
      <w:tr>
        <w:trPr>
          <w:trHeight w:val="250"/>
        </w:trPr>
        <w:tc>
          <w:tcPr>
            <w:tcW w:w="20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White</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4</w:t>
            </w:r>
          </w:p>
        </w:tc>
        <w:tc>
          <w:tcPr>
            <w:tcW w:w="1600" w:type="dxa"/>
            <w:vAlign w:val="bottom"/>
            <w:tcBorders>
              <w:bottom w:val="single" w:sz="8" w:color="auto"/>
            </w:tcBorders>
          </w:tcPr>
          <w:p>
            <w:pPr>
              <w:jc w:val="center"/>
              <w:ind w:left="280"/>
              <w:spacing w:after="0"/>
              <w:rPr>
                <w:sz w:val="20"/>
                <w:szCs w:val="20"/>
                <w:color w:val="auto"/>
              </w:rPr>
            </w:pPr>
            <w:r>
              <w:rPr>
                <w:rFonts w:ascii="Times New Roman" w:cs="Times New Roman" w:eastAsia="Times New Roman" w:hAnsi="Times New Roman"/>
                <w:sz w:val="20"/>
                <w:szCs w:val="20"/>
                <w:color w:val="auto"/>
                <w:w w:val="99"/>
              </w:rPr>
              <w:t>1</w:t>
            </w:r>
          </w:p>
        </w:tc>
        <w:tc>
          <w:tcPr>
            <w:tcW w:w="380" w:type="dxa"/>
            <w:vAlign w:val="bottom"/>
            <w:tcBorders>
              <w:bottom w:val="single" w:sz="8" w:color="auto"/>
              <w:right w:val="single" w:sz="8" w:color="auto"/>
            </w:tcBorders>
          </w:tcPr>
          <w:p>
            <w:pPr>
              <w:spacing w:after="0"/>
              <w:rPr>
                <w:sz w:val="21"/>
                <w:szCs w:val="21"/>
                <w:color w:val="auto"/>
              </w:rPr>
            </w:pPr>
          </w:p>
        </w:tc>
        <w:tc>
          <w:tcPr>
            <w:tcW w:w="1980" w:type="dxa"/>
            <w:vAlign w:val="bottom"/>
            <w:tcBorders>
              <w:bottom w:val="single" w:sz="8" w:color="auto"/>
              <w:right w:val="single" w:sz="8" w:color="auto"/>
            </w:tcBorders>
          </w:tcPr>
          <w:p>
            <w:pPr>
              <w:spacing w:after="0"/>
              <w:rPr>
                <w:sz w:val="21"/>
                <w:szCs w:val="21"/>
                <w:color w:val="auto"/>
              </w:rPr>
            </w:pPr>
          </w:p>
        </w:tc>
        <w:tc>
          <w:tcPr>
            <w:tcW w:w="1980" w:type="dxa"/>
            <w:vAlign w:val="bottom"/>
            <w:tcBorders>
              <w:bottom w:val="single" w:sz="8" w:color="auto"/>
            </w:tcBorders>
          </w:tcPr>
          <w:p>
            <w:pPr>
              <w:spacing w:after="0"/>
              <w:rPr>
                <w:sz w:val="21"/>
                <w:szCs w:val="21"/>
                <w:color w:val="auto"/>
              </w:rPr>
            </w:pPr>
          </w:p>
        </w:tc>
      </w:tr>
      <w:tr>
        <w:trPr>
          <w:trHeight w:val="205"/>
        </w:trPr>
        <w:tc>
          <w:tcPr>
            <w:tcW w:w="2000" w:type="dxa"/>
            <w:vAlign w:val="bottom"/>
            <w:tcBorders>
              <w:right w:val="single" w:sz="8" w:color="auto"/>
            </w:tcBorders>
          </w:tcPr>
          <w:p>
            <w:pPr>
              <w:ind w:left="60"/>
              <w:spacing w:after="0" w:line="205" w:lineRule="exact"/>
              <w:rPr>
                <w:sz w:val="20"/>
                <w:szCs w:val="20"/>
                <w:color w:val="auto"/>
              </w:rPr>
            </w:pPr>
            <w:r>
              <w:rPr>
                <w:rFonts w:ascii="Times New Roman" w:cs="Times New Roman" w:eastAsia="Times New Roman" w:hAnsi="Times New Roman"/>
                <w:sz w:val="20"/>
                <w:szCs w:val="20"/>
                <w:color w:val="auto"/>
              </w:rPr>
              <w:t>Two or More Races or</w:t>
            </w:r>
          </w:p>
        </w:tc>
        <w:tc>
          <w:tcPr>
            <w:tcW w:w="1980" w:type="dxa"/>
            <w:vAlign w:val="bottom"/>
            <w:tcBorders>
              <w:right w:val="single" w:sz="8" w:color="auto"/>
            </w:tcBorders>
          </w:tcPr>
          <w:p>
            <w:pPr>
              <w:spacing w:after="0"/>
              <w:rPr>
                <w:sz w:val="17"/>
                <w:szCs w:val="17"/>
                <w:color w:val="auto"/>
              </w:rPr>
            </w:pPr>
          </w:p>
        </w:tc>
        <w:tc>
          <w:tcPr>
            <w:tcW w:w="1600" w:type="dxa"/>
            <w:vAlign w:val="bottom"/>
          </w:tcPr>
          <w:p>
            <w:pPr>
              <w:jc w:val="center"/>
              <w:ind w:left="280"/>
              <w:spacing w:after="0" w:line="205" w:lineRule="exact"/>
              <w:rPr>
                <w:sz w:val="20"/>
                <w:szCs w:val="20"/>
                <w:color w:val="auto"/>
              </w:rPr>
            </w:pPr>
            <w:r>
              <w:rPr>
                <w:rFonts w:ascii="Times New Roman" w:cs="Times New Roman" w:eastAsia="Times New Roman" w:hAnsi="Times New Roman"/>
                <w:sz w:val="20"/>
                <w:szCs w:val="20"/>
                <w:color w:val="auto"/>
                <w:w w:val="99"/>
              </w:rPr>
              <w:t>1</w:t>
            </w:r>
          </w:p>
        </w:tc>
        <w:tc>
          <w:tcPr>
            <w:tcW w:w="380" w:type="dxa"/>
            <w:vAlign w:val="bottom"/>
            <w:tcBorders>
              <w:right w:val="single" w:sz="8" w:color="auto"/>
            </w:tcBorders>
          </w:tcPr>
          <w:p>
            <w:pPr>
              <w:spacing w:after="0"/>
              <w:rPr>
                <w:sz w:val="17"/>
                <w:szCs w:val="17"/>
                <w:color w:val="auto"/>
              </w:rPr>
            </w:pPr>
          </w:p>
        </w:tc>
        <w:tc>
          <w:tcPr>
            <w:tcW w:w="1980" w:type="dxa"/>
            <w:vAlign w:val="bottom"/>
            <w:tcBorders>
              <w:right w:val="single" w:sz="8" w:color="auto"/>
            </w:tcBorders>
          </w:tcPr>
          <w:p>
            <w:pPr>
              <w:spacing w:after="0"/>
              <w:rPr>
                <w:sz w:val="17"/>
                <w:szCs w:val="17"/>
                <w:color w:val="auto"/>
              </w:rPr>
            </w:pPr>
          </w:p>
        </w:tc>
        <w:tc>
          <w:tcPr>
            <w:tcW w:w="1980" w:type="dxa"/>
            <w:vAlign w:val="bottom"/>
          </w:tcPr>
          <w:p>
            <w:pPr>
              <w:spacing w:after="0"/>
              <w:rPr>
                <w:sz w:val="17"/>
                <w:szCs w:val="17"/>
                <w:color w:val="auto"/>
              </w:rPr>
            </w:pPr>
          </w:p>
        </w:tc>
      </w:tr>
      <w:tr>
        <w:trPr>
          <w:trHeight w:val="270"/>
        </w:trPr>
        <w:tc>
          <w:tcPr>
            <w:tcW w:w="20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Ethnicities</w:t>
            </w:r>
          </w:p>
        </w:tc>
        <w:tc>
          <w:tcPr>
            <w:tcW w:w="1980" w:type="dxa"/>
            <w:vAlign w:val="bottom"/>
            <w:tcBorders>
              <w:bottom w:val="single" w:sz="8" w:color="auto"/>
              <w:right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380" w:type="dxa"/>
            <w:vAlign w:val="bottom"/>
            <w:tcBorders>
              <w:bottom w:val="single" w:sz="8" w:color="auto"/>
              <w:right w:val="single" w:sz="8" w:color="auto"/>
            </w:tcBorders>
          </w:tcPr>
          <w:p>
            <w:pPr>
              <w:spacing w:after="0"/>
              <w:rPr>
                <w:sz w:val="23"/>
                <w:szCs w:val="23"/>
                <w:color w:val="auto"/>
              </w:rPr>
            </w:pPr>
          </w:p>
        </w:tc>
        <w:tc>
          <w:tcPr>
            <w:tcW w:w="1980" w:type="dxa"/>
            <w:vAlign w:val="bottom"/>
            <w:tcBorders>
              <w:bottom w:val="single" w:sz="8" w:color="auto"/>
              <w:right w:val="single" w:sz="8" w:color="auto"/>
            </w:tcBorders>
          </w:tcPr>
          <w:p>
            <w:pPr>
              <w:spacing w:after="0"/>
              <w:rPr>
                <w:sz w:val="23"/>
                <w:szCs w:val="23"/>
                <w:color w:val="auto"/>
              </w:rPr>
            </w:pPr>
          </w:p>
        </w:tc>
        <w:tc>
          <w:tcPr>
            <w:tcW w:w="1980" w:type="dxa"/>
            <w:vAlign w:val="bottom"/>
            <w:tcBorders>
              <w:bottom w:val="single" w:sz="8" w:color="auto"/>
            </w:tcBorders>
          </w:tcPr>
          <w:p>
            <w:pPr>
              <w:spacing w:after="0"/>
              <w:rPr>
                <w:sz w:val="23"/>
                <w:szCs w:val="23"/>
                <w:color w:val="auto"/>
              </w:rPr>
            </w:pPr>
          </w:p>
        </w:tc>
      </w:tr>
      <w:tr>
        <w:trPr>
          <w:trHeight w:val="250"/>
        </w:trPr>
        <w:tc>
          <w:tcPr>
            <w:tcW w:w="20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LGBTQ+</w:t>
            </w:r>
          </w:p>
        </w:tc>
        <w:tc>
          <w:tcPr>
            <w:tcW w:w="198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380" w:type="dxa"/>
            <w:vAlign w:val="bottom"/>
            <w:tcBorders>
              <w:bottom w:val="single" w:sz="8" w:color="auto"/>
              <w:right w:val="single" w:sz="8" w:color="auto"/>
            </w:tcBorders>
          </w:tcPr>
          <w:p>
            <w:pPr>
              <w:spacing w:after="0"/>
              <w:rPr>
                <w:sz w:val="21"/>
                <w:szCs w:val="21"/>
                <w:color w:val="auto"/>
              </w:rPr>
            </w:pPr>
          </w:p>
        </w:tc>
        <w:tc>
          <w:tcPr>
            <w:tcW w:w="1980" w:type="dxa"/>
            <w:vAlign w:val="bottom"/>
            <w:tcBorders>
              <w:bottom w:val="single" w:sz="8" w:color="auto"/>
              <w:right w:val="single" w:sz="8" w:color="auto"/>
            </w:tcBorders>
          </w:tcPr>
          <w:p>
            <w:pPr>
              <w:spacing w:after="0"/>
              <w:rPr>
                <w:sz w:val="21"/>
                <w:szCs w:val="21"/>
                <w:color w:val="auto"/>
              </w:rPr>
            </w:pPr>
          </w:p>
        </w:tc>
        <w:tc>
          <w:tcPr>
            <w:tcW w:w="1980" w:type="dxa"/>
            <w:vAlign w:val="bottom"/>
            <w:tcBorders>
              <w:bottom w:val="single" w:sz="8" w:color="auto"/>
            </w:tcBorders>
          </w:tcPr>
          <w:p>
            <w:pPr>
              <w:spacing w:after="0"/>
              <w:rPr>
                <w:sz w:val="21"/>
                <w:szCs w:val="21"/>
                <w:color w:val="auto"/>
              </w:rPr>
            </w:pPr>
          </w:p>
        </w:tc>
      </w:tr>
      <w:tr>
        <w:trPr>
          <w:trHeight w:val="205"/>
        </w:trPr>
        <w:tc>
          <w:tcPr>
            <w:tcW w:w="2000" w:type="dxa"/>
            <w:vAlign w:val="bottom"/>
            <w:tcBorders>
              <w:right w:val="single" w:sz="8" w:color="auto"/>
            </w:tcBorders>
          </w:tcPr>
          <w:p>
            <w:pPr>
              <w:ind w:left="60"/>
              <w:spacing w:after="0" w:line="205" w:lineRule="exact"/>
              <w:rPr>
                <w:sz w:val="20"/>
                <w:szCs w:val="20"/>
                <w:color w:val="auto"/>
              </w:rPr>
            </w:pPr>
            <w:r>
              <w:rPr>
                <w:rFonts w:ascii="Times New Roman" w:cs="Times New Roman" w:eastAsia="Times New Roman" w:hAnsi="Times New Roman"/>
                <w:sz w:val="20"/>
                <w:szCs w:val="20"/>
                <w:color w:val="auto"/>
              </w:rPr>
              <w:t>Did Not Disclose</w:t>
            </w:r>
          </w:p>
        </w:tc>
        <w:tc>
          <w:tcPr>
            <w:tcW w:w="1980" w:type="dxa"/>
            <w:vAlign w:val="bottom"/>
            <w:tcBorders>
              <w:right w:val="single" w:sz="8" w:color="auto"/>
            </w:tcBorders>
          </w:tcPr>
          <w:p>
            <w:pPr>
              <w:spacing w:after="0"/>
              <w:rPr>
                <w:sz w:val="17"/>
                <w:szCs w:val="17"/>
                <w:color w:val="auto"/>
              </w:rPr>
            </w:pPr>
          </w:p>
        </w:tc>
        <w:tc>
          <w:tcPr>
            <w:tcW w:w="160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980" w:type="dxa"/>
            <w:vAlign w:val="bottom"/>
            <w:tcBorders>
              <w:right w:val="single" w:sz="8" w:color="auto"/>
            </w:tcBorders>
          </w:tcPr>
          <w:p>
            <w:pPr>
              <w:spacing w:after="0"/>
              <w:rPr>
                <w:sz w:val="17"/>
                <w:szCs w:val="17"/>
                <w:color w:val="auto"/>
              </w:rPr>
            </w:pPr>
          </w:p>
        </w:tc>
        <w:tc>
          <w:tcPr>
            <w:tcW w:w="1980" w:type="dxa"/>
            <w:vAlign w:val="bottom"/>
          </w:tcPr>
          <w:p>
            <w:pPr>
              <w:spacing w:after="0"/>
              <w:rPr>
                <w:sz w:val="17"/>
                <w:szCs w:val="17"/>
                <w:color w:val="auto"/>
              </w:rPr>
            </w:pPr>
          </w:p>
        </w:tc>
      </w:tr>
      <w:tr>
        <w:trPr>
          <w:trHeight w:val="224"/>
        </w:trPr>
        <w:tc>
          <w:tcPr>
            <w:tcW w:w="2000" w:type="dxa"/>
            <w:vAlign w:val="bottom"/>
            <w:tcBorders>
              <w:right w:val="single" w:sz="8" w:color="auto"/>
            </w:tcBorders>
          </w:tcPr>
          <w:p>
            <w:pPr>
              <w:ind w:left="60"/>
              <w:spacing w:after="0" w:line="224" w:lineRule="exact"/>
              <w:rPr>
                <w:sz w:val="20"/>
                <w:szCs w:val="20"/>
                <w:color w:val="auto"/>
              </w:rPr>
            </w:pPr>
            <w:r>
              <w:rPr>
                <w:rFonts w:ascii="Times New Roman" w:cs="Times New Roman" w:eastAsia="Times New Roman" w:hAnsi="Times New Roman"/>
                <w:sz w:val="20"/>
                <w:szCs w:val="20"/>
                <w:color w:val="auto"/>
              </w:rPr>
              <w:t>Demographic</w:t>
            </w:r>
          </w:p>
        </w:tc>
        <w:tc>
          <w:tcPr>
            <w:tcW w:w="1980" w:type="dxa"/>
            <w:vAlign w:val="bottom"/>
            <w:tcBorders>
              <w:right w:val="single" w:sz="8" w:color="auto"/>
            </w:tcBorders>
          </w:tcPr>
          <w:p>
            <w:pPr>
              <w:spacing w:after="0"/>
              <w:rPr>
                <w:sz w:val="19"/>
                <w:szCs w:val="19"/>
                <w:color w:val="auto"/>
              </w:rPr>
            </w:pPr>
          </w:p>
        </w:tc>
        <w:tc>
          <w:tcPr>
            <w:tcW w:w="160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tcPr>
          <w:p>
            <w:pPr>
              <w:spacing w:after="0"/>
              <w:rPr>
                <w:sz w:val="19"/>
                <w:szCs w:val="19"/>
                <w:color w:val="auto"/>
              </w:rPr>
            </w:pPr>
          </w:p>
        </w:tc>
        <w:tc>
          <w:tcPr>
            <w:tcW w:w="1980" w:type="dxa"/>
            <w:vAlign w:val="bottom"/>
          </w:tcPr>
          <w:p>
            <w:pPr>
              <w:spacing w:after="0"/>
              <w:rPr>
                <w:sz w:val="19"/>
                <w:szCs w:val="19"/>
                <w:color w:val="auto"/>
              </w:rPr>
            </w:pPr>
          </w:p>
        </w:tc>
      </w:tr>
      <w:tr>
        <w:trPr>
          <w:trHeight w:val="271"/>
        </w:trPr>
        <w:tc>
          <w:tcPr>
            <w:tcW w:w="20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Background</w:t>
            </w:r>
          </w:p>
        </w:tc>
        <w:tc>
          <w:tcPr>
            <w:tcW w:w="1980" w:type="dxa"/>
            <w:vAlign w:val="bottom"/>
            <w:tcBorders>
              <w:bottom w:val="single" w:sz="8" w:color="auto"/>
              <w:right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380" w:type="dxa"/>
            <w:vAlign w:val="bottom"/>
            <w:tcBorders>
              <w:bottom w:val="single" w:sz="8" w:color="auto"/>
              <w:right w:val="single" w:sz="8" w:color="auto"/>
            </w:tcBorders>
          </w:tcPr>
          <w:p>
            <w:pPr>
              <w:spacing w:after="0"/>
              <w:rPr>
                <w:sz w:val="23"/>
                <w:szCs w:val="23"/>
                <w:color w:val="auto"/>
              </w:rPr>
            </w:pPr>
          </w:p>
        </w:tc>
        <w:tc>
          <w:tcPr>
            <w:tcW w:w="1980" w:type="dxa"/>
            <w:vAlign w:val="bottom"/>
            <w:tcBorders>
              <w:bottom w:val="single" w:sz="8" w:color="auto"/>
              <w:right w:val="single" w:sz="8" w:color="auto"/>
            </w:tcBorders>
          </w:tcPr>
          <w:p>
            <w:pPr>
              <w:spacing w:after="0"/>
              <w:rPr>
                <w:sz w:val="23"/>
                <w:szCs w:val="23"/>
                <w:color w:val="auto"/>
              </w:rPr>
            </w:pPr>
          </w:p>
        </w:tc>
        <w:tc>
          <w:tcPr>
            <w:tcW w:w="1980" w:type="dxa"/>
            <w:vAlign w:val="bottom"/>
            <w:tcBorders>
              <w:bottom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1479550</wp:posOffset>
                </wp:positionH>
                <wp:positionV relativeFrom="paragraph">
                  <wp:posOffset>-2413000</wp:posOffset>
                </wp:positionV>
                <wp:extent cx="0" cy="241300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13000"/>
                        </a:xfrm>
                        <a:prstGeom prst="line">
                          <a:avLst/>
                        </a:prstGeom>
                        <a:solidFill>
                          <a:srgbClr val="FFFFFF"/>
                        </a:solidFill>
                        <a:ln w="0">
                          <a:solidFill>
                            <a:srgbClr val="000000"/>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6.5pt,-190pt" to="116.5pt,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2736850</wp:posOffset>
                </wp:positionH>
                <wp:positionV relativeFrom="paragraph">
                  <wp:posOffset>-3403600</wp:posOffset>
                </wp:positionV>
                <wp:extent cx="0" cy="83185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31850"/>
                        </a:xfrm>
                        <a:prstGeom prst="line">
                          <a:avLst/>
                        </a:prstGeom>
                        <a:solidFill>
                          <a:srgbClr val="FFFFFF"/>
                        </a:solidFill>
                        <a:ln w="0">
                          <a:solidFill>
                            <a:srgbClr val="000000"/>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5.5pt,-268pt" to="215.5pt,-202.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2736850</wp:posOffset>
                </wp:positionH>
                <wp:positionV relativeFrom="paragraph">
                  <wp:posOffset>-2413000</wp:posOffset>
                </wp:positionV>
                <wp:extent cx="0" cy="241300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13000"/>
                        </a:xfrm>
                        <a:prstGeom prst="line">
                          <a:avLst/>
                        </a:prstGeom>
                        <a:solidFill>
                          <a:srgbClr val="FFFFFF"/>
                        </a:solidFill>
                        <a:ln w="0">
                          <a:solidFill>
                            <a:srgbClr val="000000"/>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5.5pt,-190pt" to="215.5pt,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3994150</wp:posOffset>
                </wp:positionH>
                <wp:positionV relativeFrom="paragraph">
                  <wp:posOffset>-3403600</wp:posOffset>
                </wp:positionV>
                <wp:extent cx="0" cy="83185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31850"/>
                        </a:xfrm>
                        <a:prstGeom prst="line">
                          <a:avLst/>
                        </a:prstGeom>
                        <a:solidFill>
                          <a:srgbClr val="FFFFFF"/>
                        </a:solidFill>
                        <a:ln w="0">
                          <a:solidFill>
                            <a:srgbClr val="000000"/>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4.5pt,-268pt" to="314.5pt,-202.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3994150</wp:posOffset>
                </wp:positionH>
                <wp:positionV relativeFrom="paragraph">
                  <wp:posOffset>-2413000</wp:posOffset>
                </wp:positionV>
                <wp:extent cx="0" cy="241300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13000"/>
                        </a:xfrm>
                        <a:prstGeom prst="line">
                          <a:avLst/>
                        </a:prstGeom>
                        <a:solidFill>
                          <a:srgbClr val="FFFFFF"/>
                        </a:solidFill>
                        <a:ln w="0">
                          <a:solidFill>
                            <a:srgbClr val="000000"/>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4.5pt,-190pt" to="314.5pt,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5251450</wp:posOffset>
                </wp:positionH>
                <wp:positionV relativeFrom="paragraph">
                  <wp:posOffset>-3403600</wp:posOffset>
                </wp:positionV>
                <wp:extent cx="0" cy="83185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31850"/>
                        </a:xfrm>
                        <a:prstGeom prst="line">
                          <a:avLst/>
                        </a:prstGeom>
                        <a:solidFill>
                          <a:srgbClr val="FFFFFF"/>
                        </a:solidFill>
                        <a:ln w="0">
                          <a:solidFill>
                            <a:srgbClr val="000000"/>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3.5pt,-268pt" to="413.5pt,-202.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5251450</wp:posOffset>
                </wp:positionH>
                <wp:positionV relativeFrom="paragraph">
                  <wp:posOffset>-2413000</wp:posOffset>
                </wp:positionV>
                <wp:extent cx="0" cy="241300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13000"/>
                        </a:xfrm>
                        <a:prstGeom prst="line">
                          <a:avLst/>
                        </a:prstGeom>
                        <a:solidFill>
                          <a:srgbClr val="FFFFFF"/>
                        </a:solidFill>
                        <a:ln w="0">
                          <a:solidFill>
                            <a:srgbClr val="000000"/>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3.5pt,-190pt" to="413.5pt,0pt" o:allowincell="f" strokecolor="#000000" strokeweight="0pt"/>
            </w:pict>
          </mc:Fallback>
        </mc:AlternateConten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Attendance at Board and Stockholder Meetings</w:t>
      </w:r>
    </w:p>
    <w:p>
      <w:pPr>
        <w:spacing w:after="0" w:line="197" w:lineRule="exact"/>
        <w:rPr>
          <w:sz w:val="20"/>
          <w:szCs w:val="20"/>
          <w:color w:val="auto"/>
        </w:rPr>
      </w:pPr>
    </w:p>
    <w:p>
      <w:pPr>
        <w:ind w:right="120" w:firstLine="360"/>
        <w:spacing w:after="0" w:line="260" w:lineRule="auto"/>
        <w:rPr>
          <w:sz w:val="20"/>
          <w:szCs w:val="20"/>
          <w:color w:val="auto"/>
        </w:rPr>
      </w:pPr>
      <w:r>
        <w:rPr>
          <w:rFonts w:ascii="Times New Roman" w:cs="Times New Roman" w:eastAsia="Times New Roman" w:hAnsi="Times New Roman"/>
          <w:sz w:val="20"/>
          <w:szCs w:val="20"/>
          <w:color w:val="auto"/>
        </w:rPr>
        <w:t>During our fiscal year ended December 31, 2023, our board of directors held four meetings (including regularly scheduled and special meetings), and each director attended at least 75% of the aggregate of (1) the total number of meetings of the board of directors held during the period for which he or she was a director and (2) the total number of meetings held by all committees on which he or she served during the periods that he or she served as a director.</w:t>
      </w:r>
    </w:p>
    <w:p>
      <w:pPr>
        <w:spacing w:after="0" w:line="143" w:lineRule="exact"/>
        <w:rPr>
          <w:sz w:val="20"/>
          <w:szCs w:val="20"/>
          <w:color w:val="auto"/>
        </w:rPr>
      </w:pPr>
    </w:p>
    <w:p>
      <w:pPr>
        <w:ind w:right="20" w:firstLine="360"/>
        <w:spacing w:after="0" w:line="266" w:lineRule="auto"/>
        <w:rPr>
          <w:sz w:val="20"/>
          <w:szCs w:val="20"/>
          <w:color w:val="auto"/>
        </w:rPr>
      </w:pPr>
      <w:r>
        <w:rPr>
          <w:rFonts w:ascii="Times New Roman" w:cs="Times New Roman" w:eastAsia="Times New Roman" w:hAnsi="Times New Roman"/>
          <w:sz w:val="20"/>
          <w:szCs w:val="20"/>
          <w:color w:val="auto"/>
        </w:rPr>
        <w:t>Although we do not have a formal policy regarding attendance by members of our board of directors at the annual meetings of stockholders, we encourage, but do not require, directors to attend. six members of our board of directors attended our 2023 annual meeting of stockholders.</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Executive Sessions of Non-Employee Directors</w:t>
      </w:r>
    </w:p>
    <w:p>
      <w:pPr>
        <w:spacing w:after="0" w:line="197" w:lineRule="exact"/>
        <w:rPr>
          <w:sz w:val="20"/>
          <w:szCs w:val="20"/>
          <w:color w:val="auto"/>
        </w:rPr>
      </w:pPr>
    </w:p>
    <w:p>
      <w:pPr>
        <w:ind w:right="120" w:firstLine="360"/>
        <w:spacing w:after="0" w:line="258" w:lineRule="auto"/>
        <w:rPr>
          <w:sz w:val="20"/>
          <w:szCs w:val="20"/>
          <w:color w:val="auto"/>
        </w:rPr>
      </w:pPr>
      <w:r>
        <w:rPr>
          <w:rFonts w:ascii="Times New Roman" w:cs="Times New Roman" w:eastAsia="Times New Roman" w:hAnsi="Times New Roman"/>
          <w:sz w:val="20"/>
          <w:szCs w:val="20"/>
          <w:color w:val="auto"/>
        </w:rPr>
        <w:t>To encourage and enhance communication among non-employee directors, and as required under applicable Nasdaq rules, our corporate governance guidelines provide that the non-employee directors will meet in executive sessions without management directors or management present on a periodic basis but no less than two times a year. In addition, if any of our non-employee directors are not independent directors, then our independent directors will also meet in executive session on a periodic basis but no less than two times a year.</w:t>
      </w:r>
    </w:p>
    <w:p>
      <w:pPr>
        <w:spacing w:after="0" w:line="1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Compensation Committee Interlocks and Insider Participation</w:t>
      </w:r>
    </w:p>
    <w:p>
      <w:pPr>
        <w:spacing w:after="0" w:line="197" w:lineRule="exact"/>
        <w:rPr>
          <w:sz w:val="20"/>
          <w:szCs w:val="20"/>
          <w:color w:val="auto"/>
        </w:rPr>
      </w:pPr>
    </w:p>
    <w:p>
      <w:pPr>
        <w:ind w:right="20" w:firstLine="360"/>
        <w:spacing w:after="0" w:line="256" w:lineRule="auto"/>
        <w:rPr>
          <w:sz w:val="20"/>
          <w:szCs w:val="20"/>
          <w:color w:val="auto"/>
        </w:rPr>
      </w:pPr>
      <w:r>
        <w:rPr>
          <w:rFonts w:ascii="Times New Roman" w:cs="Times New Roman" w:eastAsia="Times New Roman" w:hAnsi="Times New Roman"/>
          <w:sz w:val="20"/>
          <w:szCs w:val="20"/>
          <w:color w:val="auto"/>
        </w:rPr>
        <w:t>During 2023, the members of our compensation committee were Mr. Posard, Mr. Altman and Mr. Nazem. None of the members of our compensation committee has ever been an executive officer or employee of Nautilus. Mr. Altman served as ARYA’s Chief Financial Officer and director from its inception until the closing of the Business Combination in 2021. None of our executive officers currently serve, or has served during the last completed fiscal year, on the compensation committee or board of directors of any other entity that has one or more executive officers that serves as a member of the board of directors or our compensation committee.</w:t>
      </w:r>
    </w:p>
    <w:p>
      <w:pPr>
        <w:sectPr>
          <w:pgSz w:w="12240" w:h="15840" w:orient="portrait"/>
          <w:cols w:equalWidth="0" w:num="1">
            <w:col w:w="10260"/>
          </w:cols>
          <w:pgMar w:left="1000" w:top="144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119</w:t>
      </w:r>
    </w:p>
    <w:p>
      <w:pPr>
        <w:sectPr>
          <w:pgSz w:w="12240" w:h="15840" w:orient="portrait"/>
          <w:cols w:equalWidth="0" w:num="1">
            <w:col w:w="10260"/>
          </w:cols>
          <w:pgMar w:left="1000" w:top="1440" w:right="980" w:bottom="0" w:gutter="0" w:footer="0" w:header="0"/>
          <w:type w:val="continuous"/>
        </w:sectPr>
      </w:pPr>
    </w:p>
    <w:bookmarkStart w:id="121" w:name="page122"/>
    <w:bookmarkEnd w:id="121"/>
    <w:p>
      <w:pPr>
        <w:ind w:left="360"/>
        <w:spacing w:after="0"/>
        <w:rPr>
          <w:sz w:val="20"/>
          <w:szCs w:val="20"/>
          <w:color w:val="auto"/>
        </w:rPr>
      </w:pPr>
      <w:r>
        <w:rPr>
          <w:rFonts w:ascii="Times New Roman" w:cs="Times New Roman" w:eastAsia="Times New Roman" w:hAnsi="Times New Roman"/>
          <w:sz w:val="20"/>
          <w:szCs w:val="20"/>
          <w:b w:val="1"/>
          <w:bCs w:val="1"/>
          <w:color w:val="auto"/>
        </w:rPr>
        <w:t>Considerations in Evaluating Director Nominees</w:t>
      </w:r>
    </w:p>
    <w:p>
      <w:pPr>
        <w:spacing w:after="0" w:line="197" w:lineRule="exact"/>
        <w:rPr>
          <w:sz w:val="20"/>
          <w:szCs w:val="20"/>
          <w:color w:val="auto"/>
        </w:rPr>
      </w:pPr>
    </w:p>
    <w:p>
      <w:pPr>
        <w:ind w:right="40" w:firstLine="360"/>
        <w:spacing w:after="0" w:line="253" w:lineRule="auto"/>
        <w:rPr>
          <w:sz w:val="20"/>
          <w:szCs w:val="20"/>
          <w:color w:val="auto"/>
        </w:rPr>
      </w:pPr>
      <w:r>
        <w:rPr>
          <w:rFonts w:ascii="Times New Roman" w:cs="Times New Roman" w:eastAsia="Times New Roman" w:hAnsi="Times New Roman"/>
          <w:sz w:val="20"/>
          <w:szCs w:val="20"/>
          <w:color w:val="auto"/>
        </w:rPr>
        <w:t>Our nominating and governance committee uses a variety of methods for identifying and evaluating potential director nominees. In its evaluation of director candidates, including the current directors eligible for re-election, our nominating and governance committee will consider the current size and composition of our board of directors and the needs of our board of directors and the respective committees of our board of directors and other director qualifications. While our board has not established minimum qualifications for board members, some of the factors that our nominating and governance committee considers in assessing director nominee qualifications include, without limitation, issues of character, professional ethics and integrity, judgment, business experience and diversity, and with respect to diversity, such factors as race, ethnicity, gender, differences in professional background, age and geography, as well as other individual qualities and attributes that contribute to the total mix of viewpoints and experience represented on our board. Although our board of directors does not maintain a specific policy with respect to board diversity, our board of directors believes that the board should be a diverse body, and the nominating and governance committee considers a broad range of perspectives, backgrounds and experiences.</w:t>
      </w:r>
    </w:p>
    <w:p>
      <w:pPr>
        <w:spacing w:after="0" w:line="153" w:lineRule="exact"/>
        <w:rPr>
          <w:sz w:val="20"/>
          <w:szCs w:val="20"/>
          <w:color w:val="auto"/>
        </w:rPr>
      </w:pPr>
    </w:p>
    <w:p>
      <w:pPr>
        <w:ind w:right="100" w:firstLine="360"/>
        <w:spacing w:after="0" w:line="258" w:lineRule="auto"/>
        <w:rPr>
          <w:sz w:val="20"/>
          <w:szCs w:val="20"/>
          <w:color w:val="auto"/>
        </w:rPr>
      </w:pPr>
      <w:r>
        <w:rPr>
          <w:rFonts w:ascii="Times New Roman" w:cs="Times New Roman" w:eastAsia="Times New Roman" w:hAnsi="Times New Roman"/>
          <w:sz w:val="20"/>
          <w:szCs w:val="20"/>
          <w:color w:val="auto"/>
        </w:rPr>
        <w:t>If our nominating and governance committee determines that an additional or replacement director is required, then the committee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board or management.</w:t>
      </w:r>
    </w:p>
    <w:p>
      <w:pPr>
        <w:spacing w:after="0" w:line="144" w:lineRule="exact"/>
        <w:rPr>
          <w:sz w:val="20"/>
          <w:szCs w:val="20"/>
          <w:color w:val="auto"/>
        </w:rPr>
      </w:pPr>
    </w:p>
    <w:p>
      <w:pPr>
        <w:ind w:right="60" w:firstLine="360"/>
        <w:spacing w:after="0" w:line="260" w:lineRule="auto"/>
        <w:rPr>
          <w:sz w:val="20"/>
          <w:szCs w:val="20"/>
          <w:color w:val="auto"/>
        </w:rPr>
      </w:pPr>
      <w:r>
        <w:rPr>
          <w:rFonts w:ascii="Times New Roman" w:cs="Times New Roman" w:eastAsia="Times New Roman" w:hAnsi="Times New Roman"/>
          <w:sz w:val="20"/>
          <w:szCs w:val="20"/>
          <w:color w:val="auto"/>
        </w:rPr>
        <w:t>After completing its review and evaluation of director candidates, our nominating and governance committee recommends to our full board of directors the director nominees for selection. Our nominating and governance committee has discretion to decide which individuals to recommend for nomination as directors and our board of directors has the final authority in determining the selection of director candidates for nomination to our board.</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Stockholder Recommendations and Nominations to our Board of Directors</w:t>
      </w:r>
    </w:p>
    <w:p>
      <w:pPr>
        <w:spacing w:after="0" w:line="197" w:lineRule="exact"/>
        <w:rPr>
          <w:sz w:val="20"/>
          <w:szCs w:val="20"/>
          <w:color w:val="auto"/>
        </w:rPr>
      </w:pPr>
    </w:p>
    <w:p>
      <w:pPr>
        <w:ind w:right="40" w:firstLine="360"/>
        <w:spacing w:after="0" w:line="256" w:lineRule="auto"/>
        <w:rPr>
          <w:sz w:val="20"/>
          <w:szCs w:val="20"/>
          <w:color w:val="auto"/>
        </w:rPr>
      </w:pPr>
      <w:r>
        <w:rPr>
          <w:rFonts w:ascii="Times New Roman" w:cs="Times New Roman" w:eastAsia="Times New Roman" w:hAnsi="Times New Roman"/>
          <w:sz w:val="20"/>
          <w:szCs w:val="20"/>
          <w:color w:val="auto"/>
        </w:rPr>
        <w:t>Our nominating and governance committee will consider recommendations and nominations for candidates to our board of directors from stockholders in the same manner as candidates recommended to the committee from other sources, so long as such recommendations and nominations comply with our amended and restated certificate of incorporation and amended and restated bylaws, all applicable company policies and all applicable laws, rules and regulations, including those promulgated by the SEC. Our nominating and governance committee will evaluate such recommendations in accordance with its charter, our bylaws and corporate governance guidelines and the director nominee criteria described above.</w:t>
      </w:r>
    </w:p>
    <w:p>
      <w:pPr>
        <w:spacing w:after="0" w:line="148" w:lineRule="exact"/>
        <w:rPr>
          <w:sz w:val="20"/>
          <w:szCs w:val="20"/>
          <w:color w:val="auto"/>
        </w:rPr>
      </w:pPr>
    </w:p>
    <w:p>
      <w:pPr>
        <w:ind w:right="120" w:firstLine="360"/>
        <w:spacing w:after="0" w:line="254" w:lineRule="auto"/>
        <w:rPr>
          <w:sz w:val="20"/>
          <w:szCs w:val="20"/>
          <w:color w:val="auto"/>
        </w:rPr>
      </w:pPr>
      <w:r>
        <w:rPr>
          <w:rFonts w:ascii="Times New Roman" w:cs="Times New Roman" w:eastAsia="Times New Roman" w:hAnsi="Times New Roman"/>
          <w:sz w:val="20"/>
          <w:szCs w:val="20"/>
          <w:color w:val="auto"/>
        </w:rPr>
        <w:t>A stockholder that wants to recommend a candidate to our board of directors should direct the recommendation in writing by letter to our corporate secretary at Nautilus Biotechnology, Inc., 2701 Eastlake Avenue East, Seattle, Washington 98102, Attention: Corporate Secretary. Such recommendation must include the candidate’s name, home and business contact information, detailed biographical data, relevant qualifications, a signed letter from the candidate confirming willingness to serve, information regarding any relationships between the candidate and us and evidence of the recommending stockholder’s ownership of our capital stock. Such recommendation must also include a statement from the recommending stockholder in support of the candidate. Our nominating and governance committee has discretion to decide which individuals to recommend for nomination as directors.</w:t>
      </w:r>
    </w:p>
    <w:p>
      <w:pPr>
        <w:spacing w:after="0" w:line="153" w:lineRule="exact"/>
        <w:rPr>
          <w:sz w:val="20"/>
          <w:szCs w:val="20"/>
          <w:color w:val="auto"/>
        </w:rPr>
      </w:pPr>
    </w:p>
    <w:p>
      <w:pPr>
        <w:ind w:right="60" w:firstLine="360"/>
        <w:spacing w:after="0" w:line="260" w:lineRule="auto"/>
        <w:rPr>
          <w:sz w:val="20"/>
          <w:szCs w:val="20"/>
          <w:color w:val="auto"/>
        </w:rPr>
      </w:pPr>
      <w:r>
        <w:rPr>
          <w:rFonts w:ascii="Times New Roman" w:cs="Times New Roman" w:eastAsia="Times New Roman" w:hAnsi="Times New Roman"/>
          <w:sz w:val="20"/>
          <w:szCs w:val="20"/>
          <w:color w:val="auto"/>
        </w:rPr>
        <w:t>Under our amended and restated bylaws, stockholders may also directly nominate persons for our board of directors. Any nomination must comply with the requirements set forth in our amended and restated bylaws and the rules and regulations of the SEC, including but not limited to Rule 14a-8 and Rule 14a-19 under the Exchange Act, and should be sent in writing to our corporate secretary at the address above.</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Communications with the Board of Directors</w:t>
      </w:r>
    </w:p>
    <w:p>
      <w:pPr>
        <w:spacing w:after="0" w:line="197"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Stockholders and other interested parties wishing to communicate directly with our non-management directors, may do so by writing and sending the correspondence to our Chief Financial Officer or General Counsel by mail to our principal executive offices at Nautilus Biotechnology, Inc., 2701 Eastlake Avenue East, Seattle, Washington 98102. Our Chief Financial Officer or General Counsel, in consultation with appropriate directors as necessary, will review all incoming communications and screen for communications that (1) are solicitations for products and services, (2) relate to matters of a personal nature not relevant for our stockholders to act on or for our board to consider and (3) matters that are of a type that are improper or irrelevant to the functioning of our board or our business, for example, mass mailings, job inquiries and business solicitations. If appropriate, our Chief Financial Officer or General Counsel will route such communications to the appropriate director(s) or, if none is specified, then to the chairperson of the board or the lead independent director (if one is appointed). These policies and procedures do not apply to communications to non-management directors from our officers or directors who are stockholders or stockholder proposals submitted pursuant to Rule 14a-8 under the Exchange Act.</w:t>
      </w:r>
    </w:p>
    <w:p>
      <w:pPr>
        <w:sectPr>
          <w:pgSz w:w="12240" w:h="15840" w:orient="portrait"/>
          <w:cols w:equalWidth="0" w:num="1">
            <w:col w:w="10220"/>
          </w:cols>
          <w:pgMar w:left="1000" w:top="786" w:right="1020" w:bottom="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ectPr>
          <w:pgSz w:w="12240" w:h="15840" w:orient="portrait"/>
          <w:cols w:equalWidth="0" w:num="1">
            <w:col w:w="10220"/>
          </w:cols>
          <w:pgMar w:left="1000" w:top="786" w:right="1020" w:bottom="0" w:gutter="0" w:footer="0" w:header="0"/>
          <w:type w:val="continuous"/>
        </w:sectPr>
      </w:pPr>
    </w:p>
    <w:bookmarkStart w:id="122" w:name="page123"/>
    <w:bookmarkEnd w:id="122"/>
    <w:p>
      <w:pPr>
        <w:ind w:left="360"/>
        <w:spacing w:after="0"/>
        <w:rPr>
          <w:sz w:val="20"/>
          <w:szCs w:val="20"/>
          <w:color w:val="auto"/>
        </w:rPr>
      </w:pPr>
      <w:r>
        <w:rPr>
          <w:rFonts w:ascii="Times New Roman" w:cs="Times New Roman" w:eastAsia="Times New Roman" w:hAnsi="Times New Roman"/>
          <w:sz w:val="20"/>
          <w:szCs w:val="20"/>
          <w:b w:val="1"/>
          <w:bCs w:val="1"/>
          <w:color w:val="auto"/>
        </w:rPr>
        <w:t>Policy Prohibiting Hedging or Pledging of Securities</w:t>
      </w:r>
    </w:p>
    <w:p>
      <w:pPr>
        <w:spacing w:after="0" w:line="197" w:lineRule="exact"/>
        <w:rPr>
          <w:sz w:val="20"/>
          <w:szCs w:val="20"/>
          <w:color w:val="auto"/>
        </w:rPr>
      </w:pPr>
    </w:p>
    <w:p>
      <w:pPr>
        <w:ind w:right="60" w:firstLine="360"/>
        <w:spacing w:after="0" w:line="254" w:lineRule="auto"/>
        <w:rPr>
          <w:sz w:val="20"/>
          <w:szCs w:val="20"/>
          <w:color w:val="auto"/>
        </w:rPr>
      </w:pPr>
      <w:r>
        <w:rPr>
          <w:rFonts w:ascii="Times New Roman" w:cs="Times New Roman" w:eastAsia="Times New Roman" w:hAnsi="Times New Roman"/>
          <w:sz w:val="20"/>
          <w:szCs w:val="20"/>
          <w:color w:val="auto"/>
        </w:rPr>
        <w:t>Under our insider trading policy, our employees, including our executive officers, and the members of our board of directors are prohibited from, directly or indirectly, among other things, (1) engaging in short sales, (2) trading in publicly-traded options, such as puts and calls, and other derivative securities with respect to our securities (other than stock options, restricted stock units and other compensatory awards issued to such individuals by us), (3) purchasing financial instruments (including prepaid variable forward contracts, equity swaps, collars and exchange funds), or otherwise engaging in transactions that hedge or offset, or are designed to hedge or offset, any decrease in the market value of equity securities granted to them by us as part of their compensation or held, directly or indirectly, by them, (4) pledging any of our securities as collateral for any loans and (5) holding our securities in a margin account.</w:t>
      </w:r>
    </w:p>
    <w:p>
      <w:pPr>
        <w:spacing w:after="0" w:line="1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Corporate Governance Guidelines and Code of Business Conduct and Ethics</w:t>
      </w:r>
    </w:p>
    <w:p>
      <w:pPr>
        <w:spacing w:after="0" w:line="197" w:lineRule="exact"/>
        <w:rPr>
          <w:sz w:val="20"/>
          <w:szCs w:val="20"/>
          <w:color w:val="auto"/>
        </w:rPr>
      </w:pPr>
    </w:p>
    <w:p>
      <w:pPr>
        <w:ind w:right="40" w:firstLine="360"/>
        <w:spacing w:after="0" w:line="254" w:lineRule="auto"/>
        <w:rPr>
          <w:sz w:val="20"/>
          <w:szCs w:val="20"/>
          <w:color w:val="auto"/>
        </w:rPr>
      </w:pPr>
      <w:r>
        <w:rPr>
          <w:rFonts w:ascii="Times New Roman" w:cs="Times New Roman" w:eastAsia="Times New Roman" w:hAnsi="Times New Roman"/>
          <w:sz w:val="20"/>
          <w:szCs w:val="20"/>
          <w:color w:val="auto"/>
        </w:rPr>
        <w:t>Our board of directors has adopted corporate governance guidelines. These guidelines address, among other items, the qualifications and responsibilities of our directors and director candidates, the structure and composition of our board of directors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code of business conduct and ethics are available on our website at http://investors.nautilus.bio/. We will post amendments to our code of business conduct and ethics or any waivers of our code of business conduct and ethics for directors and executive officers on the same website.</w:t>
      </w:r>
    </w:p>
    <w:p>
      <w:pPr>
        <w:spacing w:after="0" w:line="1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Director Compensation</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Director Compensation Policy</w:t>
      </w:r>
    </w:p>
    <w:p>
      <w:pPr>
        <w:spacing w:after="0" w:line="199" w:lineRule="exact"/>
        <w:rPr>
          <w:sz w:val="20"/>
          <w:szCs w:val="20"/>
          <w:color w:val="auto"/>
        </w:rPr>
      </w:pPr>
    </w:p>
    <w:p>
      <w:pPr>
        <w:ind w:right="940" w:firstLine="360"/>
        <w:spacing w:after="0" w:line="281" w:lineRule="auto"/>
        <w:rPr>
          <w:sz w:val="20"/>
          <w:szCs w:val="20"/>
          <w:color w:val="auto"/>
        </w:rPr>
      </w:pPr>
      <w:r>
        <w:rPr>
          <w:rFonts w:ascii="Times New Roman" w:cs="Times New Roman" w:eastAsia="Times New Roman" w:hAnsi="Times New Roman"/>
          <w:sz w:val="20"/>
          <w:szCs w:val="20"/>
          <w:color w:val="auto"/>
        </w:rPr>
        <w:t>Our board of directors reviews director compensation periodically to ensure that director compensation remains competitive such that we are able to recruit and retain qualified directors.</w:t>
      </w:r>
    </w:p>
    <w:p>
      <w:pPr>
        <w:spacing w:after="0" w:line="121"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In 2020, the compensation committee of the Legacy Nautilus board of directors retained Compensia, a third-party compensation consultant, to provide the Legacy Nautilus board of directors and its compensation committee with an analysis of publicly available market data regarding practices and compensation levels at comparable companies and assistance in determining compensation to be provided to our non-employee directors. Based on the discussions with and assistance from the compensation consultant, in connection with the Business Combination, our board of directors adopted an Outside Director Compensation Policy that provides for certain compensation to our non-employee directors. The Outside Director Compensation Policy originally became effective in connection with the closing of the Business Combination in June 2021, and was subsequently amended, effective as of February 15, 2023, to set upper limits on the number of shares of common stock subject to each Initial Award and Annual Award (as described below) granted under the policy.</w:t>
      </w:r>
    </w:p>
    <w:p>
      <w:pPr>
        <w:spacing w:after="0" w:line="1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Cash Compensation</w:t>
      </w:r>
    </w:p>
    <w:p>
      <w:pPr>
        <w:spacing w:after="0" w:line="194" w:lineRule="exact"/>
        <w:rPr>
          <w:sz w:val="20"/>
          <w:szCs w:val="20"/>
          <w:color w:val="auto"/>
        </w:rPr>
      </w:pPr>
    </w:p>
    <w:p>
      <w:pPr>
        <w:ind w:right="180" w:firstLine="360"/>
        <w:spacing w:after="0" w:line="281" w:lineRule="auto"/>
        <w:rPr>
          <w:sz w:val="20"/>
          <w:szCs w:val="20"/>
          <w:color w:val="auto"/>
        </w:rPr>
      </w:pPr>
      <w:r>
        <w:rPr>
          <w:rFonts w:ascii="Times New Roman" w:cs="Times New Roman" w:eastAsia="Times New Roman" w:hAnsi="Times New Roman"/>
          <w:sz w:val="20"/>
          <w:szCs w:val="20"/>
          <w:color w:val="auto"/>
        </w:rPr>
        <w:t>The Outside Director Compensation Policy provides for the following cash compensation program for our non-employee directors:</w:t>
      </w:r>
    </w:p>
    <w:p>
      <w:pPr>
        <w:spacing w:after="0" w:line="121" w:lineRule="exact"/>
        <w:rPr>
          <w:sz w:val="20"/>
          <w:szCs w:val="20"/>
          <w:color w:val="auto"/>
        </w:rPr>
      </w:pPr>
    </w:p>
    <w:p>
      <w:pPr>
        <w:ind w:left="720" w:hanging="370"/>
        <w:spacing w:after="0"/>
        <w:tabs>
          <w:tab w:leader="none" w:pos="72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$40,000 per year for service as a non-employee director;</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$40,000 per year for service as non-employee chair of our board of directors;</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$20,000 per year for service as chair of our audit committee;</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$10,000 per year for service as a member of our audit committee;</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$14,000 per year for service as chair of our compensation committee;</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$7,000 per year for service as a member of our compensation committee;</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$10,000 per year for service as chair of our nominating and governance committee; and</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$5,000 per year for service as a member of our nominating and governance committee.</w:t>
      </w:r>
    </w:p>
    <w:p>
      <w:pPr>
        <w:spacing w:after="0" w:line="190" w:lineRule="exact"/>
        <w:rPr>
          <w:sz w:val="20"/>
          <w:szCs w:val="20"/>
          <w:color w:val="auto"/>
        </w:rPr>
      </w:pPr>
    </w:p>
    <w:p>
      <w:pPr>
        <w:ind w:right="100" w:firstLine="360"/>
        <w:spacing w:after="0" w:line="286" w:lineRule="auto"/>
        <w:rPr>
          <w:sz w:val="20"/>
          <w:szCs w:val="20"/>
          <w:color w:val="auto"/>
        </w:rPr>
      </w:pPr>
      <w:r>
        <w:rPr>
          <w:rFonts w:ascii="Times New Roman" w:cs="Times New Roman" w:eastAsia="Times New Roman" w:hAnsi="Times New Roman"/>
          <w:sz w:val="19"/>
          <w:szCs w:val="19"/>
          <w:color w:val="auto"/>
        </w:rPr>
        <w:t>Each non-employee director who serves as a committee chair of our board of directors receives the cash retainer fee as the chair of the committee but not the cash retainer fee as a member of that committee, provided that the non-employee director who serves as the non-employee chair of our board of directors receives the annual retainer fees for such role as well as the</w:t>
      </w:r>
    </w:p>
    <w:p>
      <w:pPr>
        <w:sectPr>
          <w:pgSz w:w="12240" w:h="15840" w:orient="portrait"/>
          <w:cols w:equalWidth="0" w:num="1">
            <w:col w:w="10220"/>
          </w:cols>
          <w:pgMar w:left="1000" w:top="786" w:right="1020" w:bottom="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ectPr>
          <w:pgSz w:w="12240" w:h="15840" w:orient="portrait"/>
          <w:cols w:equalWidth="0" w:num="1">
            <w:col w:w="10220"/>
          </w:cols>
          <w:pgMar w:left="1000" w:top="786" w:right="1020" w:bottom="0" w:gutter="0" w:footer="0" w:header="0"/>
          <w:type w:val="continuous"/>
        </w:sectPr>
      </w:pPr>
    </w:p>
    <w:bookmarkStart w:id="123" w:name="page124"/>
    <w:bookmarkEnd w:id="123"/>
    <w:p>
      <w:pPr>
        <w:ind w:right="140"/>
        <w:spacing w:after="0" w:line="258" w:lineRule="auto"/>
        <w:rPr>
          <w:sz w:val="20"/>
          <w:szCs w:val="20"/>
          <w:color w:val="auto"/>
        </w:rPr>
      </w:pPr>
      <w:r>
        <w:rPr>
          <w:rFonts w:ascii="Times New Roman" w:cs="Times New Roman" w:eastAsia="Times New Roman" w:hAnsi="Times New Roman"/>
          <w:sz w:val="20"/>
          <w:szCs w:val="20"/>
          <w:color w:val="auto"/>
        </w:rPr>
        <w:t>annual retainer fee for service as a non-employee director. These fees to our non-employee directors are paid quarterly in arrears on a prorated basis. The above-listed fees for service as non-employee chair of our board of directors or a chair or member of any committee are payable in addition to the non-employee director retainer. Under our Outside Director Compensation Policy, we also reimburse our non-employee directors for reasonable travel expenses to attend meetings of our board of directors and its committees.</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Equity Compensation</w:t>
      </w:r>
    </w:p>
    <w:p>
      <w:pPr>
        <w:spacing w:after="0" w:line="190"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Initial Award</w:t>
      </w:r>
      <w:r>
        <w:rPr>
          <w:rFonts w:ascii="Times New Roman" w:cs="Times New Roman" w:eastAsia="Times New Roman" w:hAnsi="Times New Roman"/>
          <w:sz w:val="20"/>
          <w:szCs w:val="20"/>
          <w:color w:val="auto"/>
        </w:rPr>
        <w:t>. Pursuant to our Outside Director Compensation Policy, each person who first becomes a non-employee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director after the effective date of such policy will receive, on the first trading day on or after the date that the person first becomes a non-employee director, an initial award of stock options to purchase shares of our common stock (the “Initial Award”). The Initial Award will cover a number of shares of common stock equal to the lesser of (a) such number of shares of common stock that results in the Initial Award having an aggregate grant date fair value (determined in accordance with U.S. GAAP) of $370,000 (but with any resulting fractional share rounded down to the nearest whole share), or (b) 90,000 shares of common stock. Prior to the amendment of the Outside Director Compensation Policy in February 2023, each Initial Award covered a number of shares of common stock that resulted in the Initial Award having an aggregate grant date fair value (determined in accordance with U.S. GAAP) of $370,000. Each Initial Award will be scheduled to vest in equal installments as to 1/36th of the shares of our common stock subject to the Initial Award on a monthly basis following the Initial Award’s grant date, on the same day of the month as the grant date, subject to continued service to us through the applicable vesting dates. If the person was a member of our board of directors and also an employee, then becoming a non-employee director due to termination of employment will not entitle the person to an Initial Award.</w:t>
      </w:r>
    </w:p>
    <w:p>
      <w:pPr>
        <w:spacing w:after="0" w:line="148" w:lineRule="exact"/>
        <w:rPr>
          <w:sz w:val="20"/>
          <w:szCs w:val="20"/>
          <w:color w:val="auto"/>
        </w:rPr>
      </w:pPr>
    </w:p>
    <w:p>
      <w:pPr>
        <w:ind w:right="60" w:firstLine="36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Annual Award</w:t>
      </w:r>
      <w:r>
        <w:rPr>
          <w:rFonts w:ascii="Times New Roman" w:cs="Times New Roman" w:eastAsia="Times New Roman" w:hAnsi="Times New Roman"/>
          <w:sz w:val="20"/>
          <w:szCs w:val="20"/>
          <w:color w:val="auto"/>
        </w:rPr>
        <w:t>. Each non-employee director automatically will receive, on the first trading day immediately after the date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each annual meeting of our stockholders (an “Annual Meeting”) that occurs following the effective date of our Outside Director Compensation Policy, an annual award of stock options to purchase shares of our common stock (the “Annual Award”). Each Annual Award will cover a number of shares of common stock equal to the lesser of (a) such number of shares of common stock that results in the Annual Award having an aggregate grant date fair value (determined in accordance with U.S. GAAP) of $185,000 (but with any resulting fractional share rounded down to the nearest whole share), or (b) 45,000 shares of our common stock, except if an individual began service as a non-employee director after the date of the Annual Meeting that occurred immediately prior to such Annual Meeting, then the Annual Award granted to such non-employee director will cover a number of shares of common stock determined in the manner previously described, but prorated based on the number of whole months that the individual served as a non-employee director prior to the Annual Award’s grant date during the 12 month period immediately preceding such Annual Meeting. Prior to the amendment of the Outside Director Compensation Policy in February 2023, each Annual Award covered a number of shares of common stock that resulted in the Annual Award having an aggregate grant date fair value (determined in accordance with U.S. GAAP) of $185,000, subject to the same proration as set forth above for any director that began service as a non-employee director after the date of the preceding Annual Meeting (or the Business Combination in the case of the first Annual Meeting thereafter). Each Annual Award will be scheduled to vest as to 1/12th of the shares of our common stock subject to such award on a monthly basis following the Annual Award’s grant date, on the same day of the month as the grant date, subject to continued service to us through the applicable vesting dates.</w:t>
      </w:r>
    </w:p>
    <w:p>
      <w:pPr>
        <w:spacing w:after="0" w:line="153" w:lineRule="exact"/>
        <w:rPr>
          <w:sz w:val="20"/>
          <w:szCs w:val="20"/>
          <w:color w:val="auto"/>
        </w:rPr>
      </w:pPr>
    </w:p>
    <w:p>
      <w:pPr>
        <w:jc w:val="both"/>
        <w:ind w:right="20" w:firstLine="36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Change in Control</w:t>
      </w:r>
      <w:r>
        <w:rPr>
          <w:rFonts w:ascii="Times New Roman" w:cs="Times New Roman" w:eastAsia="Times New Roman" w:hAnsi="Times New Roman"/>
          <w:sz w:val="20"/>
          <w:szCs w:val="20"/>
          <w:color w:val="auto"/>
        </w:rPr>
        <w:t>. In the event of our change in control, as defined in the 2021 Equity Incentive Plan (“2021 Plan”), each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non-employee director’s then outstanding equity awards covering shares of our common stock that were granted to him or her while a non-employee director will accelerate vesting in full, provided that he or she remains a non-employee director through the date of such change in control.</w:t>
      </w:r>
    </w:p>
    <w:p>
      <w:pPr>
        <w:spacing w:after="0" w:line="136" w:lineRule="exact"/>
        <w:rPr>
          <w:sz w:val="20"/>
          <w:szCs w:val="20"/>
          <w:color w:val="auto"/>
        </w:rPr>
      </w:pPr>
    </w:p>
    <w:p>
      <w:pPr>
        <w:ind w:right="120" w:firstLine="36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Other Award Terms</w:t>
      </w:r>
      <w:r>
        <w:rPr>
          <w:rFonts w:ascii="Times New Roman" w:cs="Times New Roman" w:eastAsia="Times New Roman" w:hAnsi="Times New Roman"/>
          <w:sz w:val="20"/>
          <w:szCs w:val="20"/>
          <w:color w:val="auto"/>
        </w:rPr>
        <w:t>. Each Initial Award and Annual Award will be granted under the 2021 Plan (or its successor plan, as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applicable) and form of award agreement under such plan. These awards will have a maximum term to expiration of ten years from their grant and a per share exercise price equal to 100% of the fair market value of a share of our common stock on the award’s grant date.</w:t>
      </w:r>
    </w:p>
    <w:p>
      <w:pPr>
        <w:spacing w:after="0" w:line="136" w:lineRule="exact"/>
        <w:rPr>
          <w:sz w:val="20"/>
          <w:szCs w:val="20"/>
          <w:color w:val="auto"/>
        </w:rPr>
      </w:pPr>
    </w:p>
    <w:p>
      <w:pPr>
        <w:ind w:right="100" w:firstLine="36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Director Compensation Limits</w:t>
      </w:r>
      <w:r>
        <w:rPr>
          <w:rFonts w:ascii="Times New Roman" w:cs="Times New Roman" w:eastAsia="Times New Roman" w:hAnsi="Times New Roman"/>
          <w:sz w:val="20"/>
          <w:szCs w:val="20"/>
          <w:color w:val="auto"/>
        </w:rPr>
        <w:t>. Our Outside Director Compensation Policy and the 2021 Plan provide that in any fiscal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year, a non-employee director may be paid cash compensation and granted equity awards with an aggregate value of no more than $1,000,000 (with the value of equity awards based on its grant date fair value determined in accordance with U.S. GAAP for purposes of this limit). Equity awards granted or other compensation provided to a non-employee director for services provided as an employee or consultant (other than a non-employee director), or provided before the closing of the Business Combination, will not count toward this annual limit.</w:t>
      </w:r>
    </w:p>
    <w:p>
      <w:pPr>
        <w:sectPr>
          <w:pgSz w:w="12240" w:h="15840" w:orient="portrait"/>
          <w:cols w:equalWidth="0" w:num="1">
            <w:col w:w="10160"/>
          </w:cols>
          <w:pgMar w:left="1000" w:top="793"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122</w:t>
      </w:r>
    </w:p>
    <w:p>
      <w:pPr>
        <w:sectPr>
          <w:pgSz w:w="12240" w:h="15840" w:orient="portrait"/>
          <w:cols w:equalWidth="0" w:num="1">
            <w:col w:w="10160"/>
          </w:cols>
          <w:pgMar w:left="1000" w:top="793" w:right="1080" w:bottom="0" w:gutter="0" w:footer="0" w:header="0"/>
          <w:type w:val="continuous"/>
        </w:sectPr>
      </w:pPr>
    </w:p>
    <w:bookmarkStart w:id="124" w:name="page125"/>
    <w:bookmarkEnd w:id="124"/>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Director Compensation for Fiscal Year 2023</w:t>
      </w:r>
    </w:p>
    <w:p>
      <w:pPr>
        <w:spacing w:after="0" w:line="199" w:lineRule="exact"/>
        <w:rPr>
          <w:sz w:val="20"/>
          <w:szCs w:val="20"/>
          <w:color w:val="auto"/>
        </w:rPr>
      </w:pPr>
    </w:p>
    <w:p>
      <w:pPr>
        <w:ind w:right="180" w:firstLine="360"/>
        <w:spacing w:after="0" w:line="261" w:lineRule="auto"/>
        <w:rPr>
          <w:sz w:val="20"/>
          <w:szCs w:val="20"/>
          <w:color w:val="auto"/>
        </w:rPr>
      </w:pPr>
      <w:r>
        <w:rPr>
          <w:rFonts w:ascii="Times New Roman" w:cs="Times New Roman" w:eastAsia="Times New Roman" w:hAnsi="Times New Roman"/>
          <w:sz w:val="20"/>
          <w:szCs w:val="20"/>
          <w:color w:val="auto"/>
        </w:rPr>
        <w:t xml:space="preserve">The following table sets forth information regarding the compensation earned for service on our board of directors during the year ended December 31, 2023 by non-employee directors. Neither Mr. Patel nor Dr. Mallick received any additional compensation for their service as a director in 2023. Mr. Patel and Dr. Mallick’s compensation as a named executive officer is set forth below under “— </w:t>
      </w:r>
      <w:r>
        <w:rPr>
          <w:rFonts w:ascii="Times New Roman" w:cs="Times New Roman" w:eastAsia="Times New Roman" w:hAnsi="Times New Roman"/>
          <w:sz w:val="20"/>
          <w:szCs w:val="20"/>
          <w:b w:val="1"/>
          <w:bCs w:val="1"/>
          <w:i w:val="1"/>
          <w:iCs w:val="1"/>
          <w:color w:val="auto"/>
        </w:rPr>
        <w:t>Summary Compensation Table</w:t>
      </w:r>
      <w:r>
        <w:rPr>
          <w:rFonts w:ascii="Times New Roman" w:cs="Times New Roman" w:eastAsia="Times New Roman" w:hAnsi="Times New Roman"/>
          <w:sz w:val="20"/>
          <w:szCs w:val="20"/>
          <w:color w:val="auto"/>
        </w:rPr>
        <w:t>.”</w:t>
      </w:r>
    </w:p>
    <w:p>
      <w:pPr>
        <w:spacing w:after="0" w:line="178" w:lineRule="exact"/>
        <w:rPr>
          <w:sz w:val="20"/>
          <w:szCs w:val="20"/>
          <w:color w:val="auto"/>
        </w:rPr>
      </w:pPr>
    </w:p>
    <w:tbl>
      <w:tblPr>
        <w:tblLayout w:type="fixed"/>
        <w:tblInd w:w="360" w:type="dxa"/>
        <w:tblCellMar>
          <w:top w:w="0" w:type="dxa"/>
          <w:left w:w="0" w:type="dxa"/>
          <w:bottom w:w="0" w:type="dxa"/>
          <w:right w:w="0" w:type="dxa"/>
        </w:tblCellMar>
      </w:tblPr>
      <w:tr>
        <w:trPr>
          <w:trHeight w:val="184"/>
        </w:trPr>
        <w:tc>
          <w:tcPr>
            <w:tcW w:w="5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Fees earned or</w:t>
            </w:r>
          </w:p>
        </w:tc>
        <w:tc>
          <w:tcPr>
            <w:tcW w:w="60" w:type="dxa"/>
            <w:vAlign w:val="bottom"/>
          </w:tcPr>
          <w:p>
            <w:pPr>
              <w:spacing w:after="0"/>
              <w:rPr>
                <w:sz w:val="16"/>
                <w:szCs w:val="16"/>
                <w:color w:val="auto"/>
              </w:rPr>
            </w:pPr>
          </w:p>
        </w:tc>
        <w:tc>
          <w:tcPr>
            <w:tcW w:w="1300" w:type="dxa"/>
            <w:vAlign w:val="bottom"/>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60" w:type="dxa"/>
            <w:vAlign w:val="bottom"/>
          </w:tcPr>
          <w:p>
            <w:pPr>
              <w:spacing w:after="0"/>
              <w:rPr>
                <w:sz w:val="16"/>
                <w:szCs w:val="16"/>
                <w:color w:val="auto"/>
              </w:rPr>
            </w:pPr>
          </w:p>
        </w:tc>
        <w:tc>
          <w:tcPr>
            <w:tcW w:w="132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34"/>
        </w:trPr>
        <w:tc>
          <w:tcPr>
            <w:tcW w:w="5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60" w:type="dxa"/>
            <w:vAlign w:val="bottom"/>
          </w:tcPr>
          <w:p>
            <w:pPr>
              <w:spacing w:after="0"/>
              <w:rPr>
                <w:sz w:val="20"/>
                <w:szCs w:val="20"/>
                <w:color w:val="auto"/>
              </w:rPr>
            </w:pPr>
          </w:p>
        </w:tc>
        <w:tc>
          <w:tcPr>
            <w:tcW w:w="13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paid in cash ($)</w:t>
            </w:r>
          </w:p>
        </w:tc>
        <w:tc>
          <w:tcPr>
            <w:tcW w:w="60" w:type="dxa"/>
            <w:vAlign w:val="bottom"/>
          </w:tcPr>
          <w:p>
            <w:pPr>
              <w:spacing w:after="0"/>
              <w:rPr>
                <w:sz w:val="20"/>
                <w:szCs w:val="20"/>
                <w:color w:val="auto"/>
              </w:rPr>
            </w:pPr>
          </w:p>
        </w:tc>
        <w:tc>
          <w:tcPr>
            <w:tcW w:w="1300" w:type="dxa"/>
            <w:vAlign w:val="bottom"/>
            <w:tcBorders>
              <w:bottom w:val="single" w:sz="8" w:color="auto"/>
            </w:tcBorders>
          </w:tcPr>
          <w:p>
            <w:pPr>
              <w:jc w:val="right"/>
              <w:ind w:right="400"/>
              <w:spacing w:after="0" w:line="234"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5"/>
                <w:szCs w:val="25"/>
                <w:b w:val="1"/>
                <w:bCs w:val="1"/>
                <w:color w:val="auto"/>
                <w:vertAlign w:val="superscript"/>
              </w:rPr>
              <w:t>(1)</w:t>
            </w:r>
          </w:p>
        </w:tc>
        <w:tc>
          <w:tcPr>
            <w:tcW w:w="60" w:type="dxa"/>
            <w:vAlign w:val="bottom"/>
          </w:tcPr>
          <w:p>
            <w:pPr>
              <w:spacing w:after="0"/>
              <w:rPr>
                <w:sz w:val="20"/>
                <w:szCs w:val="20"/>
                <w:color w:val="auto"/>
              </w:rPr>
            </w:pPr>
          </w:p>
        </w:tc>
        <w:tc>
          <w:tcPr>
            <w:tcW w:w="13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5800" w:type="dxa"/>
            <w:vAlign w:val="bottom"/>
          </w:tcPr>
          <w:p>
            <w:pPr>
              <w:ind w:left="40"/>
              <w:spacing w:after="0" w:line="248" w:lineRule="exact"/>
              <w:rPr>
                <w:sz w:val="20"/>
                <w:szCs w:val="20"/>
                <w:color w:val="auto"/>
              </w:rPr>
            </w:pPr>
            <w:r>
              <w:rPr>
                <w:rFonts w:ascii="Times New Roman" w:cs="Times New Roman" w:eastAsia="Times New Roman" w:hAnsi="Times New Roman"/>
                <w:sz w:val="20"/>
                <w:szCs w:val="20"/>
                <w:color w:val="auto"/>
              </w:rPr>
              <w:t>Karen Akinsanya</w:t>
            </w:r>
            <w:r>
              <w:rPr>
                <w:rFonts w:ascii="Times New Roman" w:cs="Times New Roman" w:eastAsia="Times New Roman" w:hAnsi="Times New Roman"/>
                <w:sz w:val="25"/>
                <w:szCs w:val="25"/>
                <w:color w:val="auto"/>
                <w:vertAlign w:val="superscript"/>
              </w:rPr>
              <w:t>(2)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45,000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142,976</w:t>
            </w:r>
          </w:p>
        </w:tc>
        <w:tc>
          <w:tcPr>
            <w:tcW w:w="13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187,976</w:t>
            </w:r>
          </w:p>
        </w:tc>
        <w:tc>
          <w:tcPr>
            <w:tcW w:w="20" w:type="dxa"/>
            <w:vAlign w:val="bottom"/>
            <w:tcBorders>
              <w:bottom w:val="single" w:sz="8" w:color="DEDEDE"/>
            </w:tcBorders>
            <w:shd w:val="clear" w:color="auto" w:fill="DEDEDE"/>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800" w:type="dxa"/>
            <w:vAlign w:val="bottom"/>
          </w:tcPr>
          <w:p>
            <w:pPr>
              <w:ind w:left="40"/>
              <w:spacing w:after="0" w:line="258" w:lineRule="exact"/>
              <w:rPr>
                <w:sz w:val="20"/>
                <w:szCs w:val="20"/>
                <w:color w:val="auto"/>
              </w:rPr>
            </w:pPr>
            <w:r>
              <w:rPr>
                <w:rFonts w:ascii="Times New Roman" w:cs="Times New Roman" w:eastAsia="Times New Roman" w:hAnsi="Times New Roman"/>
                <w:sz w:val="20"/>
                <w:szCs w:val="20"/>
                <w:color w:val="auto"/>
              </w:rPr>
              <w:t>Michael Altman</w:t>
            </w:r>
            <w:r>
              <w:rPr>
                <w:rFonts w:ascii="Times New Roman" w:cs="Times New Roman" w:eastAsia="Times New Roman" w:hAnsi="Times New Roman"/>
                <w:sz w:val="25"/>
                <w:szCs w:val="25"/>
                <w:color w:val="auto"/>
                <w:vertAlign w:val="superscript"/>
              </w:rPr>
              <w:t>(3)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47,000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142,976</w:t>
            </w:r>
          </w:p>
        </w:tc>
        <w:tc>
          <w:tcPr>
            <w:tcW w:w="13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189,976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800" w:type="dxa"/>
            <w:vAlign w:val="bottom"/>
            <w:vMerge w:val="restart"/>
          </w:tcPr>
          <w:p>
            <w:pPr>
              <w:ind w:left="40"/>
              <w:spacing w:after="0" w:line="284" w:lineRule="exact"/>
              <w:rPr>
                <w:sz w:val="20"/>
                <w:szCs w:val="20"/>
                <w:color w:val="auto"/>
              </w:rPr>
            </w:pPr>
            <w:r>
              <w:rPr>
                <w:rFonts w:ascii="Times New Roman" w:cs="Times New Roman" w:eastAsia="Times New Roman" w:hAnsi="Times New Roman"/>
                <w:sz w:val="20"/>
                <w:szCs w:val="20"/>
                <w:color w:val="auto"/>
              </w:rPr>
              <w:t>Melissa Epperly</w:t>
            </w:r>
            <w:r>
              <w:rPr>
                <w:rFonts w:ascii="Times New Roman" w:cs="Times New Roman" w:eastAsia="Times New Roman" w:hAnsi="Times New Roman"/>
                <w:sz w:val="25"/>
                <w:szCs w:val="25"/>
                <w:color w:val="auto"/>
                <w:vertAlign w:val="superscript"/>
              </w:rPr>
              <w:t>(4)</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60,000</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142,976</w:t>
            </w:r>
          </w:p>
        </w:tc>
        <w:tc>
          <w:tcPr>
            <w:tcW w:w="1360" w:type="dxa"/>
            <w:vAlign w:val="bottom"/>
            <w:gridSpan w:val="2"/>
            <w:vMerge w:val="restart"/>
          </w:tcPr>
          <w:p>
            <w:pPr>
              <w:ind w:left="640"/>
              <w:spacing w:after="0"/>
              <w:rPr>
                <w:sz w:val="20"/>
                <w:szCs w:val="20"/>
                <w:color w:val="auto"/>
              </w:rPr>
            </w:pPr>
            <w:r>
              <w:rPr>
                <w:rFonts w:ascii="Times New Roman" w:cs="Times New Roman" w:eastAsia="Times New Roman" w:hAnsi="Times New Roman"/>
                <w:sz w:val="20"/>
                <w:szCs w:val="20"/>
                <w:color w:val="auto"/>
              </w:rPr>
              <w:t>202,976</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800" w:type="dxa"/>
            <w:vAlign w:val="bottom"/>
            <w:vMerge w:val="continue"/>
          </w:tcPr>
          <w:p>
            <w:pPr>
              <w:spacing w:after="0"/>
              <w:rPr>
                <w:sz w:val="23"/>
                <w:szCs w:val="23"/>
                <w:color w:val="auto"/>
              </w:rPr>
            </w:pPr>
          </w:p>
        </w:tc>
        <w:tc>
          <w:tcPr>
            <w:tcW w:w="1360" w:type="dxa"/>
            <w:vAlign w:val="bottom"/>
            <w:gridSpan w:val="2"/>
            <w:vMerge w:val="continue"/>
          </w:tcPr>
          <w:p>
            <w:pPr>
              <w:spacing w:after="0"/>
              <w:rPr>
                <w:sz w:val="23"/>
                <w:szCs w:val="23"/>
                <w:color w:val="auto"/>
              </w:rPr>
            </w:pPr>
          </w:p>
        </w:tc>
        <w:tc>
          <w:tcPr>
            <w:tcW w:w="1360" w:type="dxa"/>
            <w:vAlign w:val="bottom"/>
            <w:gridSpan w:val="2"/>
            <w:vMerge w:val="continue"/>
          </w:tcPr>
          <w:p>
            <w:pPr>
              <w:spacing w:after="0"/>
              <w:rPr>
                <w:sz w:val="23"/>
                <w:szCs w:val="23"/>
                <w:color w:val="auto"/>
              </w:rPr>
            </w:pPr>
          </w:p>
        </w:tc>
        <w:tc>
          <w:tcPr>
            <w:tcW w:w="1360" w:type="dxa"/>
            <w:vAlign w:val="bottom"/>
            <w:gridSpan w:val="2"/>
            <w:vMerge w:val="continue"/>
          </w:tcPr>
          <w:p>
            <w:pPr>
              <w:spacing w:after="0"/>
              <w:rPr>
                <w:sz w:val="23"/>
                <w:szCs w:val="23"/>
                <w:color w:val="auto"/>
              </w:rPr>
            </w:pPr>
          </w:p>
        </w:tc>
        <w:tc>
          <w:tcPr>
            <w:tcW w:w="20" w:type="dxa"/>
            <w:vAlign w:val="bottom"/>
            <w:tcBorders>
              <w:bottom w:val="single" w:sz="8" w:color="DEDEDE"/>
            </w:tcBorders>
            <w:shd w:val="clear" w:color="auto" w:fill="DEDEDE"/>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5800" w:type="dxa"/>
            <w:vAlign w:val="bottom"/>
          </w:tcPr>
          <w:p>
            <w:pPr>
              <w:ind w:left="40"/>
              <w:spacing w:after="0" w:line="258" w:lineRule="exact"/>
              <w:rPr>
                <w:sz w:val="20"/>
                <w:szCs w:val="20"/>
                <w:color w:val="auto"/>
              </w:rPr>
            </w:pPr>
            <w:r>
              <w:rPr>
                <w:rFonts w:ascii="Times New Roman" w:cs="Times New Roman" w:eastAsia="Times New Roman" w:hAnsi="Times New Roman"/>
                <w:sz w:val="20"/>
                <w:szCs w:val="20"/>
                <w:color w:val="auto"/>
              </w:rPr>
              <w:t>Matthew McIlwain</w:t>
            </w:r>
            <w:r>
              <w:rPr>
                <w:rFonts w:ascii="Times New Roman" w:cs="Times New Roman" w:eastAsia="Times New Roman" w:hAnsi="Times New Roman"/>
                <w:sz w:val="25"/>
                <w:szCs w:val="25"/>
                <w:color w:val="auto"/>
                <w:vertAlign w:val="superscript"/>
              </w:rPr>
              <w:t>(5)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60,000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142,976</w:t>
            </w:r>
          </w:p>
        </w:tc>
        <w:tc>
          <w:tcPr>
            <w:tcW w:w="13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202,976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800" w:type="dxa"/>
            <w:vAlign w:val="bottom"/>
            <w:vMerge w:val="restart"/>
          </w:tcPr>
          <w:p>
            <w:pPr>
              <w:ind w:left="40"/>
              <w:spacing w:after="0" w:line="284" w:lineRule="exact"/>
              <w:rPr>
                <w:sz w:val="20"/>
                <w:szCs w:val="20"/>
                <w:color w:val="auto"/>
              </w:rPr>
            </w:pPr>
            <w:r>
              <w:rPr>
                <w:rFonts w:ascii="Times New Roman" w:cs="Times New Roman" w:eastAsia="Times New Roman" w:hAnsi="Times New Roman"/>
                <w:sz w:val="20"/>
                <w:szCs w:val="20"/>
                <w:color w:val="auto"/>
              </w:rPr>
              <w:t>Farzad Nazem</w:t>
            </w:r>
            <w:r>
              <w:rPr>
                <w:rFonts w:ascii="Times New Roman" w:cs="Times New Roman" w:eastAsia="Times New Roman" w:hAnsi="Times New Roman"/>
                <w:sz w:val="25"/>
                <w:szCs w:val="25"/>
                <w:color w:val="auto"/>
                <w:vertAlign w:val="superscript"/>
              </w:rPr>
              <w:t>(6)</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47,000</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142,976</w:t>
            </w:r>
          </w:p>
        </w:tc>
        <w:tc>
          <w:tcPr>
            <w:tcW w:w="1360" w:type="dxa"/>
            <w:vAlign w:val="bottom"/>
            <w:gridSpan w:val="2"/>
            <w:vMerge w:val="restart"/>
          </w:tcPr>
          <w:p>
            <w:pPr>
              <w:ind w:left="640"/>
              <w:spacing w:after="0"/>
              <w:rPr>
                <w:sz w:val="20"/>
                <w:szCs w:val="20"/>
                <w:color w:val="auto"/>
              </w:rPr>
            </w:pPr>
            <w:r>
              <w:rPr>
                <w:rFonts w:ascii="Times New Roman" w:cs="Times New Roman" w:eastAsia="Times New Roman" w:hAnsi="Times New Roman"/>
                <w:sz w:val="20"/>
                <w:szCs w:val="20"/>
                <w:color w:val="auto"/>
              </w:rPr>
              <w:t>189,976</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800" w:type="dxa"/>
            <w:vAlign w:val="bottom"/>
            <w:vMerge w:val="continue"/>
          </w:tcPr>
          <w:p>
            <w:pPr>
              <w:spacing w:after="0"/>
              <w:rPr>
                <w:sz w:val="23"/>
                <w:szCs w:val="23"/>
                <w:color w:val="auto"/>
              </w:rPr>
            </w:pPr>
          </w:p>
        </w:tc>
        <w:tc>
          <w:tcPr>
            <w:tcW w:w="1360" w:type="dxa"/>
            <w:vAlign w:val="bottom"/>
            <w:gridSpan w:val="2"/>
            <w:vMerge w:val="continue"/>
          </w:tcPr>
          <w:p>
            <w:pPr>
              <w:spacing w:after="0"/>
              <w:rPr>
                <w:sz w:val="23"/>
                <w:szCs w:val="23"/>
                <w:color w:val="auto"/>
              </w:rPr>
            </w:pPr>
          </w:p>
        </w:tc>
        <w:tc>
          <w:tcPr>
            <w:tcW w:w="1360" w:type="dxa"/>
            <w:vAlign w:val="bottom"/>
            <w:gridSpan w:val="2"/>
            <w:vMerge w:val="continue"/>
          </w:tcPr>
          <w:p>
            <w:pPr>
              <w:spacing w:after="0"/>
              <w:rPr>
                <w:sz w:val="23"/>
                <w:szCs w:val="23"/>
                <w:color w:val="auto"/>
              </w:rPr>
            </w:pPr>
          </w:p>
        </w:tc>
        <w:tc>
          <w:tcPr>
            <w:tcW w:w="1360" w:type="dxa"/>
            <w:vAlign w:val="bottom"/>
            <w:gridSpan w:val="2"/>
            <w:vMerge w:val="continue"/>
          </w:tcPr>
          <w:p>
            <w:pPr>
              <w:spacing w:after="0"/>
              <w:rPr>
                <w:sz w:val="23"/>
                <w:szCs w:val="23"/>
                <w:color w:val="auto"/>
              </w:rPr>
            </w:pPr>
          </w:p>
        </w:tc>
        <w:tc>
          <w:tcPr>
            <w:tcW w:w="20" w:type="dxa"/>
            <w:vAlign w:val="bottom"/>
            <w:tcBorders>
              <w:bottom w:val="single" w:sz="8" w:color="DEDEDE"/>
            </w:tcBorders>
            <w:shd w:val="clear" w:color="auto" w:fill="DEDEDE"/>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5800" w:type="dxa"/>
            <w:vAlign w:val="bottom"/>
          </w:tcPr>
          <w:p>
            <w:pPr>
              <w:ind w:left="40"/>
              <w:spacing w:after="0" w:line="258" w:lineRule="exact"/>
              <w:rPr>
                <w:sz w:val="20"/>
                <w:szCs w:val="20"/>
                <w:color w:val="auto"/>
              </w:rPr>
            </w:pPr>
            <w:r>
              <w:rPr>
                <w:rFonts w:ascii="Times New Roman" w:cs="Times New Roman" w:eastAsia="Times New Roman" w:hAnsi="Times New Roman"/>
                <w:sz w:val="20"/>
                <w:szCs w:val="20"/>
                <w:color w:val="auto"/>
              </w:rPr>
              <w:t>Vijay Pande</w:t>
            </w:r>
            <w:r>
              <w:rPr>
                <w:rFonts w:ascii="Times New Roman" w:cs="Times New Roman" w:eastAsia="Times New Roman" w:hAnsi="Times New Roman"/>
                <w:sz w:val="25"/>
                <w:szCs w:val="25"/>
                <w:color w:val="auto"/>
                <w:vertAlign w:val="superscript"/>
              </w:rPr>
              <w:t>(7)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45,000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142,976</w:t>
            </w:r>
          </w:p>
        </w:tc>
        <w:tc>
          <w:tcPr>
            <w:tcW w:w="13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187,976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8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Matthew Posard</w:t>
            </w:r>
            <w:r>
              <w:rPr>
                <w:rFonts w:ascii="Times New Roman" w:cs="Times New Roman" w:eastAsia="Times New Roman" w:hAnsi="Times New Roman"/>
                <w:sz w:val="25"/>
                <w:szCs w:val="25"/>
                <w:color w:val="auto"/>
                <w:vertAlign w:val="superscript"/>
              </w:rPr>
              <w:t>(8)</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104,000</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142,976</w:t>
            </w:r>
          </w:p>
        </w:tc>
        <w:tc>
          <w:tcPr>
            <w:tcW w:w="1360" w:type="dxa"/>
            <w:vAlign w:val="bottom"/>
            <w:gridSpan w:val="2"/>
            <w:vMerge w:val="restart"/>
          </w:tcPr>
          <w:p>
            <w:pPr>
              <w:ind w:left="640"/>
              <w:spacing w:after="0"/>
              <w:rPr>
                <w:sz w:val="20"/>
                <w:szCs w:val="20"/>
                <w:color w:val="auto"/>
              </w:rPr>
            </w:pPr>
            <w:r>
              <w:rPr>
                <w:rFonts w:ascii="Times New Roman" w:cs="Times New Roman" w:eastAsia="Times New Roman" w:hAnsi="Times New Roman"/>
                <w:sz w:val="20"/>
                <w:szCs w:val="20"/>
                <w:color w:val="auto"/>
              </w:rPr>
              <w:t>246,976</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5"/>
        </w:trPr>
        <w:tc>
          <w:tcPr>
            <w:tcW w:w="5800" w:type="dxa"/>
            <w:vAlign w:val="bottom"/>
            <w:vMerge w:val="continue"/>
          </w:tcPr>
          <w:p>
            <w:pPr>
              <w:spacing w:after="0"/>
              <w:rPr>
                <w:sz w:val="24"/>
                <w:szCs w:val="24"/>
                <w:color w:val="auto"/>
              </w:rPr>
            </w:pPr>
          </w:p>
        </w:tc>
        <w:tc>
          <w:tcPr>
            <w:tcW w:w="1360" w:type="dxa"/>
            <w:vAlign w:val="bottom"/>
            <w:gridSpan w:val="2"/>
            <w:vMerge w:val="continue"/>
          </w:tcPr>
          <w:p>
            <w:pPr>
              <w:spacing w:after="0"/>
              <w:rPr>
                <w:sz w:val="24"/>
                <w:szCs w:val="24"/>
                <w:color w:val="auto"/>
              </w:rPr>
            </w:pPr>
          </w:p>
        </w:tc>
        <w:tc>
          <w:tcPr>
            <w:tcW w:w="1360" w:type="dxa"/>
            <w:vAlign w:val="bottom"/>
            <w:gridSpan w:val="2"/>
            <w:vMerge w:val="continue"/>
          </w:tcPr>
          <w:p>
            <w:pPr>
              <w:spacing w:after="0"/>
              <w:rPr>
                <w:sz w:val="24"/>
                <w:szCs w:val="24"/>
                <w:color w:val="auto"/>
              </w:rPr>
            </w:pPr>
          </w:p>
        </w:tc>
        <w:tc>
          <w:tcPr>
            <w:tcW w:w="1360" w:type="dxa"/>
            <w:vAlign w:val="bottom"/>
            <w:gridSpan w:val="2"/>
            <w:vMerge w:val="continu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-1278890</wp:posOffset>
            </wp:positionV>
            <wp:extent cx="6311900" cy="12922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62">
                      <a:extLst>
                        <a:ext uri="{28A0092B-C50C-407E-A947-70E740481C1C}"/>
                      </a:extLst>
                    </a:blip>
                    <a:srcRect/>
                    <a:stretch>
                      <a:fillRect/>
                    </a:stretch>
                  </pic:blipFill>
                  <pic:spPr bwMode="auto">
                    <a:xfrm>
                      <a:off x="0" y="0"/>
                      <a:ext cx="6311900" cy="129222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w:t>
      </w:r>
    </w:p>
    <w:p>
      <w:pPr>
        <w:spacing w:after="0" w:line="254" w:lineRule="exact"/>
        <w:rPr>
          <w:sz w:val="20"/>
          <w:szCs w:val="20"/>
          <w:color w:val="auto"/>
        </w:rPr>
      </w:pPr>
    </w:p>
    <w:p>
      <w:pPr>
        <w:ind w:left="440" w:right="260" w:hanging="322"/>
        <w:spacing w:after="0" w:line="260" w:lineRule="auto"/>
        <w:tabs>
          <w:tab w:leader="none" w:pos="44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SEC rules, this column reflects the aggregate grant date fair value of the stock option awards granted during 2023, computed in accordance with FASB ASC 718. These amounts do not reflect the actual economic value that will be realized by the director upon the vesting of the stock options, the exercise of the stock options, or the sale of the common stock underlying such stock options.</w:t>
      </w:r>
    </w:p>
    <w:p>
      <w:pPr>
        <w:spacing w:after="0" w:line="2" w:lineRule="exact"/>
        <w:rPr>
          <w:rFonts w:ascii="Times New Roman" w:cs="Times New Roman" w:eastAsia="Times New Roman" w:hAnsi="Times New Roman"/>
          <w:sz w:val="16"/>
          <w:szCs w:val="16"/>
          <w:color w:val="auto"/>
        </w:rPr>
      </w:pPr>
    </w:p>
    <w:p>
      <w:pPr>
        <w:ind w:left="440" w:hanging="322"/>
        <w:spacing w:after="0"/>
        <w:tabs>
          <w:tab w:leader="none" w:pos="44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2023, Ms. Akinsanya holds outstanding options to purchase 165,409 shares.</w:t>
      </w:r>
    </w:p>
    <w:p>
      <w:pPr>
        <w:spacing w:after="0" w:line="24" w:lineRule="exact"/>
        <w:rPr>
          <w:rFonts w:ascii="Times New Roman" w:cs="Times New Roman" w:eastAsia="Times New Roman" w:hAnsi="Times New Roman"/>
          <w:sz w:val="16"/>
          <w:szCs w:val="16"/>
          <w:color w:val="auto"/>
        </w:rPr>
      </w:pPr>
    </w:p>
    <w:p>
      <w:pPr>
        <w:ind w:left="440" w:hanging="322"/>
        <w:spacing w:after="0"/>
        <w:tabs>
          <w:tab w:leader="none" w:pos="44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2023, Mr. Altman holds outstanding options to purchase 175,902 shares.</w:t>
      </w:r>
    </w:p>
    <w:p>
      <w:pPr>
        <w:spacing w:after="0" w:line="11" w:lineRule="exact"/>
        <w:rPr>
          <w:rFonts w:ascii="Times New Roman" w:cs="Times New Roman" w:eastAsia="Times New Roman" w:hAnsi="Times New Roman"/>
          <w:sz w:val="16"/>
          <w:szCs w:val="16"/>
          <w:color w:val="auto"/>
        </w:rPr>
      </w:pPr>
    </w:p>
    <w:p>
      <w:pPr>
        <w:ind w:left="440" w:hanging="322"/>
        <w:spacing w:after="0"/>
        <w:tabs>
          <w:tab w:leader="none" w:pos="44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2023, Ms. Epperly holds outstanding options to purchase 204,028 shares.</w:t>
      </w:r>
    </w:p>
    <w:p>
      <w:pPr>
        <w:spacing w:after="0" w:line="11" w:lineRule="exact"/>
        <w:rPr>
          <w:rFonts w:ascii="Times New Roman" w:cs="Times New Roman" w:eastAsia="Times New Roman" w:hAnsi="Times New Roman"/>
          <w:sz w:val="16"/>
          <w:szCs w:val="16"/>
          <w:color w:val="auto"/>
        </w:rPr>
      </w:pPr>
    </w:p>
    <w:p>
      <w:pPr>
        <w:ind w:left="440" w:hanging="322"/>
        <w:spacing w:after="0"/>
        <w:tabs>
          <w:tab w:leader="none" w:pos="44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2023, Mr. McIlwain holds outstanding options to purchase 167,747 shares.</w:t>
      </w:r>
    </w:p>
    <w:p>
      <w:pPr>
        <w:spacing w:after="0" w:line="11" w:lineRule="exact"/>
        <w:rPr>
          <w:rFonts w:ascii="Times New Roman" w:cs="Times New Roman" w:eastAsia="Times New Roman" w:hAnsi="Times New Roman"/>
          <w:sz w:val="16"/>
          <w:szCs w:val="16"/>
          <w:color w:val="auto"/>
        </w:rPr>
      </w:pPr>
    </w:p>
    <w:p>
      <w:pPr>
        <w:ind w:left="440" w:hanging="322"/>
        <w:spacing w:after="0"/>
        <w:tabs>
          <w:tab w:leader="none" w:pos="44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2023, Mr. Nazem holds outstanding options to purchase 167,747 shares.</w:t>
      </w:r>
    </w:p>
    <w:p>
      <w:pPr>
        <w:spacing w:after="0" w:line="11" w:lineRule="exact"/>
        <w:rPr>
          <w:rFonts w:ascii="Times New Roman" w:cs="Times New Roman" w:eastAsia="Times New Roman" w:hAnsi="Times New Roman"/>
          <w:sz w:val="16"/>
          <w:szCs w:val="16"/>
          <w:color w:val="auto"/>
        </w:rPr>
      </w:pPr>
    </w:p>
    <w:p>
      <w:pPr>
        <w:ind w:left="440" w:hanging="322"/>
        <w:spacing w:after="0"/>
        <w:tabs>
          <w:tab w:leader="none" w:pos="44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2023, Mr. Pande holds outstanding options to purchase 167,747 shares.</w:t>
      </w:r>
    </w:p>
    <w:p>
      <w:pPr>
        <w:spacing w:after="0" w:line="11" w:lineRule="exact"/>
        <w:rPr>
          <w:rFonts w:ascii="Times New Roman" w:cs="Times New Roman" w:eastAsia="Times New Roman" w:hAnsi="Times New Roman"/>
          <w:sz w:val="16"/>
          <w:szCs w:val="16"/>
          <w:color w:val="auto"/>
        </w:rPr>
      </w:pPr>
    </w:p>
    <w:p>
      <w:pPr>
        <w:ind w:left="440" w:hanging="322"/>
        <w:spacing w:after="0"/>
        <w:tabs>
          <w:tab w:leader="none" w:pos="44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2023, Mr. Posard holds outstanding options to purchase 399,943 shares.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197" w:lineRule="exact"/>
        <w:rPr>
          <w:sz w:val="20"/>
          <w:szCs w:val="20"/>
          <w:color w:val="auto"/>
        </w:rPr>
      </w:pPr>
    </w:p>
    <w:p>
      <w:pPr>
        <w:jc w:val="both"/>
        <w:ind w:right="380" w:firstLine="360"/>
        <w:spacing w:after="0" w:line="266" w:lineRule="auto"/>
        <w:rPr>
          <w:sz w:val="20"/>
          <w:szCs w:val="20"/>
          <w:color w:val="auto"/>
        </w:rPr>
      </w:pPr>
      <w:r>
        <w:rPr>
          <w:rFonts w:ascii="Times New Roman" w:cs="Times New Roman" w:eastAsia="Times New Roman" w:hAnsi="Times New Roman"/>
          <w:sz w:val="20"/>
          <w:szCs w:val="20"/>
          <w:color w:val="auto"/>
        </w:rPr>
        <w:t>To achieve our goals, we have designed, and intend to modify as necessary, our compensation and benefits program to attract, retain, incentivize and reward deeply talented and qualified executives who share our philosophy and desire to work towards achieving these goals.</w:t>
      </w:r>
    </w:p>
    <w:p>
      <w:pPr>
        <w:spacing w:after="0" w:line="135" w:lineRule="exact"/>
        <w:rPr>
          <w:sz w:val="20"/>
          <w:szCs w:val="20"/>
          <w:color w:val="auto"/>
        </w:rPr>
      </w:pPr>
    </w:p>
    <w:p>
      <w:pPr>
        <w:ind w:right="100" w:firstLine="360"/>
        <w:spacing w:after="0" w:line="266" w:lineRule="auto"/>
        <w:rPr>
          <w:sz w:val="20"/>
          <w:szCs w:val="20"/>
          <w:color w:val="auto"/>
        </w:rPr>
      </w:pPr>
      <w:r>
        <w:rPr>
          <w:rFonts w:ascii="Times New Roman" w:cs="Times New Roman" w:eastAsia="Times New Roman" w:hAnsi="Times New Roman"/>
          <w:sz w:val="20"/>
          <w:szCs w:val="20"/>
          <w:color w:val="auto"/>
        </w:rPr>
        <w:t>We believe our compensation program should promote the success of the company and align executive incentives with the long-term interests of our stockholders. As our needs evolve, we intend to continue to evaluate our philosophy and compensation programs as circumstances require.</w:t>
      </w:r>
    </w:p>
    <w:p>
      <w:pPr>
        <w:spacing w:after="0" w:line="135" w:lineRule="exact"/>
        <w:rPr>
          <w:sz w:val="20"/>
          <w:szCs w:val="20"/>
          <w:color w:val="auto"/>
        </w:rPr>
      </w:pPr>
    </w:p>
    <w:p>
      <w:pPr>
        <w:ind w:right="280" w:firstLine="360"/>
        <w:spacing w:after="0" w:line="260" w:lineRule="auto"/>
        <w:rPr>
          <w:sz w:val="20"/>
          <w:szCs w:val="20"/>
          <w:color w:val="auto"/>
        </w:rPr>
      </w:pPr>
      <w:r>
        <w:rPr>
          <w:rFonts w:ascii="Times New Roman" w:cs="Times New Roman" w:eastAsia="Times New Roman" w:hAnsi="Times New Roman"/>
          <w:sz w:val="20"/>
          <w:szCs w:val="20"/>
          <w:color w:val="auto"/>
        </w:rPr>
        <w:t>This section provides an overview of our executive compensation programs, including a narrative description of the material factors necessary to understand the information disclosed in the summary compensation table below. As used in this section, “Nautilus,” the “Company,” “we,” “us” and “our” refer to Legacy Nautilus prior to the closing of the Business Combination and New Nautilus after the closing of the Business Combination.</w:t>
      </w:r>
    </w:p>
    <w:p>
      <w:pPr>
        <w:spacing w:after="0" w:line="143" w:lineRule="exact"/>
        <w:rPr>
          <w:sz w:val="20"/>
          <w:szCs w:val="20"/>
          <w:color w:val="auto"/>
        </w:rPr>
      </w:pPr>
    </w:p>
    <w:p>
      <w:pPr>
        <w:ind w:right="60" w:firstLine="360"/>
        <w:spacing w:after="0" w:line="256" w:lineRule="auto"/>
        <w:rPr>
          <w:sz w:val="20"/>
          <w:szCs w:val="20"/>
          <w:color w:val="auto"/>
        </w:rPr>
      </w:pPr>
      <w:r>
        <w:rPr>
          <w:rFonts w:ascii="Times New Roman" w:cs="Times New Roman" w:eastAsia="Times New Roman" w:hAnsi="Times New Roman"/>
          <w:sz w:val="20"/>
          <w:szCs w:val="20"/>
          <w:color w:val="auto"/>
        </w:rPr>
        <w:t>Our board of directors, with input from our Chief Executive Officer (other than with respect to his own compensation), has historically determined the compensation for our named executive officers. The following table provides information regarding the compensation of our principal executive officer, our Chief Scientist, and our next most highly compensated executive officer who was serving as an executive officer as of December 31, 2023, the end of our last completed fiscal year. We refer to these executive officers in this Annual Report as our named executive officers. For the year ended December 31, 2023, our named executive officers were:</w:t>
      </w:r>
    </w:p>
    <w:p>
      <w:pPr>
        <w:spacing w:after="0" w:line="148" w:lineRule="exact"/>
        <w:rPr>
          <w:sz w:val="20"/>
          <w:szCs w:val="20"/>
          <w:color w:val="auto"/>
        </w:rPr>
      </w:pPr>
    </w:p>
    <w:p>
      <w:pPr>
        <w:ind w:left="720" w:hanging="370"/>
        <w:spacing w:after="0"/>
        <w:tabs>
          <w:tab w:leader="none" w:pos="72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Sujal Patel, Chief Executive Officer, President, and Secretary;</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Parag Mallick, Chief Scientist; and</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Anna Mowry, Chief Financial Officer and Treasurer.</w:t>
      </w:r>
    </w:p>
    <w:p>
      <w:pPr>
        <w:sectPr>
          <w:pgSz w:w="12240" w:h="15840" w:orient="portrait"/>
          <w:cols w:equalWidth="0" w:num="1">
            <w:col w:w="10260"/>
          </w:cols>
          <w:pgMar w:left="1000" w:top="78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123</w:t>
      </w:r>
    </w:p>
    <w:p>
      <w:pPr>
        <w:sectPr>
          <w:pgSz w:w="12240" w:h="15840" w:orient="portrait"/>
          <w:cols w:equalWidth="0" w:num="1">
            <w:col w:w="10260"/>
          </w:cols>
          <w:pgMar w:left="1000" w:top="784" w:right="980" w:bottom="0" w:gutter="0" w:footer="0" w:header="0"/>
          <w:type w:val="continuous"/>
        </w:sectPr>
      </w:pPr>
    </w:p>
    <w:bookmarkStart w:id="125" w:name="page126"/>
    <w:bookmarkEnd w:id="125"/>
    <w:p>
      <w:pPr>
        <w:ind w:left="360"/>
        <w:spacing w:after="0"/>
        <w:rPr>
          <w:sz w:val="20"/>
          <w:szCs w:val="20"/>
          <w:color w:val="auto"/>
        </w:rPr>
      </w:pPr>
      <w:r>
        <w:rPr>
          <w:rFonts w:ascii="Times New Roman" w:cs="Times New Roman" w:eastAsia="Times New Roman" w:hAnsi="Times New Roman"/>
          <w:sz w:val="20"/>
          <w:szCs w:val="20"/>
          <w:b w:val="1"/>
          <w:bCs w:val="1"/>
          <w:color w:val="auto"/>
        </w:rPr>
        <w:t>Summary Compensation Table for the Fiscal Year Ended December 31, 2023</w:t>
      </w:r>
    </w:p>
    <w:p>
      <w:pPr>
        <w:spacing w:after="0" w:line="197" w:lineRule="exact"/>
        <w:rPr>
          <w:sz w:val="20"/>
          <w:szCs w:val="20"/>
          <w:color w:val="auto"/>
        </w:rPr>
      </w:pPr>
    </w:p>
    <w:p>
      <w:pPr>
        <w:ind w:right="200" w:firstLine="360"/>
        <w:spacing w:after="0" w:line="281" w:lineRule="auto"/>
        <w:rPr>
          <w:sz w:val="20"/>
          <w:szCs w:val="20"/>
          <w:color w:val="auto"/>
        </w:rPr>
      </w:pPr>
      <w:r>
        <w:rPr>
          <w:rFonts w:ascii="Times New Roman" w:cs="Times New Roman" w:eastAsia="Times New Roman" w:hAnsi="Times New Roman"/>
          <w:sz w:val="20"/>
          <w:szCs w:val="20"/>
          <w:color w:val="auto"/>
        </w:rPr>
        <w:t>The following table shows the compensation earned by our named executive officers for the fiscal years ended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112395</wp:posOffset>
            </wp:positionV>
            <wp:extent cx="6311900" cy="131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63">
                      <a:extLst>
                        <a:ext uri="{28A0092B-C50C-407E-A947-70E740481C1C}"/>
                      </a:extLst>
                    </a:blip>
                    <a:srcRect/>
                    <a:stretch>
                      <a:fillRect/>
                    </a:stretch>
                  </pic:blipFill>
                  <pic:spPr bwMode="auto">
                    <a:xfrm>
                      <a:off x="0" y="0"/>
                      <a:ext cx="6311900" cy="1311910"/>
                    </a:xfrm>
                    <a:prstGeom prst="rect">
                      <a:avLst/>
                    </a:prstGeom>
                    <a:noFill/>
                  </pic:spPr>
                </pic:pic>
              </a:graphicData>
            </a:graphic>
          </wp:anchor>
        </w:drawing>
      </w:r>
    </w:p>
    <w:p>
      <w:pPr>
        <w:spacing w:after="0" w:line="365" w:lineRule="exact"/>
        <w:rPr>
          <w:sz w:val="20"/>
          <w:szCs w:val="20"/>
          <w:color w:val="auto"/>
        </w:rPr>
      </w:pPr>
    </w:p>
    <w:tbl>
      <w:tblPr>
        <w:tblLayout w:type="fixed"/>
        <w:tblInd w:w="100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tcPr>
          <w:p>
            <w:pPr>
              <w:jc w:val="center"/>
              <w:ind w:left="47"/>
              <w:spacing w:after="0"/>
              <w:rPr>
                <w:sz w:val="20"/>
                <w:szCs w:val="20"/>
                <w:color w:val="auto"/>
              </w:rPr>
            </w:pPr>
            <w:r>
              <w:rPr>
                <w:rFonts w:ascii="Times New Roman" w:cs="Times New Roman" w:eastAsia="Times New Roman" w:hAnsi="Times New Roman"/>
                <w:sz w:val="16"/>
                <w:szCs w:val="16"/>
                <w:b w:val="1"/>
                <w:bCs w:val="1"/>
                <w:color w:val="auto"/>
                <w:w w:val="99"/>
              </w:rPr>
              <w:t>Non-equity</w:t>
            </w:r>
          </w:p>
        </w:tc>
        <w:tc>
          <w:tcPr>
            <w:tcW w:w="14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2"/>
        </w:trPr>
        <w:tc>
          <w:tcPr>
            <w:tcW w:w="2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320" w:type="dxa"/>
            <w:vAlign w:val="bottom"/>
          </w:tcPr>
          <w:p>
            <w:pPr>
              <w:jc w:val="center"/>
              <w:ind w:left="47"/>
              <w:spacing w:after="0"/>
              <w:rPr>
                <w:sz w:val="20"/>
                <w:szCs w:val="20"/>
                <w:color w:val="auto"/>
              </w:rPr>
            </w:pPr>
            <w:r>
              <w:rPr>
                <w:rFonts w:ascii="Times New Roman" w:cs="Times New Roman" w:eastAsia="Times New Roman" w:hAnsi="Times New Roman"/>
                <w:sz w:val="16"/>
                <w:szCs w:val="16"/>
                <w:b w:val="1"/>
                <w:bCs w:val="1"/>
                <w:color w:val="auto"/>
              </w:rPr>
              <w:t>incentive plan</w:t>
            </w:r>
          </w:p>
        </w:tc>
        <w:tc>
          <w:tcPr>
            <w:tcW w:w="1480" w:type="dxa"/>
            <w:vAlign w:val="bottom"/>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760" w:type="dxa"/>
            <w:vAlign w:val="bottom"/>
          </w:tcPr>
          <w:p>
            <w:pPr>
              <w:spacing w:after="0"/>
              <w:rPr>
                <w:sz w:val="16"/>
                <w:szCs w:val="16"/>
                <w:color w:val="auto"/>
              </w:rPr>
            </w:pPr>
          </w:p>
        </w:tc>
      </w:tr>
      <w:tr>
        <w:trPr>
          <w:trHeight w:val="177"/>
        </w:trPr>
        <w:tc>
          <w:tcPr>
            <w:tcW w:w="2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jc w:val="center"/>
              <w:spacing w:after="0" w:line="177" w:lineRule="exact"/>
              <w:rPr>
                <w:sz w:val="20"/>
                <w:szCs w:val="20"/>
                <w:color w:val="auto"/>
              </w:rPr>
            </w:pPr>
            <w:r>
              <w:rPr>
                <w:rFonts w:ascii="Times New Roman" w:cs="Times New Roman" w:eastAsia="Times New Roman" w:hAnsi="Times New Roman"/>
                <w:sz w:val="16"/>
                <w:szCs w:val="16"/>
                <w:b w:val="1"/>
                <w:bCs w:val="1"/>
                <w:color w:val="auto"/>
                <w:w w:val="98"/>
              </w:rPr>
              <w:t>Salary</w:t>
            </w:r>
          </w:p>
        </w:tc>
        <w:tc>
          <w:tcPr>
            <w:tcW w:w="1020" w:type="dxa"/>
            <w:vAlign w:val="bottom"/>
          </w:tcPr>
          <w:p>
            <w:pPr>
              <w:jc w:val="center"/>
              <w:spacing w:after="0" w:line="177" w:lineRule="exact"/>
              <w:rPr>
                <w:sz w:val="20"/>
                <w:szCs w:val="20"/>
                <w:color w:val="auto"/>
              </w:rPr>
            </w:pPr>
            <w:r>
              <w:rPr>
                <w:rFonts w:ascii="Times New Roman" w:cs="Times New Roman" w:eastAsia="Times New Roman" w:hAnsi="Times New Roman"/>
                <w:sz w:val="16"/>
                <w:szCs w:val="16"/>
                <w:b w:val="1"/>
                <w:bCs w:val="1"/>
                <w:color w:val="auto"/>
              </w:rPr>
              <w:t>awards</w:t>
            </w:r>
          </w:p>
        </w:tc>
        <w:tc>
          <w:tcPr>
            <w:tcW w:w="1320" w:type="dxa"/>
            <w:vAlign w:val="bottom"/>
          </w:tcPr>
          <w:p>
            <w:pPr>
              <w:jc w:val="center"/>
              <w:ind w:left="47"/>
              <w:spacing w:after="0" w:line="177"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1480" w:type="dxa"/>
            <w:vAlign w:val="bottom"/>
          </w:tcPr>
          <w:p>
            <w:pPr>
              <w:jc w:val="center"/>
              <w:ind w:right="180"/>
              <w:spacing w:after="0" w:line="177" w:lineRule="exact"/>
              <w:rPr>
                <w:sz w:val="20"/>
                <w:szCs w:val="20"/>
                <w:color w:val="auto"/>
              </w:rPr>
            </w:pPr>
            <w:r>
              <w:rPr>
                <w:rFonts w:ascii="Times New Roman" w:cs="Times New Roman" w:eastAsia="Times New Roman" w:hAnsi="Times New Roman"/>
                <w:sz w:val="16"/>
                <w:szCs w:val="16"/>
                <w:b w:val="1"/>
                <w:bCs w:val="1"/>
                <w:color w:val="auto"/>
                <w:w w:val="99"/>
              </w:rPr>
              <w:t>compensation</w:t>
            </w:r>
          </w:p>
        </w:tc>
        <w:tc>
          <w:tcPr>
            <w:tcW w:w="760" w:type="dxa"/>
            <w:vAlign w:val="bottom"/>
          </w:tcPr>
          <w:p>
            <w:pPr>
              <w:jc w:val="center"/>
              <w:ind w:left="320"/>
              <w:spacing w:after="0" w:line="177" w:lineRule="exact"/>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76"/>
        </w:trPr>
        <w:tc>
          <w:tcPr>
            <w:tcW w:w="2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96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960" w:type="dxa"/>
            <w:vAlign w:val="bottom"/>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Pr>
          <w:p>
            <w:pPr>
              <w:jc w:val="center"/>
              <w:spacing w:after="0" w:line="276" w:lineRule="exact"/>
              <w:rPr>
                <w:sz w:val="20"/>
                <w:szCs w:val="20"/>
                <w:color w:val="auto"/>
              </w:rPr>
            </w:pPr>
            <w:r>
              <w:rPr>
                <w:rFonts w:ascii="Times New Roman" w:cs="Times New Roman" w:eastAsia="Times New Roman" w:hAnsi="Times New Roman"/>
                <w:sz w:val="32"/>
                <w:szCs w:val="32"/>
                <w:b w:val="1"/>
                <w:bCs w:val="1"/>
                <w:color w:val="auto"/>
                <w:w w:val="81"/>
                <w:vertAlign w:val="subscript"/>
              </w:rPr>
              <w:t>($)</w:t>
            </w:r>
            <w:r>
              <w:rPr>
                <w:rFonts w:ascii="Times New Roman" w:cs="Times New Roman" w:eastAsia="Times New Roman" w:hAnsi="Times New Roman"/>
                <w:sz w:val="10"/>
                <w:szCs w:val="10"/>
                <w:b w:val="1"/>
                <w:bCs w:val="1"/>
                <w:color w:val="auto"/>
                <w:w w:val="81"/>
              </w:rPr>
              <w:t>(1)</w:t>
            </w:r>
          </w:p>
        </w:tc>
        <w:tc>
          <w:tcPr>
            <w:tcW w:w="1320" w:type="dxa"/>
            <w:vAlign w:val="bottom"/>
          </w:tcPr>
          <w:p>
            <w:pPr>
              <w:jc w:val="center"/>
              <w:ind w:left="47"/>
              <w:spacing w:after="0" w:line="276" w:lineRule="exact"/>
              <w:rPr>
                <w:sz w:val="20"/>
                <w:szCs w:val="20"/>
                <w:color w:val="auto"/>
              </w:rPr>
            </w:pPr>
            <w:r>
              <w:rPr>
                <w:rFonts w:ascii="Times New Roman" w:cs="Times New Roman" w:eastAsia="Times New Roman" w:hAnsi="Times New Roman"/>
                <w:sz w:val="32"/>
                <w:szCs w:val="32"/>
                <w:b w:val="1"/>
                <w:bCs w:val="1"/>
                <w:color w:val="auto"/>
                <w:w w:val="87"/>
                <w:vertAlign w:val="subscript"/>
              </w:rPr>
              <w:t>($)</w:t>
            </w:r>
            <w:r>
              <w:rPr>
                <w:rFonts w:ascii="Times New Roman" w:cs="Times New Roman" w:eastAsia="Times New Roman" w:hAnsi="Times New Roman"/>
                <w:sz w:val="10"/>
                <w:szCs w:val="10"/>
                <w:b w:val="1"/>
                <w:bCs w:val="1"/>
                <w:color w:val="auto"/>
                <w:w w:val="87"/>
              </w:rPr>
              <w:t>(2)</w:t>
            </w:r>
          </w:p>
        </w:tc>
        <w:tc>
          <w:tcPr>
            <w:tcW w:w="1480" w:type="dxa"/>
            <w:vAlign w:val="bottom"/>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bl>
    <w:p>
      <w:pPr>
        <w:spacing w:after="0" w:line="1" w:lineRule="exact"/>
        <w:rPr>
          <w:sz w:val="20"/>
          <w:szCs w:val="20"/>
          <w:color w:val="auto"/>
        </w:rPr>
      </w:pPr>
    </w:p>
    <w:p>
      <w:pPr>
        <w:sectPr>
          <w:pgSz w:w="12240" w:h="15840" w:orient="portrait"/>
          <w:cols w:equalWidth="0" w:num="1">
            <w:col w:w="10260"/>
          </w:cols>
          <w:pgMar w:left="1000" w:top="786" w:right="980" w:bottom="0" w:gutter="0" w:footer="0" w:header="0"/>
        </w:sectPr>
      </w:pPr>
    </w:p>
    <w:tbl>
      <w:tblPr>
        <w:tblLayout w:type="fixed"/>
        <w:tblInd w:w="400" w:type="dxa"/>
        <w:tblCellMar>
          <w:top w:w="0" w:type="dxa"/>
          <w:left w:w="0" w:type="dxa"/>
          <w:bottom w:w="0" w:type="dxa"/>
          <w:right w:w="0" w:type="dxa"/>
        </w:tblCellMar>
      </w:tblPr>
      <w:tr>
        <w:trPr>
          <w:trHeight w:val="239"/>
        </w:trPr>
        <w:tc>
          <w:tcPr>
            <w:tcW w:w="3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Sujal Patel</w:t>
            </w: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3160" w:type="dxa"/>
            <w:vAlign w:val="bottom"/>
          </w:tcPr>
          <w:p>
            <w:pPr>
              <w:ind w:left="180"/>
              <w:spacing w:after="0" w:line="205" w:lineRule="exact"/>
              <w:rPr>
                <w:sz w:val="20"/>
                <w:szCs w:val="20"/>
                <w:color w:val="auto"/>
              </w:rPr>
            </w:pPr>
            <w:r>
              <w:rPr>
                <w:rFonts w:ascii="Times New Roman" w:cs="Times New Roman" w:eastAsia="Times New Roman" w:hAnsi="Times New Roman"/>
                <w:sz w:val="20"/>
                <w:szCs w:val="20"/>
                <w:b w:val="1"/>
                <w:bCs w:val="1"/>
                <w:i w:val="1"/>
                <w:iCs w:val="1"/>
                <w:color w:val="auto"/>
              </w:rPr>
              <w:t>President, Chief Executive Officer</w:t>
            </w:r>
          </w:p>
        </w:tc>
        <w:tc>
          <w:tcPr>
            <w:tcW w:w="80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2023</w:t>
            </w:r>
          </w:p>
        </w:tc>
        <w:tc>
          <w:tcPr>
            <w:tcW w:w="96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535,000</w:t>
            </w:r>
          </w:p>
        </w:tc>
        <w:tc>
          <w:tcPr>
            <w:tcW w:w="1280" w:type="dxa"/>
            <w:vAlign w:val="bottom"/>
            <w:vMerge w:val="restart"/>
          </w:tcPr>
          <w:p>
            <w:pPr>
              <w:jc w:val="right"/>
              <w:ind w:right="200"/>
              <w:spacing w:after="0"/>
              <w:rPr>
                <w:sz w:val="20"/>
                <w:szCs w:val="20"/>
                <w:color w:val="auto"/>
              </w:rPr>
            </w:pPr>
            <w:r>
              <w:rPr>
                <w:rFonts w:ascii="Times New Roman" w:cs="Times New Roman" w:eastAsia="Times New Roman" w:hAnsi="Times New Roman"/>
                <w:sz w:val="20"/>
                <w:szCs w:val="20"/>
                <w:color w:val="auto"/>
              </w:rPr>
              <w:t>1,065,622</w:t>
            </w:r>
          </w:p>
        </w:tc>
        <w:tc>
          <w:tcPr>
            <w:tcW w:w="1320" w:type="dxa"/>
            <w:vAlign w:val="bottom"/>
            <w:vMerge w:val="restart"/>
          </w:tcPr>
          <w:p>
            <w:pPr>
              <w:jc w:val="right"/>
              <w:ind w:right="260"/>
              <w:spacing w:after="0"/>
              <w:rPr>
                <w:sz w:val="20"/>
                <w:szCs w:val="20"/>
                <w:color w:val="auto"/>
              </w:rPr>
            </w:pPr>
            <w:r>
              <w:rPr>
                <w:rFonts w:ascii="Times New Roman" w:cs="Times New Roman" w:eastAsia="Times New Roman" w:hAnsi="Times New Roman"/>
                <w:sz w:val="20"/>
                <w:szCs w:val="20"/>
                <w:color w:val="auto"/>
              </w:rPr>
              <w:t>291,040</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1,200</w:t>
            </w:r>
          </w:p>
        </w:tc>
        <w:tc>
          <w:tcPr>
            <w:tcW w:w="0" w:type="dxa"/>
            <w:vAlign w:val="bottom"/>
          </w:tcPr>
          <w:p>
            <w:pPr>
              <w:spacing w:after="0"/>
              <w:rPr>
                <w:sz w:val="1"/>
                <w:szCs w:val="1"/>
                <w:color w:val="auto"/>
              </w:rPr>
            </w:pPr>
          </w:p>
        </w:tc>
      </w:tr>
      <w:tr>
        <w:trPr>
          <w:trHeight w:val="264"/>
        </w:trPr>
        <w:tc>
          <w:tcPr>
            <w:tcW w:w="31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and Secretary</w:t>
            </w:r>
          </w:p>
        </w:tc>
        <w:tc>
          <w:tcPr>
            <w:tcW w:w="80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1320" w:type="dxa"/>
            <w:vAlign w:val="bottom"/>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3160" w:type="dxa"/>
            <w:vAlign w:val="bottom"/>
          </w:tcPr>
          <w:p>
            <w:pPr>
              <w:spacing w:after="0"/>
              <w:rPr>
                <w:sz w:val="24"/>
                <w:szCs w:val="24"/>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2022</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500,000</w:t>
            </w:r>
          </w:p>
        </w:tc>
        <w:tc>
          <w:tcPr>
            <w:tcW w:w="12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1,256,572</w:t>
            </w:r>
          </w:p>
        </w:tc>
        <w:tc>
          <w:tcPr>
            <w:tcW w:w="132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1,200</w:t>
            </w:r>
          </w:p>
        </w:tc>
        <w:tc>
          <w:tcPr>
            <w:tcW w:w="0" w:type="dxa"/>
            <w:vAlign w:val="bottom"/>
          </w:tcPr>
          <w:p>
            <w:pPr>
              <w:spacing w:after="0"/>
              <w:rPr>
                <w:sz w:val="1"/>
                <w:szCs w:val="1"/>
                <w:color w:val="auto"/>
              </w:rPr>
            </w:pPr>
          </w:p>
        </w:tc>
      </w:tr>
      <w:tr>
        <w:trPr>
          <w:trHeight w:val="285"/>
        </w:trPr>
        <w:tc>
          <w:tcPr>
            <w:tcW w:w="3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Parag Mallick</w:t>
            </w: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1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Chief Scientist</w:t>
            </w: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2023</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420,000</w:t>
            </w:r>
          </w:p>
        </w:tc>
        <w:tc>
          <w:tcPr>
            <w:tcW w:w="12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459,037</w:t>
            </w:r>
          </w:p>
        </w:tc>
        <w:tc>
          <w:tcPr>
            <w:tcW w:w="132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142,800</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3160" w:type="dxa"/>
            <w:vAlign w:val="bottom"/>
          </w:tcPr>
          <w:p>
            <w:pPr>
              <w:spacing w:after="0"/>
              <w:rPr>
                <w:sz w:val="24"/>
                <w:szCs w:val="24"/>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2022</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400,000</w:t>
            </w:r>
          </w:p>
        </w:tc>
        <w:tc>
          <w:tcPr>
            <w:tcW w:w="12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879,600</w:t>
            </w:r>
          </w:p>
        </w:tc>
        <w:tc>
          <w:tcPr>
            <w:tcW w:w="132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3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Anna Mowry</w:t>
            </w: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-184785</wp:posOffset>
            </wp:positionV>
            <wp:extent cx="6311900" cy="6826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64">
                      <a:extLst>
                        <a:ext uri="{28A0092B-C50C-407E-A947-70E740481C1C}"/>
                      </a:extLst>
                    </a:blip>
                    <a:srcRect/>
                    <a:stretch>
                      <a:fillRect/>
                    </a:stretch>
                  </pic:blipFill>
                  <pic:spPr bwMode="auto">
                    <a:xfrm>
                      <a:off x="0" y="0"/>
                      <a:ext cx="6311900" cy="6826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(3)</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1,892,862</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1,757,772</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1,021,837</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1,279,600</w:t>
      </w:r>
    </w:p>
    <w:p>
      <w:pPr>
        <w:spacing w:after="0" w:line="316" w:lineRule="exact"/>
        <w:rPr>
          <w:sz w:val="20"/>
          <w:szCs w:val="20"/>
          <w:color w:val="auto"/>
        </w:rPr>
      </w:pPr>
    </w:p>
    <w:p>
      <w:pPr>
        <w:sectPr>
          <w:pgSz w:w="12240" w:h="15840" w:orient="portrait"/>
          <w:cols w:equalWidth="0" w:num="3">
            <w:col w:w="8720" w:space="120"/>
            <w:col w:w="160" w:space="360"/>
            <w:col w:w="900"/>
          </w:cols>
          <w:pgMar w:left="1000" w:top="786" w:right="980" w:bottom="0" w:gutter="0" w:footer="0" w:header="0"/>
          <w:type w:val="continuous"/>
        </w:sectPr>
      </w:pPr>
    </w:p>
    <w:tbl>
      <w:tblPr>
        <w:tblLayout w:type="fixed"/>
        <w:tblInd w:w="580" w:type="dxa"/>
        <w:tblCellMar>
          <w:top w:w="0" w:type="dxa"/>
          <w:left w:w="0" w:type="dxa"/>
          <w:bottom w:w="0" w:type="dxa"/>
          <w:right w:w="0" w:type="dxa"/>
        </w:tblCellMar>
      </w:tblPr>
      <w:tr>
        <w:trPr>
          <w:trHeight w:val="205"/>
        </w:trPr>
        <w:tc>
          <w:tcPr>
            <w:tcW w:w="2720" w:type="dxa"/>
            <w:vAlign w:val="bottom"/>
          </w:tcPr>
          <w:p>
            <w:pPr>
              <w:spacing w:after="0" w:line="205" w:lineRule="exact"/>
              <w:rPr>
                <w:sz w:val="20"/>
                <w:szCs w:val="20"/>
                <w:color w:val="auto"/>
              </w:rPr>
            </w:pPr>
            <w:r>
              <w:rPr>
                <w:rFonts w:ascii="Times New Roman" w:cs="Times New Roman" w:eastAsia="Times New Roman" w:hAnsi="Times New Roman"/>
                <w:sz w:val="20"/>
                <w:szCs w:val="20"/>
                <w:b w:val="1"/>
                <w:bCs w:val="1"/>
                <w:i w:val="1"/>
                <w:iCs w:val="1"/>
                <w:color w:val="auto"/>
              </w:rPr>
              <w:t>Chief Financial Officer and</w:t>
            </w:r>
          </w:p>
        </w:tc>
        <w:tc>
          <w:tcPr>
            <w:tcW w:w="106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2023</w:t>
            </w:r>
          </w:p>
        </w:tc>
        <w:tc>
          <w:tcPr>
            <w:tcW w:w="1040" w:type="dxa"/>
            <w:vAlign w:val="bottom"/>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386,000</w:t>
            </w:r>
          </w:p>
        </w:tc>
        <w:tc>
          <w:tcPr>
            <w:tcW w:w="1200" w:type="dxa"/>
            <w:vAlign w:val="bottom"/>
            <w:vMerge w:val="restart"/>
          </w:tcPr>
          <w:p>
            <w:pPr>
              <w:jc w:val="right"/>
              <w:ind w:right="200"/>
              <w:spacing w:after="0"/>
              <w:rPr>
                <w:sz w:val="20"/>
                <w:szCs w:val="20"/>
                <w:color w:val="auto"/>
              </w:rPr>
            </w:pPr>
            <w:r>
              <w:rPr>
                <w:rFonts w:ascii="Times New Roman" w:cs="Times New Roman" w:eastAsia="Times New Roman" w:hAnsi="Times New Roman"/>
                <w:sz w:val="20"/>
                <w:szCs w:val="20"/>
                <w:color w:val="auto"/>
              </w:rPr>
              <w:t>262,307</w:t>
            </w:r>
          </w:p>
        </w:tc>
        <w:tc>
          <w:tcPr>
            <w:tcW w:w="1320" w:type="dxa"/>
            <w:vAlign w:val="bottom"/>
            <w:vMerge w:val="restart"/>
          </w:tcPr>
          <w:p>
            <w:pPr>
              <w:jc w:val="right"/>
              <w:ind w:right="260"/>
              <w:spacing w:after="0"/>
              <w:rPr>
                <w:sz w:val="20"/>
                <w:szCs w:val="20"/>
                <w:color w:val="auto"/>
              </w:rPr>
            </w:pPr>
            <w:r>
              <w:rPr>
                <w:rFonts w:ascii="Times New Roman" w:cs="Times New Roman" w:eastAsia="Times New Roman" w:hAnsi="Times New Roman"/>
                <w:sz w:val="20"/>
                <w:szCs w:val="20"/>
                <w:color w:val="auto"/>
              </w:rPr>
              <w:t>132,012</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1,200</w:t>
            </w:r>
          </w:p>
        </w:tc>
        <w:tc>
          <w:tcPr>
            <w:tcW w:w="0" w:type="dxa"/>
            <w:vAlign w:val="bottom"/>
          </w:tcPr>
          <w:p>
            <w:pPr>
              <w:spacing w:after="0"/>
              <w:rPr>
                <w:sz w:val="1"/>
                <w:szCs w:val="1"/>
                <w:color w:val="auto"/>
              </w:rPr>
            </w:pPr>
          </w:p>
        </w:tc>
      </w:tr>
      <w:tr>
        <w:trPr>
          <w:trHeight w:val="264"/>
        </w:trPr>
        <w:tc>
          <w:tcPr>
            <w:tcW w:w="272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Treasurer</w:t>
            </w:r>
          </w:p>
        </w:tc>
        <w:tc>
          <w:tcPr>
            <w:tcW w:w="106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1200" w:type="dxa"/>
            <w:vAlign w:val="bottom"/>
            <w:vMerge w:val="continue"/>
          </w:tcPr>
          <w:p>
            <w:pPr>
              <w:spacing w:after="0"/>
              <w:rPr>
                <w:sz w:val="22"/>
                <w:szCs w:val="22"/>
                <w:color w:val="auto"/>
              </w:rPr>
            </w:pPr>
          </w:p>
        </w:tc>
        <w:tc>
          <w:tcPr>
            <w:tcW w:w="1320" w:type="dxa"/>
            <w:vAlign w:val="bottom"/>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2720" w:type="dxa"/>
            <w:vAlign w:val="bottom"/>
          </w:tcPr>
          <w:p>
            <w:pPr>
              <w:spacing w:after="0"/>
              <w:rPr>
                <w:sz w:val="24"/>
                <w:szCs w:val="24"/>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2022</w:t>
            </w:r>
          </w:p>
        </w:tc>
        <w:tc>
          <w:tcPr>
            <w:tcW w:w="104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364,000</w:t>
            </w:r>
          </w:p>
        </w:tc>
        <w:tc>
          <w:tcPr>
            <w:tcW w:w="12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879,600</w:t>
            </w:r>
          </w:p>
        </w:tc>
        <w:tc>
          <w:tcPr>
            <w:tcW w:w="132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102,375</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1,200</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________________________</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(3)</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Times New Roman" w:cs="Times New Roman" w:eastAsia="Times New Roman" w:hAnsi="Times New Roman"/>
          <w:sz w:val="19"/>
          <w:szCs w:val="19"/>
          <w:color w:val="auto"/>
        </w:rPr>
        <w:t xml:space="preserve">781,519 </w:t>
      </w:r>
      <w:r>
        <w:rPr>
          <w:sz w:val="1"/>
          <w:szCs w:val="1"/>
          <w:color w:val="auto"/>
        </w:rPr>
        <w:drawing>
          <wp:inline distT="0" distB="0" distL="0" distR="0">
            <wp:extent cx="6985" cy="27622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65">
                      <a:extLst>
                        <a:ext uri="{28A0092B-C50C-407E-A947-70E740481C1C}"/>
                      </a:extLst>
                    </a:blip>
                    <a:srcRect/>
                    <a:stretch>
                      <a:fillRect/>
                    </a:stretch>
                  </pic:blipFill>
                  <pic:spPr bwMode="auto">
                    <a:xfrm>
                      <a:off x="0" y="0"/>
                      <a:ext cx="6985" cy="276225"/>
                    </a:xfrm>
                    <a:prstGeom prst="rect">
                      <a:avLst/>
                    </a:prstGeom>
                    <a:noFill/>
                    <a:ln>
                      <a:noFill/>
                    </a:ln>
                  </pic:spPr>
                </pic:pic>
              </a:graphicData>
            </a:graphic>
          </wp:inline>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1,347,175</w:t>
      </w:r>
    </w:p>
    <w:p>
      <w:pPr>
        <w:spacing w:after="0" w:line="590" w:lineRule="exact"/>
        <w:rPr>
          <w:sz w:val="20"/>
          <w:szCs w:val="20"/>
          <w:color w:val="auto"/>
        </w:rPr>
      </w:pPr>
    </w:p>
    <w:p>
      <w:pPr>
        <w:sectPr>
          <w:pgSz w:w="12240" w:h="15840" w:orient="portrait"/>
          <w:cols w:equalWidth="0" w:num="3">
            <w:col w:w="8720" w:space="120"/>
            <w:col w:w="160" w:space="360"/>
            <w:col w:w="900"/>
          </w:cols>
          <w:pgMar w:left="1000" w:top="786" w:right="980" w:bottom="0" w:gutter="0" w:footer="0" w:header="0"/>
          <w:type w:val="continuous"/>
        </w:sectPr>
      </w:pPr>
    </w:p>
    <w:p>
      <w:pPr>
        <w:ind w:left="440" w:right="360" w:hanging="322"/>
        <w:spacing w:after="0" w:line="258" w:lineRule="auto"/>
        <w:tabs>
          <w:tab w:leader="none" w:pos="44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SEC rules, this column reflects the aggregate grant date fair value of the stock option awards granted during 2022 or 2023, computed in accordance with FASB ASC 718. These amounts do not reflect the actual economic value that will be realized by the named executive officer upon the vesting of the stock options, the exercise of the stock options, or the sale of the common stock underlying such stock options. For a discussion of valuation assumptions, see Note 7 to our audited financial statements included in this Annual Report on Form 10-K for the fiscal year ended December 31, 2023.</w:t>
      </w:r>
    </w:p>
    <w:p>
      <w:pPr>
        <w:spacing w:after="0" w:line="14" w:lineRule="exact"/>
        <w:rPr>
          <w:rFonts w:ascii="Times New Roman" w:cs="Times New Roman" w:eastAsia="Times New Roman" w:hAnsi="Times New Roman"/>
          <w:sz w:val="16"/>
          <w:szCs w:val="16"/>
          <w:color w:val="auto"/>
        </w:rPr>
      </w:pPr>
    </w:p>
    <w:p>
      <w:pPr>
        <w:ind w:left="440" w:right="100" w:hanging="322"/>
        <w:spacing w:after="0" w:line="219" w:lineRule="auto"/>
        <w:tabs>
          <w:tab w:leader="none" w:pos="44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amounts represent performance-based cash bonuses paid under the Incentive Plan (as defined below) for the years ended December 31, 2023 and December 31, 2022, respectively, each of which was paid in the subsequent fiscal year. Each of Mr. Patel and Dr. Mallick voluntarily declined any payments under the Incentive Plan for the year ended December 31, 2022. If Mr. Patel and Dr. Mallick had received cash bonuses under the Incentive Plan based on the same determinations with respect to cash bonuses for our other NEOs, Mr. Patel would have received a payment of $125,000 and Dr. Mallick would have received a payment of $100,000. The Incentive Plan is more fully described below under the section titled “—Non-Equity Incentive Plan Compensation.”</w:t>
      </w:r>
    </w:p>
    <w:p>
      <w:pPr>
        <w:spacing w:after="0" w:line="32" w:lineRule="exact"/>
        <w:rPr>
          <w:rFonts w:ascii="Times New Roman" w:cs="Times New Roman" w:eastAsia="Times New Roman" w:hAnsi="Times New Roman"/>
          <w:sz w:val="16"/>
          <w:szCs w:val="16"/>
          <w:color w:val="auto"/>
        </w:rPr>
      </w:pPr>
    </w:p>
    <w:p>
      <w:pPr>
        <w:ind w:left="440" w:hanging="322"/>
        <w:spacing w:after="0"/>
        <w:tabs>
          <w:tab w:leader="none" w:pos="44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represent $1,200 in parking benefits.</w:t>
      </w:r>
    </w:p>
    <w:p>
      <w:pPr>
        <w:spacing w:after="0" w:line="2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Equity Incentive Plan Compensation</w:t>
      </w:r>
    </w:p>
    <w:p>
      <w:pPr>
        <w:spacing w:after="0" w:line="197" w:lineRule="exact"/>
        <w:rPr>
          <w:sz w:val="20"/>
          <w:szCs w:val="20"/>
          <w:color w:val="auto"/>
        </w:rPr>
      </w:pPr>
    </w:p>
    <w:p>
      <w:pPr>
        <w:ind w:right="140" w:firstLine="360"/>
        <w:spacing w:after="0" w:line="278" w:lineRule="auto"/>
        <w:rPr>
          <w:sz w:val="20"/>
          <w:szCs w:val="20"/>
          <w:color w:val="auto"/>
        </w:rPr>
      </w:pPr>
      <w:r>
        <w:rPr>
          <w:rFonts w:ascii="Times New Roman" w:cs="Times New Roman" w:eastAsia="Times New Roman" w:hAnsi="Times New Roman"/>
          <w:sz w:val="19"/>
          <w:szCs w:val="19"/>
          <w:color w:val="auto"/>
        </w:rPr>
        <w:t>We maintain the Executive Incentive Compensation Plan (the “Incentive Plan”), which allows our board of directors or compensation committee to grant incentive awards, generally payable in cash, to employees selected by our compensation committee, including our executive officers, based upon performance goals established by our compensation committee. In February 2023, our board of directors approved performance goals under the Incentive Plan for 2023 (the “2023 Bonus Plan”).</w:t>
      </w:r>
    </w:p>
    <w:p>
      <w:pPr>
        <w:spacing w:after="0" w:line="128" w:lineRule="exact"/>
        <w:rPr>
          <w:sz w:val="20"/>
          <w:szCs w:val="20"/>
          <w:color w:val="auto"/>
        </w:rPr>
      </w:pPr>
    </w:p>
    <w:p>
      <w:pPr>
        <w:ind w:right="300" w:firstLine="360"/>
        <w:spacing w:after="0" w:line="254" w:lineRule="auto"/>
        <w:rPr>
          <w:sz w:val="20"/>
          <w:szCs w:val="20"/>
          <w:color w:val="auto"/>
        </w:rPr>
      </w:pPr>
      <w:r>
        <w:rPr>
          <w:rFonts w:ascii="Times New Roman" w:cs="Times New Roman" w:eastAsia="Times New Roman" w:hAnsi="Times New Roman"/>
          <w:sz w:val="20"/>
          <w:szCs w:val="20"/>
          <w:color w:val="auto"/>
        </w:rPr>
        <w:t>The performance goals under the 2023 Bonus Plan applied to each of our named executive officers and consisted of five financial or strategic goals with respect to Nautilus (or “corporate performance goals”) for the 2023 year related to certain profiling milestones, certain instrument and consumable operational and manufacturing readiness, certain commercial engagement, and financial metrics related to cash management. Each corporate performance goal was provided a specific weighting, and the extent of achievement of each such goal was expressed as a percentage (with 100% representing target achievement, provided that achievement could be higher or lower depending on actual performance) determined the payout with respect to the portion of the cash incentive opportunity allocated to such goal. Each of Mr. Patel and Dr. Mallick’s cash incentive opportunities for 2023 were based 100% on the corporate performance goals.</w:t>
      </w:r>
    </w:p>
    <w:p>
      <w:pPr>
        <w:spacing w:after="0" w:line="153" w:lineRule="exact"/>
        <w:rPr>
          <w:sz w:val="20"/>
          <w:szCs w:val="20"/>
          <w:color w:val="auto"/>
        </w:rPr>
      </w:pPr>
    </w:p>
    <w:p>
      <w:pPr>
        <w:ind w:right="180" w:firstLine="360"/>
        <w:spacing w:after="0" w:line="260" w:lineRule="auto"/>
        <w:rPr>
          <w:sz w:val="20"/>
          <w:szCs w:val="20"/>
          <w:color w:val="auto"/>
        </w:rPr>
      </w:pPr>
      <w:r>
        <w:rPr>
          <w:rFonts w:ascii="Times New Roman" w:cs="Times New Roman" w:eastAsia="Times New Roman" w:hAnsi="Times New Roman"/>
          <w:sz w:val="20"/>
          <w:szCs w:val="20"/>
          <w:color w:val="auto"/>
        </w:rPr>
        <w:t>For Ms. Mowry, the 2023 Bonus Plan additionally provided for an individual performance component based on corporate and strategic objectives specific to Ms. Mowry as established by the compensation committee of our board of directors. Ms. Mowry’s total cash incentive opportunity for 2023 was based 75% on achievement of the corporate performance goals described above and 25% on individual performance achievement.</w:t>
      </w:r>
    </w:p>
    <w:p>
      <w:pPr>
        <w:spacing w:after="0" w:line="143" w:lineRule="exact"/>
        <w:rPr>
          <w:sz w:val="20"/>
          <w:szCs w:val="20"/>
          <w:color w:val="auto"/>
        </w:rPr>
      </w:pPr>
    </w:p>
    <w:p>
      <w:pPr>
        <w:ind w:right="60" w:firstLine="360"/>
        <w:spacing w:after="0" w:line="275" w:lineRule="auto"/>
        <w:rPr>
          <w:sz w:val="20"/>
          <w:szCs w:val="20"/>
          <w:color w:val="auto"/>
        </w:rPr>
      </w:pPr>
      <w:r>
        <w:rPr>
          <w:rFonts w:ascii="Times New Roman" w:cs="Times New Roman" w:eastAsia="Times New Roman" w:hAnsi="Times New Roman"/>
          <w:sz w:val="19"/>
          <w:szCs w:val="19"/>
          <w:color w:val="auto"/>
        </w:rPr>
        <w:t>In February 2024, our board of directors completed a review of the Company’s performance against the corporate performance goals under the 2023 Bonus Plan. In its review, our board of directors evaluated the Company’s progress against these corporate performance goals, determining that certain goals were achieved or exceeded, that certain goals were not achieved, and that certain goals were partially achieved. Based upon this evaluation and application of the weightings, our board of directors approved payment of a cash bonus to each of Mr. Patel, Dr. Mallick and Ms. Mowry in amounts that resulted</w:t>
      </w:r>
    </w:p>
    <w:p>
      <w:pPr>
        <w:sectPr>
          <w:pgSz w:w="12240" w:h="15840" w:orient="portrait"/>
          <w:cols w:equalWidth="0" w:num="1">
            <w:col w:w="10260"/>
          </w:cols>
          <w:pgMar w:left="1000" w:top="786" w:right="980" w:bottom="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124</w:t>
      </w:r>
    </w:p>
    <w:p>
      <w:pPr>
        <w:sectPr>
          <w:pgSz w:w="12240" w:h="15840" w:orient="portrait"/>
          <w:cols w:equalWidth="0" w:num="1">
            <w:col w:w="10260"/>
          </w:cols>
          <w:pgMar w:left="1000" w:top="786" w:right="980" w:bottom="0" w:gutter="0" w:footer="0" w:header="0"/>
          <w:type w:val="continuous"/>
        </w:sectPr>
      </w:pPr>
    </w:p>
    <w:bookmarkStart w:id="126" w:name="page127"/>
    <w:bookmarkEnd w:id="126"/>
    <w:p>
      <w:pPr>
        <w:ind w:right="240"/>
        <w:spacing w:after="0" w:line="266" w:lineRule="auto"/>
        <w:rPr>
          <w:sz w:val="20"/>
          <w:szCs w:val="20"/>
          <w:color w:val="auto"/>
        </w:rPr>
      </w:pPr>
      <w:r>
        <w:rPr>
          <w:rFonts w:ascii="Times New Roman" w:cs="Times New Roman" w:eastAsia="Times New Roman" w:hAnsi="Times New Roman"/>
          <w:sz w:val="20"/>
          <w:szCs w:val="20"/>
          <w:color w:val="auto"/>
        </w:rPr>
        <w:t>from 68% achievement of the corporate performance goals under the 2023 Bonus Plan, and, for Ms. Mowry only, in combination with her level of achievement of her individual performance component. Each cash bonus was paid to Mr. Patel, Dr. Mallick and Ms. Mowry in early 2024.</w:t>
      </w:r>
    </w:p>
    <w:p>
      <w:pPr>
        <w:spacing w:after="0" w:line="135" w:lineRule="exact"/>
        <w:rPr>
          <w:sz w:val="20"/>
          <w:szCs w:val="20"/>
          <w:color w:val="auto"/>
        </w:rPr>
      </w:pPr>
    </w:p>
    <w:p>
      <w:pPr>
        <w:ind w:right="180" w:firstLine="360"/>
        <w:spacing w:after="0" w:line="254" w:lineRule="auto"/>
        <w:rPr>
          <w:sz w:val="20"/>
          <w:szCs w:val="20"/>
          <w:color w:val="auto"/>
        </w:rPr>
      </w:pPr>
      <w:r>
        <w:rPr>
          <w:rFonts w:ascii="Times New Roman" w:cs="Times New Roman" w:eastAsia="Times New Roman" w:hAnsi="Times New Roman"/>
          <w:sz w:val="20"/>
          <w:szCs w:val="20"/>
          <w:color w:val="auto"/>
        </w:rPr>
        <w:t>The amounts in the Summary Compensation Table under the column titled “Non-equity incentive plan compensation” for 2023 for each of Mr. Patel and Dr. Mallick is equal to 100% of his target bonus opportunity, multiplied by 68% for the corporate performance component, and for Ms. Mowry are equal to the sum of (i) 75% of her target bonus opportunity, multiplied by 68% for the corporate performance component, and (ii) 25% of her target bonus opportunity allocated to the individual performance component, multiplied by an aggregate achievement of 100% for 2023. For 2023, the cash incentive bonus under the 2023 Bonus Plan for our named executive officers was $291,040 for Mr. Patel, $142,800 for Dr. Mallick, and $132,012 for Ms. Mowry (of which $88,587 was paid out based on achievement of the corporate performance goals and $43,425 was paid out based on achievement of her individual performance goals).</w:t>
      </w:r>
    </w:p>
    <w:p>
      <w:pPr>
        <w:spacing w:after="0" w:line="1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Outstanding Equity Awards at Fiscal Year-End December 31, 2023</w:t>
      </w:r>
    </w:p>
    <w:p>
      <w:pPr>
        <w:spacing w:after="0" w:line="197" w:lineRule="exact"/>
        <w:rPr>
          <w:sz w:val="20"/>
          <w:szCs w:val="20"/>
          <w:color w:val="auto"/>
        </w:rPr>
      </w:pPr>
    </w:p>
    <w:p>
      <w:pPr>
        <w:ind w:right="100" w:firstLine="360"/>
        <w:spacing w:after="0" w:line="260" w:lineRule="auto"/>
        <w:rPr>
          <w:sz w:val="20"/>
          <w:szCs w:val="20"/>
          <w:color w:val="auto"/>
        </w:rPr>
      </w:pPr>
      <w:r>
        <w:rPr>
          <w:rFonts w:ascii="Times New Roman" w:cs="Times New Roman" w:eastAsia="Times New Roman" w:hAnsi="Times New Roman"/>
          <w:sz w:val="20"/>
          <w:szCs w:val="20"/>
          <w:color w:val="auto"/>
        </w:rPr>
        <w:t>The following table sets forth certain information regarding equity awards granted to the named executive officers that remained outstanding as of December 31, 2023. The number of shares subject to each award granted prior to the Business Combination and, where applicable, the exercise price per share, reflect all changes as a result of our capitalization adjustments in connection with the Business Combination.</w:t>
      </w:r>
    </w:p>
    <w:p>
      <w:pPr>
        <w:spacing w:after="0" w:line="153" w:lineRule="exact"/>
        <w:rPr>
          <w:sz w:val="20"/>
          <w:szCs w:val="20"/>
          <w:color w:val="auto"/>
        </w:rPr>
      </w:pPr>
    </w:p>
    <w:tbl>
      <w:tblPr>
        <w:tblLayout w:type="fixed"/>
        <w:tblInd w:w="1360" w:type="dxa"/>
        <w:tblCellMar>
          <w:top w:w="0" w:type="dxa"/>
          <w:left w:w="0" w:type="dxa"/>
          <w:bottom w:w="0" w:type="dxa"/>
          <w:right w:w="0" w:type="dxa"/>
        </w:tblCellMar>
      </w:tblPr>
      <w:tr>
        <w:trPr>
          <w:trHeight w:val="267"/>
        </w:trPr>
        <w:tc>
          <w:tcPr>
            <w:tcW w:w="1560" w:type="dxa"/>
            <w:vAlign w:val="bottom"/>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Option Awards</w:t>
            </w:r>
          </w:p>
        </w:tc>
        <w:tc>
          <w:tcPr>
            <w:tcW w:w="11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r>
      <w:tr>
        <w:trPr>
          <w:trHeight w:val="358"/>
        </w:trPr>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00" w:type="dxa"/>
            <w:vAlign w:val="bottom"/>
          </w:tcPr>
          <w:p>
            <w:pPr>
              <w:jc w:val="center"/>
              <w:ind w:left="40"/>
              <w:spacing w:after="0"/>
              <w:rPr>
                <w:sz w:val="20"/>
                <w:szCs w:val="20"/>
                <w:color w:val="auto"/>
              </w:rPr>
            </w:pPr>
            <w:r>
              <w:rPr>
                <w:rFonts w:ascii="Times New Roman" w:cs="Times New Roman" w:eastAsia="Times New Roman" w:hAnsi="Times New Roman"/>
                <w:sz w:val="20"/>
                <w:szCs w:val="20"/>
                <w:b w:val="1"/>
                <w:bCs w:val="1"/>
                <w:color w:val="auto"/>
                <w:w w:val="99"/>
              </w:rPr>
              <w:t>Number of</w:t>
            </w:r>
          </w:p>
        </w:tc>
        <w:tc>
          <w:tcPr>
            <w:tcW w:w="2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40"/>
        </w:trPr>
        <w:tc>
          <w:tcPr>
            <w:tcW w:w="15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500" w:type="dxa"/>
            <w:vAlign w:val="bottom"/>
          </w:tcPr>
          <w:p>
            <w:pPr>
              <w:jc w:val="center"/>
              <w:ind w:left="40"/>
              <w:spacing w:after="0"/>
              <w:rPr>
                <w:sz w:val="20"/>
                <w:szCs w:val="20"/>
                <w:color w:val="auto"/>
              </w:rPr>
            </w:pPr>
            <w:r>
              <w:rPr>
                <w:rFonts w:ascii="Times New Roman" w:cs="Times New Roman" w:eastAsia="Times New Roman" w:hAnsi="Times New Roman"/>
                <w:sz w:val="20"/>
                <w:szCs w:val="20"/>
                <w:b w:val="1"/>
                <w:bCs w:val="1"/>
                <w:color w:val="auto"/>
                <w:w w:val="99"/>
              </w:rPr>
              <w:t>securities</w:t>
            </w:r>
          </w:p>
        </w:tc>
        <w:tc>
          <w:tcPr>
            <w:tcW w:w="20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Number of</w:t>
            </w:r>
          </w:p>
        </w:tc>
        <w:tc>
          <w:tcPr>
            <w:tcW w:w="11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40"/>
        </w:trPr>
        <w:tc>
          <w:tcPr>
            <w:tcW w:w="15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500" w:type="dxa"/>
            <w:vAlign w:val="bottom"/>
          </w:tcPr>
          <w:p>
            <w:pPr>
              <w:jc w:val="center"/>
              <w:ind w:left="40"/>
              <w:spacing w:after="0"/>
              <w:rPr>
                <w:sz w:val="20"/>
                <w:szCs w:val="20"/>
                <w:color w:val="auto"/>
              </w:rPr>
            </w:pPr>
            <w:r>
              <w:rPr>
                <w:rFonts w:ascii="Times New Roman" w:cs="Times New Roman" w:eastAsia="Times New Roman" w:hAnsi="Times New Roman"/>
                <w:sz w:val="20"/>
                <w:szCs w:val="20"/>
                <w:b w:val="1"/>
                <w:bCs w:val="1"/>
                <w:color w:val="auto"/>
                <w:w w:val="98"/>
              </w:rPr>
              <w:t>underlying</w:t>
            </w:r>
          </w:p>
        </w:tc>
        <w:tc>
          <w:tcPr>
            <w:tcW w:w="20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securities</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Option</w:t>
            </w:r>
          </w:p>
        </w:tc>
        <w:tc>
          <w:tcPr>
            <w:tcW w:w="1240" w:type="dxa"/>
            <w:vAlign w:val="bottom"/>
          </w:tcPr>
          <w:p>
            <w:pPr>
              <w:spacing w:after="0"/>
              <w:rPr>
                <w:sz w:val="20"/>
                <w:szCs w:val="20"/>
                <w:color w:val="auto"/>
              </w:rPr>
            </w:pPr>
          </w:p>
        </w:tc>
      </w:tr>
      <w:tr>
        <w:trPr>
          <w:trHeight w:val="240"/>
        </w:trPr>
        <w:tc>
          <w:tcPr>
            <w:tcW w:w="15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500" w:type="dxa"/>
            <w:vAlign w:val="bottom"/>
          </w:tcPr>
          <w:p>
            <w:pPr>
              <w:jc w:val="center"/>
              <w:ind w:left="40"/>
              <w:spacing w:after="0"/>
              <w:rPr>
                <w:sz w:val="20"/>
                <w:szCs w:val="20"/>
                <w:color w:val="auto"/>
              </w:rPr>
            </w:pPr>
            <w:r>
              <w:rPr>
                <w:rFonts w:ascii="Times New Roman" w:cs="Times New Roman" w:eastAsia="Times New Roman" w:hAnsi="Times New Roman"/>
                <w:sz w:val="20"/>
                <w:szCs w:val="20"/>
                <w:b w:val="1"/>
                <w:bCs w:val="1"/>
                <w:color w:val="auto"/>
                <w:w w:val="98"/>
              </w:rPr>
              <w:t>unexercised</w:t>
            </w:r>
          </w:p>
        </w:tc>
        <w:tc>
          <w:tcPr>
            <w:tcW w:w="20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underlying</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exercise</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Option</w:t>
            </w:r>
          </w:p>
        </w:tc>
      </w:tr>
      <w:tr>
        <w:trPr>
          <w:trHeight w:val="223"/>
        </w:trPr>
        <w:tc>
          <w:tcPr>
            <w:tcW w:w="15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00" w:type="dxa"/>
            <w:vAlign w:val="bottom"/>
          </w:tcPr>
          <w:p>
            <w:pPr>
              <w:jc w:val="center"/>
              <w:ind w:left="60"/>
              <w:spacing w:after="0" w:line="223" w:lineRule="exact"/>
              <w:rPr>
                <w:sz w:val="20"/>
                <w:szCs w:val="20"/>
                <w:color w:val="auto"/>
              </w:rPr>
            </w:pPr>
            <w:r>
              <w:rPr>
                <w:rFonts w:ascii="Times New Roman" w:cs="Times New Roman" w:eastAsia="Times New Roman" w:hAnsi="Times New Roman"/>
                <w:sz w:val="20"/>
                <w:szCs w:val="20"/>
                <w:b w:val="1"/>
                <w:bCs w:val="1"/>
                <w:color w:val="auto"/>
                <w:w w:val="99"/>
              </w:rPr>
              <w:t>options</w:t>
            </w:r>
          </w:p>
        </w:tc>
        <w:tc>
          <w:tcPr>
            <w:tcW w:w="204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b w:val="1"/>
                <w:bCs w:val="1"/>
                <w:color w:val="auto"/>
                <w:w w:val="99"/>
              </w:rPr>
              <w:t>unexercised options</w:t>
            </w:r>
          </w:p>
        </w:tc>
        <w:tc>
          <w:tcPr>
            <w:tcW w:w="110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b w:val="1"/>
                <w:bCs w:val="1"/>
                <w:color w:val="auto"/>
                <w:w w:val="96"/>
              </w:rPr>
              <w:t>price</w:t>
            </w:r>
          </w:p>
        </w:tc>
        <w:tc>
          <w:tcPr>
            <w:tcW w:w="124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b w:val="1"/>
                <w:bCs w:val="1"/>
                <w:color w:val="auto"/>
              </w:rPr>
              <w:t>expiration</w:t>
            </w:r>
          </w:p>
        </w:tc>
      </w:tr>
      <w:tr>
        <w:trPr>
          <w:trHeight w:val="280"/>
        </w:trPr>
        <w:tc>
          <w:tcPr>
            <w:tcW w:w="15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Name</w:t>
            </w:r>
          </w:p>
        </w:tc>
        <w:tc>
          <w:tcPr>
            <w:tcW w:w="1460" w:type="dxa"/>
            <w:vAlign w:val="bottom"/>
          </w:tcPr>
          <w:p>
            <w:pPr>
              <w:ind w:left="260"/>
              <w:spacing w:after="0"/>
              <w:rPr>
                <w:sz w:val="20"/>
                <w:szCs w:val="20"/>
                <w:color w:val="auto"/>
              </w:rPr>
            </w:pPr>
            <w:r>
              <w:rPr>
                <w:rFonts w:ascii="Times New Roman" w:cs="Times New Roman" w:eastAsia="Times New Roman" w:hAnsi="Times New Roman"/>
                <w:sz w:val="20"/>
                <w:szCs w:val="20"/>
                <w:b w:val="1"/>
                <w:bCs w:val="1"/>
                <w:color w:val="auto"/>
              </w:rPr>
              <w:t>Grant Date</w:t>
            </w:r>
          </w:p>
        </w:tc>
        <w:tc>
          <w:tcPr>
            <w:tcW w:w="1500" w:type="dxa"/>
            <w:vAlign w:val="bottom"/>
          </w:tcPr>
          <w:p>
            <w:pPr>
              <w:jc w:val="center"/>
              <w:ind w:left="40"/>
              <w:spacing w:after="0"/>
              <w:rPr>
                <w:sz w:val="20"/>
                <w:szCs w:val="20"/>
                <w:color w:val="auto"/>
              </w:rPr>
            </w:pPr>
            <w:r>
              <w:rPr>
                <w:rFonts w:ascii="Times New Roman" w:cs="Times New Roman" w:eastAsia="Times New Roman" w:hAnsi="Times New Roman"/>
                <w:sz w:val="20"/>
                <w:szCs w:val="20"/>
                <w:b w:val="1"/>
                <w:bCs w:val="1"/>
                <w:color w:val="auto"/>
              </w:rPr>
              <w:t>(#) exercisable</w:t>
            </w:r>
          </w:p>
        </w:tc>
        <w:tc>
          <w:tcPr>
            <w:tcW w:w="2040" w:type="dxa"/>
            <w:vAlign w:val="bottom"/>
          </w:tcPr>
          <w:p>
            <w:pPr>
              <w:jc w:val="center"/>
              <w:spacing w:after="0" w:line="280" w:lineRule="exact"/>
              <w:rPr>
                <w:sz w:val="20"/>
                <w:szCs w:val="20"/>
                <w:color w:val="auto"/>
              </w:rPr>
            </w:pPr>
            <w:r>
              <w:rPr>
                <w:rFonts w:ascii="Times New Roman" w:cs="Times New Roman" w:eastAsia="Times New Roman" w:hAnsi="Times New Roman"/>
                <w:sz w:val="20"/>
                <w:szCs w:val="20"/>
                <w:b w:val="1"/>
                <w:bCs w:val="1"/>
                <w:color w:val="auto"/>
                <w:w w:val="96"/>
              </w:rPr>
              <w:t xml:space="preserve">(#) unexercisable </w:t>
            </w:r>
            <w:r>
              <w:rPr>
                <w:rFonts w:ascii="Times New Roman" w:cs="Times New Roman" w:eastAsia="Times New Roman" w:hAnsi="Times New Roman"/>
                <w:sz w:val="26"/>
                <w:szCs w:val="26"/>
                <w:b w:val="1"/>
                <w:bCs w:val="1"/>
                <w:color w:val="auto"/>
                <w:w w:val="96"/>
                <w:vertAlign w:val="superscript"/>
              </w:rPr>
              <w:t>(1)</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 (2)</w:t>
            </w: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-3175</wp:posOffset>
            </wp:positionV>
            <wp:extent cx="6311900" cy="5111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66">
                      <a:extLst>
                        <a:ext uri="{28A0092B-C50C-407E-A947-70E740481C1C}"/>
                      </a:extLst>
                    </a:blip>
                    <a:srcRect/>
                    <a:stretch>
                      <a:fillRect/>
                    </a:stretch>
                  </pic:blipFill>
                  <pic:spPr bwMode="auto">
                    <a:xfrm>
                      <a:off x="0" y="0"/>
                      <a:ext cx="6311900" cy="511175"/>
                    </a:xfrm>
                    <a:prstGeom prst="rect">
                      <a:avLst/>
                    </a:prstGeom>
                    <a:noFill/>
                  </pic:spPr>
                </pic:pic>
              </a:graphicData>
            </a:graphic>
          </wp:anchor>
        </w:drawing>
      </w:r>
    </w:p>
    <w:p>
      <w:pPr>
        <w:sectPr>
          <w:pgSz w:w="12240" w:h="15840" w:orient="portrait"/>
          <w:cols w:equalWidth="0" w:num="1">
            <w:col w:w="10260"/>
          </w:cols>
          <w:pgMar w:left="1000" w:top="793" w:right="980" w:bottom="0" w:gutter="0" w:footer="0" w:header="0"/>
        </w:sectPr>
      </w:pPr>
    </w:p>
    <w:p>
      <w:pPr>
        <w:spacing w:after="0" w:line="26" w:lineRule="exact"/>
        <w:rPr>
          <w:sz w:val="20"/>
          <w:szCs w:val="20"/>
          <w:color w:val="auto"/>
        </w:rPr>
      </w:pPr>
    </w:p>
    <w:tbl>
      <w:tblPr>
        <w:tblLayout w:type="fixed"/>
        <w:tblInd w:w="400" w:type="dxa"/>
        <w:tblCellMar>
          <w:top w:w="0" w:type="dxa"/>
          <w:left w:w="0" w:type="dxa"/>
          <w:bottom w:w="0" w:type="dxa"/>
          <w:right w:w="0" w:type="dxa"/>
        </w:tblCellMar>
      </w:tblPr>
      <w:tr>
        <w:trPr>
          <w:trHeight w:val="240"/>
        </w:trPr>
        <w:tc>
          <w:tcPr>
            <w:tcW w:w="2000" w:type="dxa"/>
            <w:vAlign w:val="bottom"/>
          </w:tcPr>
          <w:p>
            <w:pPr>
              <w:spacing w:after="0"/>
              <w:rPr>
                <w:sz w:val="20"/>
                <w:szCs w:val="20"/>
                <w:color w:val="auto"/>
              </w:rPr>
            </w:pPr>
            <w:r>
              <w:rPr>
                <w:rFonts w:ascii="Times New Roman" w:cs="Times New Roman" w:eastAsia="Times New Roman" w:hAnsi="Times New Roman"/>
                <w:sz w:val="20"/>
                <w:szCs w:val="20"/>
                <w:color w:val="auto"/>
              </w:rPr>
              <w:t>Sujal Patel</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1/31/2021</w:t>
            </w:r>
          </w:p>
        </w:tc>
      </w:tr>
      <w:tr>
        <w:trPr>
          <w:trHeight w:val="240"/>
        </w:trPr>
        <w:tc>
          <w:tcPr>
            <w:tcW w:w="20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2/25/2022</w:t>
            </w:r>
          </w:p>
        </w:tc>
      </w:tr>
      <w:tr>
        <w:trPr>
          <w:trHeight w:val="240"/>
        </w:trPr>
        <w:tc>
          <w:tcPr>
            <w:tcW w:w="20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2/27/2023</w:t>
            </w:r>
          </w:p>
        </w:tc>
      </w:tr>
      <w:tr>
        <w:trPr>
          <w:trHeight w:val="240"/>
        </w:trPr>
        <w:tc>
          <w:tcPr>
            <w:tcW w:w="2000" w:type="dxa"/>
            <w:vAlign w:val="bottom"/>
          </w:tcPr>
          <w:p>
            <w:pPr>
              <w:spacing w:after="0"/>
              <w:rPr>
                <w:sz w:val="20"/>
                <w:szCs w:val="20"/>
                <w:color w:val="auto"/>
              </w:rPr>
            </w:pPr>
            <w:r>
              <w:rPr>
                <w:rFonts w:ascii="Times New Roman" w:cs="Times New Roman" w:eastAsia="Times New Roman" w:hAnsi="Times New Roman"/>
                <w:sz w:val="20"/>
                <w:szCs w:val="20"/>
                <w:color w:val="auto"/>
              </w:rPr>
              <w:t>Parag Mallick</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1/31/2021</w:t>
            </w:r>
          </w:p>
        </w:tc>
      </w:tr>
      <w:tr>
        <w:trPr>
          <w:trHeight w:val="240"/>
        </w:trPr>
        <w:tc>
          <w:tcPr>
            <w:tcW w:w="20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2/25/2022</w:t>
            </w:r>
          </w:p>
        </w:tc>
      </w:tr>
      <w:tr>
        <w:trPr>
          <w:trHeight w:val="240"/>
        </w:trPr>
        <w:tc>
          <w:tcPr>
            <w:tcW w:w="20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2/27/2023</w:t>
            </w:r>
          </w:p>
        </w:tc>
      </w:tr>
      <w:tr>
        <w:trPr>
          <w:trHeight w:val="240"/>
        </w:trPr>
        <w:tc>
          <w:tcPr>
            <w:tcW w:w="2000" w:type="dxa"/>
            <w:vAlign w:val="bottom"/>
          </w:tcPr>
          <w:p>
            <w:pPr>
              <w:spacing w:after="0"/>
              <w:rPr>
                <w:sz w:val="20"/>
                <w:szCs w:val="20"/>
                <w:color w:val="auto"/>
              </w:rPr>
            </w:pPr>
            <w:r>
              <w:rPr>
                <w:rFonts w:ascii="Times New Roman" w:cs="Times New Roman" w:eastAsia="Times New Roman" w:hAnsi="Times New Roman"/>
                <w:sz w:val="20"/>
                <w:szCs w:val="20"/>
                <w:color w:val="auto"/>
              </w:rPr>
              <w:t>Anna Mowry</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12/3/2020</w:t>
            </w:r>
          </w:p>
        </w:tc>
      </w:tr>
      <w:tr>
        <w:trPr>
          <w:trHeight w:val="240"/>
        </w:trPr>
        <w:tc>
          <w:tcPr>
            <w:tcW w:w="20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2/25/2022</w:t>
            </w:r>
          </w:p>
        </w:tc>
      </w:tr>
      <w:tr>
        <w:trPr>
          <w:trHeight w:val="260"/>
        </w:trPr>
        <w:tc>
          <w:tcPr>
            <w:tcW w:w="20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2/27/2023</w:t>
            </w:r>
          </w:p>
        </w:tc>
      </w:tr>
    </w:tbl>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(5)</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(5)</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(3)</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(5)</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(5)</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(3)</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(5)</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color w:val="auto"/>
        </w:rPr>
        <w:t>575,090</w:t>
      </w:r>
      <w:r>
        <w:rPr>
          <w:sz w:val="20"/>
          <w:szCs w:val="20"/>
          <w:color w:val="auto"/>
        </w:rPr>
        <w:tab/>
      </w:r>
      <w:r>
        <w:rPr>
          <w:rFonts w:ascii="Times New Roman" w:cs="Times New Roman" w:eastAsia="Times New Roman" w:hAnsi="Times New Roman"/>
          <w:sz w:val="20"/>
          <w:szCs w:val="20"/>
          <w:color w:val="auto"/>
        </w:rPr>
        <w:t>213,643</w:t>
      </w:r>
    </w:p>
    <w:p>
      <w:pPr>
        <w:spacing w:after="0" w:line="30"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color w:val="auto"/>
        </w:rPr>
        <w:t>183,333</w:t>
      </w:r>
      <w:r>
        <w:rPr>
          <w:sz w:val="20"/>
          <w:szCs w:val="20"/>
          <w:color w:val="auto"/>
        </w:rPr>
        <w:tab/>
      </w:r>
      <w:r>
        <w:rPr>
          <w:rFonts w:ascii="Times New Roman" w:cs="Times New Roman" w:eastAsia="Times New Roman" w:hAnsi="Times New Roman"/>
          <w:sz w:val="20"/>
          <w:szCs w:val="20"/>
          <w:color w:val="auto"/>
        </w:rPr>
        <w:t>216,667</w:t>
      </w:r>
    </w:p>
    <w:p>
      <w:pPr>
        <w:spacing w:after="0" w:line="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—650,000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338,346125,673</w:t>
      </w:r>
    </w:p>
    <w:p>
      <w:pPr>
        <w:spacing w:after="0" w:line="10"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color w:val="auto"/>
        </w:rPr>
        <w:t>128,333</w:t>
      </w:r>
      <w:r>
        <w:rPr>
          <w:sz w:val="20"/>
          <w:szCs w:val="20"/>
          <w:color w:val="auto"/>
        </w:rPr>
        <w:tab/>
      </w:r>
      <w:r>
        <w:rPr>
          <w:rFonts w:ascii="Times New Roman" w:cs="Times New Roman" w:eastAsia="Times New Roman" w:hAnsi="Times New Roman"/>
          <w:sz w:val="20"/>
          <w:szCs w:val="20"/>
          <w:color w:val="auto"/>
        </w:rPr>
        <w:t>151,667</w:t>
      </w:r>
    </w:p>
    <w:p>
      <w:pPr>
        <w:spacing w:after="0" w:line="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—280,000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319,863115,505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-3079115</wp:posOffset>
            </wp:positionH>
            <wp:positionV relativeFrom="paragraph">
              <wp:posOffset>-149860</wp:posOffset>
            </wp:positionV>
            <wp:extent cx="6311900" cy="4826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67">
                      <a:extLst>
                        <a:ext uri="{28A0092B-C50C-407E-A947-70E740481C1C}"/>
                      </a:extLst>
                    </a:blip>
                    <a:srcRect/>
                    <a:stretch>
                      <a:fillRect/>
                    </a:stretch>
                  </pic:blipFill>
                  <pic:spPr bwMode="auto">
                    <a:xfrm>
                      <a:off x="0" y="0"/>
                      <a:ext cx="6311900" cy="482600"/>
                    </a:xfrm>
                    <a:prstGeom prst="rect">
                      <a:avLst/>
                    </a:prstGeom>
                    <a:noFill/>
                  </pic:spPr>
                </pic:pic>
              </a:graphicData>
            </a:graphic>
          </wp:anchor>
        </w:drawing>
      </w:r>
    </w:p>
    <w:p>
      <w:pPr>
        <w:spacing w:after="0"/>
        <w:tabs>
          <w:tab w:leader="none" w:pos="1420" w:val="left"/>
        </w:tabs>
        <w:rPr>
          <w:sz w:val="20"/>
          <w:szCs w:val="20"/>
          <w:color w:val="auto"/>
        </w:rPr>
      </w:pPr>
      <w:r>
        <w:rPr>
          <w:rFonts w:ascii="Times New Roman" w:cs="Times New Roman" w:eastAsia="Times New Roman" w:hAnsi="Times New Roman"/>
          <w:sz w:val="20"/>
          <w:szCs w:val="20"/>
          <w:color w:val="auto"/>
        </w:rPr>
        <w:t>128,333</w:t>
      </w:r>
      <w:r>
        <w:rPr>
          <w:sz w:val="20"/>
          <w:szCs w:val="20"/>
          <w:color w:val="auto"/>
        </w:rPr>
        <w:tab/>
      </w:r>
      <w:r>
        <w:rPr>
          <w:rFonts w:ascii="Times New Roman" w:cs="Times New Roman" w:eastAsia="Times New Roman" w:hAnsi="Times New Roman"/>
          <w:sz w:val="20"/>
          <w:szCs w:val="20"/>
          <w:color w:val="auto"/>
        </w:rPr>
        <w:t>151,667</w:t>
      </w:r>
    </w:p>
    <w:p>
      <w:pPr>
        <w:spacing w:after="0" w:line="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—160,000</w:t>
      </w:r>
    </w:p>
    <w:p>
      <w:pPr>
        <w:spacing w:after="0" w:line="20" w:lineRule="exact"/>
        <w:rPr>
          <w:sz w:val="20"/>
          <w:szCs w:val="20"/>
          <w:color w:val="auto"/>
        </w:rPr>
      </w:pPr>
      <w:r>
        <w:rPr>
          <w:sz w:val="20"/>
          <w:szCs w:val="20"/>
          <w:color w:val="auto"/>
        </w:rPr>
        <w:br w:type="column"/>
      </w:r>
    </w:p>
    <w:p>
      <w:pPr>
        <w:jc w:val="right"/>
        <w:ind w:right="240"/>
        <w:spacing w:after="0"/>
        <w:rPr>
          <w:sz w:val="20"/>
          <w:szCs w:val="20"/>
          <w:color w:val="auto"/>
        </w:rPr>
      </w:pPr>
      <w:r>
        <w:rPr>
          <w:rFonts w:ascii="Times New Roman" w:cs="Times New Roman" w:eastAsia="Times New Roman" w:hAnsi="Times New Roman"/>
          <w:sz w:val="13"/>
          <w:szCs w:val="13"/>
          <w:color w:val="auto"/>
        </w:rPr>
        <w:t>(4)</w:t>
      </w:r>
    </w:p>
    <w:p>
      <w:pPr>
        <w:spacing w:after="0" w:line="122" w:lineRule="exact"/>
        <w:rPr>
          <w:sz w:val="20"/>
          <w:szCs w:val="20"/>
          <w:color w:val="auto"/>
        </w:rPr>
      </w:pPr>
    </w:p>
    <w:p>
      <w:pPr>
        <w:jc w:val="right"/>
        <w:ind w:right="240"/>
        <w:spacing w:after="0"/>
        <w:rPr>
          <w:sz w:val="20"/>
          <w:szCs w:val="20"/>
          <w:color w:val="auto"/>
        </w:rPr>
      </w:pPr>
      <w:r>
        <w:rPr>
          <w:rFonts w:ascii="Times New Roman" w:cs="Times New Roman" w:eastAsia="Times New Roman" w:hAnsi="Times New Roman"/>
          <w:sz w:val="13"/>
          <w:szCs w:val="13"/>
          <w:color w:val="auto"/>
        </w:rPr>
        <w:t>(6)</w:t>
      </w:r>
    </w:p>
    <w:p>
      <w:pPr>
        <w:spacing w:after="0" w:line="91" w:lineRule="exact"/>
        <w:rPr>
          <w:sz w:val="20"/>
          <w:szCs w:val="20"/>
          <w:color w:val="auto"/>
        </w:rPr>
      </w:pPr>
    </w:p>
    <w:p>
      <w:pPr>
        <w:jc w:val="right"/>
        <w:ind w:right="240"/>
        <w:spacing w:after="0"/>
        <w:rPr>
          <w:sz w:val="20"/>
          <w:szCs w:val="20"/>
          <w:color w:val="auto"/>
        </w:rPr>
      </w:pPr>
      <w:r>
        <w:rPr>
          <w:rFonts w:ascii="Times New Roman" w:cs="Times New Roman" w:eastAsia="Times New Roman" w:hAnsi="Times New Roman"/>
          <w:sz w:val="13"/>
          <w:szCs w:val="13"/>
          <w:color w:val="auto"/>
        </w:rPr>
        <w:t>(8)</w:t>
      </w:r>
    </w:p>
    <w:p>
      <w:pPr>
        <w:spacing w:after="0" w:line="91" w:lineRule="exact"/>
        <w:rPr>
          <w:sz w:val="20"/>
          <w:szCs w:val="20"/>
          <w:color w:val="auto"/>
        </w:rPr>
      </w:pPr>
    </w:p>
    <w:p>
      <w:pPr>
        <w:jc w:val="right"/>
        <w:ind w:right="240"/>
        <w:spacing w:after="0"/>
        <w:rPr>
          <w:sz w:val="20"/>
          <w:szCs w:val="20"/>
          <w:color w:val="auto"/>
        </w:rPr>
      </w:pPr>
      <w:r>
        <w:rPr>
          <w:rFonts w:ascii="Times New Roman" w:cs="Times New Roman" w:eastAsia="Times New Roman" w:hAnsi="Times New Roman"/>
          <w:sz w:val="13"/>
          <w:szCs w:val="13"/>
          <w:color w:val="auto"/>
        </w:rPr>
        <w:t>(4)</w:t>
      </w:r>
    </w:p>
    <w:p>
      <w:pPr>
        <w:spacing w:after="0" w:line="91" w:lineRule="exact"/>
        <w:rPr>
          <w:sz w:val="20"/>
          <w:szCs w:val="20"/>
          <w:color w:val="auto"/>
        </w:rPr>
      </w:pPr>
    </w:p>
    <w:p>
      <w:pPr>
        <w:jc w:val="right"/>
        <w:ind w:right="240"/>
        <w:spacing w:after="0"/>
        <w:rPr>
          <w:sz w:val="20"/>
          <w:szCs w:val="20"/>
          <w:color w:val="auto"/>
        </w:rPr>
      </w:pPr>
      <w:r>
        <w:rPr>
          <w:rFonts w:ascii="Times New Roman" w:cs="Times New Roman" w:eastAsia="Times New Roman" w:hAnsi="Times New Roman"/>
          <w:sz w:val="13"/>
          <w:szCs w:val="13"/>
          <w:color w:val="auto"/>
        </w:rPr>
        <w:t>(6)</w:t>
      </w:r>
    </w:p>
    <w:p>
      <w:pPr>
        <w:spacing w:after="0" w:line="91" w:lineRule="exact"/>
        <w:rPr>
          <w:sz w:val="20"/>
          <w:szCs w:val="20"/>
          <w:color w:val="auto"/>
        </w:rPr>
      </w:pPr>
    </w:p>
    <w:p>
      <w:pPr>
        <w:jc w:val="right"/>
        <w:ind w:right="240"/>
        <w:spacing w:after="0"/>
        <w:rPr>
          <w:sz w:val="20"/>
          <w:szCs w:val="20"/>
          <w:color w:val="auto"/>
        </w:rPr>
      </w:pPr>
      <w:r>
        <w:rPr>
          <w:rFonts w:ascii="Times New Roman" w:cs="Times New Roman" w:eastAsia="Times New Roman" w:hAnsi="Times New Roman"/>
          <w:sz w:val="13"/>
          <w:szCs w:val="13"/>
          <w:color w:val="auto"/>
        </w:rPr>
        <w:t>(8)</w:t>
      </w:r>
    </w:p>
    <w:p>
      <w:pPr>
        <w:spacing w:after="0" w:line="91" w:lineRule="exact"/>
        <w:rPr>
          <w:sz w:val="20"/>
          <w:szCs w:val="20"/>
          <w:color w:val="auto"/>
        </w:rPr>
      </w:pPr>
    </w:p>
    <w:p>
      <w:pPr>
        <w:jc w:val="right"/>
        <w:ind w:right="240"/>
        <w:spacing w:after="0"/>
        <w:rPr>
          <w:sz w:val="20"/>
          <w:szCs w:val="20"/>
          <w:color w:val="auto"/>
        </w:rPr>
      </w:pPr>
      <w:r>
        <w:rPr>
          <w:rFonts w:ascii="Times New Roman" w:cs="Times New Roman" w:eastAsia="Times New Roman" w:hAnsi="Times New Roman"/>
          <w:sz w:val="13"/>
          <w:szCs w:val="13"/>
          <w:color w:val="auto"/>
        </w:rPr>
        <w:t>(7)</w:t>
      </w:r>
    </w:p>
    <w:p>
      <w:pPr>
        <w:spacing w:after="0" w:line="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(6)</w:t>
      </w:r>
    </w:p>
    <w:p>
      <w:pPr>
        <w:spacing w:after="0" w:line="89" w:lineRule="exact"/>
        <w:rPr>
          <w:sz w:val="20"/>
          <w:szCs w:val="20"/>
          <w:color w:val="auto"/>
        </w:rPr>
      </w:pPr>
    </w:p>
    <w:p>
      <w:pPr>
        <w:spacing w:after="0"/>
        <w:rPr>
          <w:sz w:val="20"/>
          <w:szCs w:val="20"/>
          <w:color w:val="auto"/>
        </w:rPr>
      </w:pPr>
      <w:r>
        <w:rPr>
          <w:sz w:val="1"/>
          <w:szCs w:val="1"/>
          <w:color w:val="auto"/>
        </w:rPr>
        <w:drawing>
          <wp:inline distT="0" distB="0" distL="0" distR="0">
            <wp:extent cx="6985" cy="159385"/>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68">
                      <a:extLst>
                        <a:ext uri="{28A0092B-C50C-407E-A947-70E740481C1C}"/>
                      </a:extLst>
                    </a:blip>
                    <a:srcRect/>
                    <a:stretch>
                      <a:fillRect/>
                    </a:stretch>
                  </pic:blipFill>
                  <pic:spPr bwMode="auto">
                    <a:xfrm>
                      <a:off x="0" y="0"/>
                      <a:ext cx="6985" cy="159385"/>
                    </a:xfrm>
                    <a:prstGeom prst="rect">
                      <a:avLst/>
                    </a:prstGeom>
                    <a:noFill/>
                    <a:ln>
                      <a:noFill/>
                    </a:ln>
                  </pic:spPr>
                </pic:pic>
              </a:graphicData>
            </a:graphic>
          </wp:inline>
        </w:drawing>
      </w:r>
      <w:r>
        <w:rPr>
          <w:rFonts w:ascii="Times New Roman" w:cs="Times New Roman" w:eastAsia="Times New Roman" w:hAnsi="Times New Roman"/>
          <w:sz w:val="11"/>
          <w:szCs w:val="11"/>
          <w:color w:val="auto"/>
        </w:rPr>
        <w:t xml:space="preserve"> (8)</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6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3"/>
              </w:rPr>
              <w:t>10.00</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1/31/2031</w:t>
            </w:r>
          </w:p>
        </w:tc>
      </w:tr>
      <w:tr>
        <w:trPr>
          <w:trHeight w:val="240"/>
        </w:trPr>
        <w:tc>
          <w:tcPr>
            <w:tcW w:w="6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3.78</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2/25/2032</w:t>
            </w:r>
          </w:p>
        </w:tc>
      </w:tr>
      <w:tr>
        <w:trPr>
          <w:trHeight w:val="240"/>
        </w:trPr>
        <w:tc>
          <w:tcPr>
            <w:tcW w:w="6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2.00</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2/27/2033</w:t>
            </w:r>
          </w:p>
        </w:tc>
      </w:tr>
      <w:tr>
        <w:trPr>
          <w:trHeight w:val="240"/>
        </w:trPr>
        <w:tc>
          <w:tcPr>
            <w:tcW w:w="6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3"/>
              </w:rPr>
              <w:t>10.00</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1/31/2031</w:t>
            </w:r>
          </w:p>
        </w:tc>
      </w:tr>
      <w:tr>
        <w:trPr>
          <w:trHeight w:val="240"/>
        </w:trPr>
        <w:tc>
          <w:tcPr>
            <w:tcW w:w="6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3.78</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2/25/2032</w:t>
            </w:r>
          </w:p>
        </w:tc>
      </w:tr>
      <w:tr>
        <w:trPr>
          <w:trHeight w:val="240"/>
        </w:trPr>
        <w:tc>
          <w:tcPr>
            <w:tcW w:w="6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2.00</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2/27/2033</w:t>
            </w:r>
          </w:p>
        </w:tc>
      </w:tr>
      <w:tr>
        <w:trPr>
          <w:trHeight w:val="240"/>
        </w:trPr>
        <w:tc>
          <w:tcPr>
            <w:tcW w:w="6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1.14</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12/3/2030</w:t>
            </w:r>
          </w:p>
        </w:tc>
      </w:tr>
      <w:tr>
        <w:trPr>
          <w:trHeight w:val="240"/>
        </w:trPr>
        <w:tc>
          <w:tcPr>
            <w:tcW w:w="6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3.78</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2/25/2032</w:t>
            </w:r>
          </w:p>
        </w:tc>
      </w:tr>
      <w:tr>
        <w:trPr>
          <w:trHeight w:val="260"/>
        </w:trPr>
        <w:tc>
          <w:tcPr>
            <w:tcW w:w="6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2.00</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2/27/2033</w:t>
            </w:r>
          </w:p>
        </w:tc>
      </w:tr>
    </w:tbl>
    <w:p>
      <w:pPr>
        <w:spacing w:after="0" w:line="562" w:lineRule="exact"/>
        <w:rPr>
          <w:sz w:val="20"/>
          <w:szCs w:val="20"/>
          <w:color w:val="auto"/>
        </w:rPr>
      </w:pPr>
    </w:p>
    <w:p>
      <w:pPr>
        <w:sectPr>
          <w:pgSz w:w="12240" w:h="15840" w:orient="portrait"/>
          <w:cols w:equalWidth="0" w:num="5">
            <w:col w:w="4060" w:space="100"/>
            <w:col w:w="300" w:space="720"/>
            <w:col w:w="2100" w:space="60"/>
            <w:col w:w="460" w:space="720"/>
            <w:col w:w="1740"/>
          </w:cols>
          <w:pgMar w:left="1000" w:top="793" w:right="980" w:bottom="0" w:gutter="0" w:footer="0" w:header="0"/>
          <w:type w:val="continuous"/>
        </w:sectPr>
      </w:pPr>
    </w:p>
    <w:p>
      <w:pPr>
        <w:spacing w:after="0" w:line="171" w:lineRule="exact"/>
        <w:rPr>
          <w:sz w:val="20"/>
          <w:szCs w:val="20"/>
          <w:color w:val="auto"/>
        </w:rPr>
      </w:pPr>
    </w:p>
    <w:p>
      <w:pPr>
        <w:ind w:left="800" w:right="320" w:hanging="322"/>
        <w:spacing w:after="0"/>
        <w:tabs>
          <w:tab w:leader="none" w:pos="80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unvested portions of these awards may be subject to vesting acceleration under certain circumstances, described below under “—Potential Payments upon Termination or Change in Control.”</w:t>
      </w:r>
    </w:p>
    <w:p>
      <w:pPr>
        <w:spacing w:after="0" w:line="37" w:lineRule="exact"/>
        <w:rPr>
          <w:rFonts w:ascii="Times New Roman" w:cs="Times New Roman" w:eastAsia="Times New Roman" w:hAnsi="Times New Roman"/>
          <w:sz w:val="16"/>
          <w:szCs w:val="16"/>
          <w:color w:val="auto"/>
        </w:rPr>
      </w:pPr>
    </w:p>
    <w:p>
      <w:pPr>
        <w:ind w:left="800" w:right="200" w:hanging="322"/>
        <w:spacing w:after="0" w:line="221" w:lineRule="auto"/>
        <w:tabs>
          <w:tab w:leader="none" w:pos="80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 option awards that were granted by Legacy Nautilus to Mr. Patel, Dr. Mallick and Ms. Mowry prior to the closing of the Business Combination were granted with a per share exercise price equal to the fair market value of one share of Legacy Nautilus Common Stock on the date of grant, as determined in good faith by Legacy Nautilus’ board of directors. The stock option granted following the closing of the Business Combination was granted with a per share exercise price equal to the closing price of the Company’s common stock in trading on the Nasdaq Global Select Market on the date of grant.</w:t>
      </w:r>
    </w:p>
    <w:p>
      <w:pPr>
        <w:spacing w:after="0" w:line="32" w:lineRule="exact"/>
        <w:rPr>
          <w:rFonts w:ascii="Times New Roman" w:cs="Times New Roman" w:eastAsia="Times New Roman" w:hAnsi="Times New Roman"/>
          <w:sz w:val="16"/>
          <w:szCs w:val="16"/>
          <w:color w:val="auto"/>
        </w:rPr>
      </w:pPr>
    </w:p>
    <w:p>
      <w:pPr>
        <w:ind w:left="800" w:hanging="322"/>
        <w:spacing w:after="0"/>
        <w:tabs>
          <w:tab w:leader="none" w:pos="80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Option granted under and subject to the terms of the Legacy Nautilus 2017 Equity Incentive Plan (the “2017 Plan”).”</w:t>
      </w:r>
    </w:p>
    <w:p>
      <w:pPr>
        <w:spacing w:after="0" w:line="61" w:lineRule="exact"/>
        <w:rPr>
          <w:rFonts w:ascii="Times New Roman" w:cs="Times New Roman" w:eastAsia="Times New Roman" w:hAnsi="Times New Roman"/>
          <w:sz w:val="16"/>
          <w:szCs w:val="16"/>
          <w:color w:val="auto"/>
        </w:rPr>
      </w:pPr>
    </w:p>
    <w:p>
      <w:pPr>
        <w:ind w:left="800" w:right="220" w:hanging="322"/>
        <w:spacing w:after="0"/>
        <w:tabs>
          <w:tab w:leader="none" w:pos="80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Twenty-five percent of the shares subject to this option vested on January 31, 2022, and one thirty-sixth (1/36th) of the remaining shares subject to this option shall vest each month thereafter, subject to the optionee continuing to be a service provider to Nautilus through each such date.</w:t>
      </w:r>
    </w:p>
    <w:p>
      <w:pPr>
        <w:spacing w:after="0" w:line="32" w:lineRule="exact"/>
        <w:rPr>
          <w:rFonts w:ascii="Times New Roman" w:cs="Times New Roman" w:eastAsia="Times New Roman" w:hAnsi="Times New Roman"/>
          <w:sz w:val="16"/>
          <w:szCs w:val="16"/>
          <w:color w:val="auto"/>
        </w:rPr>
      </w:pPr>
    </w:p>
    <w:p>
      <w:pPr>
        <w:ind w:left="800" w:hanging="322"/>
        <w:spacing w:after="0"/>
        <w:tabs>
          <w:tab w:leader="none" w:pos="80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Option granted under and subject to the terms of the 2021 Plan.</w:t>
      </w:r>
    </w:p>
    <w:p>
      <w:pPr>
        <w:spacing w:after="0" w:line="61" w:lineRule="exact"/>
        <w:rPr>
          <w:rFonts w:ascii="Times New Roman" w:cs="Times New Roman" w:eastAsia="Times New Roman" w:hAnsi="Times New Roman"/>
          <w:sz w:val="16"/>
          <w:szCs w:val="16"/>
          <w:color w:val="auto"/>
        </w:rPr>
      </w:pPr>
    </w:p>
    <w:p>
      <w:pPr>
        <w:ind w:left="800" w:right="140" w:hanging="322"/>
        <w:spacing w:after="0"/>
        <w:tabs>
          <w:tab w:leader="none" w:pos="80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Twenty-five percent of the shares subject to this option vested on February 25, 2023, and one thirty-sixth (1/36th) of the remaining shares subject to this option shall vest each month thereafter, subject to the optionee continuing to be a service provider to Nautilus through each such date.</w:t>
      </w:r>
    </w:p>
    <w:p>
      <w:pPr>
        <w:spacing w:after="0" w:line="37" w:lineRule="exact"/>
        <w:rPr>
          <w:rFonts w:ascii="Times New Roman" w:cs="Times New Roman" w:eastAsia="Times New Roman" w:hAnsi="Times New Roman"/>
          <w:sz w:val="16"/>
          <w:szCs w:val="16"/>
          <w:color w:val="auto"/>
        </w:rPr>
      </w:pPr>
    </w:p>
    <w:p>
      <w:pPr>
        <w:ind w:left="800" w:right="140" w:hanging="322"/>
        <w:spacing w:after="0"/>
        <w:tabs>
          <w:tab w:leader="none" w:pos="80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13/49th of the shares subject to this option vested on December 3, 2021, and one forty-ninth (1/49th) of the shares subject to this option shall vest each month thereafter, subject to the optionee continuing to be a service provider to Nautilus through each such date.</w:t>
      </w:r>
    </w:p>
    <w:p>
      <w:pPr>
        <w:spacing w:after="0" w:line="52" w:lineRule="exact"/>
        <w:rPr>
          <w:rFonts w:ascii="Times New Roman" w:cs="Times New Roman" w:eastAsia="Times New Roman" w:hAnsi="Times New Roman"/>
          <w:sz w:val="16"/>
          <w:szCs w:val="16"/>
          <w:color w:val="auto"/>
        </w:rPr>
      </w:pPr>
    </w:p>
    <w:p>
      <w:pPr>
        <w:ind w:left="800" w:right="140" w:hanging="322"/>
        <w:spacing w:after="0" w:line="187" w:lineRule="auto"/>
        <w:tabs>
          <w:tab w:leader="none" w:pos="800" w:val="left"/>
        </w:tabs>
        <w:numPr>
          <w:ilvl w:val="0"/>
          <w:numId w:val="7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4"/>
          <w:szCs w:val="14"/>
          <w:color w:val="auto"/>
        </w:rPr>
        <w:t>Twenty-five percent of the shares subject to this option vested on February 27, 2024, and one thirty-sixth (1/36th) of the remaining shares subject to this option shall vest each month thereafter, subject to the optionee continuing to be a service provider to Nautilus through each such date.</w:t>
      </w:r>
    </w:p>
    <w:p>
      <w:pPr>
        <w:sectPr>
          <w:pgSz w:w="12240" w:h="15840" w:orient="portrait"/>
          <w:cols w:equalWidth="0" w:num="1">
            <w:col w:w="10260"/>
          </w:cols>
          <w:pgMar w:left="1000" w:top="793"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125</w:t>
      </w:r>
    </w:p>
    <w:p>
      <w:pPr>
        <w:sectPr>
          <w:pgSz w:w="12240" w:h="15840" w:orient="portrait"/>
          <w:cols w:equalWidth="0" w:num="1">
            <w:col w:w="10260"/>
          </w:cols>
          <w:pgMar w:left="1000" w:top="793" w:right="980" w:bottom="0" w:gutter="0" w:footer="0" w:header="0"/>
          <w:type w:val="continuous"/>
        </w:sectPr>
      </w:pPr>
    </w:p>
    <w:bookmarkStart w:id="127" w:name="page128"/>
    <w:bookmarkEnd w:id="127"/>
    <w:p>
      <w:pPr>
        <w:ind w:left="360"/>
        <w:spacing w:after="0"/>
        <w:rPr>
          <w:sz w:val="20"/>
          <w:szCs w:val="20"/>
          <w:color w:val="auto"/>
        </w:rPr>
      </w:pPr>
      <w:r>
        <w:rPr>
          <w:rFonts w:ascii="Times New Roman" w:cs="Times New Roman" w:eastAsia="Times New Roman" w:hAnsi="Times New Roman"/>
          <w:sz w:val="20"/>
          <w:szCs w:val="20"/>
          <w:b w:val="1"/>
          <w:bCs w:val="1"/>
          <w:color w:val="auto"/>
        </w:rPr>
        <w:t>Employment Arrangements with Named Executive Officers</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Sujal Patel</w:t>
      </w:r>
    </w:p>
    <w:p>
      <w:pPr>
        <w:spacing w:after="0" w:line="199"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We have entered into an amended and restated confirmatory employment letter with Mr. Patel, our Chief Executive Officer, effective as of July 31, 2023. The confirmatory employment letter has no specific term and provides that Mr. Patel is an at-will employee. The confirmatory employment letter superseded any prior agreements and understandings that Mr. Patel may have entered into concerning his employment relationship with us. For 2023, Mr. Patel’s annual base salary was $535,000 and he was eligible for a target annual cash bonus opportunity equal to 80% of his annual base salary. On February 13, 2024, our board of directors, upon recommendation of the compensation committee, determined not to adjust Mr. Patel’s base salary for 2024 and approved an increase in Mr. Patel’s cash bonus opportunity for 2024 to 85% of his annual base salary, effective retroactive to January 1, 2024.</w:t>
      </w:r>
    </w:p>
    <w:p>
      <w:pPr>
        <w:spacing w:after="0" w:line="1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Parag Mallick</w:t>
      </w:r>
    </w:p>
    <w:p>
      <w:pPr>
        <w:spacing w:after="0" w:line="199" w:lineRule="exact"/>
        <w:rPr>
          <w:sz w:val="20"/>
          <w:szCs w:val="20"/>
          <w:color w:val="auto"/>
        </w:rPr>
      </w:pPr>
    </w:p>
    <w:p>
      <w:pPr>
        <w:ind w:right="100" w:firstLine="360"/>
        <w:spacing w:after="0" w:line="254" w:lineRule="auto"/>
        <w:rPr>
          <w:sz w:val="20"/>
          <w:szCs w:val="20"/>
          <w:color w:val="auto"/>
        </w:rPr>
      </w:pPr>
      <w:r>
        <w:rPr>
          <w:rFonts w:ascii="Times New Roman" w:cs="Times New Roman" w:eastAsia="Times New Roman" w:hAnsi="Times New Roman"/>
          <w:sz w:val="20"/>
          <w:szCs w:val="20"/>
          <w:color w:val="auto"/>
        </w:rPr>
        <w:t>We have entered into an amended and restated confirmatory employment letter with Dr. Mallick, our Chief Scientist, effective as of July 31, 2023. The confirmatory employment letter has no specific term and provides that Dr. Mallick is an at-will employee. The confirmatory employment letter superseded any prior agreements and understandings that Dr. Mallick may have entered into concerning his employment relationship with us. For 2023, Dr. Mallick’s annual base salary was $420,000 and he was eligible for a target annual cash bonus opportunity equal to 50% of his annual base salary. On February 13, 2024, our board of directors, upon recommendation of the compensation committee, determined not to adjust Dr. Mallick’s base salary for 2024 and approved an increase in Dr. Mallick’s target annual cash bonus opportunity for 2024 to 55% of his annual base salary, effective retroactive to January 1, 2024.</w:t>
      </w:r>
    </w:p>
    <w:p>
      <w:pPr>
        <w:spacing w:after="0" w:line="1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Anna Mowry</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We have entered into an amended and restated confirmatory employment letter with Ms. Mowry, our Chief Financial</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Officer, effective as of July 31, 2023. The confirmatory employment letter has no specific term and provides that Ms. Mowry is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 at-will employee. The confirmatory employment letter superseded any prior agreements and understandings that Ms. Mowry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have entered into concerning her employment relationship with us. For 2023, Ms. Mowry’s annual base salary was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$386,000 and she was eligible for a target annual cash bonus opportunity equal to 45% of her annual base salary. On February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 2024, our board of directors, upon recommendation of the compensation committee, approved an increase in Ms. Mowry’s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base salary to $400,000, and an increase in Ms. Mowry’s target annual cash bonus opportunity for 2024 to 50% of her annual</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base salary, both effective retroactive to January 1, 2024.</w:t>
      </w:r>
    </w:p>
    <w:p>
      <w:pPr>
        <w:spacing w:after="0" w:line="1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Equity Based Incentive Awards</w:t>
      </w:r>
    </w:p>
    <w:p>
      <w:pPr>
        <w:spacing w:after="0" w:line="197" w:lineRule="exact"/>
        <w:rPr>
          <w:sz w:val="20"/>
          <w:szCs w:val="20"/>
          <w:color w:val="auto"/>
        </w:rPr>
      </w:pPr>
    </w:p>
    <w:p>
      <w:pPr>
        <w:ind w:right="160" w:firstLine="360"/>
        <w:spacing w:after="0" w:line="255" w:lineRule="auto"/>
        <w:rPr>
          <w:sz w:val="20"/>
          <w:szCs w:val="20"/>
          <w:color w:val="auto"/>
        </w:rPr>
      </w:pPr>
      <w:r>
        <w:rPr>
          <w:rFonts w:ascii="Times New Roman" w:cs="Times New Roman" w:eastAsia="Times New Roman" w:hAnsi="Times New Roman"/>
          <w:sz w:val="20"/>
          <w:szCs w:val="20"/>
          <w:color w:val="auto"/>
        </w:rPr>
        <w:t>Our equity-based incentive awards are designed to more closely align the interests of our stockholders with those of our employees and consultants, including our named executive officers. Our board of directors is responsible for approving equity grants to our employees and consultants, including our named executive officers. In 2023, stock option awards were the only form of equity awards we granted to our named executive officers. Following the closing of the Business Combination, we have granted equity incentive awards under the terms of our 2021 Equity Incentive Plan (the “2021 Plan”). Options under the 2021 Plan are granted with a per share exercise price equal to the closing price of a share of the Company’s common stock in trading on the Nasdaq Global Select Market on the date of grant.</w:t>
      </w:r>
    </w:p>
    <w:p>
      <w:pPr>
        <w:spacing w:after="0" w:line="150" w:lineRule="exact"/>
        <w:rPr>
          <w:sz w:val="20"/>
          <w:szCs w:val="20"/>
          <w:color w:val="auto"/>
        </w:rPr>
      </w:pPr>
    </w:p>
    <w:p>
      <w:pPr>
        <w:ind w:right="260" w:firstLine="360"/>
        <w:spacing w:after="0" w:line="266" w:lineRule="auto"/>
        <w:rPr>
          <w:sz w:val="20"/>
          <w:szCs w:val="20"/>
          <w:color w:val="auto"/>
        </w:rPr>
      </w:pPr>
      <w:r>
        <w:rPr>
          <w:rFonts w:ascii="Times New Roman" w:cs="Times New Roman" w:eastAsia="Times New Roman" w:hAnsi="Times New Roman"/>
          <w:sz w:val="20"/>
          <w:szCs w:val="20"/>
          <w:color w:val="auto"/>
        </w:rPr>
        <w:t>Our stock option awards generally vest over a four-year period and may be subject to acceleration of vesting and exercisability under certain termination and change in control events. See “—</w:t>
      </w:r>
      <w:r>
        <w:rPr>
          <w:rFonts w:ascii="Times New Roman" w:cs="Times New Roman" w:eastAsia="Times New Roman" w:hAnsi="Times New Roman"/>
          <w:sz w:val="20"/>
          <w:szCs w:val="20"/>
          <w:b w:val="1"/>
          <w:bCs w:val="1"/>
          <w:i w:val="1"/>
          <w:iCs w:val="1"/>
          <w:color w:val="auto"/>
        </w:rPr>
        <w:t>Outstanding Equity Awards at Fiscal Year-End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December 31, 2023</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Potential Payments Upon Termination or Change of Control.</w:t>
      </w:r>
      <w:r>
        <w:rPr>
          <w:rFonts w:ascii="Times New Roman" w:cs="Times New Roman" w:eastAsia="Times New Roman" w:hAnsi="Times New Roman"/>
          <w:sz w:val="20"/>
          <w:szCs w:val="20"/>
          <w:color w:val="auto"/>
        </w:rPr>
        <w:t>”</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Potential Payments Upon Termination or Change of Control</w:t>
      </w:r>
    </w:p>
    <w:p>
      <w:pPr>
        <w:spacing w:after="0" w:line="197" w:lineRule="exact"/>
        <w:rPr>
          <w:sz w:val="20"/>
          <w:szCs w:val="20"/>
          <w:color w:val="auto"/>
        </w:rPr>
      </w:pPr>
    </w:p>
    <w:p>
      <w:pPr>
        <w:ind w:right="140" w:firstLine="360"/>
        <w:spacing w:after="0" w:line="309" w:lineRule="auto"/>
        <w:rPr>
          <w:sz w:val="20"/>
          <w:szCs w:val="20"/>
          <w:color w:val="auto"/>
        </w:rPr>
      </w:pPr>
      <w:r>
        <w:rPr>
          <w:rFonts w:ascii="Times New Roman" w:cs="Times New Roman" w:eastAsia="Times New Roman" w:hAnsi="Times New Roman"/>
          <w:sz w:val="19"/>
          <w:szCs w:val="19"/>
          <w:color w:val="auto"/>
        </w:rPr>
        <w:t>Regardless of the manner in which a named executive officer’s service terminates, that named executive officer is entitled to receive amounts earned during his or her term of service, including unpaid salary and unused vacation, as applicable.</w:t>
      </w:r>
    </w:p>
    <w:p>
      <w:pPr>
        <w:spacing w:after="0" w:line="97"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Each of our named executive officers holds stock options granted subject to the general terms of the 2017 Plan or the 2021 Plan. Each such equity incentive plan generally provides that, in the event of a change in control (as defined in each such plan), equity awards will be treated as the administrator of such plan determines, provided that, in the event that the successor corporation does not assume or substitute for an equity award (or portion thereof), then the equity award (or portion thereof) not assumed or substituted for will fully vest and become fully exercisable and, with respect to awards subject to performance-based vesting, the performance goals will be deemed achieved at target levels, unless for equity awards granted under the 2021 Plan, such treatment is specifically provided otherwise by written agreement.</w:t>
      </w:r>
    </w:p>
    <w:p>
      <w:pPr>
        <w:sectPr>
          <w:pgSz w:w="12240" w:h="15840" w:orient="portrait"/>
          <w:cols w:equalWidth="0" w:num="1">
            <w:col w:w="10240"/>
          </w:cols>
          <w:pgMar w:left="1000" w:top="78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ectPr>
          <w:pgSz w:w="12240" w:h="15840" w:orient="portrait"/>
          <w:cols w:equalWidth="0" w:num="1">
            <w:col w:w="10240"/>
          </w:cols>
          <w:pgMar w:left="1000" w:top="786" w:right="1000" w:bottom="0" w:gutter="0" w:footer="0" w:header="0"/>
          <w:type w:val="continuous"/>
        </w:sectPr>
      </w:pPr>
    </w:p>
    <w:bookmarkStart w:id="128" w:name="page129"/>
    <w:bookmarkEnd w:id="128"/>
    <w:p>
      <w:pPr>
        <w:ind w:firstLine="360"/>
        <w:spacing w:after="0" w:line="266" w:lineRule="auto"/>
        <w:rPr>
          <w:sz w:val="20"/>
          <w:szCs w:val="20"/>
          <w:color w:val="auto"/>
        </w:rPr>
      </w:pPr>
      <w:r>
        <w:rPr>
          <w:rFonts w:ascii="Times New Roman" w:cs="Times New Roman" w:eastAsia="Times New Roman" w:hAnsi="Times New Roman"/>
          <w:sz w:val="20"/>
          <w:szCs w:val="20"/>
          <w:color w:val="auto"/>
        </w:rPr>
        <w:t>Each named executive officer is party to an amended and restated change in control and severance agreement (each, a “CIC Agreement”) entered into with us and Nautilus Subsidiary, Inc. (the “Employer”) in July 2023, which provides for certain severance and change in control benefits.</w:t>
      </w:r>
    </w:p>
    <w:p>
      <w:pPr>
        <w:spacing w:after="0" w:line="135" w:lineRule="exact"/>
        <w:rPr>
          <w:sz w:val="20"/>
          <w:szCs w:val="20"/>
          <w:color w:val="auto"/>
        </w:rPr>
      </w:pPr>
    </w:p>
    <w:p>
      <w:pPr>
        <w:ind w:right="180" w:firstLine="360"/>
        <w:spacing w:after="0" w:line="266" w:lineRule="auto"/>
        <w:rPr>
          <w:sz w:val="20"/>
          <w:szCs w:val="20"/>
          <w:color w:val="auto"/>
        </w:rPr>
      </w:pPr>
      <w:r>
        <w:rPr>
          <w:rFonts w:ascii="Times New Roman" w:cs="Times New Roman" w:eastAsia="Times New Roman" w:hAnsi="Times New Roman"/>
          <w:sz w:val="20"/>
          <w:szCs w:val="20"/>
          <w:color w:val="auto"/>
        </w:rPr>
        <w:t>The Agreements replaced and superseded any prior agreements or arrangements providing such named executive officers with severance or change in control payments and benefits, including replacing and superseding the change in control and severance agreements previously entered into with such named executive officers.</w:t>
      </w:r>
    </w:p>
    <w:p>
      <w:pPr>
        <w:spacing w:after="0" w:line="135"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20"/>
          <w:szCs w:val="20"/>
          <w:color w:val="auto"/>
        </w:rPr>
        <w:t>The CIC Agreements have an initial term of three years commencing on July 31, 2023. On the three-year anniversary of the effective date of each CIC Agreement, the agreement will renew automatically for additional one year terms unless either party provides the other party with written notice of nonrenewal at least ninety (90) days prior to the date of automatic renewal. However, if a change in control (as defined in the applicable CIC Agreement) occurs when there are fewer than twelve months remaining during the initial term or during an additional term, the term of the CIC Agreement will extend automatically through the date that is twelve months following the date of the change in control.</w:t>
      </w:r>
    </w:p>
    <w:p>
      <w:pPr>
        <w:spacing w:after="0" w:line="148" w:lineRule="exact"/>
        <w:rPr>
          <w:sz w:val="20"/>
          <w:szCs w:val="20"/>
          <w:color w:val="auto"/>
        </w:rPr>
      </w:pPr>
    </w:p>
    <w:p>
      <w:pPr>
        <w:ind w:right="480" w:firstLine="360"/>
        <w:spacing w:after="0" w:line="258" w:lineRule="auto"/>
        <w:rPr>
          <w:sz w:val="20"/>
          <w:szCs w:val="20"/>
          <w:color w:val="auto"/>
        </w:rPr>
      </w:pPr>
      <w:r>
        <w:rPr>
          <w:rFonts w:ascii="Times New Roman" w:cs="Times New Roman" w:eastAsia="Times New Roman" w:hAnsi="Times New Roman"/>
          <w:sz w:val="20"/>
          <w:szCs w:val="20"/>
          <w:color w:val="auto"/>
        </w:rPr>
        <w:t>The CIC Agreements provide that if, other than during the period beginning three months before a change in control through the one-year anniversary of a change in control, or the CIC Period, either (x) the named executive officer’s employment is terminated without cause (as defined in the CIC Agreement, and excluding by reason of his or her death or disability) or (y) the named executive officer resigns for good reason (as defined in the CIC Agreement), then the named executive officer will receive the following severance payments and benefits:</w:t>
      </w:r>
    </w:p>
    <w:p>
      <w:pPr>
        <w:spacing w:after="0" w:line="144" w:lineRule="exact"/>
        <w:rPr>
          <w:sz w:val="20"/>
          <w:szCs w:val="20"/>
          <w:color w:val="auto"/>
        </w:rPr>
      </w:pPr>
    </w:p>
    <w:p>
      <w:pPr>
        <w:ind w:right="700" w:firstLine="350"/>
        <w:spacing w:after="0" w:line="281" w:lineRule="auto"/>
        <w:tabs>
          <w:tab w:leader="none" w:pos="72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lump sum cash payment equal to 100% for Mr. Patel, or 50% for Dr. Mallick and Ms. Mowry, of the named executive officer’s base salary as in effect immediately before such termination; and</w:t>
      </w:r>
    </w:p>
    <w:p>
      <w:pPr>
        <w:spacing w:after="0" w:line="121" w:lineRule="exact"/>
        <w:rPr>
          <w:rFonts w:ascii="Times New Roman" w:cs="Times New Roman" w:eastAsia="Times New Roman" w:hAnsi="Times New Roman"/>
          <w:sz w:val="20"/>
          <w:szCs w:val="20"/>
          <w:color w:val="auto"/>
        </w:rPr>
      </w:pPr>
    </w:p>
    <w:p>
      <w:pPr>
        <w:ind w:right="140" w:firstLine="350"/>
        <w:spacing w:after="0" w:line="286" w:lineRule="auto"/>
        <w:tabs>
          <w:tab w:leader="none" w:pos="720"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Payment by us (or our applicable subsidiary) of the employer-paid portion of the premiums required for continued coverage pursuant to COBRA under the Employer’s group health, dental and vision care plans for the named executive officer and his or her eligible dependents for up to twelve months for Mr. Patel, or six months for Dr. Mallick and Ms. Mowry.</w:t>
      </w:r>
    </w:p>
    <w:p>
      <w:pPr>
        <w:spacing w:after="0" w:line="119" w:lineRule="exact"/>
        <w:rPr>
          <w:sz w:val="20"/>
          <w:szCs w:val="20"/>
          <w:color w:val="auto"/>
        </w:rPr>
      </w:pPr>
    </w:p>
    <w:p>
      <w:pPr>
        <w:ind w:right="40" w:firstLine="360"/>
        <w:spacing w:after="0" w:line="260" w:lineRule="auto"/>
        <w:rPr>
          <w:sz w:val="20"/>
          <w:szCs w:val="20"/>
          <w:color w:val="auto"/>
        </w:rPr>
      </w:pPr>
      <w:r>
        <w:rPr>
          <w:rFonts w:ascii="Times New Roman" w:cs="Times New Roman" w:eastAsia="Times New Roman" w:hAnsi="Times New Roman"/>
          <w:sz w:val="20"/>
          <w:szCs w:val="20"/>
          <w:color w:val="auto"/>
        </w:rPr>
        <w:t>If, during the CIC Period, either (x) the named executive officer’s employment is terminated without cause (as defined in the CIC Agreement, and excluding by reason of his or her death or disability) or (y) the named executive officer resigns for good reason (as defined in the CIC Agreement), the named executive officer will receive the following severance payments and benefits:</w:t>
      </w:r>
    </w:p>
    <w:p>
      <w:pPr>
        <w:spacing w:after="0" w:line="143" w:lineRule="exact"/>
        <w:rPr>
          <w:sz w:val="20"/>
          <w:szCs w:val="20"/>
          <w:color w:val="auto"/>
        </w:rPr>
      </w:pPr>
    </w:p>
    <w:p>
      <w:pPr>
        <w:ind w:right="600" w:firstLine="350"/>
        <w:spacing w:after="0" w:line="266" w:lineRule="auto"/>
        <w:tabs>
          <w:tab w:leader="none" w:pos="72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lump sum cash payment equal to 150% for Mr. Patel, or 100% for Dr. Mallick and Ms. Mowry, of the named executive officer’s base salary as in effect immediately before such termination or if greater, the base salary in effect immediately before the change in control;</w:t>
      </w:r>
    </w:p>
    <w:p>
      <w:pPr>
        <w:spacing w:after="0" w:line="135" w:lineRule="exact"/>
        <w:rPr>
          <w:rFonts w:ascii="Times New Roman" w:cs="Times New Roman" w:eastAsia="Times New Roman" w:hAnsi="Times New Roman"/>
          <w:sz w:val="20"/>
          <w:szCs w:val="20"/>
          <w:color w:val="auto"/>
        </w:rPr>
      </w:pPr>
    </w:p>
    <w:p>
      <w:pPr>
        <w:ind w:right="460" w:firstLine="350"/>
        <w:spacing w:after="0" w:line="266" w:lineRule="auto"/>
        <w:tabs>
          <w:tab w:leader="none" w:pos="72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lump sum cash payment equal to 150% for Mr. Patel, or 100% for Dr. Mallick and Ms. Mowry, of the named executive officer’s target bonus opportunity as in effect immediately before such termination or if greater, the target bonus opportunity in effect immediately before the change in control;</w:t>
      </w:r>
    </w:p>
    <w:p>
      <w:pPr>
        <w:spacing w:after="0" w:line="135" w:lineRule="exact"/>
        <w:rPr>
          <w:rFonts w:ascii="Times New Roman" w:cs="Times New Roman" w:eastAsia="Times New Roman" w:hAnsi="Times New Roman"/>
          <w:sz w:val="20"/>
          <w:szCs w:val="20"/>
          <w:color w:val="auto"/>
        </w:rPr>
      </w:pPr>
    </w:p>
    <w:p>
      <w:pPr>
        <w:jc w:val="both"/>
        <w:ind w:right="20" w:firstLine="350"/>
        <w:spacing w:after="0" w:line="260" w:lineRule="auto"/>
        <w:tabs>
          <w:tab w:leader="none" w:pos="72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by us (or our applicable subsidiary) of the employer-paid premiums required for continued coverage pursuant to COBRA under our (or our applicable subsidiary’s) group health, dental and vision care plans for the named executive officer and his or her eligible dependents for up to eighteen months for Mr. Patel, or twelve months for Dr. Mallick and Ms. Mowry; and</w:t>
      </w:r>
    </w:p>
    <w:p>
      <w:pPr>
        <w:spacing w:after="0" w:line="143" w:lineRule="exact"/>
        <w:rPr>
          <w:rFonts w:ascii="Times New Roman" w:cs="Times New Roman" w:eastAsia="Times New Roman" w:hAnsi="Times New Roman"/>
          <w:sz w:val="20"/>
          <w:szCs w:val="20"/>
          <w:color w:val="auto"/>
        </w:rPr>
      </w:pPr>
    </w:p>
    <w:p>
      <w:pPr>
        <w:ind w:right="180" w:firstLine="350"/>
        <w:spacing w:after="0" w:line="281" w:lineRule="auto"/>
        <w:tabs>
          <w:tab w:leader="none" w:pos="72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100% accelerated vesting and exercisability of the outstanding and unvested equity awards (other than equity awards subject to performance-based vesting criteria) granted to the named executive officer.</w:t>
      </w:r>
    </w:p>
    <w:p>
      <w:pPr>
        <w:spacing w:after="0" w:line="121" w:lineRule="exact"/>
        <w:rPr>
          <w:sz w:val="20"/>
          <w:szCs w:val="20"/>
          <w:color w:val="auto"/>
        </w:rPr>
      </w:pPr>
    </w:p>
    <w:p>
      <w:pPr>
        <w:ind w:right="140" w:firstLine="360"/>
        <w:spacing w:after="0" w:line="254" w:lineRule="auto"/>
        <w:rPr>
          <w:sz w:val="20"/>
          <w:szCs w:val="20"/>
          <w:color w:val="auto"/>
        </w:rPr>
      </w:pPr>
      <w:r>
        <w:rPr>
          <w:rFonts w:ascii="Times New Roman" w:cs="Times New Roman" w:eastAsia="Times New Roman" w:hAnsi="Times New Roman"/>
          <w:sz w:val="20"/>
          <w:szCs w:val="20"/>
          <w:color w:val="auto"/>
        </w:rPr>
        <w:t>Any severance payments and benefits under a CIC Agreement are subject to the named executive officer timely executing and not revoking a separation agreement and release of claims in favor of the Company and any of its subsidiaries (the “Company Group”). Each CIC Agreement provides that, if any of the amounts provided for under a CIC Agreement or otherwise payable to the named executive officer would constitute “parachute payments” within the meaning of Internal Revenue Code Section 280G and could be subject to the related excise tax, the named executive officer would receive (to the extent he or she is entitled to such receipt) either the full payment of benefits under the named executive officer’s CIC Agreement or such lesser amount that would result in no portion of the payments and benefits being subject to the excise tax, whichever results in the greater amount of after-tax benefits to the named executive officer. The CIC Agreements do not provide for any tax gross-ups in connection with a change in control.</w:t>
      </w:r>
    </w:p>
    <w:p>
      <w:pPr>
        <w:spacing w:after="0" w:line="1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definitions generally apply for purposes of each CIC Agreement:</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ectPr>
          <w:pgSz w:w="12240" w:h="15840" w:orient="portrait"/>
          <w:cols w:equalWidth="0" w:num="1">
            <w:col w:w="10240"/>
          </w:cols>
          <w:pgMar w:left="1000" w:top="793" w:right="1000" w:bottom="0" w:gutter="0" w:footer="0" w:header="0"/>
          <w:type w:val="continuous"/>
        </w:sectPr>
      </w:pPr>
    </w:p>
    <w:bookmarkStart w:id="129" w:name="page130"/>
    <w:bookmarkEnd w:id="129"/>
    <w:p>
      <w:pPr>
        <w:ind w:right="20" w:firstLine="350"/>
        <w:spacing w:after="0" w:line="252" w:lineRule="auto"/>
        <w:tabs>
          <w:tab w:leader="none" w:pos="72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generally means (a) a named executive officer’s failure to substantially perform his or her material duties and obligations as an employee (for reasons other than a named executive officer’s death or disability); (b) a named executive officer’s failure or refusal to comply with the policies, standards and regulations established by the Company Group from time to time; (c) any act of personal dishonesty, moral turpitude, fraud, embezzlement, misrepresentation, or other unlawful act committed by a named executive officer that results in harm to the Company or any other member of the Company Group, or any of their respective affiliates, including financial or reputational; (d) a named executive officer’s violation of a federal or state law or regulation applicable to the business of the Company or any other member of the Company Group, or any of their respective affiliates; (e) a named executive officer being convicted of, or entering a plea of nolo contendere or guilty to, a felony under the laws of the United States or its equivalent in the jurisdiction in which the act that constituted the felony occurred; (f) a named executive officer’s material breach of the terms of his or her applicable CIC Agreement or any other agreement between a named executive officer and any member of the Company Group (or any affiliate of the Company Group); or (g) the Company’s or the Employer’s economic duress or necessity. With respect to clauses (a) and (b) above only, a named executive officer will have 10 days to cure following written notice of a named executive officer’s failure or refusal to perform or comply.</w:t>
      </w:r>
    </w:p>
    <w:p>
      <w:pPr>
        <w:spacing w:after="0" w:line="159"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in control” generally means the first occurrence of any of the following events on or after the Effective Date:</w:t>
      </w:r>
    </w:p>
    <w:p>
      <w:pPr>
        <w:spacing w:after="0" w:line="190" w:lineRule="exact"/>
        <w:rPr>
          <w:rFonts w:ascii="Times New Roman" w:cs="Times New Roman" w:eastAsia="Times New Roman" w:hAnsi="Times New Roman"/>
          <w:sz w:val="20"/>
          <w:szCs w:val="20"/>
          <w:color w:val="auto"/>
        </w:rPr>
      </w:pPr>
    </w:p>
    <w:p>
      <w:pPr>
        <w:ind w:left="1440" w:right="60" w:hanging="370"/>
        <w:spacing w:after="0" w:line="253" w:lineRule="auto"/>
        <w:tabs>
          <w:tab w:leader="none" w:pos="1440"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the ownership of the Company which occurs on the date that any one person, or more than one person acting as a group (“Person”), acquires ownership of the stock of the Company that, together with the stock held by such Person, constitutes more than 50% of the total voting power of the stock of the Company; provided, however, the acquisition of additional stock by any one Person, who is considered to own more than 50% of the total voting power of the stock of the Company will not be considered a change in control; provided, further, that any change in the ownership of the stock of the Company as a result of a private financing of the Company that is approved by our board of directors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50% or more of the total voting power of the stock of the Company or of the ultimate parent entity of the Company, such event shall not be considered a change in control.</w:t>
      </w:r>
    </w:p>
    <w:p>
      <w:pPr>
        <w:spacing w:after="0" w:line="150" w:lineRule="exact"/>
        <w:rPr>
          <w:rFonts w:ascii="Times New Roman" w:cs="Times New Roman" w:eastAsia="Times New Roman" w:hAnsi="Times New Roman"/>
          <w:sz w:val="20"/>
          <w:szCs w:val="20"/>
          <w:color w:val="auto"/>
        </w:rPr>
      </w:pPr>
    </w:p>
    <w:p>
      <w:pPr>
        <w:ind w:left="1440" w:right="40" w:hanging="370"/>
        <w:spacing w:after="0" w:line="258" w:lineRule="auto"/>
        <w:tabs>
          <w:tab w:leader="none" w:pos="1440"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has a class of securities registered pursuant to Section 12 of the U.S. Securities Exchange Act of 1934, as amended, a change in the effective control of the Company which occurs on the date that a majority of members of the board of directors is replaced during any 12 month period by directors whose appointment or election is not endorsed by a majority of the members of the board of directors prior to the date of the appointment or election.</w:t>
      </w:r>
    </w:p>
    <w:p>
      <w:pPr>
        <w:spacing w:after="0" w:line="143" w:lineRule="exact"/>
        <w:rPr>
          <w:rFonts w:ascii="Times New Roman" w:cs="Times New Roman" w:eastAsia="Times New Roman" w:hAnsi="Times New Roman"/>
          <w:sz w:val="20"/>
          <w:szCs w:val="20"/>
          <w:color w:val="auto"/>
        </w:rPr>
      </w:pPr>
    </w:p>
    <w:p>
      <w:pPr>
        <w:ind w:left="1440" w:hanging="370"/>
        <w:spacing w:after="0" w:line="253" w:lineRule="auto"/>
        <w:tabs>
          <w:tab w:leader="none" w:pos="1440"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the ownership of a substantial portion of the Company’s assets which occurs on the date that any Person acquires (or has acquired during the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provided, however, that the following will not constitute a change in the ownership of a substantial portion of the Company’s assets: (a) a transfer to an entity that is controlled by the Company’s stockholders immediately after the transfer, or (b) a transfer of assets by the Company to: (i) a stockholder of the Company (immediately before the asset transfer) in exchange for or with respect to the Company’s stock, (ii) an entity, 50% or more of the total value or voting power of which is owned, directly or indirectly, by the Company, (iii) a Person, that owns, directly or indirectly, 50% or more of the total value or voting power of all the outstanding stock of the Company, or (iv) an entity, at least 50% of the total value or voting power of which is owned, directly or indirectly, by a Person previously described in this definition.</w:t>
      </w:r>
    </w:p>
    <w:p>
      <w:pPr>
        <w:spacing w:after="0" w:line="1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“disability” generally means total and permanent disability as defined in Section 22(e)(3) of the Internal Revenue</w:t>
      </w:r>
    </w:p>
    <w:p>
      <w:pPr>
        <w:spacing w:after="0" w:line="30"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Code.</w:t>
      </w:r>
    </w:p>
    <w:p>
      <w:pPr>
        <w:spacing w:after="0" w:line="169" w:lineRule="exact"/>
        <w:rPr>
          <w:rFonts w:ascii="Times New Roman" w:cs="Times New Roman" w:eastAsia="Times New Roman" w:hAnsi="Times New Roman"/>
          <w:sz w:val="20"/>
          <w:szCs w:val="20"/>
          <w:color w:val="auto"/>
        </w:rPr>
      </w:pPr>
    </w:p>
    <w:p>
      <w:pPr>
        <w:ind w:right="60" w:firstLine="350"/>
        <w:spacing w:after="0" w:line="270" w:lineRule="auto"/>
        <w:tabs>
          <w:tab w:leader="none" w:pos="72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“good reason” generally means a named executive officer’s termination of his or her employment with the Company Group within 90 days following the expiration of the Company’s cure period (as defined below) following the occurrence of any of the following without a named executive officer’s written consent: (a) a material reduction in a named executive officer’s responsibilities, provided that neither a mere change in title nor reassignment following a change in control to a position that is substantially similar to the position held prior to the change in control will constitute a material reduction in job responsibilities; (b) relocation of a named executive officer’s principal work location to a principal work location more than 40 miles from a named executive officer’s principal work location immediately before such relocation; or (c) a reduction in a named executive officer then current base salary by at least 10%, provided that an across-the-board reduction in the salary level</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ectPr>
          <w:pgSz w:w="12240" w:h="15840" w:orient="portrait"/>
          <w:cols w:equalWidth="0" w:num="1">
            <w:col w:w="10240"/>
          </w:cols>
          <w:pgMar w:left="1000" w:top="793" w:right="1000" w:bottom="0" w:gutter="0" w:footer="0" w:header="0"/>
          <w:type w:val="continuous"/>
        </w:sectPr>
      </w:pPr>
    </w:p>
    <w:bookmarkStart w:id="130" w:name="page131"/>
    <w:bookmarkEnd w:id="130"/>
    <w:p>
      <w:pPr>
        <w:ind w:right="300"/>
        <w:spacing w:after="0" w:line="258" w:lineRule="auto"/>
        <w:rPr>
          <w:sz w:val="20"/>
          <w:szCs w:val="20"/>
          <w:color w:val="auto"/>
        </w:rPr>
      </w:pPr>
      <w:r>
        <w:rPr>
          <w:rFonts w:ascii="Times New Roman" w:cs="Times New Roman" w:eastAsia="Times New Roman" w:hAnsi="Times New Roman"/>
          <w:sz w:val="20"/>
          <w:szCs w:val="20"/>
          <w:color w:val="auto"/>
        </w:rPr>
        <w:t>of all other similarly situated employees by the same percentage amount as part of a general salary level reduction will not constitute such a reduction under this clause (c). In order for an event to qualify as good reason, a named executive officer must not terminate his or her employment without first providing the Company Group with written notice of the acts or omissions constituting the grounds for “good reason” within 90 days following the initial existence of the grounds for “good reason” and a cure period of 30 days following the date of such notice (the “cure period”).</w:t>
      </w:r>
    </w:p>
    <w:p>
      <w:pPr>
        <w:spacing w:after="0" w:line="1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Executive Incentive Compensation Plan</w:t>
      </w:r>
    </w:p>
    <w:p>
      <w:pPr>
        <w:spacing w:after="0" w:line="197" w:lineRule="exact"/>
        <w:rPr>
          <w:sz w:val="20"/>
          <w:szCs w:val="20"/>
          <w:color w:val="auto"/>
        </w:rPr>
      </w:pPr>
    </w:p>
    <w:p>
      <w:pPr>
        <w:ind w:right="120" w:firstLine="360"/>
        <w:spacing w:after="0" w:line="260" w:lineRule="auto"/>
        <w:rPr>
          <w:sz w:val="20"/>
          <w:szCs w:val="20"/>
          <w:color w:val="auto"/>
        </w:rPr>
      </w:pPr>
      <w:r>
        <w:rPr>
          <w:rFonts w:ascii="Times New Roman" w:cs="Times New Roman" w:eastAsia="Times New Roman" w:hAnsi="Times New Roman"/>
          <w:sz w:val="20"/>
          <w:szCs w:val="20"/>
          <w:color w:val="auto"/>
        </w:rPr>
        <w:t>On June 9, 2021, we adopted the Incentive Plan. The Incentive Plan is administered by our board of directors or a committee appointed by our board of directors. The Incentive Plan allows us to grant incentive awards, generally payable in cash, to employees selected by the administrator, including our executive officers, based upon any performance goals that may be established by the administrator.</w:t>
      </w:r>
    </w:p>
    <w:p>
      <w:pPr>
        <w:spacing w:after="0" w:line="143" w:lineRule="exact"/>
        <w:rPr>
          <w:sz w:val="20"/>
          <w:szCs w:val="20"/>
          <w:color w:val="auto"/>
        </w:rPr>
      </w:pPr>
    </w:p>
    <w:p>
      <w:pPr>
        <w:ind w:right="60" w:firstLine="360"/>
        <w:spacing w:after="0" w:line="253" w:lineRule="auto"/>
        <w:rPr>
          <w:sz w:val="20"/>
          <w:szCs w:val="20"/>
          <w:color w:val="auto"/>
        </w:rPr>
      </w:pPr>
      <w:r>
        <w:rPr>
          <w:rFonts w:ascii="Times New Roman" w:cs="Times New Roman" w:eastAsia="Times New Roman" w:hAnsi="Times New Roman"/>
          <w:sz w:val="20"/>
          <w:szCs w:val="20"/>
          <w:color w:val="auto"/>
        </w:rPr>
        <w:t>The administrator of the Incentive Plan, in its sole discretion and at any time prior to the actual payment of an award, may increase, reduce or eliminate a participant’s actual award, and/or increase, reduce or eliminate the amount allocated to any bonus pool for a particular performance period. The administrator may determine any such increase, reduction, or elimination on the basis of such factors as it deems relevant, and the administrator is not required to establish any allocation or weighting with respect to the factors it considers. Actual awards generally will be paid in cash (or its equivalent) only after they are earned, and, unless otherwise determined by the administrator, a participant must be employed with us through the date the actual award is paid. The administrator of the Incentive Plan may settle an actual award with a grant of an equity award under its then-current equity compensation plan, which equity award may have such terms and conditions, including vesting, as determined by the administrator. Payment of awards occurs as soon as administratively practicable after they are earned, but no later than the dates set forth in the Incentive Plan.</w:t>
      </w:r>
    </w:p>
    <w:p>
      <w:pPr>
        <w:spacing w:after="0" w:line="156" w:lineRule="exact"/>
        <w:rPr>
          <w:sz w:val="20"/>
          <w:szCs w:val="20"/>
          <w:color w:val="auto"/>
        </w:rPr>
      </w:pPr>
    </w:p>
    <w:p>
      <w:pPr>
        <w:ind w:right="60" w:firstLine="360"/>
        <w:spacing w:after="0" w:line="253" w:lineRule="auto"/>
        <w:rPr>
          <w:sz w:val="20"/>
          <w:szCs w:val="20"/>
          <w:color w:val="auto"/>
        </w:rPr>
      </w:pPr>
      <w:r>
        <w:rPr>
          <w:rFonts w:ascii="Times New Roman" w:cs="Times New Roman" w:eastAsia="Times New Roman" w:hAnsi="Times New Roman"/>
          <w:sz w:val="20"/>
          <w:szCs w:val="20"/>
          <w:color w:val="auto"/>
        </w:rPr>
        <w:t>Awards under the Incentive Plan are subject to any clawback policy we or our parent or subsidiary corporations may establish or amend from time to time to comply with applicable laws, including without limitation, the listing standards of any national securities exchange or association on which our securities are listed. The administrator also may impose such other clawback, reduction, recovery, forfeiture, recoupment, reimbursement or reacquisition provisions with respect an award under the Incentive Plan as the administrator determines necessary or appropriate, including for example, reduction, cancellation, forfeiture or recoupment upon a termination of a participant’s status as an employee or other service provider for cause, or any specified action or inaction occurring before or after such termination of employment or other service, that would constitute cause for termination of a participant’s status as an employee or other service provider. Certain participants may be required to reimburse us for certain amounts paid under an award under the Incentive Plan in connection with certain accounting restatements we may be required to prepare due to our material noncompliance with any financial reporting requirements under applicable securities laws, as a result of misconduct.</w:t>
      </w:r>
    </w:p>
    <w:p>
      <w:pPr>
        <w:spacing w:after="0" w:line="153" w:lineRule="exact"/>
        <w:rPr>
          <w:sz w:val="20"/>
          <w:szCs w:val="20"/>
          <w:color w:val="auto"/>
        </w:rPr>
      </w:pPr>
    </w:p>
    <w:p>
      <w:pPr>
        <w:ind w:right="20" w:firstLine="360"/>
        <w:spacing w:after="0" w:line="260" w:lineRule="auto"/>
        <w:rPr>
          <w:sz w:val="20"/>
          <w:szCs w:val="20"/>
          <w:color w:val="auto"/>
        </w:rPr>
      </w:pPr>
      <w:r>
        <w:rPr>
          <w:rFonts w:ascii="Times New Roman" w:cs="Times New Roman" w:eastAsia="Times New Roman" w:hAnsi="Times New Roman"/>
          <w:sz w:val="20"/>
          <w:szCs w:val="20"/>
          <w:color w:val="auto"/>
        </w:rPr>
        <w:t>The administrator of the Incentive Plan has the authority to amend, alter, suspend or terminate the Incentive Plan or any part of the Incentive Plan, at any time and for any reason, provided such action does not materially alter or materially impair the existing rights or obligations of any participant with respect to any earned awards. The Incentive Plan will remain in effect until terminated in accordance with its terms.</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Compensation Recovery Policy</w:t>
      </w:r>
    </w:p>
    <w:p>
      <w:pPr>
        <w:spacing w:after="0" w:line="197" w:lineRule="exact"/>
        <w:rPr>
          <w:sz w:val="20"/>
          <w:szCs w:val="20"/>
          <w:color w:val="auto"/>
        </w:rPr>
      </w:pPr>
    </w:p>
    <w:p>
      <w:pPr>
        <w:ind w:right="60" w:firstLine="360"/>
        <w:spacing w:after="0" w:line="254" w:lineRule="auto"/>
        <w:rPr>
          <w:sz w:val="20"/>
          <w:szCs w:val="20"/>
          <w:color w:val="auto"/>
        </w:rPr>
      </w:pPr>
      <w:r>
        <w:rPr>
          <w:rFonts w:ascii="Times New Roman" w:cs="Times New Roman" w:eastAsia="Times New Roman" w:hAnsi="Times New Roman"/>
          <w:sz w:val="20"/>
          <w:szCs w:val="20"/>
          <w:color w:val="auto"/>
        </w:rPr>
        <w:t>We have adopted a compensation recovery policy, effective as of October 2, 2023, that complies with the new SEC rules under the Dodd-Frank Wall Street Reform and Consumer Protection Act (the “Clawback Policy”). Subject to the terms of the Clawback Policy, the Clawback Policy requires us to recover certain cash or equity-based incentive compensation payments or awards made or granted to an executive officer in the event we are required to prepare an accounting restatement due to our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Benefits and Perquisites</w:t>
      </w:r>
    </w:p>
    <w:p>
      <w:pPr>
        <w:spacing w:after="0" w:line="197" w:lineRule="exact"/>
        <w:rPr>
          <w:sz w:val="20"/>
          <w:szCs w:val="20"/>
          <w:color w:val="auto"/>
        </w:rPr>
      </w:pPr>
    </w:p>
    <w:p>
      <w:pPr>
        <w:ind w:firstLine="360"/>
        <w:spacing w:after="0" w:line="260" w:lineRule="auto"/>
        <w:rPr>
          <w:sz w:val="20"/>
          <w:szCs w:val="20"/>
          <w:color w:val="auto"/>
        </w:rPr>
      </w:pPr>
      <w:r>
        <w:rPr>
          <w:rFonts w:ascii="Times New Roman" w:cs="Times New Roman" w:eastAsia="Times New Roman" w:hAnsi="Times New Roman"/>
          <w:sz w:val="20"/>
          <w:szCs w:val="20"/>
          <w:color w:val="auto"/>
        </w:rPr>
        <w:t>We provide benefits to our executive officers on the same basis as provided to all of our employees, including health, dental and vision insurance; life insurance; accidental death and dismemberment insurance; short-and long-term disability insurance; a flexible spending account; and a tax-qualified Section 401(k) plan for which no match is provided by us. We do not maintain any executive-specific benefit or perquisite programs.</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ectPr>
          <w:pgSz w:w="12240" w:h="15840" w:orient="portrait"/>
          <w:cols w:equalWidth="0" w:num="1">
            <w:col w:w="10240"/>
          </w:cols>
          <w:pgMar w:left="1000" w:top="793" w:right="1000" w:bottom="0" w:gutter="0" w:footer="0" w:header="0"/>
          <w:type w:val="continuous"/>
        </w:sectPr>
      </w:pPr>
    </w:p>
    <w:bookmarkStart w:id="131" w:name="page132"/>
    <w:bookmarkEnd w:id="131"/>
    <w:p>
      <w:pPr>
        <w:ind w:left="360"/>
        <w:spacing w:after="0"/>
        <w:rPr>
          <w:sz w:val="20"/>
          <w:szCs w:val="20"/>
          <w:color w:val="auto"/>
        </w:rPr>
      </w:pPr>
      <w:r>
        <w:rPr>
          <w:rFonts w:ascii="Times New Roman" w:cs="Times New Roman" w:eastAsia="Times New Roman" w:hAnsi="Times New Roman"/>
          <w:sz w:val="20"/>
          <w:szCs w:val="20"/>
          <w:b w:val="1"/>
          <w:bCs w:val="1"/>
          <w:color w:val="auto"/>
        </w:rPr>
        <w:t>Retirement Benefits</w:t>
      </w:r>
    </w:p>
    <w:p>
      <w:pPr>
        <w:spacing w:after="0" w:line="197" w:lineRule="exact"/>
        <w:rPr>
          <w:sz w:val="20"/>
          <w:szCs w:val="20"/>
          <w:color w:val="auto"/>
        </w:rPr>
      </w:pPr>
    </w:p>
    <w:p>
      <w:pPr>
        <w:ind w:right="80" w:firstLine="360"/>
        <w:spacing w:after="0" w:line="253" w:lineRule="auto"/>
        <w:rPr>
          <w:sz w:val="20"/>
          <w:szCs w:val="20"/>
          <w:color w:val="auto"/>
        </w:rPr>
      </w:pPr>
      <w:r>
        <w:rPr>
          <w:rFonts w:ascii="Times New Roman" w:cs="Times New Roman" w:eastAsia="Times New Roman" w:hAnsi="Times New Roman"/>
          <w:sz w:val="20"/>
          <w:szCs w:val="20"/>
          <w:color w:val="auto"/>
        </w:rPr>
        <w:t>We maintain a 401(k) retirement savings plan, for the benefit of employees, including our executive officers, who satisfy certain eligibility requirements. The 401(k) plan provides eligible employees with an opportunity to save for retirement on a tax-advantaged basis. Under the 401(k) plan, eligible employees may elect to defer a portion of their compensation, within the limits prescribed by the Internal Revenue Code and the applicable limits under the 401(k) plan, on a pre-tax or after-tax (Roth) basis, through contributions to the 401(k) plan. All of a participant’s contributions into the 401(k) plan are 100% vested when contributed. The 401(k) plan is intended to qualify under Sections 401(a) and 501(a) of the Internal Revenue Code. As a tax-qualified retirement plan, pre-tax contributions to the 401(k) plan and earnings on those pre-tax contributions are not taxable to the employees until distributed from the 401(k) plan, and earnings on Roth contributions are not taxable when distributed from the 401(k) plan. We do not provide a match for participants’ elective contributions to the 401(k) plan, nor do we provide to employees, including our executive officers, any other retirement benefits, including without limitation any tax-qualified defined benefit plans, supplemental executive retirement plans and nonqualified defined contribution plans.</w:t>
      </w:r>
    </w:p>
    <w:p>
      <w:pPr>
        <w:spacing w:after="0" w:line="1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Legacy Nautilus 2017 Equity Incentive Plan</w:t>
      </w:r>
    </w:p>
    <w:p>
      <w:pPr>
        <w:spacing w:after="0" w:line="197"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20"/>
          <w:szCs w:val="20"/>
          <w:color w:val="auto"/>
        </w:rPr>
        <w:t>The 2017 Plan allowed Legacy Nautilus to provide incentive stock options, within the meaning of Section 422 of the Code, nonstatutory stock options, stock appreciation rights, restricted stock awards and restricted stock units (each, an “award” and the recipient of such award, a “participant”) to any of Legacy Nautilus’ eligible employees, directors, and consultants of and any parent or subsidiary of Legacy Nautilus. The 2017 Plan was terminated as of one day prior to the closing of the Business Combination and we will not grant any additional awards under the 2017 Plan. However, the 2017 Plan will continue to govern the terms and conditions of the outstanding awards previously granted under the 2017 Plan and assumed by us at the closing of the Business Combination.</w:t>
      </w:r>
    </w:p>
    <w:p>
      <w:pPr>
        <w:spacing w:after="0" w:line="150" w:lineRule="exact"/>
        <w:rPr>
          <w:sz w:val="20"/>
          <w:szCs w:val="20"/>
          <w:color w:val="auto"/>
        </w:rPr>
      </w:pPr>
    </w:p>
    <w:p>
      <w:pPr>
        <w:ind w:right="340" w:firstLine="360"/>
        <w:spacing w:after="0" w:line="281" w:lineRule="auto"/>
        <w:rPr>
          <w:sz w:val="20"/>
          <w:szCs w:val="20"/>
          <w:color w:val="auto"/>
        </w:rPr>
      </w:pPr>
      <w:r>
        <w:rPr>
          <w:rFonts w:ascii="Times New Roman" w:cs="Times New Roman" w:eastAsia="Times New Roman" w:hAnsi="Times New Roman"/>
          <w:sz w:val="20"/>
          <w:szCs w:val="20"/>
          <w:color w:val="auto"/>
        </w:rPr>
        <w:t>As of December 31, 2023, stock options covering 5,678,766 shares of Common Stock were outstanding under the 2017 Plan.</w:t>
      </w:r>
    </w:p>
    <w:p>
      <w:pPr>
        <w:spacing w:after="0" w:line="1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Purposes of the 2017 Plan</w:t>
      </w:r>
    </w:p>
    <w:p>
      <w:pPr>
        <w:spacing w:after="0" w:line="199" w:lineRule="exact"/>
        <w:rPr>
          <w:sz w:val="20"/>
          <w:szCs w:val="20"/>
          <w:color w:val="auto"/>
        </w:rPr>
      </w:pPr>
    </w:p>
    <w:p>
      <w:pPr>
        <w:ind w:right="420" w:firstLine="360"/>
        <w:spacing w:after="0" w:line="260" w:lineRule="auto"/>
        <w:rPr>
          <w:sz w:val="20"/>
          <w:szCs w:val="20"/>
          <w:color w:val="auto"/>
        </w:rPr>
      </w:pPr>
      <w:r>
        <w:rPr>
          <w:rFonts w:ascii="Times New Roman" w:cs="Times New Roman" w:eastAsia="Times New Roman" w:hAnsi="Times New Roman"/>
          <w:sz w:val="20"/>
          <w:szCs w:val="20"/>
          <w:color w:val="auto"/>
        </w:rPr>
        <w:t>The purposes of the 2017 Plan were to attract and retain personnel for positions with us, any parent or subsidiary; to provide additional incentive to employees, directors, and consultants; and to promote the success of our business. These incentives were provided through the grant of equity awards, including stock options, as the administrator of the 2017 Plan determined.</w:t>
      </w:r>
    </w:p>
    <w:p>
      <w:pPr>
        <w:spacing w:after="0" w:line="140" w:lineRule="exact"/>
        <w:rPr>
          <w:sz w:val="20"/>
          <w:szCs w:val="20"/>
          <w:color w:val="auto"/>
        </w:rPr>
      </w:pPr>
    </w:p>
    <w:p>
      <w:pPr>
        <w:ind w:right="20" w:firstLine="36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Eligibility</w:t>
      </w:r>
      <w:r>
        <w:rPr>
          <w:rFonts w:ascii="Times New Roman" w:cs="Times New Roman" w:eastAsia="Times New Roman" w:hAnsi="Times New Roman"/>
          <w:sz w:val="20"/>
          <w:szCs w:val="20"/>
          <w:color w:val="auto"/>
        </w:rPr>
        <w:t>. The 2017 Plan provided for the grant of incentive stock options, within the meaning of Section 422 of the Code,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to Legacy Nautilus’ employees and any of its parent and subsidiary corporations’ employees, and for the grant of nonstatutory stock options, restricted stock, restricted stock units, and stock appreciation rights to any of Legacy Nautilus’ employees, directors and consultants and any of its parents or subsidiaries.</w:t>
      </w:r>
    </w:p>
    <w:p>
      <w:pPr>
        <w:spacing w:after="0" w:line="136" w:lineRule="exact"/>
        <w:rPr>
          <w:sz w:val="20"/>
          <w:szCs w:val="20"/>
          <w:color w:val="auto"/>
        </w:rPr>
      </w:pPr>
    </w:p>
    <w:p>
      <w:pPr>
        <w:ind w:right="20" w:firstLine="3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Plan Administration</w:t>
      </w:r>
      <w:r>
        <w:rPr>
          <w:rFonts w:ascii="Times New Roman" w:cs="Times New Roman" w:eastAsia="Times New Roman" w:hAnsi="Times New Roman"/>
          <w:sz w:val="20"/>
          <w:szCs w:val="20"/>
          <w:color w:val="auto"/>
        </w:rPr>
        <w:t>. The 2017 Plan is administered by our board of directors or one or more of its committees. Different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committees may administer the 2017 Plan with respect to different service providers. The administrator has all authority and discretion necessary or appropriate to administer the 2017 Plan and to control its operation, including the authority to construe and interpret the terms of the 2017 Plan and the awards granted under the 2017 Plan. The administrator’s decisions are final and binding on all participants and any other persons holding awards.</w:t>
      </w:r>
    </w:p>
    <w:p>
      <w:pPr>
        <w:spacing w:after="0" w:line="143"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The administrator’s powers under the 2017 Plan include the power to determine the fair market value of stock subject to awards granted under the 2017 Plan, select the service providers to whom awards may be granted, determine the number of shares covered by each award, approve forms of award agreements for use under the 2017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prescribe, amend and rescind rules relating to the 2017 Plan including creating sub-plans, modify or amend each award, and allow a participant to defer the receipt of payment of cash or the delivery of shares that otherwise would be due to such participant under an award. The administrator’s powers also include the power to institute an exchange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or (iii) the exercise price of an outstanding award is reduced or increased.</w:t>
      </w:r>
    </w:p>
    <w:p>
      <w:pPr>
        <w:spacing w:after="0" w:line="147" w:lineRule="exact"/>
        <w:rPr>
          <w:sz w:val="20"/>
          <w:szCs w:val="20"/>
          <w:color w:val="auto"/>
        </w:rPr>
      </w:pPr>
    </w:p>
    <w:p>
      <w:pPr>
        <w:jc w:val="both"/>
        <w:ind w:right="20" w:firstLine="360"/>
        <w:spacing w:after="0" w:line="288" w:lineRule="auto"/>
        <w:rPr>
          <w:sz w:val="20"/>
          <w:szCs w:val="20"/>
          <w:color w:val="auto"/>
        </w:rPr>
      </w:pPr>
      <w:r>
        <w:rPr>
          <w:rFonts w:ascii="Times New Roman" w:cs="Times New Roman" w:eastAsia="Times New Roman" w:hAnsi="Times New Roman"/>
          <w:sz w:val="19"/>
          <w:szCs w:val="19"/>
          <w:b w:val="1"/>
          <w:bCs w:val="1"/>
          <w:i w:val="1"/>
          <w:iCs w:val="1"/>
          <w:color w:val="auto"/>
        </w:rPr>
        <w:t>Stock Options</w:t>
      </w:r>
      <w:r>
        <w:rPr>
          <w:rFonts w:ascii="Times New Roman" w:cs="Times New Roman" w:eastAsia="Times New Roman" w:hAnsi="Times New Roman"/>
          <w:sz w:val="19"/>
          <w:szCs w:val="19"/>
          <w:color w:val="auto"/>
        </w:rPr>
        <w:t>. Stock options have been granted under the 2017 Plan. The exercise price of options granted under the 2017</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Plan generally must be equal to at least 100% of the fair market value of a share of our Common Stock on the date of grant. The term of an option may not exceed ten years. With respect to any participant who owns more than 10% of the voting power of all</w:t>
      </w:r>
    </w:p>
    <w:p>
      <w:pPr>
        <w:sectPr>
          <w:pgSz w:w="12240" w:h="15840" w:orient="portrait"/>
          <w:cols w:equalWidth="0" w:num="1">
            <w:col w:w="10240"/>
          </w:cols>
          <w:pgMar w:left="1000" w:top="786" w:right="1000" w:bottom="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ectPr>
          <w:pgSz w:w="12240" w:h="15840" w:orient="portrait"/>
          <w:cols w:equalWidth="0" w:num="1">
            <w:col w:w="10240"/>
          </w:cols>
          <w:pgMar w:left="1000" w:top="786" w:right="1000" w:bottom="0" w:gutter="0" w:footer="0" w:header="0"/>
          <w:type w:val="continuous"/>
        </w:sectPr>
      </w:pPr>
    </w:p>
    <w:bookmarkStart w:id="132" w:name="page133"/>
    <w:bookmarkEnd w:id="132"/>
    <w:p>
      <w:pPr>
        <w:ind w:right="60"/>
        <w:spacing w:after="0" w:line="254" w:lineRule="auto"/>
        <w:rPr>
          <w:sz w:val="20"/>
          <w:szCs w:val="20"/>
          <w:color w:val="auto"/>
        </w:rPr>
      </w:pPr>
      <w:r>
        <w:rPr>
          <w:rFonts w:ascii="Times New Roman" w:cs="Times New Roman" w:eastAsia="Times New Roman" w:hAnsi="Times New Roman"/>
          <w:sz w:val="20"/>
          <w:szCs w:val="20"/>
          <w:color w:val="auto"/>
        </w:rPr>
        <w:t>classes of our (or any of its parent’s or subsidiary’s) outstanding stock, the term of an incentive stock option granted to such participant must not exceed five years and the per share exercise price must equal at least 110% of the fair market value of a share of our Common Stock on the grant date. The administrator determines the methods of payment of the exercise price of an option, which may include cash, certain shares of our Common Stock, cashless exercise, net exercise, as well as other types of consideration permitted by applicable law. After the cessation of service of an employee, director or consultant, he or she may exercise his or her option for the period of time stated in his or her option agreement; provided generally that if such cessation is due to death or disability, the option will remain exercisable for at least six months and in all other cases, for at least 30 days, following the cessation of service. An option, however, may not be exercised later than the expiration of its term. Subject to the provisions of the 2017 Plan, the administrator determines the terms of options.</w:t>
      </w:r>
    </w:p>
    <w:p>
      <w:pPr>
        <w:spacing w:after="0" w:line="146" w:lineRule="exact"/>
        <w:rPr>
          <w:sz w:val="20"/>
          <w:szCs w:val="20"/>
          <w:color w:val="auto"/>
        </w:rPr>
      </w:pPr>
    </w:p>
    <w:p>
      <w:pPr>
        <w:ind w:right="80" w:firstLine="36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Non-Transferability of Awards</w:t>
      </w:r>
      <w:r>
        <w:rPr>
          <w:rFonts w:ascii="Times New Roman" w:cs="Times New Roman" w:eastAsia="Times New Roman" w:hAnsi="Times New Roman"/>
          <w:sz w:val="20"/>
          <w:szCs w:val="20"/>
          <w:color w:val="auto"/>
        </w:rPr>
        <w:t>. Unless the administrator provides otherwise, the 2017 Plan generally will not allow for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transfer of awards other than by will or the laws of descent and distribution, and only the recipient of an award may exercise an award during his or her lifetime. If the administrator makes an award transferable, such award will contain such additional terms and conditions as the administrator deems appropriate, subject to the limitations of the 2017 Plan.</w:t>
      </w:r>
    </w:p>
    <w:p>
      <w:pPr>
        <w:spacing w:after="0" w:line="136"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Certain Adjustments</w:t>
      </w:r>
      <w:r>
        <w:rPr>
          <w:rFonts w:ascii="Times New Roman" w:cs="Times New Roman" w:eastAsia="Times New Roman" w:hAnsi="Times New Roman"/>
          <w:sz w:val="20"/>
          <w:szCs w:val="20"/>
          <w:color w:val="auto"/>
        </w:rPr>
        <w:t>. If any dividend or other distribution (whether in cash, shares, other securities, or other property),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recapitalization, stock split, reverse stock split, reorganization, merger, consolidation, split-up, spin-off, combination, repurchase, or exchange of shares or other of our securities, issuance of warrants or other rights to acquire our securities, other change in our corporate structure affecting the shares, or any similar equity restructuring transaction affecting the shares occurs, the administrator of the 2017 Plan, to prevent diminution or enlargement of the benefits or potential benefits intended to be provided under the 2017 Plan, will adjust the number and class of shares that may be delivered under the 2017 Plan and the number, class, and price of shares covered by each outstanding award. In the case of awards issued to California residents, the administrator will make such adjustments to an award required by Section 25102(o) of the California Corporations Code to the extent Nautilus is relying upon the exemption afforded thereby with respect to the award.</w:t>
      </w:r>
    </w:p>
    <w:p>
      <w:pPr>
        <w:spacing w:after="0" w:line="149" w:lineRule="exact"/>
        <w:rPr>
          <w:sz w:val="20"/>
          <w:szCs w:val="20"/>
          <w:color w:val="auto"/>
        </w:rPr>
      </w:pPr>
    </w:p>
    <w:p>
      <w:pPr>
        <w:ind w:firstLine="36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Dissolution or Liquidation</w:t>
      </w:r>
      <w:r>
        <w:rPr>
          <w:rFonts w:ascii="Times New Roman" w:cs="Times New Roman" w:eastAsia="Times New Roman" w:hAnsi="Times New Roman"/>
          <w:sz w:val="20"/>
          <w:szCs w:val="20"/>
          <w:color w:val="auto"/>
        </w:rPr>
        <w:t>. If there is a proposed liquidation or dissolution of our Company, the administrator will notify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participants at such time before the effective date of such event as the administrator determines and all awards, to the extent that they have not been previously exercised, will terminate immediately before the consummation of such event.</w:t>
      </w:r>
    </w:p>
    <w:p>
      <w:pPr>
        <w:spacing w:after="0" w:line="130" w:lineRule="exact"/>
        <w:rPr>
          <w:sz w:val="20"/>
          <w:szCs w:val="20"/>
          <w:color w:val="auto"/>
        </w:rPr>
      </w:pPr>
    </w:p>
    <w:p>
      <w:pPr>
        <w:ind w:right="200" w:firstLine="36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Merger or Change or Control</w:t>
      </w:r>
      <w:r>
        <w:rPr>
          <w:rFonts w:ascii="Times New Roman" w:cs="Times New Roman" w:eastAsia="Times New Roman" w:hAnsi="Times New Roman"/>
          <w:sz w:val="20"/>
          <w:szCs w:val="20"/>
          <w:color w:val="auto"/>
        </w:rPr>
        <w:t>. The 2017 Plan provides that in the event of our merger or change in control, as defined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2017 Plan, each outstanding award will be treated as the administrator determines, without a participant’s consent. The administrator may provide that awards granted under the 2017 Plan will be assumed or substituted by substantially equivalent awards, be terminated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or all awards of the same type, similarly.</w:t>
      </w:r>
    </w:p>
    <w:p>
      <w:pPr>
        <w:spacing w:after="0" w:line="147" w:lineRule="exact"/>
        <w:rPr>
          <w:sz w:val="20"/>
          <w:szCs w:val="20"/>
          <w:color w:val="auto"/>
        </w:rPr>
      </w:pPr>
    </w:p>
    <w:p>
      <w:pPr>
        <w:ind w:right="60" w:firstLine="360"/>
        <w:spacing w:after="0" w:line="254" w:lineRule="auto"/>
        <w:rPr>
          <w:sz w:val="20"/>
          <w:szCs w:val="20"/>
          <w:color w:val="auto"/>
        </w:rPr>
      </w:pPr>
      <w:r>
        <w:rPr>
          <w:rFonts w:ascii="Times New Roman" w:cs="Times New Roman" w:eastAsia="Times New Roman" w:hAnsi="Times New Roman"/>
          <w:sz w:val="20"/>
          <w:szCs w:val="20"/>
          <w:color w:val="auto"/>
        </w:rPr>
        <w:t>In the event that the successor corporation does not assume or substitute for an award (or portion thereof),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100% of target levels and all other terms and conditions met. In addition, if an option or stock appreciation right is not assumed or substituted in the event of a merger or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146" w:lineRule="exact"/>
        <w:rPr>
          <w:sz w:val="20"/>
          <w:szCs w:val="20"/>
          <w:color w:val="auto"/>
        </w:rPr>
      </w:pPr>
    </w:p>
    <w:p>
      <w:pPr>
        <w:ind w:right="80" w:firstLine="36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Amendment and Termination</w:t>
      </w:r>
      <w:r>
        <w:rPr>
          <w:rFonts w:ascii="Times New Roman" w:cs="Times New Roman" w:eastAsia="Times New Roman" w:hAnsi="Times New Roman"/>
          <w:sz w:val="20"/>
          <w:szCs w:val="20"/>
          <w:color w:val="auto"/>
        </w:rPr>
        <w:t>. As noted above, as of the day immediately prior to the closing of the Business Combination,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2017 Plan terminated and we will not grant any additional awards under the 2017 Plan.</w:t>
      </w:r>
    </w:p>
    <w:p>
      <w:pPr>
        <w:spacing w:after="0" w:line="1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2021 Equity Incentive Plan</w:t>
      </w:r>
    </w:p>
    <w:p>
      <w:pPr>
        <w:spacing w:after="0" w:line="197" w:lineRule="exact"/>
        <w:rPr>
          <w:sz w:val="20"/>
          <w:szCs w:val="20"/>
          <w:color w:val="auto"/>
        </w:rPr>
      </w:pPr>
    </w:p>
    <w:p>
      <w:pPr>
        <w:jc w:val="both"/>
        <w:ind w:right="280" w:firstLine="360"/>
        <w:spacing w:after="0" w:line="266" w:lineRule="auto"/>
        <w:rPr>
          <w:sz w:val="20"/>
          <w:szCs w:val="20"/>
          <w:color w:val="auto"/>
        </w:rPr>
      </w:pPr>
      <w:r>
        <w:rPr>
          <w:rFonts w:ascii="Times New Roman" w:cs="Times New Roman" w:eastAsia="Times New Roman" w:hAnsi="Times New Roman"/>
          <w:sz w:val="20"/>
          <w:szCs w:val="20"/>
          <w:color w:val="auto"/>
        </w:rPr>
        <w:t>The following paragraphs provide a summary of the principal features of our 2021 Plan and its operation. However, this summary is not a complete description of all of the provisions of the 2021 Plan and is qualified in its entirety by the specific language of the 2021 Plan.</w:t>
      </w:r>
    </w:p>
    <w:p>
      <w:pPr>
        <w:spacing w:after="0" w:line="135" w:lineRule="exact"/>
        <w:rPr>
          <w:sz w:val="20"/>
          <w:szCs w:val="20"/>
          <w:color w:val="auto"/>
        </w:rPr>
      </w:pPr>
    </w:p>
    <w:p>
      <w:pPr>
        <w:ind w:right="340" w:firstLine="360"/>
        <w:spacing w:after="0" w:line="281" w:lineRule="auto"/>
        <w:rPr>
          <w:sz w:val="20"/>
          <w:szCs w:val="20"/>
          <w:color w:val="auto"/>
        </w:rPr>
      </w:pPr>
      <w:r>
        <w:rPr>
          <w:rFonts w:ascii="Times New Roman" w:cs="Times New Roman" w:eastAsia="Times New Roman" w:hAnsi="Times New Roman"/>
          <w:sz w:val="20"/>
          <w:szCs w:val="20"/>
          <w:color w:val="auto"/>
        </w:rPr>
        <w:t>As of December 31, 2023, stock options covering 8,997,569 shares of Common Stock were outstanding under the 2021 Plan.</w:t>
      </w:r>
    </w:p>
    <w:p>
      <w:pPr>
        <w:spacing w:after="0" w:line="1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Purposes of the 2021 Plan</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ectPr>
          <w:pgSz w:w="12240" w:h="15840" w:orient="portrait"/>
          <w:cols w:equalWidth="0" w:num="1">
            <w:col w:w="10240"/>
          </w:cols>
          <w:pgMar w:left="1000" w:top="793" w:right="1000" w:bottom="0" w:gutter="0" w:footer="0" w:header="0"/>
          <w:type w:val="continuous"/>
        </w:sectPr>
      </w:pPr>
    </w:p>
    <w:bookmarkStart w:id="133" w:name="page134"/>
    <w:bookmarkEnd w:id="133"/>
    <w:p>
      <w:pPr>
        <w:ind w:right="100" w:firstLine="360"/>
        <w:spacing w:after="0" w:line="260" w:lineRule="auto"/>
        <w:rPr>
          <w:sz w:val="20"/>
          <w:szCs w:val="20"/>
          <w:color w:val="auto"/>
        </w:rPr>
      </w:pPr>
      <w:r>
        <w:rPr>
          <w:rFonts w:ascii="Times New Roman" w:cs="Times New Roman" w:eastAsia="Times New Roman" w:hAnsi="Times New Roman"/>
          <w:sz w:val="20"/>
          <w:szCs w:val="20"/>
          <w:color w:val="auto"/>
        </w:rPr>
        <w:t>The purposes of the 2021 Plan are to attract and retain personnel for positions with us or any parent or subsidiary of ours; to provide additional incentive to employees, directors, and consultants; and to promote the success of our business. These incentives are provided through the grant of stock options, stock appreciation rights, restricted stock, restricted stock units, and performance awards as the administrator of the 2021 Plan may determine.</w:t>
      </w:r>
    </w:p>
    <w:p>
      <w:pPr>
        <w:spacing w:after="0" w:line="1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Eligibility</w:t>
      </w:r>
    </w:p>
    <w:p>
      <w:pPr>
        <w:spacing w:after="0" w:line="199" w:lineRule="exact"/>
        <w:rPr>
          <w:sz w:val="20"/>
          <w:szCs w:val="20"/>
          <w:color w:val="auto"/>
        </w:rPr>
      </w:pPr>
    </w:p>
    <w:p>
      <w:pPr>
        <w:ind w:right="400" w:firstLine="360"/>
        <w:spacing w:after="0" w:line="260" w:lineRule="auto"/>
        <w:rPr>
          <w:sz w:val="20"/>
          <w:szCs w:val="20"/>
          <w:color w:val="auto"/>
        </w:rPr>
      </w:pPr>
      <w:r>
        <w:rPr>
          <w:rFonts w:ascii="Times New Roman" w:cs="Times New Roman" w:eastAsia="Times New Roman" w:hAnsi="Times New Roman"/>
          <w:sz w:val="20"/>
          <w:szCs w:val="20"/>
          <w:color w:val="auto"/>
        </w:rPr>
        <w:t>The 2021 Plan provides for the grant of incentive stock options, within the meaning of Section 422 of the Code, to our employees and any of its parent and subsidiary corporations’ employees, and for the grant of nonstatutory stock options, restricted stock, restricted stock units, stock appreciation rights and performance awards to our employees, directors and consultants of and employees and consultants of any of our parents or subsidiaries.</w:t>
      </w:r>
    </w:p>
    <w:p>
      <w:pPr>
        <w:spacing w:after="0" w:line="1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Authorized Shares</w:t>
      </w:r>
    </w:p>
    <w:p>
      <w:pPr>
        <w:spacing w:after="0" w:line="199"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20"/>
          <w:szCs w:val="20"/>
          <w:color w:val="auto"/>
        </w:rPr>
        <w:t>Subject to the adjustment provisions contained in the 2021 Plan and the evergreen provision described below, a total of 16,182,600 shares of our Common Stock were initially reserved for issuance pursuant to the 2021 Plan. In addition, the shares reserved for issuance under the 2021 Plan include any shares of our Common Stock subject to awards of stock options or other awards that were assumed in the Business Combination (or “assumed awards”) that, on or after the effective date of the Business Combination, are terminated, canceled, expire or otherwise terminate without having been exercised in full, are tendered to or withheld by us for payment of an exercise price or for tax withholding obligations, or are forfeited to or repurchased by us due to failure to vest (provided that the maximum number of shares that may be added to the 2021 Plan pursuant to this sentence is 7,500,000 shares). The number of shares available for issuance under the 2021 Plan also includes an annual increase, or the evergreen feature, on the first day of each of our fiscal years, beginning with our fiscal year 2022, equal to the least of:</w:t>
      </w:r>
    </w:p>
    <w:p>
      <w:pPr>
        <w:spacing w:after="0" w:line="156" w:lineRule="exact"/>
        <w:rPr>
          <w:sz w:val="20"/>
          <w:szCs w:val="20"/>
          <w:color w:val="auto"/>
        </w:rPr>
      </w:pPr>
    </w:p>
    <w:p>
      <w:pPr>
        <w:ind w:left="720" w:hanging="370"/>
        <w:spacing w:after="0"/>
        <w:tabs>
          <w:tab w:leader="none" w:pos="72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18,672,200 shares of our Common Stock;</w:t>
      </w:r>
    </w:p>
    <w:p>
      <w:pPr>
        <w:spacing w:after="0" w:line="190" w:lineRule="exact"/>
        <w:rPr>
          <w:rFonts w:ascii="Times New Roman" w:cs="Times New Roman" w:eastAsia="Times New Roman" w:hAnsi="Times New Roman"/>
          <w:sz w:val="20"/>
          <w:szCs w:val="20"/>
          <w:color w:val="auto"/>
        </w:rPr>
      </w:pPr>
    </w:p>
    <w:p>
      <w:pPr>
        <w:ind w:right="160" w:firstLine="350"/>
        <w:spacing w:after="0" w:line="281" w:lineRule="auto"/>
        <w:tabs>
          <w:tab w:leader="none" w:pos="72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number of shares equal to 5% of the outstanding shares of our Common Stock as of the last day of the immediately preceding fiscal year; or</w:t>
      </w:r>
    </w:p>
    <w:p>
      <w:pPr>
        <w:spacing w:after="0" w:line="121" w:lineRule="exact"/>
        <w:rPr>
          <w:rFonts w:ascii="Times New Roman" w:cs="Times New Roman" w:eastAsia="Times New Roman" w:hAnsi="Times New Roman"/>
          <w:sz w:val="20"/>
          <w:szCs w:val="20"/>
          <w:color w:val="auto"/>
        </w:rPr>
      </w:pPr>
    </w:p>
    <w:p>
      <w:pPr>
        <w:ind w:firstLine="350"/>
        <w:spacing w:after="0" w:line="281" w:lineRule="auto"/>
        <w:tabs>
          <w:tab w:leader="none" w:pos="72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number of shares as our board of directors or its designated committee may determine no later than the last day of our immediately preceding fiscal year.</w:t>
      </w:r>
    </w:p>
    <w:p>
      <w:pPr>
        <w:spacing w:after="0" w:line="121" w:lineRule="exact"/>
        <w:rPr>
          <w:sz w:val="20"/>
          <w:szCs w:val="20"/>
          <w:color w:val="auto"/>
        </w:rPr>
      </w:pPr>
    </w:p>
    <w:p>
      <w:pPr>
        <w:ind w:right="380" w:firstLine="360"/>
        <w:spacing w:after="0" w:line="281" w:lineRule="auto"/>
        <w:rPr>
          <w:sz w:val="20"/>
          <w:szCs w:val="20"/>
          <w:color w:val="auto"/>
        </w:rPr>
      </w:pPr>
      <w:r>
        <w:rPr>
          <w:rFonts w:ascii="Times New Roman" w:cs="Times New Roman" w:eastAsia="Times New Roman" w:hAnsi="Times New Roman"/>
          <w:sz w:val="20"/>
          <w:szCs w:val="20"/>
          <w:color w:val="auto"/>
        </w:rPr>
        <w:t>On January 1, 2024, the number of shares available under the 2021 Plan increased by 6,253,430 shares pursuant to this feature.</w:t>
      </w:r>
    </w:p>
    <w:p>
      <w:pPr>
        <w:spacing w:after="0" w:line="121"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Shares issuable under the 2021 Plan will be authorized, but unissued, or reacquired shares of our Common Stock. If an award expires or becomes unexercisable without having been exercised in full, is surrendered pursuant to an exchange program (as described below), or, with respect to restricted stock, restricted stock units, or performance awards, is forfeited to or repurchased due to failure to vest, the unpurchased shares (or for awards other than stock options or stock appreciation rights, the forfeited or repurchased shares) will become available for future grant or sale under the 2021 Plan. With respect to stock appreciation rights, only the net shares actually issued will cease to be available under the 2021 Plan and all remaining shares under stock appreciation rights will remain available for future grant or sale under the 2021 Plan. Shares that actually have been issued under the 2021 Plan under any award will not be returned to the 2021 Plan; except if shares issued pursuant to awards of restricted stock, restricted stock units, or performance awards are repurchased or forfeited, such shares will become available for future grant under the 2021 Plan. Shares used to pay the exercise price of an award or satisfy the tax liabilities or withholding obligations related to an award (which withholdings may be in amounts greater than the minimum statutory amount required to be withheld as determined by the administrator of the 2021 Plan) will become available for future grant or sale under the 2021 Plan. To the extent an award is paid out in cash rather than shares, such cash payment will not result in a reduction in the number of shares available for issuance under the 2021 Plan.</w:t>
      </w:r>
    </w:p>
    <w:p>
      <w:pPr>
        <w:spacing w:after="0" w:line="159" w:lineRule="exact"/>
        <w:rPr>
          <w:sz w:val="20"/>
          <w:szCs w:val="20"/>
          <w:color w:val="auto"/>
        </w:rPr>
      </w:pPr>
    </w:p>
    <w:p>
      <w:pPr>
        <w:ind w:right="60" w:firstLine="360"/>
        <w:spacing w:after="0" w:line="254" w:lineRule="auto"/>
        <w:rPr>
          <w:sz w:val="20"/>
          <w:szCs w:val="20"/>
          <w:color w:val="auto"/>
        </w:rPr>
      </w:pPr>
      <w:r>
        <w:rPr>
          <w:rFonts w:ascii="Times New Roman" w:cs="Times New Roman" w:eastAsia="Times New Roman" w:hAnsi="Times New Roman"/>
          <w:sz w:val="20"/>
          <w:szCs w:val="20"/>
          <w:color w:val="auto"/>
        </w:rPr>
        <w:t>If any dividend or other distribution (whether in cash, shares, other securities, or other property), recapitalization, stock split, reverse stock split, reorganization, merger, consolidation, split-up, spin-off, combination, reclassification, repurchase, or exchange of our shares or other securities, issuance of warrants or other rights to acquire our securities, other change in our corporate structure affecting the shares, or any similar equity restructuring transaction affecting our shares occurs (other than any ordinary dividends or other ordinary distributions), the administrator of the 2021 Plan, to prevent diminution or enlargement of the benefits or potential benefits intended to be provided under the 2021 Plan, will adjust the number and class of shares that may be delivered under the 2021 Plan; the number, class, and price of shares covered by each outstanding award; and the numerical share limits contained in the 2021 Plan.</w:t>
      </w:r>
    </w:p>
    <w:p>
      <w:pPr>
        <w:spacing w:after="0" w:line="1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Plan Administration</w:t>
      </w:r>
    </w:p>
    <w:p>
      <w:pPr>
        <w:sectPr>
          <w:pgSz w:w="12240" w:h="15840" w:orient="portrait"/>
          <w:cols w:equalWidth="0" w:num="1">
            <w:col w:w="10220"/>
          </w:cols>
          <w:pgMar w:left="1000" w:top="793"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ectPr>
          <w:pgSz w:w="12240" w:h="15840" w:orient="portrait"/>
          <w:cols w:equalWidth="0" w:num="1">
            <w:col w:w="10220"/>
          </w:cols>
          <w:pgMar w:left="1000" w:top="793" w:right="1020" w:bottom="0" w:gutter="0" w:footer="0" w:header="0"/>
          <w:type w:val="continuous"/>
        </w:sectPr>
      </w:pPr>
    </w:p>
    <w:bookmarkStart w:id="134" w:name="page135"/>
    <w:bookmarkEnd w:id="134"/>
    <w:p>
      <w:pPr>
        <w:ind w:firstLine="360"/>
        <w:spacing w:after="0" w:line="252" w:lineRule="auto"/>
        <w:rPr>
          <w:sz w:val="20"/>
          <w:szCs w:val="20"/>
          <w:color w:val="auto"/>
        </w:rPr>
      </w:pPr>
      <w:r>
        <w:rPr>
          <w:rFonts w:ascii="Times New Roman" w:cs="Times New Roman" w:eastAsia="Times New Roman" w:hAnsi="Times New Roman"/>
          <w:sz w:val="20"/>
          <w:szCs w:val="20"/>
          <w:color w:val="auto"/>
        </w:rPr>
        <w:t>Our board of directors or one or more committees appointed by our board of directors has authority to administer the 2021 Plan. The compensation committee of our board of directors initially will administer the 2021 Plan. In addition, to the extent it is desirable to qualify transactions under the 2021 Plan as exempt under Rule 16b-3 of the Exchange Act, such transactions will be structured to satisfy the requirements for exemption under Rule 16b-3. Subject to the provisions of the 2021 Plan, the administrator has the power to administer the 2021 Plan and make all determinations deemed necessary or advisable for administering the 2021 Plan, including but not limited to, the power to determine the fair market value of our Common Stock, select the service providers to whom awards may be granted, determine the number of shares or dollar amounts covered by each award, approve forms of award agreements for use under the 2021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the 2021 Plan and awards granted under it, prescribe, amend and rescind rules relating to the 2021 Plan, including creating sub-plans, modify or amend each award, and allow a participant to defer the receipt of payment of cash or the delivery of shares that otherwise would be due to such participant under an award. The administrator also has the authority to allow participants the opportunity under an exchange program to transfer outstanding awards granted under the 2021 Plan to a financial institution or other person or entity selected by the administrator, and to institute an exchange program by which outstanding awards granted under the 2021 Plan may be surrendered or cancelled in exchange for awards of the same type, which may have a higher or lower exercise price and/or different terms, awards of a different type and/or cash, or by which the exercise price of an outstanding award granted under the 2021 Plan is increased or reduced. The administrator’s decisions, interpretations and other actions are final and binding on all participants and will be given the maximum deference permitted by applicable law.</w:t>
      </w:r>
    </w:p>
    <w:p>
      <w:pPr>
        <w:spacing w:after="0" w:line="1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Stock Options</w:t>
      </w:r>
    </w:p>
    <w:p>
      <w:pPr>
        <w:spacing w:after="0" w:line="199"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Stock options may be granted under the 2021 Plan. The exercise price of options granted under the 2021 Plan generally must be equal to at least 100% of the fair market value of a share of our Common Stock on the date of grant. The term of an option may not exceed ten years. With respect to any participant who owns more than 10% of the voting power of all classes of our (or any of our parent’s or subsidiary’s) outstanding stock, the term of an incentive stock option granted to such participant must not exceed five years and the per share exercise price must equal at least 110% of the fair market value of a share of our Common Stock on the grant date. The administrator will determine the methods of payment of the exercise price of an option, which may include cash, certain shares of our Common Stock, cashless exercise, net exercise, as well as other types of consideration permitted by applicable law. After the cessation of service of an employee, director or consultant, he or she may exercise his or her option for the period of time stated in his or her option agreement. In the absence of a specified time in an award agreement, if such cessation is due to death or disability, the option will remain exercisable for six months. In all other cases, in the absence of a specified time in an award agreement, the option will remain exercisable for three months following the cessation of service. An option, however, may not be exercised later than the expiration of its term. Subject to the provisions of the 2021 Plan, the administrator determines the terms of options.</w:t>
      </w:r>
    </w:p>
    <w:p>
      <w:pPr>
        <w:spacing w:after="0" w:line="1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Stock Appreciation Rights</w:t>
      </w:r>
    </w:p>
    <w:p>
      <w:pPr>
        <w:spacing w:after="0" w:line="199"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20"/>
          <w:szCs w:val="20"/>
          <w:color w:val="auto"/>
        </w:rPr>
        <w:t>Stock appreciation rights may be granted under the 2021 Plan. Stock appreciation rights allow the recipient to receive the appreciation in the fair market value of our Common Stock between the exercise date and the date of grant. The term of a stock appreciation right may not exceed ten years. After the cessation of service of an employee, director or consultant, he or she may exercise his or her stock appreciation right for the period of time stated in his or her stock appreciation rights agreement. In the absence of a specified time in an award agreement, if such cessation is due to death or disability, the stock appreciation rights will remain exercisable for six months. In all other cases, in the absence of a specified time in an award agreement, the stock appreciation rights will remain exercisable for three months following the cessation of service. However, in no event may a stock appreciation right be exercised later than the expiration of its term. Subject to the provisions of the 2021 Plan, the administrator determines the terms of stock appreciation rights, including when such rights become exercisable and whether to pay any increased appreciation in cash or with shares of our Common Stock, or a combination of both, except that the per-share exercise price for the shares to be issued pursuant to the exercise of a stock appreciation right generally will be no less than 100% of the fair market value per share on the date of grant.</w:t>
      </w:r>
    </w:p>
    <w:p>
      <w:pPr>
        <w:spacing w:after="0" w:line="1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w:t>
      </w:r>
    </w:p>
    <w:p>
      <w:pPr>
        <w:spacing w:after="0" w:line="199" w:lineRule="exact"/>
        <w:rPr>
          <w:sz w:val="20"/>
          <w:szCs w:val="20"/>
          <w:color w:val="auto"/>
        </w:rPr>
      </w:pPr>
    </w:p>
    <w:p>
      <w:pPr>
        <w:ind w:right="140" w:firstLine="360"/>
        <w:spacing w:after="0" w:line="272" w:lineRule="auto"/>
        <w:rPr>
          <w:sz w:val="20"/>
          <w:szCs w:val="20"/>
          <w:color w:val="auto"/>
        </w:rPr>
      </w:pPr>
      <w:r>
        <w:rPr>
          <w:rFonts w:ascii="Times New Roman" w:cs="Times New Roman" w:eastAsia="Times New Roman" w:hAnsi="Times New Roman"/>
          <w:sz w:val="19"/>
          <w:szCs w:val="19"/>
          <w:color w:val="auto"/>
        </w:rPr>
        <w:t>Restricted stock may be granted under the 2021 Plan. Restricted stock awards are grants of shares of our Common Stock that may have vesting requirements under any such terms and conditions established by the administrator. The administrator will determine the number of shares of restricted stock granted to any employee, director or consultant and, subject to the provisions of the 2021 Plan, will determine the terms and conditions of such awards. The administrator may impose whatever vesting conditions (if any) it determines to be appropriate (for example, the administrator may set restrictions based on the achievement of specific performance goals or continued service to us). The administrator, in its sole discretion, may accelerate</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ectPr>
          <w:pgSz w:w="12240" w:h="15840" w:orient="portrait"/>
          <w:cols w:equalWidth="0" w:num="1">
            <w:col w:w="10240"/>
          </w:cols>
          <w:pgMar w:left="1000" w:top="793" w:right="1000" w:bottom="0" w:gutter="0" w:footer="0" w:header="0"/>
          <w:type w:val="continuous"/>
        </w:sectPr>
      </w:pPr>
    </w:p>
    <w:bookmarkStart w:id="135" w:name="page136"/>
    <w:bookmarkEnd w:id="135"/>
    <w:p>
      <w:pPr>
        <w:spacing w:after="0" w:line="256" w:lineRule="auto"/>
        <w:rPr>
          <w:sz w:val="20"/>
          <w:szCs w:val="20"/>
          <w:color w:val="auto"/>
        </w:rPr>
      </w:pPr>
      <w:r>
        <w:rPr>
          <w:rFonts w:ascii="Times New Roman" w:cs="Times New Roman" w:eastAsia="Times New Roman" w:hAnsi="Times New Roman"/>
          <w:sz w:val="20"/>
          <w:szCs w:val="20"/>
          <w:color w:val="auto"/>
        </w:rPr>
        <w:t>the time at which any restrictions will lapse or be removed. The administrator may determine that an award of restricted stock will not be subject to any period of restriction and consideration for such award is paid for by past services rendered as a service provider. Recipients of restricted stock awards generally will have voting and dividend rights with respect to such shares upon grant, unless the administrator provides otherwise. If such dividends are paid in shares, the shares will be subject to the same restrictions on transferability and forfeitability as the share of restricted stock with respect to which they were paid. Shares of restricted stock that do not vest are subject to the right of repurchase or forfeiture.</w:t>
      </w:r>
    </w:p>
    <w:p>
      <w:pPr>
        <w:spacing w:after="0" w:line="1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 Units</w:t>
      </w:r>
    </w:p>
    <w:p>
      <w:pPr>
        <w:spacing w:after="0" w:line="199" w:lineRule="exact"/>
        <w:rPr>
          <w:sz w:val="20"/>
          <w:szCs w:val="20"/>
          <w:color w:val="auto"/>
        </w:rPr>
      </w:pPr>
    </w:p>
    <w:p>
      <w:pPr>
        <w:ind w:right="60" w:firstLine="360"/>
        <w:spacing w:after="0" w:line="254" w:lineRule="auto"/>
        <w:rPr>
          <w:sz w:val="20"/>
          <w:szCs w:val="20"/>
          <w:color w:val="auto"/>
        </w:rPr>
      </w:pPr>
      <w:r>
        <w:rPr>
          <w:rFonts w:ascii="Times New Roman" w:cs="Times New Roman" w:eastAsia="Times New Roman" w:hAnsi="Times New Roman"/>
          <w:sz w:val="20"/>
          <w:szCs w:val="20"/>
          <w:color w:val="auto"/>
        </w:rPr>
        <w:t>Restricted stock units (or “RSUs”) may be granted under the 2021 Plan. Restricted stock units are bookkeeping entries representing an amount equal to the fair market value of one share of our Common Stock. Subject to the provisions of the 2021 Plan, the administrator determines the terms and conditions of restricted stock units, including any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shares, or a combination of both. Notwithstanding the foregoing, the administrator, in its sole discretion, may accelerate the time at which any restrictions will lapse or be removed.</w:t>
      </w:r>
    </w:p>
    <w:p>
      <w:pPr>
        <w:spacing w:after="0" w:line="1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Performance Awards</w:t>
      </w:r>
    </w:p>
    <w:p>
      <w:pPr>
        <w:spacing w:after="0" w:line="199" w:lineRule="exact"/>
        <w:rPr>
          <w:sz w:val="20"/>
          <w:szCs w:val="20"/>
          <w:color w:val="auto"/>
        </w:rPr>
      </w:pPr>
    </w:p>
    <w:p>
      <w:pPr>
        <w:ind w:right="140" w:firstLine="360"/>
        <w:spacing w:after="0" w:line="253" w:lineRule="auto"/>
        <w:rPr>
          <w:sz w:val="20"/>
          <w:szCs w:val="20"/>
          <w:color w:val="auto"/>
        </w:rPr>
      </w:pPr>
      <w:r>
        <w:rPr>
          <w:rFonts w:ascii="Times New Roman" w:cs="Times New Roman" w:eastAsia="Times New Roman" w:hAnsi="Times New Roman"/>
          <w:sz w:val="20"/>
          <w:szCs w:val="20"/>
          <w:color w:val="auto"/>
        </w:rPr>
        <w:t>Performance awards may be granted under the 2021 Plan. Performance awards are awards that may be earned in whole or in part on the attainment of performance goals or other vesting criteria that the administrator may determine, and that may be denominated in cash or stock. Each performance award will have an initial value that is determined by the administrator. Subject to the terms and conditions of the 2021 Plan, the administrator determines the terms and conditions of performance awards, including any vesting criteria and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performance awards in the form of cash, shares, or a combination of both. Notwithstanding the foregoing, the administrator, in its sole discretion, may accelerate the time at which any restrictions will lapse or be removed.</w:t>
      </w:r>
    </w:p>
    <w:p>
      <w:pPr>
        <w:spacing w:after="0" w:line="1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Non-Employee Directors</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All outside (non-employee) directors are eligible to receive all types of awards (except for incentive stock options) under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2021 Plan. The 2021 Plan provides that in any given fiscal year, no outside director may be granted any equity awards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(including equity awards under the 2021 Plan) (the value of which will be based on their grant date fair value) and be provided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other compensation (including without limitation any cash retainers and fees) that in the aggregate exceed $750,000,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provided that in the fiscal year of the individual’s initial service as a non-employee director, such amount is increased to</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$1,000,000. For the purposes of this maximum limit provision, the grant date fair values of awards granted under the 2021 Plan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will be determined according to U.S. GAAP. Any awards or other compensation provided to an individual for his or her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services as an employee or a consultant (other than an outside director), will not count toward this limit. This maximum limit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provision does not reflect the intended size of any potential grants or a commitment to make grants to the outside directors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under the 2021 Plan in the future.</w:t>
      </w:r>
    </w:p>
    <w:p>
      <w:pPr>
        <w:spacing w:after="0" w:line="16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Non-Transferability of Awards</w:t>
      </w:r>
    </w:p>
    <w:p>
      <w:pPr>
        <w:spacing w:after="0" w:line="199" w:lineRule="exact"/>
        <w:rPr>
          <w:sz w:val="20"/>
          <w:szCs w:val="20"/>
          <w:color w:val="auto"/>
        </w:rPr>
      </w:pPr>
    </w:p>
    <w:p>
      <w:pPr>
        <w:ind w:right="40" w:firstLine="360"/>
        <w:spacing w:after="0" w:line="260" w:lineRule="auto"/>
        <w:rPr>
          <w:sz w:val="20"/>
          <w:szCs w:val="20"/>
          <w:color w:val="auto"/>
        </w:rPr>
      </w:pPr>
      <w:r>
        <w:rPr>
          <w:rFonts w:ascii="Times New Roman" w:cs="Times New Roman" w:eastAsia="Times New Roman" w:hAnsi="Times New Roman"/>
          <w:sz w:val="20"/>
          <w:szCs w:val="20"/>
          <w:color w:val="auto"/>
        </w:rPr>
        <w:t>Unless the administrator provides otherwise, the 2021 Plan generally will not allow for the transfer of awards other than by will or the laws of descent and distribution, and only the recipient of an award may exercise an award during his or her lifetime. If the administrator makes an award transferable, such award will contain such additional terms and conditions as the administrator deems appropriate.</w:t>
      </w:r>
    </w:p>
    <w:p>
      <w:pPr>
        <w:spacing w:after="0" w:line="1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Dissolution or Liquidation</w:t>
      </w:r>
    </w:p>
    <w:p>
      <w:pPr>
        <w:spacing w:after="0" w:line="199" w:lineRule="exact"/>
        <w:rPr>
          <w:sz w:val="20"/>
          <w:szCs w:val="20"/>
          <w:color w:val="auto"/>
        </w:rPr>
      </w:pPr>
    </w:p>
    <w:p>
      <w:pPr>
        <w:jc w:val="both"/>
        <w:ind w:right="460" w:firstLine="360"/>
        <w:spacing w:after="0" w:line="266" w:lineRule="auto"/>
        <w:rPr>
          <w:sz w:val="20"/>
          <w:szCs w:val="20"/>
          <w:color w:val="auto"/>
        </w:rPr>
      </w:pPr>
      <w:r>
        <w:rPr>
          <w:rFonts w:ascii="Times New Roman" w:cs="Times New Roman" w:eastAsia="Times New Roman" w:hAnsi="Times New Roman"/>
          <w:sz w:val="20"/>
          <w:szCs w:val="20"/>
          <w:color w:val="auto"/>
        </w:rPr>
        <w:t>If there is a proposed liquidation or dissolution of our company, the administrator will notify participants at such time before the effective date of such event as the administrator determines and all awards, to the extent that they have not been previously exercised, will terminate immediately before the consummation of such event.</w:t>
      </w:r>
    </w:p>
    <w:p>
      <w:pPr>
        <w:spacing w:after="0" w:line="1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Merger or Change in Control</w:t>
      </w:r>
    </w:p>
    <w:p>
      <w:pPr>
        <w:spacing w:after="0" w:line="199" w:lineRule="exact"/>
        <w:rPr>
          <w:sz w:val="20"/>
          <w:szCs w:val="20"/>
          <w:color w:val="auto"/>
        </w:rPr>
      </w:pPr>
    </w:p>
    <w:p>
      <w:pPr>
        <w:ind w:right="320" w:firstLine="360"/>
        <w:spacing w:after="0" w:line="286" w:lineRule="auto"/>
        <w:rPr>
          <w:sz w:val="20"/>
          <w:szCs w:val="20"/>
          <w:color w:val="auto"/>
        </w:rPr>
      </w:pPr>
      <w:r>
        <w:rPr>
          <w:rFonts w:ascii="Times New Roman" w:cs="Times New Roman" w:eastAsia="Times New Roman" w:hAnsi="Times New Roman"/>
          <w:sz w:val="19"/>
          <w:szCs w:val="19"/>
          <w:color w:val="auto"/>
        </w:rPr>
        <w:t>The 2021 Plan provides that in the event of a merger or change in control, as defined in the 2021 Plan, each outstanding award will be treated as the administrator determines, without a participant’s consent. The administrator may provide that awards granted under the 2021 Plan will be assumed or substituted by substantially equivalent awards, be terminated</w:t>
      </w:r>
    </w:p>
    <w:p>
      <w:pPr>
        <w:sectPr>
          <w:pgSz w:w="12240" w:h="15840" w:orient="portrait"/>
          <w:cols w:equalWidth="0" w:num="1">
            <w:col w:w="10240"/>
          </w:cols>
          <w:pgMar w:left="1000" w:top="793" w:right="1000" w:bottom="0" w:gutter="0" w:footer="0" w:header="0"/>
        </w:sect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ectPr>
          <w:pgSz w:w="12240" w:h="15840" w:orient="portrait"/>
          <w:cols w:equalWidth="0" w:num="1">
            <w:col w:w="10240"/>
          </w:cols>
          <w:pgMar w:left="1000" w:top="793" w:right="1000" w:bottom="0" w:gutter="0" w:footer="0" w:header="0"/>
          <w:type w:val="continuous"/>
        </w:sectPr>
      </w:pPr>
    </w:p>
    <w:bookmarkStart w:id="136" w:name="page137"/>
    <w:bookmarkEnd w:id="136"/>
    <w:p>
      <w:pPr>
        <w:ind w:right="60"/>
        <w:spacing w:after="0" w:line="260" w:lineRule="auto"/>
        <w:rPr>
          <w:sz w:val="20"/>
          <w:szCs w:val="20"/>
          <w:color w:val="auto"/>
        </w:rPr>
      </w:pPr>
      <w:r>
        <w:rPr>
          <w:rFonts w:ascii="Times New Roman" w:cs="Times New Roman" w:eastAsia="Times New Roman" w:hAnsi="Times New Roman"/>
          <w:sz w:val="20"/>
          <w:szCs w:val="20"/>
          <w:color w:val="auto"/>
        </w:rPr>
        <w:t>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all portions of awards, or all awards of the same type, similarly.</w:t>
      </w:r>
    </w:p>
    <w:p>
      <w:pPr>
        <w:spacing w:after="0" w:line="143" w:lineRule="exact"/>
        <w:rPr>
          <w:sz w:val="20"/>
          <w:szCs w:val="20"/>
          <w:color w:val="auto"/>
        </w:rPr>
      </w:pPr>
    </w:p>
    <w:p>
      <w:pPr>
        <w:ind w:right="80" w:firstLine="360"/>
        <w:spacing w:after="0" w:line="253" w:lineRule="auto"/>
        <w:rPr>
          <w:sz w:val="20"/>
          <w:szCs w:val="20"/>
          <w:color w:val="auto"/>
        </w:rPr>
      </w:pPr>
      <w:r>
        <w:rPr>
          <w:rFonts w:ascii="Times New Roman" w:cs="Times New Roman" w:eastAsia="Times New Roman" w:hAnsi="Times New Roman"/>
          <w:sz w:val="20"/>
          <w:szCs w:val="20"/>
          <w:color w:val="auto"/>
        </w:rPr>
        <w:t>If a successor corporation or its parent or subsidiary does not assume or substitute an equivalent award for any outstanding award (or a portion of such award),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before the transaction, unless specifically provided otherwise under the applicable award agreement or other written agreement authorized by the administrator with the participant. The award (or its applicable portion) will then terminate upon the expiration of the specified period of time. If an option or stock appreciation right is not assumed or substituted, the administrator will notify the participant that such option or stock appreciation right will be exercisable for a period of time determined by the administrator in its sole discretion and the option or stock appreciation right will terminate upon the expiration of such period.</w:t>
      </w:r>
    </w:p>
    <w:p>
      <w:pPr>
        <w:spacing w:after="0" w:line="156" w:lineRule="exact"/>
        <w:rPr>
          <w:sz w:val="20"/>
          <w:szCs w:val="20"/>
          <w:color w:val="auto"/>
        </w:rPr>
      </w:pPr>
    </w:p>
    <w:p>
      <w:pPr>
        <w:ind w:right="120" w:firstLine="360"/>
        <w:spacing w:after="0" w:line="255" w:lineRule="auto"/>
        <w:rPr>
          <w:sz w:val="20"/>
          <w:szCs w:val="20"/>
          <w:color w:val="auto"/>
        </w:rPr>
      </w:pPr>
      <w:r>
        <w:rPr>
          <w:rFonts w:ascii="Times New Roman" w:cs="Times New Roman" w:eastAsia="Times New Roman" w:hAnsi="Times New Roman"/>
          <w:sz w:val="20"/>
          <w:szCs w:val="20"/>
          <w:color w:val="auto"/>
        </w:rPr>
        <w:t>If awards granted to a non-employee director while such individual was a non-employee director are assumed or substituted for in the merger or change in control and the service of such non-employee director is terminated (other than upon his or her voluntary resignation that does not include a resignation at the request of the acquirer) on or following the merger or change in control, all such awards will fully vest, all restrictions on such awards will lapse, all performance goals or other vesting criteria applicable to such awards will be deemed achieved at 100% of target levels and such awards will become fully exercisable, if applicable, unless specifically provided otherwise under the applicable award agreement or other written agreement authorized by the administrator with the non-employee director.</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Forfeiture and Clawback</w:t>
      </w:r>
    </w:p>
    <w:p>
      <w:pPr>
        <w:spacing w:after="0" w:line="199"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20"/>
          <w:szCs w:val="20"/>
          <w:color w:val="auto"/>
        </w:rPr>
        <w:t>Awards will be subject to any clawback policy of which we are required to adopt to comply with the listing standards of any national securities exchange or association on which our securities are listed or as is otherwise required by applicable laws. The administrator also may specify in an award agreement that the participant’s rights, payments and benefits with respect to an award will be subject to reduction, cancellation, forfeiture or recoupment upon the occurrence of certain specified events. The administrator may require a participant to forfeit, return or reimburse us for all or a portion of the award and any amounts paid under the award in order to comply with any of our clawback policies as described in the first sentence of this paragraph or with applicable laws.</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Amendment or Termination</w:t>
      </w:r>
    </w:p>
    <w:p>
      <w:pPr>
        <w:spacing w:after="0" w:line="199"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20"/>
          <w:szCs w:val="20"/>
          <w:color w:val="auto"/>
        </w:rPr>
        <w:t>The 2021 Plan became effective on June 9, 2021 and will continue in effect until terminated by the administrator. However, no incentive stock options may be granted after the ten year anniversary of the adoption of the 2021 Plan by our board of directors, and the evergreen feature of the 2021 Plan will terminate following the increase on the first day of the 2031 fiscal year. In addition, the administrator has the authority to amend, suspend, or terminate the 2021 Plan or any part of the 2021 Plan, at any time and for any reason, but such action generally may not materially impair the rights of any participant without his or her written consent.</w:t>
      </w:r>
    </w:p>
    <w:p>
      <w:pPr>
        <w:spacing w:after="0" w:line="1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2021 Employee Stock Purchase Plan</w:t>
      </w:r>
    </w:p>
    <w:p>
      <w:pPr>
        <w:spacing w:after="0" w:line="197" w:lineRule="exact"/>
        <w:rPr>
          <w:sz w:val="20"/>
          <w:szCs w:val="20"/>
          <w:color w:val="auto"/>
        </w:rPr>
      </w:pPr>
    </w:p>
    <w:p>
      <w:pPr>
        <w:ind w:right="480" w:firstLine="360"/>
        <w:spacing w:after="0" w:line="281" w:lineRule="auto"/>
        <w:rPr>
          <w:sz w:val="20"/>
          <w:szCs w:val="20"/>
          <w:color w:val="auto"/>
        </w:rPr>
      </w:pPr>
      <w:r>
        <w:rPr>
          <w:rFonts w:ascii="Times New Roman" w:cs="Times New Roman" w:eastAsia="Times New Roman" w:hAnsi="Times New Roman"/>
          <w:sz w:val="20"/>
          <w:szCs w:val="20"/>
          <w:color w:val="auto"/>
        </w:rPr>
        <w:t>The following is a summary of the principal features of our 2021 Employee Stock Purchase Plan (the “ESPP”) and its operation.</w:t>
      </w:r>
    </w:p>
    <w:p>
      <w:pPr>
        <w:spacing w:after="0" w:line="1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Purpose</w:t>
      </w:r>
    </w:p>
    <w:p>
      <w:pPr>
        <w:spacing w:after="0" w:line="199" w:lineRule="exact"/>
        <w:rPr>
          <w:sz w:val="20"/>
          <w:szCs w:val="20"/>
          <w:color w:val="auto"/>
        </w:rPr>
      </w:pPr>
    </w:p>
    <w:p>
      <w:pPr>
        <w:ind w:right="160" w:firstLine="360"/>
        <w:spacing w:after="0" w:line="258" w:lineRule="auto"/>
        <w:rPr>
          <w:sz w:val="20"/>
          <w:szCs w:val="20"/>
          <w:color w:val="auto"/>
        </w:rPr>
      </w:pPr>
      <w:r>
        <w:rPr>
          <w:rFonts w:ascii="Times New Roman" w:cs="Times New Roman" w:eastAsia="Times New Roman" w:hAnsi="Times New Roman"/>
          <w:sz w:val="20"/>
          <w:szCs w:val="20"/>
          <w:color w:val="auto"/>
        </w:rPr>
        <w:t>The purpose of the ESPP is to provide eligible employees with an opportunity to purchase shares of our Common Stock through accumulated contributions, which generally will be made through payroll deductions. The ESPP permits the administrator of the ESPP to grant purchase rights that qualify for preferential tax treatment under Section 423 of the Code. In addition, the ESPP authorizes the grant of purchase rights that do not qualify under Code Section 423 pursuant to rules, procedures or sub-plans adopted by the administrator that are designed to achieve desired tax or other objectives.</w:t>
      </w:r>
    </w:p>
    <w:p>
      <w:pPr>
        <w:spacing w:after="0" w:line="1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Shares Available for Issuance</w:t>
      </w:r>
    </w:p>
    <w:p>
      <w:pPr>
        <w:spacing w:after="0" w:line="199" w:lineRule="exact"/>
        <w:rPr>
          <w:sz w:val="20"/>
          <w:szCs w:val="20"/>
          <w:color w:val="auto"/>
        </w:rPr>
      </w:pPr>
    </w:p>
    <w:p>
      <w:pPr>
        <w:ind w:right="80" w:firstLine="360"/>
        <w:spacing w:after="0" w:line="278" w:lineRule="auto"/>
        <w:rPr>
          <w:sz w:val="20"/>
          <w:szCs w:val="20"/>
          <w:color w:val="auto"/>
        </w:rPr>
      </w:pPr>
      <w:r>
        <w:rPr>
          <w:rFonts w:ascii="Times New Roman" w:cs="Times New Roman" w:eastAsia="Times New Roman" w:hAnsi="Times New Roman"/>
          <w:sz w:val="19"/>
          <w:szCs w:val="19"/>
          <w:color w:val="auto"/>
        </w:rPr>
        <w:t>The maximum number of shares of our Common Stock that are available for issuance under the ESPP was initially 1,244,900 shares of our Common Stock. The number of shares of our Common Stock available for issuance under the ESPP will be increased on the first day of each fiscal year beginning with the 2022 fiscal year in an amount equal to the least of (a) 3,734,500 shares of our Common Stock, (b) a number of shares of our Common Stock equal to 1% of the outstanding shares of</w:t>
      </w:r>
    </w:p>
    <w:p>
      <w:pPr>
        <w:sectPr>
          <w:pgSz w:w="12240" w:h="15840" w:orient="portrait"/>
          <w:cols w:equalWidth="0" w:num="1">
            <w:col w:w="10240"/>
          </w:cols>
          <w:pgMar w:left="1000" w:top="793" w:right="1000" w:bottom="0" w:gutter="0" w:footer="0" w:header="0"/>
        </w:sect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ectPr>
          <w:pgSz w:w="12240" w:h="15840" w:orient="portrait"/>
          <w:cols w:equalWidth="0" w:num="1">
            <w:col w:w="10240"/>
          </w:cols>
          <w:pgMar w:left="1000" w:top="793" w:right="1000" w:bottom="0" w:gutter="0" w:footer="0" w:header="0"/>
          <w:type w:val="continuous"/>
        </w:sectPr>
      </w:pPr>
    </w:p>
    <w:bookmarkStart w:id="137" w:name="page138"/>
    <w:bookmarkEnd w:id="137"/>
    <w:p>
      <w:pPr>
        <w:ind w:right="80"/>
        <w:spacing w:after="0" w:line="266" w:lineRule="auto"/>
        <w:rPr>
          <w:sz w:val="20"/>
          <w:szCs w:val="20"/>
          <w:color w:val="auto"/>
        </w:rPr>
      </w:pPr>
      <w:r>
        <w:rPr>
          <w:rFonts w:ascii="Times New Roman" w:cs="Times New Roman" w:eastAsia="Times New Roman" w:hAnsi="Times New Roman"/>
          <w:sz w:val="20"/>
          <w:szCs w:val="20"/>
          <w:color w:val="auto"/>
        </w:rPr>
        <w:t>all classes of our Common Stock on the last day of the immediately preceding fiscal year, or (c) an amount determined by the administrator. Shares issuable under the ESPP will be authorized, but unissued, or reacquired shares of our Common Stock. On January 1, 2024, the number of shares available under the ESPP increased by 1,250,686 shares pursuant to this feature.</w:t>
      </w:r>
    </w:p>
    <w:p>
      <w:pPr>
        <w:spacing w:after="0" w:line="1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Administration</w:t>
      </w:r>
    </w:p>
    <w:p>
      <w:pPr>
        <w:spacing w:after="0" w:line="199"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20"/>
          <w:szCs w:val="20"/>
          <w:color w:val="auto"/>
        </w:rPr>
        <w:t>Our board of directors or a committee appointed by our board has authority to administer the ESPP. Unless and until determined otherwise by our board of directors, the compensation committee of our board of directors will administer the ESPP. The administrator will have full and exclusive discretionary authority to construe, interpret and apply the terms of the ESPP, delegate ministerial duties to any of our employees, designate separate offerings under the ESPP, designate our subsidiaries as participating in the ESPP, determine eligibility, adjudicate all disputed claims filed under the ESPP and establish procedures that it deems necessary or advisable for the administration of the ESPP, including, but not limited to, adopting such procedures, sub-plans and appendices to the enrollment agreement as are necessary or appropriate to permit participation in the ESPP by employees who are non-U.S. nationals or employed outside the U.S. The administrator’s findings, decisions and determinations will be final and binding on all participants to the maximum extent permitted by law.</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Eligibility</w:t>
      </w:r>
    </w:p>
    <w:p>
      <w:pPr>
        <w:spacing w:after="0" w:line="199"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Generally, any of our employees will be eligible to participate in our ESPP if they are customarily employed by us or any of our participating subsidiaries for at least 20 hours per week and more than five months in any calendar year. The administrator, in its discretion, before an enrollment date for all options granted on such enrollment date in an offering, may determine that an employee who (a) has not completed at least two years of service (or a lesser period of time determined by the administrator) since the employee’s last hire date, (b) customarily works not more than 20 hours per week (or a lesser period of time determined by the administrator), (c) customarily works not more than five months per calendar year (or a lesser period of time determined by the administrator), (d) is a highly compensated employee within the meaning of Code Section 414(q) or (e) is a highly compensated employee within the meaning of Code Section 414(q) with compensation above a certain level or who is an officer or subject to disclosure requirements under Section 16(a) of the Exchange Act, is not eligible to participate in an offering. However, an employee may not be granted an option to purchase stock under our ESPP if the employee (a) immediately after the grant, would own stock and/or hold outstanding options to purchase such stock possessing 5% or more of the total combined voting power or value of all classes of capital stock of ours or any parent or subsidiary of ours; or (b) holds rights to purchase stock under all of our employee stock purchase plans that accrue at a rate that exceeds $25,000 worth of stock for each calendar year during which his or her right to purchase shares is outstanding at any time.</w:t>
      </w:r>
    </w:p>
    <w:p>
      <w:pPr>
        <w:spacing w:after="0" w:line="159" w:lineRule="exact"/>
        <w:rPr>
          <w:sz w:val="20"/>
          <w:szCs w:val="20"/>
          <w:color w:val="auto"/>
        </w:rPr>
      </w:pPr>
    </w:p>
    <w:p>
      <w:pPr>
        <w:ind w:right="220" w:firstLine="360"/>
        <w:spacing w:after="0" w:line="266" w:lineRule="auto"/>
        <w:rPr>
          <w:sz w:val="20"/>
          <w:szCs w:val="20"/>
          <w:color w:val="auto"/>
        </w:rPr>
      </w:pPr>
      <w:r>
        <w:rPr>
          <w:rFonts w:ascii="Times New Roman" w:cs="Times New Roman" w:eastAsia="Times New Roman" w:hAnsi="Times New Roman"/>
          <w:sz w:val="20"/>
          <w:szCs w:val="20"/>
          <w:color w:val="auto"/>
        </w:rPr>
        <w:t>Participants may end their participation at any time during an offering period and will be paid their accrued contributions that have not yet been used to purchase shares of our Common Stock. Participation ends automatically upon termination of employment with us (or our participating subsidiaries).</w:t>
      </w:r>
    </w:p>
    <w:p>
      <w:pPr>
        <w:spacing w:after="0" w:line="1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Offering Periods and Purchase Periods</w:t>
      </w:r>
    </w:p>
    <w:p>
      <w:pPr>
        <w:spacing w:after="0" w:line="199" w:lineRule="exact"/>
        <w:rPr>
          <w:sz w:val="20"/>
          <w:szCs w:val="20"/>
          <w:color w:val="auto"/>
        </w:rPr>
      </w:pPr>
    </w:p>
    <w:p>
      <w:pPr>
        <w:ind w:right="240" w:firstLine="360"/>
        <w:spacing w:after="0" w:line="286" w:lineRule="auto"/>
        <w:rPr>
          <w:sz w:val="20"/>
          <w:szCs w:val="20"/>
          <w:color w:val="auto"/>
        </w:rPr>
      </w:pPr>
      <w:r>
        <w:rPr>
          <w:rFonts w:ascii="Times New Roman" w:cs="Times New Roman" w:eastAsia="Times New Roman" w:hAnsi="Times New Roman"/>
          <w:sz w:val="19"/>
          <w:szCs w:val="19"/>
          <w:color w:val="auto"/>
        </w:rPr>
        <w:t>The ESPP includes a component, or the “423 Component,” that is intended to qualify as an “employee stock purchase plan” under Code Section 423, and a component that does not comply with Code Section 423, or the “Non-423 Component.” For purposes of this summary, a reference to the ESPP generally will mean the terms and operations of the 423 Component.</w:t>
      </w:r>
    </w:p>
    <w:p>
      <w:pPr>
        <w:spacing w:after="0" w:line="119"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The ESPP provides for offering periods with a duration and start and end dates as determined by the administrator, provided that no offering period will have a duration exceeding 27 months. Unless determined otherwise by the administrator, each offering period will have one purchase period with the same duration as the offering period. The administrator is authorized to change the duration of future offering periods and purchase periods under the ESPP, including the starting and ending dates of offering periods and purchase periods and the number of purchase periods in any offering periods. Unless determined otherwise by the administrator and to the extent an offering period provides for more than one purchase date in such offering period, if the fair market value of a share of our Common Stock on a purchase date is less than the fair market value of a share of our Common Stock on the first trading day of the offering period, participants in that offering period will be withdrawn from that offering period following their purchase of shares on such purchase date and automatically will be enrolled in a new offering period.</w:t>
      </w:r>
    </w:p>
    <w:p>
      <w:pPr>
        <w:spacing w:after="0" w:line="1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Contributions</w:t>
      </w:r>
    </w:p>
    <w:p>
      <w:pPr>
        <w:spacing w:after="0" w:line="199" w:lineRule="exact"/>
        <w:rPr>
          <w:sz w:val="20"/>
          <w:szCs w:val="20"/>
          <w:color w:val="auto"/>
        </w:rPr>
      </w:pPr>
    </w:p>
    <w:p>
      <w:pPr>
        <w:ind w:right="80" w:firstLine="360"/>
        <w:spacing w:after="0" w:line="258" w:lineRule="auto"/>
        <w:rPr>
          <w:sz w:val="20"/>
          <w:szCs w:val="20"/>
          <w:color w:val="auto"/>
        </w:rPr>
      </w:pPr>
      <w:r>
        <w:rPr>
          <w:rFonts w:ascii="Times New Roman" w:cs="Times New Roman" w:eastAsia="Times New Roman" w:hAnsi="Times New Roman"/>
          <w:sz w:val="20"/>
          <w:szCs w:val="20"/>
          <w:color w:val="auto"/>
        </w:rPr>
        <w:t>The ESPP permits participants to purchase shares of our Common Stock through payroll deductions of up to 15% of their eligible compensation, which includes a participant’s base straight time gross earnings but excludes payments for overtime and shift premium, incentive compensation, bonuses, commissions, equity compensation and other similar compensation. The administrator may change the compensation eligible for contribution under the ESPP on a uniform and nondiscriminatory basis for future offering periods.</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ectPr>
          <w:pgSz w:w="12240" w:h="15840" w:orient="portrait"/>
          <w:cols w:equalWidth="0" w:num="1">
            <w:col w:w="10240"/>
          </w:cols>
          <w:pgMar w:left="1000" w:top="793" w:right="1000" w:bottom="0" w:gutter="0" w:footer="0" w:header="0"/>
          <w:type w:val="continuous"/>
        </w:sectPr>
      </w:pPr>
    </w:p>
    <w:bookmarkStart w:id="138" w:name="page139"/>
    <w:bookmarkEnd w:id="138"/>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Exercise of Purchase Right</w:t>
      </w:r>
    </w:p>
    <w:p>
      <w:pPr>
        <w:spacing w:after="0" w:line="199" w:lineRule="exact"/>
        <w:rPr>
          <w:sz w:val="20"/>
          <w:szCs w:val="20"/>
          <w:color w:val="auto"/>
        </w:rPr>
      </w:pPr>
    </w:p>
    <w:p>
      <w:pPr>
        <w:ind w:firstLine="360"/>
        <w:spacing w:after="0" w:line="270" w:lineRule="auto"/>
        <w:rPr>
          <w:sz w:val="20"/>
          <w:szCs w:val="20"/>
          <w:color w:val="auto"/>
        </w:rPr>
      </w:pPr>
      <w:r>
        <w:rPr>
          <w:rFonts w:ascii="Times New Roman" w:cs="Times New Roman" w:eastAsia="Times New Roman" w:hAnsi="Times New Roman"/>
          <w:sz w:val="19"/>
          <w:szCs w:val="19"/>
          <w:color w:val="auto"/>
        </w:rPr>
        <w:t>Amounts deducted and accumulated by a participant under the ESPP are used to purchase shares of our Common Stock at the end of each purchase period. The purchase price of the shares will be 85% of the lower of (a) the fair market value of a share of our Common Stock on the first trading day of the offering period or (b) the fair market value of a share of our Common Stock on the exercise date. A participant will be permitted to purchase a maximum of 1,250 shares during each offering period, provided that the administrator may increase or decrease such maximum number of shares for each purchase period or offering period. Until shares of our Common Stock are issued (as evidenced by the appropriate entry on our books or the books of a duly authorized transfer agent of ours) to a participant, the participant will have only rights of an unsecured creditor with respect to such shares, and no right to vote or receive dividends or any other rights as a stockholder with respect to such shares.</w:t>
      </w:r>
    </w:p>
    <w:p>
      <w:pPr>
        <w:spacing w:after="0" w:line="1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Termination of Participation</w:t>
      </w:r>
    </w:p>
    <w:p>
      <w:pPr>
        <w:spacing w:after="0" w:line="199" w:lineRule="exact"/>
        <w:rPr>
          <w:sz w:val="20"/>
          <w:szCs w:val="20"/>
          <w:color w:val="auto"/>
        </w:rPr>
      </w:pPr>
    </w:p>
    <w:p>
      <w:pPr>
        <w:ind w:right="160" w:firstLine="360"/>
        <w:spacing w:after="0" w:line="272" w:lineRule="auto"/>
        <w:rPr>
          <w:sz w:val="20"/>
          <w:szCs w:val="20"/>
          <w:color w:val="auto"/>
        </w:rPr>
      </w:pPr>
      <w:r>
        <w:rPr>
          <w:rFonts w:ascii="Times New Roman" w:cs="Times New Roman" w:eastAsia="Times New Roman" w:hAnsi="Times New Roman"/>
          <w:sz w:val="19"/>
          <w:szCs w:val="19"/>
          <w:color w:val="auto"/>
        </w:rPr>
        <w:t>Participation in the ESPP generally will terminate when a participating employee’s employment with us or a participating subsidiary ceases for any reason, the employee withdraws from the ESPP or we terminate or amend the ESPP such that the employee no longer is eligible to participate. An employee may withdraw his or her participation in the ESPP at any time in accordance with procedures, and prior to any applicable deadline, specified by the administrator. Upon withdrawal from the ESPP, in general the employee will receive all amounts credited to his or her account without interest (unless otherwise required under applicable law) and his or her payroll withholdings or contributions under the ESPP will cease.</w:t>
      </w:r>
    </w:p>
    <w:p>
      <w:pPr>
        <w:spacing w:after="0" w:line="1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Non-Transferability</w:t>
      </w:r>
    </w:p>
    <w:p>
      <w:pPr>
        <w:spacing w:after="0" w:line="199" w:lineRule="exact"/>
        <w:rPr>
          <w:sz w:val="20"/>
          <w:szCs w:val="20"/>
          <w:color w:val="auto"/>
        </w:rPr>
      </w:pPr>
    </w:p>
    <w:p>
      <w:pPr>
        <w:ind w:right="100" w:firstLine="360"/>
        <w:spacing w:after="0" w:line="281" w:lineRule="auto"/>
        <w:rPr>
          <w:sz w:val="20"/>
          <w:szCs w:val="20"/>
          <w:color w:val="auto"/>
        </w:rPr>
      </w:pPr>
      <w:r>
        <w:rPr>
          <w:rFonts w:ascii="Times New Roman" w:cs="Times New Roman" w:eastAsia="Times New Roman" w:hAnsi="Times New Roman"/>
          <w:sz w:val="20"/>
          <w:szCs w:val="20"/>
          <w:color w:val="auto"/>
        </w:rPr>
        <w:t>A participant will not be permitted to transfer the contributions credited to his or her ESPP account or rights granted under the ESPP, other than by will or the laws of descent and distribution.</w:t>
      </w:r>
    </w:p>
    <w:p>
      <w:pPr>
        <w:spacing w:after="0" w:line="1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Certain Adjustments</w:t>
      </w:r>
    </w:p>
    <w:p>
      <w:pPr>
        <w:spacing w:after="0" w:line="199" w:lineRule="exact"/>
        <w:rPr>
          <w:sz w:val="20"/>
          <w:szCs w:val="20"/>
          <w:color w:val="auto"/>
        </w:rPr>
      </w:pPr>
    </w:p>
    <w:p>
      <w:pPr>
        <w:ind w:right="60" w:firstLine="360"/>
        <w:spacing w:after="0" w:line="255" w:lineRule="auto"/>
        <w:rPr>
          <w:sz w:val="20"/>
          <w:szCs w:val="20"/>
          <w:color w:val="auto"/>
        </w:rPr>
      </w:pPr>
      <w:r>
        <w:rPr>
          <w:rFonts w:ascii="Times New Roman" w:cs="Times New Roman" w:eastAsia="Times New Roman" w:hAnsi="Times New Roman"/>
          <w:sz w:val="20"/>
          <w:szCs w:val="20"/>
          <w:color w:val="auto"/>
        </w:rPr>
        <w:t>The ESPP provides that in the event that any dividend or other distribution (whether in the form of cash, our Common Stock, other securities or other property), recapitalization, stock split, reverse stock split, reorganization, merger, consolidation, split-up, spin-off, combination, reclassification, repurchase or exchange of our Common Stock or other of our securities or other change in our corporate structure affecting our Common Stock occurs (other than any ordinary dividends or other ordinary distributions), the administrator will make adjustments to the number and class of shares that may be delivered under the ESPP and/or the purchase price per share and number of shares covered by each option granted under the ESPP that has not yet been exercised, and the numerical share limits under the ESPP.</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Dissolution or Liquidation</w:t>
      </w:r>
    </w:p>
    <w:p>
      <w:pPr>
        <w:spacing w:after="0" w:line="199" w:lineRule="exact"/>
        <w:rPr>
          <w:sz w:val="20"/>
          <w:szCs w:val="20"/>
          <w:color w:val="auto"/>
        </w:rPr>
      </w:pPr>
    </w:p>
    <w:p>
      <w:pPr>
        <w:ind w:right="80" w:firstLine="360"/>
        <w:spacing w:after="0" w:line="266" w:lineRule="auto"/>
        <w:rPr>
          <w:sz w:val="20"/>
          <w:szCs w:val="20"/>
          <w:color w:val="auto"/>
        </w:rPr>
      </w:pPr>
      <w:r>
        <w:rPr>
          <w:rFonts w:ascii="Times New Roman" w:cs="Times New Roman" w:eastAsia="Times New Roman" w:hAnsi="Times New Roman"/>
          <w:sz w:val="20"/>
          <w:szCs w:val="20"/>
          <w:color w:val="auto"/>
        </w:rPr>
        <w:t>In the event of our proposed dissolution or liquidation, any offering period in progress will be shortened by setting a new purchase date and will terminate immediately before the completion of such proposed transaction, unless determined otherwise by the administrator.</w:t>
      </w:r>
    </w:p>
    <w:p>
      <w:pPr>
        <w:spacing w:after="0" w:line="1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Merger or Change in Control</w:t>
      </w:r>
    </w:p>
    <w:p>
      <w:pPr>
        <w:spacing w:after="0" w:line="199" w:lineRule="exact"/>
        <w:rPr>
          <w:sz w:val="20"/>
          <w:szCs w:val="20"/>
          <w:color w:val="auto"/>
        </w:rPr>
      </w:pPr>
    </w:p>
    <w:p>
      <w:pPr>
        <w:ind w:right="40" w:firstLine="360"/>
        <w:spacing w:after="0" w:line="256" w:lineRule="auto"/>
        <w:rPr>
          <w:sz w:val="20"/>
          <w:szCs w:val="20"/>
          <w:color w:val="auto"/>
        </w:rPr>
      </w:pPr>
      <w:r>
        <w:rPr>
          <w:rFonts w:ascii="Times New Roman" w:cs="Times New Roman" w:eastAsia="Times New Roman" w:hAnsi="Times New Roman"/>
          <w:sz w:val="20"/>
          <w:szCs w:val="20"/>
          <w:color w:val="auto"/>
        </w:rPr>
        <w:t>In the event of a merger or our change in control, as defined in the ESPP, a successor corporation may assume or substitute for each outstanding option. If the successor corporation does not assume or substitute for the options, the offering period then in progress under the ESPP will be shortened, and a new exercise date will be set to occur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1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Amendment; Termination</w:t>
      </w:r>
    </w:p>
    <w:p>
      <w:pPr>
        <w:spacing w:after="0" w:line="199" w:lineRule="exact"/>
        <w:rPr>
          <w:sz w:val="20"/>
          <w:szCs w:val="20"/>
          <w:color w:val="auto"/>
        </w:rPr>
      </w:pPr>
    </w:p>
    <w:p>
      <w:pPr>
        <w:ind w:right="200" w:firstLine="360"/>
        <w:spacing w:after="0" w:line="266" w:lineRule="auto"/>
        <w:rPr>
          <w:sz w:val="20"/>
          <w:szCs w:val="20"/>
          <w:color w:val="auto"/>
        </w:rPr>
      </w:pPr>
      <w:r>
        <w:rPr>
          <w:rFonts w:ascii="Times New Roman" w:cs="Times New Roman" w:eastAsia="Times New Roman" w:hAnsi="Times New Roman"/>
          <w:sz w:val="20"/>
          <w:szCs w:val="20"/>
          <w:color w:val="auto"/>
        </w:rPr>
        <w:t>The administrator will have the authority to modify, amend, suspend or terminate the ESPP except that, subject to certain exceptions described in the ESPP, no such action may adversely affect any outstanding rights to purchase shares of our Common Stock under the ESPP. The ESPP will terminate automatically on June 9, 2041, unless we terminate it earlier.</w:t>
      </w:r>
    </w:p>
    <w:p>
      <w:pPr>
        <w:sectPr>
          <w:pgSz w:w="12240" w:h="15840" w:orient="portrait"/>
          <w:cols w:equalWidth="0" w:num="1">
            <w:col w:w="10240"/>
          </w:cols>
          <w:pgMar w:left="1000" w:top="784"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ectPr>
          <w:pgSz w:w="12240" w:h="15840" w:orient="portrait"/>
          <w:cols w:equalWidth="0" w:num="1">
            <w:col w:w="10240"/>
          </w:cols>
          <w:pgMar w:left="1000" w:top="784" w:right="1000" w:bottom="0" w:gutter="0" w:footer="0" w:header="0"/>
          <w:type w:val="continuous"/>
        </w:sectPr>
      </w:pPr>
    </w:p>
    <w:bookmarkStart w:id="139" w:name="page140"/>
    <w:bookmarkEnd w:id="139"/>
    <w:p>
      <w:pPr>
        <w:ind w:left="360"/>
        <w:spacing w:after="0"/>
        <w:rPr>
          <w:sz w:val="20"/>
          <w:szCs w:val="20"/>
          <w:color w:val="auto"/>
        </w:rPr>
      </w:pPr>
      <w:r>
        <w:rPr>
          <w:rFonts w:ascii="Times New Roman" w:cs="Times New Roman" w:eastAsia="Times New Roman" w:hAnsi="Times New Roman"/>
          <w:sz w:val="20"/>
          <w:szCs w:val="20"/>
          <w:b w:val="1"/>
          <w:bCs w:val="1"/>
          <w:color w:val="auto"/>
        </w:rPr>
        <w:t>Equity Compensation Plan Information</w:t>
      </w:r>
    </w:p>
    <w:p>
      <w:pPr>
        <w:spacing w:after="0" w:line="197" w:lineRule="exact"/>
        <w:rPr>
          <w:sz w:val="20"/>
          <w:szCs w:val="20"/>
          <w:color w:val="auto"/>
        </w:rPr>
      </w:pPr>
    </w:p>
    <w:p>
      <w:pPr>
        <w:ind w:right="40" w:firstLine="360"/>
        <w:spacing w:after="0" w:line="281" w:lineRule="auto"/>
        <w:rPr>
          <w:sz w:val="20"/>
          <w:szCs w:val="20"/>
          <w:color w:val="auto"/>
        </w:rPr>
      </w:pPr>
      <w:r>
        <w:rPr>
          <w:rFonts w:ascii="Times New Roman" w:cs="Times New Roman" w:eastAsia="Times New Roman" w:hAnsi="Times New Roman"/>
          <w:sz w:val="20"/>
          <w:szCs w:val="20"/>
          <w:color w:val="auto"/>
        </w:rPr>
        <w:t>The following table provides information as of December 31, 2023 with respect to shares of our common stock that may be issued under our existing equity compensation plans.</w:t>
      </w:r>
    </w:p>
    <w:p>
      <w:pPr>
        <w:sectPr>
          <w:pgSz w:w="12240" w:h="15840" w:orient="portrait"/>
          <w:cols w:equalWidth="0" w:num="1">
            <w:col w:w="10260"/>
          </w:cols>
          <w:pgMar w:left="1000" w:top="78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Plan Category</w:t>
      </w:r>
    </w:p>
    <w:p>
      <w:pPr>
        <w:spacing w:after="0" w:line="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Equity compensation plans approved by security holders</w:t>
      </w:r>
    </w:p>
    <w:p>
      <w:pPr>
        <w:spacing w:after="0" w:line="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2017 Plan </w:t>
      </w:r>
      <w:r>
        <w:rPr>
          <w:rFonts w:ascii="Times New Roman" w:cs="Times New Roman" w:eastAsia="Times New Roman" w:hAnsi="Times New Roman"/>
          <w:sz w:val="26"/>
          <w:szCs w:val="26"/>
          <w:b w:val="1"/>
          <w:bCs w:val="1"/>
          <w:i w:val="1"/>
          <w:iCs w:val="1"/>
          <w:color w:val="auto"/>
          <w:vertAlign w:val="superscript"/>
        </w:rPr>
        <w:t>(1)</w:t>
      </w:r>
    </w:p>
    <w:p>
      <w:pPr>
        <w:ind w:left="760"/>
        <w:spacing w:after="0" w:line="230" w:lineRule="auto"/>
        <w:rPr>
          <w:sz w:val="20"/>
          <w:szCs w:val="20"/>
          <w:color w:val="auto"/>
        </w:rPr>
      </w:pPr>
      <w:r>
        <w:rPr>
          <w:rFonts w:ascii="Times New Roman" w:cs="Times New Roman" w:eastAsia="Times New Roman" w:hAnsi="Times New Roman"/>
          <w:sz w:val="20"/>
          <w:szCs w:val="20"/>
          <w:b w:val="1"/>
          <w:bCs w:val="1"/>
          <w:i w:val="1"/>
          <w:iCs w:val="1"/>
          <w:color w:val="auto"/>
        </w:rPr>
        <w:t xml:space="preserve">2021 Plan </w:t>
      </w:r>
      <w:r>
        <w:rPr>
          <w:rFonts w:ascii="Times New Roman" w:cs="Times New Roman" w:eastAsia="Times New Roman" w:hAnsi="Times New Roman"/>
          <w:sz w:val="26"/>
          <w:szCs w:val="26"/>
          <w:b w:val="1"/>
          <w:bCs w:val="1"/>
          <w:i w:val="1"/>
          <w:iCs w:val="1"/>
          <w:color w:val="auto"/>
          <w:vertAlign w:val="superscript"/>
        </w:rPr>
        <w:t>(2)</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ESPP </w:t>
      </w:r>
      <w:r>
        <w:rPr>
          <w:rFonts w:ascii="Times New Roman" w:cs="Times New Roman" w:eastAsia="Times New Roman" w:hAnsi="Times New Roman"/>
          <w:sz w:val="26"/>
          <w:szCs w:val="26"/>
          <w:b w:val="1"/>
          <w:bCs w:val="1"/>
          <w:i w:val="1"/>
          <w:iCs w:val="1"/>
          <w:color w:val="auto"/>
          <w:vertAlign w:val="superscript"/>
        </w:rPr>
        <w:t>(3)</w:t>
      </w:r>
    </w:p>
    <w:p>
      <w:pPr>
        <w:spacing w:after="0" w:line="13" w:lineRule="exact"/>
        <w:rPr>
          <w:sz w:val="20"/>
          <w:szCs w:val="20"/>
          <w:color w:val="auto"/>
        </w:rPr>
      </w:pPr>
    </w:p>
    <w:p>
      <w:pPr>
        <w:ind w:left="400" w:right="340"/>
        <w:spacing w:after="0" w:line="228" w:lineRule="auto"/>
        <w:rPr>
          <w:sz w:val="20"/>
          <w:szCs w:val="20"/>
          <w:color w:val="auto"/>
        </w:rPr>
      </w:pPr>
      <w:r>
        <w:rPr>
          <w:rFonts w:ascii="Times New Roman" w:cs="Times New Roman" w:eastAsia="Times New Roman" w:hAnsi="Times New Roman"/>
          <w:sz w:val="20"/>
          <w:szCs w:val="20"/>
          <w:color w:val="auto"/>
        </w:rPr>
        <w:t>Equity compensation plans not approved by security holders</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Total</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(c) Number of Securities</w:t>
            </w:r>
          </w:p>
        </w:tc>
        <w:tc>
          <w:tcPr>
            <w:tcW w:w="0" w:type="dxa"/>
            <w:vAlign w:val="bottom"/>
          </w:tcPr>
          <w:p>
            <w:pPr>
              <w:spacing w:after="0"/>
              <w:rPr>
                <w:sz w:val="1"/>
                <w:szCs w:val="1"/>
                <w:color w:val="auto"/>
              </w:rPr>
            </w:pPr>
          </w:p>
        </w:tc>
      </w:tr>
      <w:tr>
        <w:trPr>
          <w:trHeight w:val="192"/>
        </w:trPr>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 Number of</w:t>
            </w:r>
          </w:p>
        </w:tc>
        <w:tc>
          <w:tcPr>
            <w:tcW w:w="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Remaining Available for</w:t>
            </w:r>
          </w:p>
        </w:tc>
        <w:tc>
          <w:tcPr>
            <w:tcW w:w="0" w:type="dxa"/>
            <w:vAlign w:val="bottom"/>
          </w:tcPr>
          <w:p>
            <w:pPr>
              <w:spacing w:after="0"/>
              <w:rPr>
                <w:sz w:val="1"/>
                <w:szCs w:val="1"/>
                <w:color w:val="auto"/>
              </w:rPr>
            </w:pPr>
          </w:p>
        </w:tc>
      </w:tr>
      <w:tr>
        <w:trPr>
          <w:trHeight w:val="192"/>
        </w:trPr>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Securities to be</w:t>
            </w:r>
          </w:p>
        </w:tc>
        <w:tc>
          <w:tcPr>
            <w:tcW w:w="6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 Weighted-</w:t>
            </w:r>
          </w:p>
        </w:tc>
        <w:tc>
          <w:tcPr>
            <w:tcW w:w="60" w:type="dxa"/>
            <w:vAlign w:val="bottom"/>
          </w:tcPr>
          <w:p>
            <w:pPr>
              <w:spacing w:after="0"/>
              <w:rPr>
                <w:sz w:val="16"/>
                <w:szCs w:val="16"/>
                <w:color w:val="auto"/>
              </w:rPr>
            </w:pPr>
          </w:p>
        </w:tc>
        <w:tc>
          <w:tcPr>
            <w:tcW w:w="18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Future Issuance Under</w:t>
            </w:r>
          </w:p>
        </w:tc>
        <w:tc>
          <w:tcPr>
            <w:tcW w:w="0" w:type="dxa"/>
            <w:vAlign w:val="bottom"/>
          </w:tcPr>
          <w:p>
            <w:pPr>
              <w:spacing w:after="0"/>
              <w:rPr>
                <w:sz w:val="1"/>
                <w:szCs w:val="1"/>
                <w:color w:val="auto"/>
              </w:rPr>
            </w:pPr>
          </w:p>
        </w:tc>
      </w:tr>
      <w:tr>
        <w:trPr>
          <w:trHeight w:val="192"/>
        </w:trPr>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Issued Upon Exercise</w:t>
            </w:r>
          </w:p>
        </w:tc>
        <w:tc>
          <w:tcPr>
            <w:tcW w:w="6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Average Exercise</w:t>
            </w:r>
          </w:p>
        </w:tc>
        <w:tc>
          <w:tcPr>
            <w:tcW w:w="60" w:type="dxa"/>
            <w:vAlign w:val="bottom"/>
          </w:tcPr>
          <w:p>
            <w:pPr>
              <w:spacing w:after="0"/>
              <w:rPr>
                <w:sz w:val="16"/>
                <w:szCs w:val="16"/>
                <w:color w:val="auto"/>
              </w:rPr>
            </w:pPr>
          </w:p>
        </w:tc>
        <w:tc>
          <w:tcPr>
            <w:tcW w:w="18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Equity Compensation</w:t>
            </w:r>
          </w:p>
        </w:tc>
        <w:tc>
          <w:tcPr>
            <w:tcW w:w="0" w:type="dxa"/>
            <w:vAlign w:val="bottom"/>
          </w:tcPr>
          <w:p>
            <w:pPr>
              <w:spacing w:after="0"/>
              <w:rPr>
                <w:sz w:val="1"/>
                <w:szCs w:val="1"/>
                <w:color w:val="auto"/>
              </w:rPr>
            </w:pPr>
          </w:p>
        </w:tc>
      </w:tr>
      <w:tr>
        <w:trPr>
          <w:trHeight w:val="192"/>
        </w:trPr>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Outstanding</w:t>
            </w:r>
          </w:p>
        </w:tc>
        <w:tc>
          <w:tcPr>
            <w:tcW w:w="6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Price of Outstanding</w:t>
            </w:r>
          </w:p>
        </w:tc>
        <w:tc>
          <w:tcPr>
            <w:tcW w:w="60" w:type="dxa"/>
            <w:vAlign w:val="bottom"/>
          </w:tcPr>
          <w:p>
            <w:pPr>
              <w:spacing w:after="0"/>
              <w:rPr>
                <w:sz w:val="16"/>
                <w:szCs w:val="16"/>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Plans (Excluding</w:t>
            </w:r>
          </w:p>
        </w:tc>
        <w:tc>
          <w:tcPr>
            <w:tcW w:w="0" w:type="dxa"/>
            <w:vAlign w:val="bottom"/>
          </w:tcPr>
          <w:p>
            <w:pPr>
              <w:spacing w:after="0"/>
              <w:rPr>
                <w:sz w:val="1"/>
                <w:szCs w:val="1"/>
                <w:color w:val="auto"/>
              </w:rPr>
            </w:pPr>
          </w:p>
        </w:tc>
      </w:tr>
      <w:tr>
        <w:trPr>
          <w:trHeight w:val="192"/>
        </w:trPr>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Options, Warrants</w:t>
            </w:r>
          </w:p>
        </w:tc>
        <w:tc>
          <w:tcPr>
            <w:tcW w:w="6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 Warrants</w:t>
            </w:r>
          </w:p>
        </w:tc>
        <w:tc>
          <w:tcPr>
            <w:tcW w:w="60" w:type="dxa"/>
            <w:vAlign w:val="bottom"/>
          </w:tcPr>
          <w:p>
            <w:pPr>
              <w:spacing w:after="0"/>
              <w:rPr>
                <w:sz w:val="16"/>
                <w:szCs w:val="16"/>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Securities Reflected in</w:t>
            </w:r>
          </w:p>
        </w:tc>
        <w:tc>
          <w:tcPr>
            <w:tcW w:w="0" w:type="dxa"/>
            <w:vAlign w:val="bottom"/>
          </w:tcPr>
          <w:p>
            <w:pPr>
              <w:spacing w:after="0"/>
              <w:rPr>
                <w:sz w:val="1"/>
                <w:szCs w:val="1"/>
                <w:color w:val="auto"/>
              </w:rPr>
            </w:pPr>
          </w:p>
        </w:tc>
      </w:tr>
      <w:tr>
        <w:trPr>
          <w:trHeight w:val="217"/>
        </w:trPr>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and Rights</w:t>
            </w:r>
          </w:p>
        </w:tc>
        <w:tc>
          <w:tcPr>
            <w:tcW w:w="60" w:type="dxa"/>
            <w:vAlign w:val="bottom"/>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and Rights</w:t>
            </w:r>
          </w:p>
        </w:tc>
        <w:tc>
          <w:tcPr>
            <w:tcW w:w="60" w:type="dxa"/>
            <w:vAlign w:val="bottom"/>
          </w:tcPr>
          <w:p>
            <w:pPr>
              <w:spacing w:after="0"/>
              <w:rPr>
                <w:sz w:val="18"/>
                <w:szCs w:val="18"/>
                <w:color w:val="auto"/>
              </w:rPr>
            </w:pPr>
          </w:p>
        </w:tc>
        <w:tc>
          <w:tcPr>
            <w:tcW w:w="180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Column (a))</w:t>
            </w:r>
          </w:p>
        </w:tc>
        <w:tc>
          <w:tcPr>
            <w:tcW w:w="0" w:type="dxa"/>
            <w:vAlign w:val="bottom"/>
          </w:tcPr>
          <w:p>
            <w:pPr>
              <w:spacing w:after="0"/>
              <w:rPr>
                <w:sz w:val="1"/>
                <w:szCs w:val="1"/>
                <w:color w:val="auto"/>
              </w:rPr>
            </w:pPr>
          </w:p>
        </w:tc>
      </w:tr>
      <w:tr>
        <w:trPr>
          <w:trHeight w:val="275"/>
        </w:trPr>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5,678,766</w:t>
            </w:r>
          </w:p>
        </w:tc>
        <w:tc>
          <w:tcPr>
            <w:tcW w:w="1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rPr>
              <w:t>$3.56</w:t>
            </w:r>
          </w:p>
        </w:tc>
        <w:tc>
          <w:tcPr>
            <w:tcW w:w="1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20" w:type="dxa"/>
            <w:vAlign w:val="bottom"/>
            <w:shd w:val="clear" w:color="auto" w:fill="DEDEDE"/>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1600" w:type="dxa"/>
            <w:vAlign w:val="bottom"/>
            <w:vMerge w:val="continue"/>
          </w:tcPr>
          <w:p>
            <w:pPr>
              <w:spacing w:after="0"/>
              <w:rPr>
                <w:sz w:val="23"/>
                <w:szCs w:val="23"/>
                <w:color w:val="auto"/>
              </w:rPr>
            </w:pPr>
          </w:p>
        </w:tc>
        <w:tc>
          <w:tcPr>
            <w:tcW w:w="1680" w:type="dxa"/>
            <w:vAlign w:val="bottom"/>
            <w:gridSpan w:val="2"/>
            <w:vMerge w:val="continue"/>
          </w:tcPr>
          <w:p>
            <w:pPr>
              <w:spacing w:after="0"/>
              <w:rPr>
                <w:sz w:val="23"/>
                <w:szCs w:val="23"/>
                <w:color w:val="auto"/>
              </w:rPr>
            </w:pPr>
          </w:p>
        </w:tc>
        <w:tc>
          <w:tcPr>
            <w:tcW w:w="1840" w:type="dxa"/>
            <w:vAlign w:val="bottom"/>
            <w:gridSpan w:val="2"/>
            <w:vMerge w:val="continue"/>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8"/>
        </w:trPr>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8,997,569</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$3.67</w:t>
            </w: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20,279,560</w:t>
            </w:r>
          </w:p>
        </w:tc>
        <w:tc>
          <w:tcPr>
            <w:tcW w:w="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3,505,138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tcPr>
          <w:p>
            <w:pPr>
              <w:spacing w:after="0"/>
              <w:rPr>
                <w:sz w:val="24"/>
                <w:szCs w:val="24"/>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0" w:type="dxa"/>
            <w:vAlign w:val="bottom"/>
            <w:tcBorders>
              <w:bottom w:val="single" w:sz="8" w:color="auto"/>
            </w:tcBorders>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14,676,335</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$3.63</w:t>
            </w: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23,784,698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-3041015</wp:posOffset>
            </wp:positionH>
            <wp:positionV relativeFrom="paragraph">
              <wp:posOffset>-1203960</wp:posOffset>
            </wp:positionV>
            <wp:extent cx="6311900" cy="12255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69">
                      <a:extLst>
                        <a:ext uri="{28A0092B-C50C-407E-A947-70E740481C1C}"/>
                      </a:extLst>
                    </a:blip>
                    <a:srcRect/>
                    <a:stretch>
                      <a:fillRect/>
                    </a:stretch>
                  </pic:blipFill>
                  <pic:spPr bwMode="auto">
                    <a:xfrm>
                      <a:off x="0" y="0"/>
                      <a:ext cx="6311900" cy="1225550"/>
                    </a:xfrm>
                    <a:prstGeom prst="rect">
                      <a:avLst/>
                    </a:prstGeom>
                    <a:noFill/>
                  </pic:spPr>
                </pic:pic>
              </a:graphicData>
            </a:graphic>
          </wp:anchor>
        </w:drawing>
      </w:r>
    </w:p>
    <w:p>
      <w:pPr>
        <w:spacing w:after="0" w:line="481" w:lineRule="exact"/>
        <w:rPr>
          <w:sz w:val="20"/>
          <w:szCs w:val="20"/>
          <w:color w:val="auto"/>
        </w:rPr>
      </w:pPr>
    </w:p>
    <w:p>
      <w:pPr>
        <w:sectPr>
          <w:pgSz w:w="12240" w:h="15840" w:orient="portrait"/>
          <w:cols w:equalWidth="0" w:num="2">
            <w:col w:w="4940" w:space="180"/>
            <w:col w:w="5140"/>
          </w:cols>
          <w:pgMar w:left="1000" w:top="786" w:right="980" w:bottom="0" w:gutter="0" w:footer="0" w:header="0"/>
          <w:type w:val="continuous"/>
        </w:sectPr>
      </w:pPr>
    </w:p>
    <w:p>
      <w:pPr>
        <w:spacing w:after="0" w:line="67" w:lineRule="exact"/>
        <w:rPr>
          <w:sz w:val="20"/>
          <w:szCs w:val="20"/>
          <w:color w:val="auto"/>
        </w:rPr>
      </w:pPr>
    </w:p>
    <w:p>
      <w:pPr>
        <w:ind w:left="800" w:right="140" w:hanging="322"/>
        <w:spacing w:after="0" w:line="224" w:lineRule="auto"/>
        <w:tabs>
          <w:tab w:leader="none" w:pos="80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Legacy Nautilus board of directors adopted, and Legacy Nautilus stockholders approved, the 2017 Plan. The 2017 Plan was terminated as of one day prior to the closing of the Business Combination and we will not grant any additional awards under the 2017 Plan. However, the 2017 Plan will continue to govern the terms and conditions of the outstanding awards previously granted under the 2017 Plan and assumed by us at the closing of the Business Combination.</w:t>
      </w:r>
    </w:p>
    <w:p>
      <w:pPr>
        <w:spacing w:after="0" w:line="33" w:lineRule="exact"/>
        <w:rPr>
          <w:rFonts w:ascii="Times New Roman" w:cs="Times New Roman" w:eastAsia="Times New Roman" w:hAnsi="Times New Roman"/>
          <w:sz w:val="16"/>
          <w:szCs w:val="16"/>
          <w:color w:val="auto"/>
        </w:rPr>
      </w:pPr>
    </w:p>
    <w:p>
      <w:pPr>
        <w:ind w:left="800" w:right="80" w:hanging="322"/>
        <w:spacing w:after="0" w:line="215" w:lineRule="auto"/>
        <w:tabs>
          <w:tab w:leader="none" w:pos="80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board of directors adopted, and our stockholders approved, the 2021 Plan. The 2021 Plan provides that the number of shares available for issuance under the 2021 Plan will be increased on the first day of each fiscal year beginning with the 2022 fiscal year, in an amount equal to the least of (i) 18,672,000 shares, (ii) five percent (5%) of the outstanding shares of common stock on the last day of the immediately preceding fiscal year or (iii) such other amount as our board of directors may determine. On January 1, 2024, the number of shares available under the 2021 Plan increased by 6,253,430 shares pursuant to this feature. In addition, the shares reserved for issuance under the 2021 Plan include any shares of our Common Stock subject to awards of stock options or other awards that were assumed in the Business Combination (or “assumed awards”) that, on or after the effective date of the Business Combination, are terminated, canceled, expire or otherwise terminate without having been exercised in full, are tendered to or withheld by us for payment of an exercise price or for tax withholding obligations, or are forfeited to or repurchased by us due to failure to vest (provided that the maximum number of shares that may be added to the 2021 Plan pursuant to this provision is 7,500,000 shares).</w:t>
      </w:r>
    </w:p>
    <w:p>
      <w:pPr>
        <w:spacing w:after="0" w:line="36" w:lineRule="exact"/>
        <w:rPr>
          <w:rFonts w:ascii="Times New Roman" w:cs="Times New Roman" w:eastAsia="Times New Roman" w:hAnsi="Times New Roman"/>
          <w:sz w:val="16"/>
          <w:szCs w:val="16"/>
          <w:color w:val="auto"/>
        </w:rPr>
      </w:pPr>
    </w:p>
    <w:p>
      <w:pPr>
        <w:ind w:left="800" w:right="120" w:hanging="322"/>
        <w:spacing w:after="0" w:line="221" w:lineRule="auto"/>
        <w:tabs>
          <w:tab w:leader="none" w:pos="80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board of directors adopted, and our shareholders approved, the ESPP. The ESPP provides that the number of shares available for issuance under the ESPP will be increased on the first day of each fiscal year beginning with the 2022 fiscal year, in an amount equal to the least of (i) 3,734,500 shares, (ii) one percent (1%) of the outstanding shares of common stock on the last day of the immediately preceding fiscal year or (iii) such other amount as the administrator may determine. On January 1, 2024, the number of shares available under the ESPP increased by 1,250,686 shares pursuant to this feature.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 and Management and Related Stockholder Matters</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sets forth information regarding the beneficial ownership of Common Stock as of February 15, 2024</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170" w:lineRule="exact"/>
        <w:rPr>
          <w:sz w:val="20"/>
          <w:szCs w:val="20"/>
          <w:color w:val="auto"/>
        </w:rPr>
      </w:pPr>
    </w:p>
    <w:p>
      <w:pPr>
        <w:ind w:left="720" w:hanging="370"/>
        <w:spacing w:after="0"/>
        <w:tabs>
          <w:tab w:leader="none" w:pos="72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person known by us to be the beneficial owner of more than 5% of our outstanding Common Stock;</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our named executive officers and our directors; and</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 our executive officers and directors as a group.</w:t>
      </w:r>
    </w:p>
    <w:p>
      <w:pPr>
        <w:spacing w:after="0" w:line="190"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20"/>
          <w:szCs w:val="20"/>
          <w:color w:val="auto"/>
        </w:rPr>
        <w:t>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stock options, within 60 days of February 15, 2024. Shares subject to options that are currently exercisable or exercisable within 60 days of February 15, 2024 are considered outstanding and beneficially owned by the person holding such options for the purpose of computing the percentage ownership of that person but are not treated as outstanding for the purpose of computing the percentage ownership of any other person. Except as noted by footnote, and subject to community property laws where applicable, based on the information provided to us, we believe that the persons and entities named in the table below have sole voting and investment power with respect to all shares shown as beneficially owned by them. Unless otherwise noted, the business address of each of the directors and executive officers of Nautilus is 2701 Eastlake Avenue East, Seattle, WA 98102. The percentage of beneficial ownership of Nautilus is calculated based on 125,098,080 shares of Common Stock outstanding as of February 15, 2024.</w:t>
      </w:r>
    </w:p>
    <w:p>
      <w:pPr>
        <w:sectPr>
          <w:pgSz w:w="12240" w:h="15840" w:orient="portrait"/>
          <w:cols w:equalWidth="0" w:num="1">
            <w:col w:w="10260"/>
          </w:cols>
          <w:pgMar w:left="1000" w:top="786"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138</w:t>
      </w:r>
    </w:p>
    <w:p>
      <w:pPr>
        <w:sectPr>
          <w:pgSz w:w="12240" w:h="15840" w:orient="portrait"/>
          <w:cols w:equalWidth="0" w:num="1">
            <w:col w:w="10260"/>
          </w:cols>
          <w:pgMar w:left="1000" w:top="786" w:right="980" w:bottom="0" w:gutter="0" w:footer="0" w:header="0"/>
          <w:type w:val="continuous"/>
        </w:sectPr>
      </w:pPr>
    </w:p>
    <w:bookmarkStart w:id="140" w:name="page141"/>
    <w:bookmarkEnd w:id="140"/>
    <w:p>
      <w:pPr>
        <w:spacing w:after="0" w:line="1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14605</wp:posOffset>
            </wp:positionV>
            <wp:extent cx="6311900" cy="29210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70">
                      <a:extLst>
                        <a:ext uri="{28A0092B-C50C-407E-A947-70E740481C1C}"/>
                      </a:extLst>
                    </a:blip>
                    <a:srcRect/>
                    <a:stretch>
                      <a:fillRect/>
                    </a:stretch>
                  </pic:blipFill>
                  <pic:spPr bwMode="auto">
                    <a:xfrm>
                      <a:off x="0" y="0"/>
                      <a:ext cx="6311900" cy="2921000"/>
                    </a:xfrm>
                    <a:prstGeom prst="rect">
                      <a:avLst/>
                    </a:prstGeom>
                    <a:noFill/>
                  </pic:spPr>
                </pic:pic>
              </a:graphicData>
            </a:graphic>
          </wp:anchor>
        </w:drawing>
      </w:r>
    </w:p>
    <w:p>
      <w:pPr>
        <w:spacing w:after="0" w:line="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auto"/>
        </w:rPr>
        <w:t>Sujal Patel</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989898"/>
        </w:rPr>
        <w:t>.................................................................................................................</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auto"/>
        </w:rPr>
        <w:t>Parag Mallick</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989898"/>
        </w:rPr>
        <w:t>............................................................................................................</w:t>
      </w:r>
    </w:p>
    <w:p>
      <w:pPr>
        <w:ind w:left="400"/>
        <w:spacing w:after="0" w:line="237" w:lineRule="auto"/>
        <w:rPr>
          <w:sz w:val="20"/>
          <w:szCs w:val="20"/>
          <w:color w:val="auto"/>
        </w:rPr>
      </w:pPr>
      <w:r>
        <w:rPr>
          <w:rFonts w:ascii="Times New Roman" w:cs="Times New Roman" w:eastAsia="Times New Roman" w:hAnsi="Times New Roman"/>
          <w:sz w:val="19"/>
          <w:szCs w:val="19"/>
          <w:color w:val="auto"/>
        </w:rPr>
        <w:t>Anna Mowry</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989898"/>
        </w:rPr>
        <w:t>.............................................................................................................</w:t>
      </w:r>
    </w:p>
    <w:p>
      <w:pPr>
        <w:ind w:left="400"/>
        <w:spacing w:after="0" w:line="238" w:lineRule="auto"/>
        <w:rPr>
          <w:sz w:val="20"/>
          <w:szCs w:val="20"/>
          <w:color w:val="auto"/>
        </w:rPr>
      </w:pPr>
      <w:r>
        <w:rPr>
          <w:rFonts w:ascii="Times New Roman" w:cs="Times New Roman" w:eastAsia="Times New Roman" w:hAnsi="Times New Roman"/>
          <w:sz w:val="19"/>
          <w:szCs w:val="19"/>
          <w:color w:val="auto"/>
        </w:rPr>
        <w:t>Melissa Epperly</w:t>
      </w: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989898"/>
        </w:rPr>
        <w:t>........................................................................................................</w:t>
      </w:r>
    </w:p>
    <w:p>
      <w:pPr>
        <w:ind w:left="400"/>
        <w:spacing w:after="0" w:line="238" w:lineRule="auto"/>
        <w:rPr>
          <w:sz w:val="20"/>
          <w:szCs w:val="20"/>
          <w:color w:val="auto"/>
        </w:rPr>
      </w:pPr>
      <w:r>
        <w:rPr>
          <w:rFonts w:ascii="Times New Roman" w:cs="Times New Roman" w:eastAsia="Times New Roman" w:hAnsi="Times New Roman"/>
          <w:sz w:val="19"/>
          <w:szCs w:val="19"/>
          <w:color w:val="auto"/>
        </w:rPr>
        <w:t>Matthew McIlwain</w:t>
      </w:r>
      <w:r>
        <w:rPr>
          <w:rFonts w:ascii="Times New Roman" w:cs="Times New Roman" w:eastAsia="Times New Roman" w:hAnsi="Times New Roman"/>
          <w:sz w:val="25"/>
          <w:szCs w:val="25"/>
          <w:color w:val="auto"/>
          <w:vertAlign w:val="superscript"/>
        </w:rPr>
        <w:t>(5)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989898"/>
        </w:rPr>
        <w:t>....................................................................................................</w:t>
      </w:r>
    </w:p>
    <w:p>
      <w:pPr>
        <w:ind w:left="400"/>
        <w:spacing w:after="0" w:line="238" w:lineRule="auto"/>
        <w:rPr>
          <w:sz w:val="20"/>
          <w:szCs w:val="20"/>
          <w:color w:val="auto"/>
        </w:rPr>
      </w:pPr>
      <w:r>
        <w:rPr>
          <w:rFonts w:ascii="Times New Roman" w:cs="Times New Roman" w:eastAsia="Times New Roman" w:hAnsi="Times New Roman"/>
          <w:sz w:val="19"/>
          <w:szCs w:val="19"/>
          <w:color w:val="auto"/>
        </w:rPr>
        <w:t>Farzad Nazem</w:t>
      </w: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989898"/>
        </w:rPr>
        <w:t>...........................................................................................................</w:t>
      </w:r>
    </w:p>
    <w:p>
      <w:pPr>
        <w:ind w:left="400"/>
        <w:spacing w:after="0" w:line="221" w:lineRule="auto"/>
        <w:rPr>
          <w:sz w:val="20"/>
          <w:szCs w:val="20"/>
          <w:color w:val="auto"/>
        </w:rPr>
      </w:pPr>
      <w:r>
        <w:rPr>
          <w:rFonts w:ascii="Times New Roman" w:cs="Times New Roman" w:eastAsia="Times New Roman" w:hAnsi="Times New Roman"/>
          <w:sz w:val="19"/>
          <w:szCs w:val="19"/>
          <w:color w:val="auto"/>
        </w:rPr>
        <w:t>Vijay Pande</w:t>
      </w:r>
      <w:r>
        <w:rPr>
          <w:rFonts w:ascii="Times New Roman" w:cs="Times New Roman" w:eastAsia="Times New Roman" w:hAnsi="Times New Roman"/>
          <w:sz w:val="25"/>
          <w:szCs w:val="25"/>
          <w:color w:val="auto"/>
          <w:vertAlign w:val="superscript"/>
        </w:rPr>
        <w:t>(7)</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989898"/>
        </w:rPr>
        <w:t>...............................................................................................................</w:t>
      </w:r>
    </w:p>
    <w:p>
      <w:pPr>
        <w:ind w:left="400"/>
        <w:spacing w:after="0" w:line="238" w:lineRule="auto"/>
        <w:rPr>
          <w:sz w:val="20"/>
          <w:szCs w:val="20"/>
          <w:color w:val="auto"/>
        </w:rPr>
      </w:pPr>
      <w:r>
        <w:rPr>
          <w:rFonts w:ascii="Times New Roman" w:cs="Times New Roman" w:eastAsia="Times New Roman" w:hAnsi="Times New Roman"/>
          <w:sz w:val="19"/>
          <w:szCs w:val="19"/>
          <w:color w:val="auto"/>
        </w:rPr>
        <w:t>Matthew L. Posard</w:t>
      </w:r>
      <w:r>
        <w:rPr>
          <w:rFonts w:ascii="Times New Roman" w:cs="Times New Roman" w:eastAsia="Times New Roman" w:hAnsi="Times New Roman"/>
          <w:sz w:val="25"/>
          <w:szCs w:val="25"/>
          <w:color w:val="auto"/>
          <w:vertAlign w:val="superscript"/>
        </w:rPr>
        <w:t>(8)</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989898"/>
        </w:rPr>
        <w:t>....................................................................................................</w:t>
      </w:r>
    </w:p>
    <w:p>
      <w:pPr>
        <w:ind w:left="400"/>
        <w:spacing w:after="0" w:line="238" w:lineRule="auto"/>
        <w:rPr>
          <w:sz w:val="20"/>
          <w:szCs w:val="20"/>
          <w:color w:val="auto"/>
        </w:rPr>
      </w:pPr>
      <w:r>
        <w:rPr>
          <w:rFonts w:ascii="Times New Roman" w:cs="Times New Roman" w:eastAsia="Times New Roman" w:hAnsi="Times New Roman"/>
          <w:sz w:val="19"/>
          <w:szCs w:val="19"/>
          <w:color w:val="auto"/>
        </w:rPr>
        <w:t>Michael Altman</w:t>
      </w:r>
      <w:r>
        <w:rPr>
          <w:rFonts w:ascii="Times New Roman" w:cs="Times New Roman" w:eastAsia="Times New Roman" w:hAnsi="Times New Roman"/>
          <w:sz w:val="25"/>
          <w:szCs w:val="25"/>
          <w:color w:val="auto"/>
          <w:vertAlign w:val="superscript"/>
        </w:rPr>
        <w:t>(9)</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989898"/>
        </w:rPr>
        <w:t>........................................................................................................</w:t>
      </w:r>
    </w:p>
    <w:p>
      <w:pPr>
        <w:ind w:left="400"/>
        <w:spacing w:after="0" w:line="238" w:lineRule="auto"/>
        <w:rPr>
          <w:sz w:val="20"/>
          <w:szCs w:val="20"/>
          <w:color w:val="auto"/>
        </w:rPr>
      </w:pPr>
      <w:r>
        <w:rPr>
          <w:rFonts w:ascii="Times New Roman" w:cs="Times New Roman" w:eastAsia="Times New Roman" w:hAnsi="Times New Roman"/>
          <w:sz w:val="19"/>
          <w:szCs w:val="19"/>
          <w:color w:val="auto"/>
        </w:rPr>
        <w:t>Karen Akinsanya</w:t>
      </w:r>
      <w:r>
        <w:rPr>
          <w:rFonts w:ascii="Times New Roman" w:cs="Times New Roman" w:eastAsia="Times New Roman" w:hAnsi="Times New Roman"/>
          <w:sz w:val="25"/>
          <w:szCs w:val="25"/>
          <w:color w:val="auto"/>
          <w:vertAlign w:val="superscript"/>
        </w:rPr>
        <w:t>(10)</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989898"/>
        </w:rPr>
        <w:t>.....................................................................................................</w:t>
      </w:r>
    </w:p>
    <w:p>
      <w:pPr>
        <w:ind w:left="400"/>
        <w:spacing w:after="0"/>
        <w:rPr>
          <w:sz w:val="20"/>
          <w:szCs w:val="20"/>
          <w:color w:val="auto"/>
        </w:rPr>
      </w:pPr>
      <w:r>
        <w:rPr>
          <w:rFonts w:ascii="Times New Roman" w:cs="Times New Roman" w:eastAsia="Times New Roman" w:hAnsi="Times New Roman"/>
          <w:sz w:val="19"/>
          <w:szCs w:val="19"/>
          <w:b w:val="1"/>
          <w:bCs w:val="1"/>
          <w:i w:val="1"/>
          <w:iCs w:val="1"/>
          <w:color w:val="auto"/>
        </w:rPr>
        <w:t>All directors and officers as a group (15 persons)</w:t>
      </w:r>
      <w:r>
        <w:rPr>
          <w:rFonts w:ascii="Times New Roman" w:cs="Times New Roman" w:eastAsia="Times New Roman" w:hAnsi="Times New Roman"/>
          <w:sz w:val="25"/>
          <w:szCs w:val="25"/>
          <w:b w:val="1"/>
          <w:bCs w:val="1"/>
          <w:i w:val="1"/>
          <w:iCs w:val="1"/>
          <w:color w:val="auto"/>
          <w:vertAlign w:val="superscript"/>
        </w:rPr>
        <w:t>(11)</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989898"/>
        </w:rPr>
        <w:t>..................................................</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Five Percent Holders:</w:t>
      </w:r>
    </w:p>
    <w:p>
      <w:pPr>
        <w:spacing w:after="0" w:line="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auto"/>
        </w:rPr>
        <w:t>Perceptive Life Sciences Master Fund Ltd.</w:t>
      </w:r>
      <w:r>
        <w:rPr>
          <w:rFonts w:ascii="Times New Roman" w:cs="Times New Roman" w:eastAsia="Times New Roman" w:hAnsi="Times New Roman"/>
          <w:sz w:val="25"/>
          <w:szCs w:val="25"/>
          <w:color w:val="auto"/>
          <w:vertAlign w:val="superscript"/>
        </w:rPr>
        <w:t>(12)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989898"/>
        </w:rPr>
        <w:t>.............................................................</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auto"/>
        </w:rPr>
        <w:t>Entities affiliated with Andreessen Horowitz</w:t>
      </w:r>
      <w:r>
        <w:rPr>
          <w:rFonts w:ascii="Times New Roman" w:cs="Times New Roman" w:eastAsia="Times New Roman" w:hAnsi="Times New Roman"/>
          <w:sz w:val="25"/>
          <w:szCs w:val="25"/>
          <w:color w:val="auto"/>
          <w:vertAlign w:val="superscript"/>
        </w:rPr>
        <w:t>(13)</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989898"/>
        </w:rPr>
        <w:t>..........................................................</w:t>
      </w:r>
    </w:p>
    <w:p>
      <w:pPr>
        <w:ind w:left="400"/>
        <w:spacing w:after="0" w:line="237" w:lineRule="auto"/>
        <w:rPr>
          <w:sz w:val="20"/>
          <w:szCs w:val="20"/>
          <w:color w:val="auto"/>
        </w:rPr>
      </w:pPr>
      <w:r>
        <w:rPr>
          <w:rFonts w:ascii="Times New Roman" w:cs="Times New Roman" w:eastAsia="Times New Roman" w:hAnsi="Times New Roman"/>
          <w:sz w:val="19"/>
          <w:szCs w:val="19"/>
          <w:color w:val="auto"/>
        </w:rPr>
        <w:t>Entities affiliated with Cercano Management</w:t>
      </w:r>
      <w:r>
        <w:rPr>
          <w:rFonts w:ascii="Times New Roman" w:cs="Times New Roman" w:eastAsia="Times New Roman" w:hAnsi="Times New Roman"/>
          <w:sz w:val="25"/>
          <w:szCs w:val="25"/>
          <w:color w:val="auto"/>
          <w:vertAlign w:val="superscript"/>
        </w:rPr>
        <w:t>(14)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989898"/>
        </w:rPr>
        <w:t>.........................................................</w:t>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auto"/>
        </w:rPr>
        <w:t>Entities affiliated with Madrona Ventures</w:t>
      </w:r>
      <w:r>
        <w:rPr>
          <w:rFonts w:ascii="Times New Roman" w:cs="Times New Roman" w:eastAsia="Times New Roman" w:hAnsi="Times New Roman"/>
          <w:sz w:val="25"/>
          <w:szCs w:val="25"/>
          <w:color w:val="auto"/>
          <w:vertAlign w:val="superscript"/>
        </w:rPr>
        <w:t>(15)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989898"/>
        </w:rPr>
        <w: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w:t>
      </w:r>
    </w:p>
    <w:p>
      <w:pPr>
        <w:spacing w:after="0" w:line="267" w:lineRule="exact"/>
        <w:rPr>
          <w:sz w:val="20"/>
          <w:szCs w:val="20"/>
          <w:color w:val="auto"/>
        </w:rPr>
      </w:pPr>
    </w:p>
    <w:p>
      <w:pPr>
        <w:ind w:left="440" w:hanging="288"/>
        <w:spacing w:after="0"/>
        <w:tabs>
          <w:tab w:leader="none" w:pos="44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7" w:lineRule="exact"/>
        <w:rPr>
          <w:sz w:val="20"/>
          <w:szCs w:val="20"/>
          <w:color w:val="auto"/>
        </w:rPr>
      </w:pPr>
    </w:p>
    <w:p>
      <w:pPr>
        <w:ind w:left="200"/>
        <w:spacing w:after="0"/>
        <w:tabs>
          <w:tab w:leader="none" w:pos="1700" w:val="left"/>
        </w:tabs>
        <w:rPr>
          <w:sz w:val="20"/>
          <w:szCs w:val="20"/>
          <w:color w:val="auto"/>
        </w:rPr>
      </w:pPr>
      <w:r>
        <w:rPr>
          <w:rFonts w:ascii="Times New Roman" w:cs="Times New Roman" w:eastAsia="Times New Roman" w:hAnsi="Times New Roman"/>
          <w:sz w:val="16"/>
          <w:szCs w:val="16"/>
          <w:b w:val="1"/>
          <w:bCs w:val="1"/>
          <w:color w:val="auto"/>
        </w:rPr>
        <w:t>Shares</w:t>
      </w:r>
      <w:r>
        <w:rPr>
          <w:sz w:val="20"/>
          <w:szCs w:val="20"/>
          <w:color w:val="auto"/>
        </w:rPr>
        <w:tab/>
      </w:r>
      <w:r>
        <w:rPr>
          <w:rFonts w:ascii="Times New Roman" w:cs="Times New Roman" w:eastAsia="Times New Roman" w:hAnsi="Times New Roman"/>
          <w:sz w:val="16"/>
          <w:szCs w:val="16"/>
          <w:b w:val="1"/>
          <w:bCs w:val="1"/>
          <w:color w:val="auto"/>
        </w:rPr>
        <w:t>%</w:t>
      </w:r>
    </w:p>
    <w:p>
      <w:pPr>
        <w:spacing w:after="0" w:line="36"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0"/>
          <w:szCs w:val="20"/>
          <w:color w:val="auto"/>
        </w:rPr>
        <w:t>18,144,849</w:t>
      </w:r>
      <w:r>
        <w:rPr>
          <w:sz w:val="20"/>
          <w:szCs w:val="20"/>
          <w:color w:val="auto"/>
        </w:rPr>
        <w:tab/>
      </w:r>
      <w:r>
        <w:rPr>
          <w:rFonts w:ascii="Times New Roman" w:cs="Times New Roman" w:eastAsia="Times New Roman" w:hAnsi="Times New Roman"/>
          <w:sz w:val="20"/>
          <w:szCs w:val="20"/>
          <w:color w:val="auto"/>
        </w:rPr>
        <w:t>14.4%</w:t>
      </w:r>
    </w:p>
    <w:p>
      <w:pPr>
        <w:spacing w:after="0" w:line="55"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0"/>
          <w:szCs w:val="20"/>
          <w:color w:val="auto"/>
        </w:rPr>
        <w:t>21,280,570</w:t>
      </w:r>
      <w:r>
        <w:rPr>
          <w:sz w:val="20"/>
          <w:szCs w:val="20"/>
          <w:color w:val="auto"/>
        </w:rPr>
        <w:tab/>
      </w:r>
      <w:r>
        <w:rPr>
          <w:rFonts w:ascii="Times New Roman" w:cs="Times New Roman" w:eastAsia="Times New Roman" w:hAnsi="Times New Roman"/>
          <w:sz w:val="20"/>
          <w:szCs w:val="20"/>
          <w:color w:val="auto"/>
        </w:rPr>
        <w:t>16.9%</w:t>
      </w:r>
    </w:p>
    <w:p>
      <w:pPr>
        <w:spacing w:after="0" w:line="55" w:lineRule="exact"/>
        <w:rPr>
          <w:sz w:val="20"/>
          <w:szCs w:val="20"/>
          <w:color w:val="auto"/>
        </w:rPr>
      </w:pPr>
    </w:p>
    <w:p>
      <w:pPr>
        <w:ind w:left="120"/>
        <w:spacing w:after="0"/>
        <w:tabs>
          <w:tab w:leader="none" w:pos="1740" w:val="left"/>
        </w:tabs>
        <w:rPr>
          <w:sz w:val="20"/>
          <w:szCs w:val="20"/>
          <w:color w:val="auto"/>
        </w:rPr>
      </w:pPr>
      <w:r>
        <w:rPr>
          <w:rFonts w:ascii="Times New Roman" w:cs="Times New Roman" w:eastAsia="Times New Roman" w:hAnsi="Times New Roman"/>
          <w:sz w:val="20"/>
          <w:szCs w:val="20"/>
          <w:color w:val="auto"/>
        </w:rPr>
        <w:t>611,736</w:t>
      </w:r>
      <w:r>
        <w:rPr>
          <w:sz w:val="20"/>
          <w:szCs w:val="20"/>
          <w:color w:val="auto"/>
        </w:rPr>
        <w:tab/>
      </w:r>
      <w:r>
        <w:rPr>
          <w:rFonts w:ascii="Times New Roman" w:cs="Times New Roman" w:eastAsia="Times New Roman" w:hAnsi="Times New Roman"/>
          <w:sz w:val="20"/>
          <w:szCs w:val="20"/>
          <w:color w:val="auto"/>
        </w:rPr>
        <w:t>*</w:t>
      </w:r>
    </w:p>
    <w:p>
      <w:pPr>
        <w:spacing w:after="0" w:line="55" w:lineRule="exact"/>
        <w:rPr>
          <w:sz w:val="20"/>
          <w:szCs w:val="20"/>
          <w:color w:val="auto"/>
        </w:rPr>
      </w:pPr>
    </w:p>
    <w:p>
      <w:pPr>
        <w:ind w:left="120"/>
        <w:spacing w:after="0"/>
        <w:tabs>
          <w:tab w:leader="none" w:pos="1740" w:val="left"/>
        </w:tabs>
        <w:rPr>
          <w:sz w:val="20"/>
          <w:szCs w:val="20"/>
          <w:color w:val="auto"/>
        </w:rPr>
      </w:pPr>
      <w:r>
        <w:rPr>
          <w:rFonts w:ascii="Times New Roman" w:cs="Times New Roman" w:eastAsia="Times New Roman" w:hAnsi="Times New Roman"/>
          <w:sz w:val="20"/>
          <w:szCs w:val="20"/>
          <w:color w:val="auto"/>
        </w:rPr>
        <w:t>196,528</w:t>
      </w:r>
      <w:r>
        <w:rPr>
          <w:sz w:val="20"/>
          <w:szCs w:val="20"/>
          <w:color w:val="auto"/>
        </w:rPr>
        <w:tab/>
      </w:r>
      <w:r>
        <w:rPr>
          <w:rFonts w:ascii="Times New Roman" w:cs="Times New Roman" w:eastAsia="Times New Roman" w:hAnsi="Times New Roman"/>
          <w:sz w:val="20"/>
          <w:szCs w:val="20"/>
          <w:color w:val="auto"/>
        </w:rPr>
        <w:t>*</w:t>
      </w:r>
    </w:p>
    <w:p>
      <w:pPr>
        <w:spacing w:after="0" w:line="55" w:lineRule="exact"/>
        <w:rPr>
          <w:sz w:val="20"/>
          <w:szCs w:val="20"/>
          <w:color w:val="auto"/>
        </w:rPr>
      </w:pPr>
    </w:p>
    <w:p>
      <w:pPr>
        <w:ind w:left="60"/>
        <w:spacing w:after="0"/>
        <w:tabs>
          <w:tab w:leader="none" w:pos="1580" w:val="left"/>
        </w:tabs>
        <w:rPr>
          <w:sz w:val="20"/>
          <w:szCs w:val="20"/>
          <w:color w:val="auto"/>
        </w:rPr>
      </w:pPr>
      <w:r>
        <w:rPr>
          <w:rFonts w:ascii="Times New Roman" w:cs="Times New Roman" w:eastAsia="Times New Roman" w:hAnsi="Times New Roman"/>
          <w:sz w:val="20"/>
          <w:szCs w:val="20"/>
          <w:color w:val="auto"/>
        </w:rPr>
        <w:t>6,640,092</w:t>
      </w:r>
      <w:r>
        <w:rPr>
          <w:sz w:val="20"/>
          <w:szCs w:val="20"/>
          <w:color w:val="auto"/>
        </w:rPr>
        <w:tab/>
      </w:r>
      <w:r>
        <w:rPr>
          <w:rFonts w:ascii="Times New Roman" w:cs="Times New Roman" w:eastAsia="Times New Roman" w:hAnsi="Times New Roman"/>
          <w:sz w:val="20"/>
          <w:szCs w:val="20"/>
          <w:color w:val="auto"/>
        </w:rPr>
        <w:t>5.3%</w:t>
      </w:r>
    </w:p>
    <w:p>
      <w:pPr>
        <w:spacing w:after="0" w:line="55" w:lineRule="exact"/>
        <w:rPr>
          <w:sz w:val="20"/>
          <w:szCs w:val="20"/>
          <w:color w:val="auto"/>
        </w:rPr>
      </w:pPr>
    </w:p>
    <w:p>
      <w:pPr>
        <w:ind w:left="60"/>
        <w:spacing w:after="0"/>
        <w:tabs>
          <w:tab w:leader="none" w:pos="1580" w:val="left"/>
        </w:tabs>
        <w:rPr>
          <w:sz w:val="20"/>
          <w:szCs w:val="20"/>
          <w:color w:val="auto"/>
        </w:rPr>
      </w:pPr>
      <w:r>
        <w:rPr>
          <w:rFonts w:ascii="Times New Roman" w:cs="Times New Roman" w:eastAsia="Times New Roman" w:hAnsi="Times New Roman"/>
          <w:sz w:val="20"/>
          <w:szCs w:val="20"/>
          <w:color w:val="auto"/>
        </w:rPr>
        <w:t>2,048,393</w:t>
      </w:r>
      <w:r>
        <w:rPr>
          <w:sz w:val="20"/>
          <w:szCs w:val="20"/>
          <w:color w:val="auto"/>
        </w:rPr>
        <w:tab/>
      </w:r>
      <w:r>
        <w:rPr>
          <w:rFonts w:ascii="Times New Roman" w:cs="Times New Roman" w:eastAsia="Times New Roman" w:hAnsi="Times New Roman"/>
          <w:sz w:val="20"/>
          <w:szCs w:val="20"/>
          <w:color w:val="auto"/>
        </w:rPr>
        <w:t>1.6%</w:t>
      </w:r>
    </w:p>
    <w:p>
      <w:pPr>
        <w:spacing w:after="0" w:line="55" w:lineRule="exact"/>
        <w:rPr>
          <w:sz w:val="20"/>
          <w:szCs w:val="20"/>
          <w:color w:val="auto"/>
        </w:rPr>
      </w:pPr>
    </w:p>
    <w:p>
      <w:pPr>
        <w:ind w:left="120"/>
        <w:spacing w:after="0"/>
        <w:tabs>
          <w:tab w:leader="none" w:pos="1740" w:val="left"/>
        </w:tabs>
        <w:rPr>
          <w:sz w:val="20"/>
          <w:szCs w:val="20"/>
          <w:color w:val="auto"/>
        </w:rPr>
      </w:pPr>
      <w:r>
        <w:rPr>
          <w:rFonts w:ascii="Times New Roman" w:cs="Times New Roman" w:eastAsia="Times New Roman" w:hAnsi="Times New Roman"/>
          <w:sz w:val="20"/>
          <w:szCs w:val="20"/>
          <w:color w:val="auto"/>
        </w:rPr>
        <w:t>160,247</w:t>
      </w:r>
      <w:r>
        <w:rPr>
          <w:sz w:val="20"/>
          <w:szCs w:val="20"/>
          <w:color w:val="auto"/>
        </w:rPr>
        <w:tab/>
      </w:r>
      <w:r>
        <w:rPr>
          <w:rFonts w:ascii="Times New Roman" w:cs="Times New Roman" w:eastAsia="Times New Roman" w:hAnsi="Times New Roman"/>
          <w:sz w:val="20"/>
          <w:szCs w:val="20"/>
          <w:color w:val="auto"/>
        </w:rPr>
        <w:t>*</w:t>
      </w:r>
    </w:p>
    <w:p>
      <w:pPr>
        <w:spacing w:after="0" w:line="55" w:lineRule="exact"/>
        <w:rPr>
          <w:sz w:val="20"/>
          <w:szCs w:val="20"/>
          <w:color w:val="auto"/>
        </w:rPr>
      </w:pPr>
    </w:p>
    <w:p>
      <w:pPr>
        <w:ind w:left="120"/>
        <w:spacing w:after="0"/>
        <w:tabs>
          <w:tab w:leader="none" w:pos="1740" w:val="left"/>
        </w:tabs>
        <w:rPr>
          <w:sz w:val="20"/>
          <w:szCs w:val="20"/>
          <w:color w:val="auto"/>
        </w:rPr>
      </w:pPr>
      <w:r>
        <w:rPr>
          <w:rFonts w:ascii="Times New Roman" w:cs="Times New Roman" w:eastAsia="Times New Roman" w:hAnsi="Times New Roman"/>
          <w:sz w:val="20"/>
          <w:szCs w:val="20"/>
          <w:color w:val="auto"/>
        </w:rPr>
        <w:t>535,643</w:t>
      </w:r>
      <w:r>
        <w:rPr>
          <w:sz w:val="20"/>
          <w:szCs w:val="20"/>
          <w:color w:val="auto"/>
        </w:rPr>
        <w:tab/>
      </w:r>
      <w:r>
        <w:rPr>
          <w:rFonts w:ascii="Times New Roman" w:cs="Times New Roman" w:eastAsia="Times New Roman" w:hAnsi="Times New Roman"/>
          <w:sz w:val="20"/>
          <w:szCs w:val="20"/>
          <w:color w:val="auto"/>
        </w:rPr>
        <w:t>*</w:t>
      </w:r>
    </w:p>
    <w:p>
      <w:pPr>
        <w:spacing w:after="0" w:line="55" w:lineRule="exact"/>
        <w:rPr>
          <w:sz w:val="20"/>
          <w:szCs w:val="20"/>
          <w:color w:val="auto"/>
        </w:rPr>
      </w:pPr>
    </w:p>
    <w:p>
      <w:pPr>
        <w:ind w:left="120"/>
        <w:spacing w:after="0"/>
        <w:tabs>
          <w:tab w:leader="none" w:pos="1740" w:val="left"/>
        </w:tabs>
        <w:rPr>
          <w:sz w:val="20"/>
          <w:szCs w:val="20"/>
          <w:color w:val="auto"/>
        </w:rPr>
      </w:pPr>
      <w:r>
        <w:rPr>
          <w:rFonts w:ascii="Times New Roman" w:cs="Times New Roman" w:eastAsia="Times New Roman" w:hAnsi="Times New Roman"/>
          <w:sz w:val="20"/>
          <w:szCs w:val="20"/>
          <w:color w:val="auto"/>
        </w:rPr>
        <w:t>331,793</w:t>
      </w:r>
      <w:r>
        <w:rPr>
          <w:sz w:val="20"/>
          <w:szCs w:val="20"/>
          <w:color w:val="auto"/>
        </w:rPr>
        <w:tab/>
      </w:r>
      <w:r>
        <w:rPr>
          <w:rFonts w:ascii="Times New Roman" w:cs="Times New Roman" w:eastAsia="Times New Roman" w:hAnsi="Times New Roman"/>
          <w:sz w:val="20"/>
          <w:szCs w:val="20"/>
          <w:color w:val="auto"/>
        </w:rPr>
        <w:t>*</w:t>
      </w:r>
    </w:p>
    <w:p>
      <w:pPr>
        <w:spacing w:after="0" w:line="55" w:lineRule="exact"/>
        <w:rPr>
          <w:sz w:val="20"/>
          <w:szCs w:val="20"/>
          <w:color w:val="auto"/>
        </w:rPr>
      </w:pPr>
    </w:p>
    <w:p>
      <w:pPr>
        <w:ind w:left="120"/>
        <w:spacing w:after="0"/>
        <w:tabs>
          <w:tab w:leader="none" w:pos="1740" w:val="left"/>
        </w:tabs>
        <w:rPr>
          <w:sz w:val="20"/>
          <w:szCs w:val="20"/>
          <w:color w:val="auto"/>
        </w:rPr>
      </w:pPr>
      <w:r>
        <w:rPr>
          <w:rFonts w:ascii="Times New Roman" w:cs="Times New Roman" w:eastAsia="Times New Roman" w:hAnsi="Times New Roman"/>
          <w:sz w:val="20"/>
          <w:szCs w:val="20"/>
          <w:color w:val="auto"/>
        </w:rPr>
        <w:t>122,576</w:t>
      </w:r>
      <w:r>
        <w:rPr>
          <w:sz w:val="20"/>
          <w:szCs w:val="20"/>
          <w:color w:val="auto"/>
        </w:rPr>
        <w:tab/>
      </w:r>
      <w:r>
        <w:rPr>
          <w:rFonts w:ascii="Times New Roman" w:cs="Times New Roman" w:eastAsia="Times New Roman" w:hAnsi="Times New Roman"/>
          <w:sz w:val="20"/>
          <w:szCs w:val="20"/>
          <w:color w:val="auto"/>
        </w:rPr>
        <w:t>*</w:t>
      </w:r>
    </w:p>
    <w:p>
      <w:pPr>
        <w:spacing w:after="0" w:line="55"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0"/>
          <w:szCs w:val="20"/>
          <w:color w:val="auto"/>
        </w:rPr>
        <w:t>53,024,146</w:t>
      </w:r>
      <w:r>
        <w:rPr>
          <w:sz w:val="20"/>
          <w:szCs w:val="20"/>
          <w:color w:val="auto"/>
        </w:rPr>
        <w:tab/>
      </w:r>
      <w:r>
        <w:rPr>
          <w:rFonts w:ascii="Times New Roman" w:cs="Times New Roman" w:eastAsia="Times New Roman" w:hAnsi="Times New Roman"/>
          <w:sz w:val="20"/>
          <w:szCs w:val="20"/>
          <w:color w:val="auto"/>
        </w:rPr>
        <w:t>40.4%</w:t>
      </w:r>
    </w:p>
    <w:p>
      <w:pPr>
        <w:spacing w:after="0" w:line="340"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0"/>
          <w:szCs w:val="20"/>
          <w:color w:val="auto"/>
        </w:rPr>
        <w:t>12,594,211</w:t>
      </w:r>
      <w:r>
        <w:rPr>
          <w:sz w:val="20"/>
          <w:szCs w:val="20"/>
          <w:color w:val="auto"/>
        </w:rPr>
        <w:tab/>
      </w:r>
      <w:r>
        <w:rPr>
          <w:rFonts w:ascii="Times New Roman" w:cs="Times New Roman" w:eastAsia="Times New Roman" w:hAnsi="Times New Roman"/>
          <w:sz w:val="20"/>
          <w:szCs w:val="20"/>
          <w:color w:val="auto"/>
        </w:rPr>
        <w:t>10.1%</w:t>
      </w:r>
    </w:p>
    <w:p>
      <w:pPr>
        <w:spacing w:after="0" w:line="55"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0"/>
          <w:szCs w:val="20"/>
          <w:color w:val="auto"/>
        </w:rPr>
        <w:t>17,653,917</w:t>
      </w:r>
      <w:r>
        <w:rPr>
          <w:sz w:val="20"/>
          <w:szCs w:val="20"/>
          <w:color w:val="auto"/>
        </w:rPr>
        <w:tab/>
      </w:r>
      <w:r>
        <w:rPr>
          <w:rFonts w:ascii="Times New Roman" w:cs="Times New Roman" w:eastAsia="Times New Roman" w:hAnsi="Times New Roman"/>
          <w:sz w:val="20"/>
          <w:szCs w:val="20"/>
          <w:color w:val="auto"/>
        </w:rPr>
        <w:t>14.1%</w:t>
      </w:r>
    </w:p>
    <w:p>
      <w:pPr>
        <w:spacing w:after="0" w:line="55" w:lineRule="exact"/>
        <w:rPr>
          <w:sz w:val="20"/>
          <w:szCs w:val="20"/>
          <w:color w:val="auto"/>
        </w:rPr>
      </w:pPr>
    </w:p>
    <w:p>
      <w:pPr>
        <w:ind w:left="60"/>
        <w:spacing w:after="0"/>
        <w:tabs>
          <w:tab w:leader="none" w:pos="1580" w:val="left"/>
        </w:tabs>
        <w:rPr>
          <w:sz w:val="20"/>
          <w:szCs w:val="20"/>
          <w:color w:val="auto"/>
        </w:rPr>
      </w:pPr>
      <w:r>
        <w:rPr>
          <w:rFonts w:ascii="Times New Roman" w:cs="Times New Roman" w:eastAsia="Times New Roman" w:hAnsi="Times New Roman"/>
          <w:sz w:val="20"/>
          <w:szCs w:val="20"/>
          <w:color w:val="auto"/>
        </w:rPr>
        <w:t>7,172,985</w:t>
      </w:r>
      <w:r>
        <w:rPr>
          <w:sz w:val="20"/>
          <w:szCs w:val="20"/>
          <w:color w:val="auto"/>
        </w:rPr>
        <w:tab/>
      </w:r>
      <w:r>
        <w:rPr>
          <w:rFonts w:ascii="Times New Roman" w:cs="Times New Roman" w:eastAsia="Times New Roman" w:hAnsi="Times New Roman"/>
          <w:sz w:val="20"/>
          <w:szCs w:val="20"/>
          <w:color w:val="auto"/>
        </w:rPr>
        <w:t>5.7%</w:t>
      </w:r>
    </w:p>
    <w:p>
      <w:pPr>
        <w:spacing w:after="0" w:line="55" w:lineRule="exact"/>
        <w:rPr>
          <w:sz w:val="20"/>
          <w:szCs w:val="20"/>
          <w:color w:val="auto"/>
        </w:rPr>
      </w:pPr>
    </w:p>
    <w:p>
      <w:pPr>
        <w:ind w:left="60"/>
        <w:spacing w:after="0"/>
        <w:tabs>
          <w:tab w:leader="none" w:pos="1580" w:val="left"/>
        </w:tabs>
        <w:rPr>
          <w:sz w:val="20"/>
          <w:szCs w:val="20"/>
          <w:color w:val="auto"/>
        </w:rPr>
      </w:pPr>
      <w:r>
        <w:rPr>
          <w:rFonts w:ascii="Times New Roman" w:cs="Times New Roman" w:eastAsia="Times New Roman" w:hAnsi="Times New Roman"/>
          <w:sz w:val="20"/>
          <w:szCs w:val="20"/>
          <w:color w:val="auto"/>
        </w:rPr>
        <w:t>6,640,092</w:t>
      </w:r>
      <w:r>
        <w:rPr>
          <w:sz w:val="20"/>
          <w:szCs w:val="20"/>
          <w:color w:val="auto"/>
        </w:rPr>
        <w:tab/>
      </w:r>
      <w:r>
        <w:rPr>
          <w:rFonts w:ascii="Times New Roman" w:cs="Times New Roman" w:eastAsia="Times New Roman" w:hAnsi="Times New Roman"/>
          <w:sz w:val="20"/>
          <w:szCs w:val="20"/>
          <w:color w:val="auto"/>
        </w:rPr>
        <w:t>5.3%</w:t>
      </w:r>
    </w:p>
    <w:p>
      <w:pPr>
        <w:spacing w:after="0" w:line="993" w:lineRule="exact"/>
        <w:rPr>
          <w:sz w:val="20"/>
          <w:szCs w:val="20"/>
          <w:color w:val="auto"/>
        </w:rPr>
      </w:pPr>
    </w:p>
    <w:p>
      <w:pPr>
        <w:sectPr>
          <w:pgSz w:w="12240" w:h="15840" w:orient="portrait"/>
          <w:cols w:equalWidth="0" w:num="2">
            <w:col w:w="7100" w:space="340"/>
            <w:col w:w="2380"/>
          </w:cols>
          <w:pgMar w:left="1360" w:top="856" w:right="1060" w:bottom="0" w:gutter="0" w:footer="0" w:header="0"/>
        </w:sectPr>
      </w:pPr>
    </w:p>
    <w:p>
      <w:pPr>
        <w:ind w:left="440" w:right="40" w:hanging="322"/>
        <w:spacing w:after="0" w:line="219" w:lineRule="auto"/>
        <w:tabs>
          <w:tab w:leader="none" w:pos="44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10,014,488 shares held by Mr. Patel, (ii) 5,280,476 shares held by PFV I, LLC, (iii) 1,814,035 shares held by the Sujal Patel 2020 Children's Trust, u/a/d December 3, 2020 (the “Patel Trust”) and (iv) 1,035,850 shares subject to options held by Mr. Patel exercisable withing 60 days of February 15, 2024. Mr. Patel is the manager of PFV I, LLC and a trustee of the Patel Trust and as such has voting and investment control over the shares held by PFV I, LLC and the Patel Trust. Mr. Patel disclaims, for purposes of Section 16 of the Securities Exchange Act of 1934, beneficial ownership of the securities held by the Patel Trust, except to the extent of any pecuniary interest therein, and this report shall not be deemed an admission that Mr. Patel is the beneficial owner of such securities for purposes of Section 16 or for any other purposes.</w:t>
      </w:r>
    </w:p>
    <w:p>
      <w:pPr>
        <w:spacing w:after="0" w:line="37" w:lineRule="exact"/>
        <w:rPr>
          <w:rFonts w:ascii="Times New Roman" w:cs="Times New Roman" w:eastAsia="Times New Roman" w:hAnsi="Times New Roman"/>
          <w:sz w:val="16"/>
          <w:szCs w:val="16"/>
          <w:color w:val="auto"/>
        </w:rPr>
      </w:pPr>
    </w:p>
    <w:p>
      <w:pPr>
        <w:ind w:left="440" w:right="100" w:hanging="322"/>
        <w:spacing w:after="0" w:line="221" w:lineRule="auto"/>
        <w:tabs>
          <w:tab w:leader="none" w:pos="44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20,479,892 shares held by Dr. Mallick, (ii) 200,000 shares held by The Dream Finder Foundation, and (iii) 600,678 shares subject to options held by Dr. Mallick exercisable within 60 days of February 15, 2024. Dr. Mallick has voting and investment control over the shares held by The Dream Finder Foundation. Dr. Mallick disclaims, for purposes of Section 16 of the Securities Exchange Act of 1934, beneficial ownership of the securities held by The Dream Finder Foundation, except to the extent of any pecuniary interest therein, and this report shall not be deemed an admission that Dr. Mallick is the beneficial owner of such securities for purposes of Section 16 or for any other purposes.</w:t>
      </w:r>
    </w:p>
    <w:p>
      <w:pPr>
        <w:spacing w:after="0" w:line="37" w:lineRule="exact"/>
        <w:rPr>
          <w:rFonts w:ascii="Times New Roman" w:cs="Times New Roman" w:eastAsia="Times New Roman" w:hAnsi="Times New Roman"/>
          <w:sz w:val="16"/>
          <w:szCs w:val="16"/>
          <w:color w:val="auto"/>
        </w:rPr>
      </w:pPr>
    </w:p>
    <w:p>
      <w:pPr>
        <w:ind w:left="440" w:right="340" w:hanging="322"/>
        <w:spacing w:after="0"/>
        <w:tabs>
          <w:tab w:leader="none" w:pos="44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60,500 shares held by Ms. Mowry and (ii) 551,236 shares subject to options held by Ms. Mowry exercisable within 60 days of February 15, 2024.</w:t>
      </w:r>
    </w:p>
    <w:p>
      <w:pPr>
        <w:spacing w:after="0" w:line="32" w:lineRule="exact"/>
        <w:rPr>
          <w:rFonts w:ascii="Times New Roman" w:cs="Times New Roman" w:eastAsia="Times New Roman" w:hAnsi="Times New Roman"/>
          <w:sz w:val="16"/>
          <w:szCs w:val="16"/>
          <w:color w:val="auto"/>
        </w:rPr>
      </w:pPr>
    </w:p>
    <w:p>
      <w:pPr>
        <w:ind w:left="440" w:hanging="322"/>
        <w:spacing w:after="0"/>
        <w:tabs>
          <w:tab w:leader="none" w:pos="44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shares subject to options held by Ms. Epperly exercisable within 60 days of February 15, 2024.</w:t>
      </w:r>
    </w:p>
    <w:p>
      <w:pPr>
        <w:spacing w:after="0" w:line="56" w:lineRule="exact"/>
        <w:rPr>
          <w:rFonts w:ascii="Times New Roman" w:cs="Times New Roman" w:eastAsia="Times New Roman" w:hAnsi="Times New Roman"/>
          <w:sz w:val="16"/>
          <w:szCs w:val="16"/>
          <w:color w:val="auto"/>
        </w:rPr>
      </w:pPr>
    </w:p>
    <w:p>
      <w:pPr>
        <w:ind w:left="440" w:hanging="322"/>
        <w:spacing w:after="0"/>
        <w:tabs>
          <w:tab w:leader="none" w:pos="44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the shares set forth in footnote 15 below.</w:t>
      </w:r>
    </w:p>
    <w:p>
      <w:pPr>
        <w:spacing w:after="0" w:line="51" w:lineRule="exact"/>
        <w:rPr>
          <w:rFonts w:ascii="Times New Roman" w:cs="Times New Roman" w:eastAsia="Times New Roman" w:hAnsi="Times New Roman"/>
          <w:sz w:val="16"/>
          <w:szCs w:val="16"/>
          <w:color w:val="auto"/>
        </w:rPr>
      </w:pPr>
    </w:p>
    <w:p>
      <w:pPr>
        <w:jc w:val="both"/>
        <w:ind w:left="440" w:right="80" w:hanging="322"/>
        <w:spacing w:after="0" w:line="229" w:lineRule="auto"/>
        <w:tabs>
          <w:tab w:leader="none" w:pos="44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1,888,146 shares held by HAND Capital, LLC and (ii) 160,247 shares subject to options held by Mr. Nazem exercisable within 60 days of February 15, 2024. Mr. Nazem is the manager of HAND Capital, LLC and as such has voting and investment power over the shares held by HAND Capital, LLC.</w:t>
      </w:r>
    </w:p>
    <w:p>
      <w:pPr>
        <w:spacing w:after="0" w:line="38" w:lineRule="exact"/>
        <w:rPr>
          <w:rFonts w:ascii="Times New Roman" w:cs="Times New Roman" w:eastAsia="Times New Roman" w:hAnsi="Times New Roman"/>
          <w:sz w:val="16"/>
          <w:szCs w:val="16"/>
          <w:color w:val="auto"/>
        </w:rPr>
      </w:pPr>
    </w:p>
    <w:p>
      <w:pPr>
        <w:ind w:left="440" w:right="120" w:hanging="322"/>
        <w:spacing w:after="0"/>
        <w:tabs>
          <w:tab w:leader="none" w:pos="44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shares subject to options held by Mr. Pande exercisable within 60 days of February 15, 2024. Mr. Pande has no voting or investment control over the shares held by entities affiliated with Andreessen Horowitz that are included in footnote 13 below.</w:t>
      </w:r>
    </w:p>
    <w:p>
      <w:pPr>
        <w:spacing w:after="0" w:line="27" w:lineRule="exact"/>
        <w:rPr>
          <w:rFonts w:ascii="Times New Roman" w:cs="Times New Roman" w:eastAsia="Times New Roman" w:hAnsi="Times New Roman"/>
          <w:sz w:val="16"/>
          <w:szCs w:val="16"/>
          <w:color w:val="auto"/>
        </w:rPr>
      </w:pPr>
    </w:p>
    <w:p>
      <w:pPr>
        <w:jc w:val="both"/>
        <w:ind w:left="440" w:right="280" w:hanging="322"/>
        <w:spacing w:after="0" w:line="229" w:lineRule="auto"/>
        <w:tabs>
          <w:tab w:leader="none" w:pos="44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50,000 shares held by Mr. Posard, (ii) 100,000 shares held by the Matthew and Elizabeth Posard Trust and (iii) 385,643 shares subject to options held by Mr. Posard exercisable within 60 days of February 15, 2024. Mr. Posard is the trustee of the Matthew and Elizabeth Posard Trust and as such has voting and investment control over shares held by the Matthew and Elizabeth Posard Trust.</w:t>
      </w:r>
    </w:p>
    <w:p>
      <w:pPr>
        <w:spacing w:after="0" w:line="38" w:lineRule="exact"/>
        <w:rPr>
          <w:rFonts w:ascii="Times New Roman" w:cs="Times New Roman" w:eastAsia="Times New Roman" w:hAnsi="Times New Roman"/>
          <w:sz w:val="16"/>
          <w:szCs w:val="16"/>
          <w:color w:val="auto"/>
        </w:rPr>
      </w:pPr>
    </w:p>
    <w:p>
      <w:pPr>
        <w:ind w:left="440" w:right="260" w:hanging="322"/>
        <w:spacing w:after="0"/>
        <w:tabs>
          <w:tab w:leader="none" w:pos="44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165,860 shares held by Mr. Altman and (ii) 165,933 shares subject to options held by Mr. Altman exercisable within 60 days of February 15, 2024.</w:t>
      </w:r>
    </w:p>
    <w:p>
      <w:pPr>
        <w:spacing w:after="0" w:line="32" w:lineRule="exact"/>
        <w:rPr>
          <w:sz w:val="20"/>
          <w:szCs w:val="20"/>
          <w:color w:val="auto"/>
        </w:rPr>
      </w:pPr>
    </w:p>
    <w:p>
      <w:pPr>
        <w:ind w:left="440" w:hanging="362"/>
        <w:spacing w:after="0"/>
        <w:tabs>
          <w:tab w:leader="none" w:pos="44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shares subject to options held by Ms. Akinsanya exercisable within 60 days of February 15, 2024.</w:t>
      </w:r>
    </w:p>
    <w:p>
      <w:pPr>
        <w:spacing w:after="0" w:line="61" w:lineRule="exact"/>
        <w:rPr>
          <w:rFonts w:ascii="Times New Roman" w:cs="Times New Roman" w:eastAsia="Times New Roman" w:hAnsi="Times New Roman"/>
          <w:sz w:val="16"/>
          <w:szCs w:val="16"/>
          <w:color w:val="auto"/>
        </w:rPr>
      </w:pPr>
    </w:p>
    <w:p>
      <w:pPr>
        <w:ind w:left="440" w:right="20" w:hanging="362"/>
        <w:spacing w:after="0"/>
        <w:tabs>
          <w:tab w:leader="none" w:pos="44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46,713,632 shares beneficially owned by the directors and officers and (ii) 6,310,514 shares subject to options held by the directors and officers exercisable within 60 days of February 15, 2024.</w:t>
      </w:r>
    </w:p>
    <w:p>
      <w:pPr>
        <w:spacing w:after="0" w:line="27" w:lineRule="exact"/>
        <w:rPr>
          <w:rFonts w:ascii="Times New Roman" w:cs="Times New Roman" w:eastAsia="Times New Roman" w:hAnsi="Times New Roman"/>
          <w:sz w:val="16"/>
          <w:szCs w:val="16"/>
          <w:color w:val="auto"/>
        </w:rPr>
      </w:pPr>
    </w:p>
    <w:p>
      <w:pPr>
        <w:ind w:left="440" w:hanging="362"/>
        <w:spacing w:after="0" w:line="219" w:lineRule="auto"/>
        <w:tabs>
          <w:tab w:leader="none" w:pos="44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12,428,351 shares held by Perceptive Life Sciences Master Fund Ltd. (the “Master Fund”) and (ii) 165,860 shares held by C2 Life Sciences LLC (“C2 Life Sciences”). Perceptive Advisors LLC (the “Advisor”) serves as the investment manager of Master Fund and C2 Life Sciences. Joseph Edelman is the managing member of the Advisor. Each of Mr. Edelman and the Advisor disclaims, for purposes of Section 16 of the Securities Exchange Act of 1934, beneficial ownership of such securities, except to the extent of his/its indirect pecuniary interest therein, and this report shall not be deemed an admission that either Mr. Edelman or the Advisor is the beneficial owner of such securities for purposes of Section 16 or for any other purposes. The address for the persons and entities set forth herein is 51 Astor Place, 10th Floor, New York, NY 10003.</w:t>
      </w:r>
    </w:p>
    <w:p>
      <w:pPr>
        <w:sectPr>
          <w:pgSz w:w="12240" w:h="15840" w:orient="portrait"/>
          <w:cols w:equalWidth="0" w:num="1">
            <w:col w:w="9820"/>
          </w:cols>
          <w:pgMar w:left="1360" w:top="856" w:right="10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139</w:t>
      </w:r>
    </w:p>
    <w:p>
      <w:pPr>
        <w:sectPr>
          <w:pgSz w:w="12240" w:h="15840" w:orient="portrait"/>
          <w:cols w:equalWidth="0" w:num="1">
            <w:col w:w="9820"/>
          </w:cols>
          <w:pgMar w:left="1360" w:top="856" w:right="1060" w:bottom="0" w:gutter="0" w:footer="0" w:header="0"/>
          <w:type w:val="continuous"/>
        </w:sectPr>
      </w:pPr>
    </w:p>
    <w:bookmarkStart w:id="141" w:name="page142"/>
    <w:bookmarkEnd w:id="141"/>
    <w:p>
      <w:pPr>
        <w:ind w:left="800" w:right="100" w:hanging="362"/>
        <w:spacing w:after="0" w:line="253" w:lineRule="auto"/>
        <w:tabs>
          <w:tab w:leader="none" w:pos="80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16,298,006 shares held by AH Bio Fund II, L.P., for itself and as nominee for AH Bio Fund II-B, L.P. (collectively, the “AH Bio Fund II Entities”) and (ii) 1,355,911 shares held by Andreessen Horowitz LSV Fund II, L.P., for itself and as nominee for Andreessen Horowitz LSV Fund II-B, L.P. and Andreessen Horowitz LSV Fund II-Q, L.P. (collectively, the “AH LSV Fund II Entities”). AH Equity Partners Bio II, L.L.C. (“AH EP Bio II”), the general partner of the AH Bio Fund II Entities, may be deemed to have sole voting and dispositive power over the shares held by the AH Bio Fund II Entities. AH Equity Partners LSV II, L.L.C. (“AH EP LSV II”), the general partner of the AH LSV Fund II Entities, may be deemed to have sole voting and dispositive power over the shares held by the AH LSV Fund II Entities. The managing members of each of AH EP Bio II and AH EP LSV II are Marc Andreessen and Ben Horowitz, and each of them may be deemed to hold shared voting and dispositive power over the shares held by the AH Bio Fund II Entities and AH LSV Fund II Entities. Shares held by each of these entities include shares that may be subsequently sold by each of Marc Andreessen, Ben Horowitz and Vijay Pande, a member of Nautilus’ board of directors, following in-kind distributions of shares by these entities. The address for the persons and entities set forth herein is 2865 Sand Hill Road, Suite 101, Menlo Park, CA 94025.</w:t>
      </w:r>
    </w:p>
    <w:p>
      <w:pPr>
        <w:spacing w:after="0" w:line="26" w:lineRule="exact"/>
        <w:rPr>
          <w:rFonts w:ascii="Times New Roman" w:cs="Times New Roman" w:eastAsia="Times New Roman" w:hAnsi="Times New Roman"/>
          <w:sz w:val="16"/>
          <w:szCs w:val="16"/>
          <w:color w:val="auto"/>
        </w:rPr>
      </w:pPr>
    </w:p>
    <w:p>
      <w:pPr>
        <w:ind w:left="800" w:right="20" w:hanging="362"/>
        <w:spacing w:after="0" w:line="216" w:lineRule="auto"/>
        <w:tabs>
          <w:tab w:leader="none" w:pos="80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Consists of (i) 3,586,493 shares held by Vulcan Capital Holdings Columbia LLC (“VCHC”) and (ii) 3,586,492 shares held by VCVC V LLC (“VCVC”). Based solely on the most recently available Schedule 13G filed with the SEC on February 13, 2023, Cercano Management LLC (“Cercano”) may be deemed to be the beneficial owner of such shares as Cercano acts as an investment adviser to VCHC and VCVC pursuant to investment management agreements whereby all voting and investment discretion has been contractually allocated to Cercano, and such discretion may not be revoked with less than 61 days’ notice, and Christopher N. Ordnorff may also be deemed to be the beneficial owner of such shares because he controls Cercano in his position as managing member of Cercano. </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color w:val="auto"/>
        </w:rPr>
        <w:t>Both Cercano and Mr. Orndorff disclaim, for purposes of Section 16 of the Securities Exchange Act of 1934, beneficial ownership of these securities, except to the extent of their respective pecuniary interests therein, and this report shall not be deemed an admission that either of Cercano or Mr. Orndorff is the beneficial owner of such securities for purposes of Section 16 or for any other purposes. The address for the foregoing entities is 1110 112th Avenue NE, Suite 202, Bellevue, WA 98004.</w:t>
      </w:r>
      <w:r>
        <w:rPr>
          <w:rFonts w:ascii="Arial" w:cs="Arial" w:eastAsia="Arial" w:hAnsi="Arial"/>
          <w:sz w:val="16"/>
          <w:szCs w:val="16"/>
          <w:b w:val="1"/>
          <w:bCs w:val="1"/>
          <w:color w:val="auto"/>
        </w:rPr>
        <w:t xml:space="preserve"> </w:t>
      </w:r>
    </w:p>
    <w:p>
      <w:pPr>
        <w:spacing w:after="0" w:line="27" w:lineRule="exact"/>
        <w:rPr>
          <w:rFonts w:ascii="Times New Roman" w:cs="Times New Roman" w:eastAsia="Times New Roman" w:hAnsi="Times New Roman"/>
          <w:sz w:val="16"/>
          <w:szCs w:val="16"/>
          <w:color w:val="auto"/>
        </w:rPr>
      </w:pPr>
    </w:p>
    <w:p>
      <w:pPr>
        <w:ind w:left="800" w:right="80" w:hanging="362"/>
        <w:spacing w:after="0" w:line="216" w:lineRule="auto"/>
        <w:tabs>
          <w:tab w:leader="none" w:pos="80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5,798,394 shares held by Madrona Venture Fund VI, LP (“Madrona Fund VI”), (ii) 222,376 shares held by Madrona Venture Fund VI-A, LP (“Madrona Fund VI-A”), (iii) 459,075 shares held by Mr. McIlwain and (iv) 160,247 shares subject to options held by Mr. McIlwain exercisable within 60 days of February 15, 2024. Madrona Investment Partners VI, L.P. (“Madrona Partners VI”) is the general partner of each of Madrona Fund VI and Madrona Fund VI-A, and Madrona VI General Partner, LLC (“Madrona VI LLC”) is the general partner of Madrona Partners VI. Matthew McIlwain, together with Paul Goodrich, Scott Jacobson, Len Jordon, Tim Porter, Soma Somasegar, Hope Cochran, and Steve Singh are the managing members of Madrona VI LLC, and each may be deemed to share voting and investment power over the securities held by Madrona Fund VI and Madrona Fund VI-A. Each of such individuals disclaims beneficial ownership over such securities except to the extent of his pecuniary interest therein. The address for the persons and entities set forth herein is 999 Third Avenue, 34th Floor, Seattle, WA.</w:t>
      </w:r>
    </w:p>
    <w:p>
      <w:pPr>
        <w:spacing w:after="0" w:line="235" w:lineRule="exact"/>
        <w:rPr>
          <w:sz w:val="20"/>
          <w:szCs w:val="20"/>
          <w:color w:val="auto"/>
        </w:rPr>
      </w:pPr>
    </w:p>
    <w:p>
      <w:pPr>
        <w:ind w:right="240" w:firstLine="360"/>
        <w:spacing w:after="0" w:line="268" w:lineRule="auto"/>
        <w:rPr>
          <w:sz w:val="20"/>
          <w:szCs w:val="20"/>
          <w:color w:val="auto"/>
        </w:rPr>
      </w:pPr>
      <w:r>
        <w:rPr>
          <w:rFonts w:ascii="Times New Roman" w:cs="Times New Roman" w:eastAsia="Times New Roman" w:hAnsi="Times New Roman"/>
          <w:sz w:val="20"/>
          <w:szCs w:val="20"/>
          <w:color w:val="auto"/>
        </w:rPr>
        <w:t>Please see the sections titled “</w:t>
      </w:r>
      <w:r>
        <w:rPr>
          <w:rFonts w:ascii="Times New Roman" w:cs="Times New Roman" w:eastAsia="Times New Roman" w:hAnsi="Times New Roman"/>
          <w:sz w:val="20"/>
          <w:szCs w:val="20"/>
          <w:b w:val="1"/>
          <w:bCs w:val="1"/>
          <w:i w:val="1"/>
          <w:iCs w:val="1"/>
          <w:color w:val="auto"/>
        </w:rPr>
        <w:t>Executive Compensation</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Certain Relationships and Related Transactions,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Director Independence</w:t>
      </w:r>
      <w:r>
        <w:rPr>
          <w:rFonts w:ascii="Times New Roman" w:cs="Times New Roman" w:eastAsia="Times New Roman" w:hAnsi="Times New Roman"/>
          <w:sz w:val="20"/>
          <w:szCs w:val="20"/>
          <w:color w:val="auto"/>
        </w:rPr>
        <w:t>” appearing elsewhere in this Annual Report for information regarding material relationships with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principal securityholders within the past two years.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197" w:lineRule="exact"/>
        <w:rPr>
          <w:sz w:val="20"/>
          <w:szCs w:val="20"/>
          <w:color w:val="auto"/>
        </w:rPr>
      </w:pPr>
    </w:p>
    <w:p>
      <w:pPr>
        <w:ind w:right="20" w:firstLine="360"/>
        <w:spacing w:after="0" w:line="281" w:lineRule="auto"/>
        <w:rPr>
          <w:sz w:val="20"/>
          <w:szCs w:val="20"/>
          <w:color w:val="auto"/>
        </w:rPr>
      </w:pPr>
      <w:r>
        <w:rPr>
          <w:rFonts w:ascii="Times New Roman" w:cs="Times New Roman" w:eastAsia="Times New Roman" w:hAnsi="Times New Roman"/>
          <w:sz w:val="20"/>
          <w:szCs w:val="20"/>
          <w:color w:val="auto"/>
        </w:rPr>
        <w:t>Described below are any transactions occurring since January 1, 2022 and any currently proposed transactions in which we have been or are a party, and in which:</w:t>
      </w:r>
    </w:p>
    <w:p>
      <w:pPr>
        <w:spacing w:after="0" w:line="121" w:lineRule="exact"/>
        <w:rPr>
          <w:sz w:val="20"/>
          <w:szCs w:val="20"/>
          <w:color w:val="auto"/>
        </w:rPr>
      </w:pPr>
    </w:p>
    <w:p>
      <w:pPr>
        <w:ind w:right="180" w:firstLine="350"/>
        <w:spacing w:after="0" w:line="281" w:lineRule="auto"/>
        <w:tabs>
          <w:tab w:leader="none" w:pos="72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amounts involved exceeded or will exceed the lesser of $120,000 or 1% of the average of our total assets at year-end for the last two completed fiscal years; and</w:t>
      </w:r>
    </w:p>
    <w:p>
      <w:pPr>
        <w:spacing w:after="0" w:line="121" w:lineRule="exact"/>
        <w:rPr>
          <w:rFonts w:ascii="Times New Roman" w:cs="Times New Roman" w:eastAsia="Times New Roman" w:hAnsi="Times New Roman"/>
          <w:sz w:val="20"/>
          <w:szCs w:val="20"/>
          <w:color w:val="auto"/>
        </w:rPr>
      </w:pPr>
    </w:p>
    <w:p>
      <w:pPr>
        <w:ind w:right="60" w:firstLine="350"/>
        <w:spacing w:after="0" w:line="281" w:lineRule="auto"/>
        <w:tabs>
          <w:tab w:leader="none" w:pos="72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director, executive officer, holder of more than 5% of our outstanding capital stock, or any member of such person’s immediate family had or will have a direct or indirect material interest.</w:t>
      </w:r>
    </w:p>
    <w:p>
      <w:pPr>
        <w:spacing w:after="0" w:line="1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Our Policies and Procedures for Related Party Transactions</w:t>
      </w:r>
    </w:p>
    <w:p>
      <w:pPr>
        <w:spacing w:after="0" w:line="199" w:lineRule="exact"/>
        <w:rPr>
          <w:sz w:val="20"/>
          <w:szCs w:val="20"/>
          <w:color w:val="auto"/>
        </w:rPr>
      </w:pPr>
    </w:p>
    <w:p>
      <w:pPr>
        <w:ind w:right="60" w:firstLine="360"/>
        <w:spacing w:after="0" w:line="258" w:lineRule="auto"/>
        <w:rPr>
          <w:sz w:val="20"/>
          <w:szCs w:val="20"/>
          <w:color w:val="auto"/>
        </w:rPr>
      </w:pPr>
      <w:r>
        <w:rPr>
          <w:rFonts w:ascii="Times New Roman" w:cs="Times New Roman" w:eastAsia="Times New Roman" w:hAnsi="Times New Roman"/>
          <w:sz w:val="20"/>
          <w:szCs w:val="20"/>
          <w:color w:val="auto"/>
        </w:rPr>
        <w:t>Our board of directors has adopted a written Related Person Transactions Policy that sets forth our policies and procedures regarding the identification, review, consideration and oversight of “related person transactions.” For purposes of our policy only, a “related person transaction” is a transaction, arrangement or relationship (or any series of similar transactions, arrangements or relationships) in which we or any of our subsidiaries are participants involving an amount that exceeds $120,000, in which any “related person” has a material interest.</w:t>
      </w:r>
    </w:p>
    <w:p>
      <w:pPr>
        <w:spacing w:after="0" w:line="144" w:lineRule="exact"/>
        <w:rPr>
          <w:sz w:val="20"/>
          <w:szCs w:val="20"/>
          <w:color w:val="auto"/>
        </w:rPr>
      </w:pPr>
    </w:p>
    <w:p>
      <w:pPr>
        <w:ind w:right="60" w:firstLine="360"/>
        <w:spacing w:after="0" w:line="260" w:lineRule="auto"/>
        <w:rPr>
          <w:sz w:val="20"/>
          <w:szCs w:val="20"/>
          <w:color w:val="auto"/>
        </w:rPr>
      </w:pPr>
      <w:r>
        <w:rPr>
          <w:rFonts w:ascii="Times New Roman" w:cs="Times New Roman" w:eastAsia="Times New Roman" w:hAnsi="Times New Roman"/>
          <w:sz w:val="20"/>
          <w:szCs w:val="20"/>
          <w:color w:val="auto"/>
        </w:rPr>
        <w:t>Transactions involving compensation for services provided to us as an employee, consultant or director will not be considered related person transactions under this policy. A related person is any executive officer, director, nominee to become a director or a holder of more than 5% of any class of our voting securities (including our Common Stock), including any of their immediate family members and affiliates, including entities owned or controlled by such persons.</w:t>
      </w:r>
    </w:p>
    <w:p>
      <w:pPr>
        <w:spacing w:after="0" w:line="143"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Under the policy, the related person in question or, in the case of transactions with a holder of more than 5% of any class of our voting securities, an officer with knowledge of a proposed transaction, must present information regarding the proposed related person transaction to our audit committee (or, where review by our audit committee would be inappropriate, to another independent body of our board of directors) for review. To identify related person transactions in advance, we will rely on information supplied by our executive officers, directors and certain significant stockholders. In considering related person transactions, our audit committee will take into account the relevant available facts and circumstances, which may include, but are not limited to:</w:t>
      </w:r>
    </w:p>
    <w:p>
      <w:pPr>
        <w:spacing w:after="0" w:line="150" w:lineRule="exact"/>
        <w:rPr>
          <w:sz w:val="20"/>
          <w:szCs w:val="20"/>
          <w:color w:val="auto"/>
        </w:rPr>
      </w:pPr>
    </w:p>
    <w:p>
      <w:pPr>
        <w:ind w:left="720" w:hanging="370"/>
        <w:spacing w:after="0"/>
        <w:tabs>
          <w:tab w:leader="none" w:pos="72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risks, costs, and benefits to us;</w:t>
      </w:r>
    </w:p>
    <w:p>
      <w:pPr>
        <w:sectPr>
          <w:pgSz w:w="12240" w:h="15840" w:orient="portrait"/>
          <w:cols w:equalWidth="0" w:num="1">
            <w:col w:w="10220"/>
          </w:cols>
          <w:pgMar w:left="1000" w:top="870"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ectPr>
          <w:pgSz w:w="12240" w:h="15840" w:orient="portrait"/>
          <w:cols w:equalWidth="0" w:num="1">
            <w:col w:w="10220"/>
          </w:cols>
          <w:pgMar w:left="1000" w:top="870" w:right="1020" w:bottom="0" w:gutter="0" w:footer="0" w:header="0"/>
          <w:type w:val="continuous"/>
        </w:sectPr>
      </w:pPr>
    </w:p>
    <w:bookmarkStart w:id="142" w:name="page143"/>
    <w:bookmarkEnd w:id="142"/>
    <w:p>
      <w:pPr>
        <w:ind w:right="340" w:firstLine="350"/>
        <w:spacing w:after="0" w:line="281" w:lineRule="auto"/>
        <w:tabs>
          <w:tab w:leader="none" w:pos="72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on a director’s independence in the event the related person is a director, immediate family member of a director or an entity with which a director is affiliated;</w:t>
      </w:r>
    </w:p>
    <w:p>
      <w:pPr>
        <w:spacing w:after="0" w:line="12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of the transaction;</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availability of other sources for comparable services or products; and</w:t>
      </w:r>
    </w:p>
    <w:p>
      <w:pPr>
        <w:spacing w:after="0" w:line="19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available to or from, as the case may be, unrelated third parties.</w:t>
      </w:r>
    </w:p>
    <w:p>
      <w:pPr>
        <w:spacing w:after="0" w:line="190" w:lineRule="exact"/>
        <w:rPr>
          <w:sz w:val="20"/>
          <w:szCs w:val="20"/>
          <w:color w:val="auto"/>
        </w:rPr>
      </w:pPr>
    </w:p>
    <w:p>
      <w:pPr>
        <w:ind w:right="840" w:firstLine="360"/>
        <w:spacing w:after="0" w:line="438" w:lineRule="auto"/>
        <w:rPr>
          <w:sz w:val="20"/>
          <w:szCs w:val="20"/>
          <w:color w:val="auto"/>
        </w:rPr>
      </w:pPr>
      <w:r>
        <w:rPr>
          <w:rFonts w:ascii="Times New Roman" w:cs="Times New Roman" w:eastAsia="Times New Roman" w:hAnsi="Times New Roman"/>
          <w:sz w:val="20"/>
          <w:szCs w:val="20"/>
          <w:color w:val="auto"/>
        </w:rPr>
        <w:t xml:space="preserve">Our audit committee will approve only those transactions that it determines are fair to us and in our best interests. </w:t>
      </w:r>
      <w:r>
        <w:rPr>
          <w:rFonts w:ascii="Times New Roman" w:cs="Times New Roman" w:eastAsia="Times New Roman" w:hAnsi="Times New Roman"/>
          <w:sz w:val="20"/>
          <w:szCs w:val="20"/>
          <w:b w:val="1"/>
          <w:bCs w:val="1"/>
          <w:color w:val="auto"/>
        </w:rPr>
        <w:t>Item 14. Principal Accountant Fees and Services</w:t>
      </w:r>
    </w:p>
    <w:p>
      <w:pPr>
        <w:spacing w:after="0" w:line="1" w:lineRule="exact"/>
        <w:rPr>
          <w:sz w:val="20"/>
          <w:szCs w:val="20"/>
          <w:color w:val="auto"/>
        </w:rPr>
      </w:pPr>
    </w:p>
    <w:p>
      <w:pPr>
        <w:ind w:right="280" w:firstLine="360"/>
        <w:spacing w:after="0" w:line="281" w:lineRule="auto"/>
        <w:rPr>
          <w:sz w:val="20"/>
          <w:szCs w:val="20"/>
          <w:color w:val="auto"/>
        </w:rPr>
      </w:pPr>
      <w:r>
        <w:rPr>
          <w:rFonts w:ascii="Times New Roman" w:cs="Times New Roman" w:eastAsia="Times New Roman" w:hAnsi="Times New Roman"/>
          <w:sz w:val="20"/>
          <w:szCs w:val="20"/>
          <w:color w:val="auto"/>
        </w:rPr>
        <w:t>The following table presents fees for professional audit services and other services rendered by PricewaterhouseCoopers LLP to us for our fiscal years ended December 31, 2023 and 2022.</w:t>
      </w:r>
    </w:p>
    <w:p>
      <w:pPr>
        <w:spacing w:after="0" w:line="196" w:lineRule="exact"/>
        <w:rPr>
          <w:sz w:val="20"/>
          <w:szCs w:val="20"/>
          <w:color w:val="auto"/>
        </w:rPr>
      </w:pPr>
    </w:p>
    <w:tbl>
      <w:tblPr>
        <w:tblLayout w:type="fixed"/>
        <w:tblInd w:w="400" w:type="dxa"/>
        <w:tblCellMar>
          <w:top w:w="0" w:type="dxa"/>
          <w:left w:w="0" w:type="dxa"/>
          <w:bottom w:w="0" w:type="dxa"/>
          <w:right w:w="0" w:type="dxa"/>
        </w:tblCellMar>
      </w:tblPr>
      <w:tr>
        <w:trPr>
          <w:trHeight w:val="217"/>
        </w:trPr>
        <w:tc>
          <w:tcPr>
            <w:tcW w:w="71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Audit Fees</w:t>
            </w:r>
            <w:r>
              <w:rPr>
                <w:rFonts w:ascii="Times New Roman" w:cs="Times New Roman" w:eastAsia="Times New Roman" w:hAnsi="Times New Roman"/>
                <w:sz w:val="26"/>
                <w:szCs w:val="26"/>
                <w:color w:val="auto"/>
                <w:vertAlign w:val="superscript"/>
              </w:rPr>
              <w:t>(1)</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66"/>
        </w:trPr>
        <w:tc>
          <w:tcPr>
            <w:tcW w:w="7180" w:type="dxa"/>
            <w:vAlign w:val="bottom"/>
            <w:vMerge w:val="continue"/>
          </w:tcPr>
          <w:p>
            <w:pPr>
              <w:spacing w:after="0"/>
              <w:rPr>
                <w:sz w:val="23"/>
                <w:szCs w:val="23"/>
                <w:color w:val="auto"/>
              </w:rPr>
            </w:pP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913,000</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863,500</w:t>
            </w:r>
          </w:p>
        </w:tc>
        <w:tc>
          <w:tcPr>
            <w:tcW w:w="0" w:type="dxa"/>
            <w:vAlign w:val="bottom"/>
          </w:tcPr>
          <w:p>
            <w:pPr>
              <w:spacing w:after="0"/>
              <w:rPr>
                <w:sz w:val="1"/>
                <w:szCs w:val="1"/>
                <w:color w:val="auto"/>
              </w:rPr>
            </w:pPr>
          </w:p>
        </w:tc>
      </w:tr>
      <w:tr>
        <w:trPr>
          <w:trHeight w:val="281"/>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Audit-Related Fees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Tax Fees</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All Other Fees</w:t>
            </w:r>
            <w:r>
              <w:rPr>
                <w:rFonts w:ascii="Times New Roman" w:cs="Times New Roman" w:eastAsia="Times New Roman" w:hAnsi="Times New Roman"/>
                <w:sz w:val="26"/>
                <w:szCs w:val="26"/>
                <w:color w:val="auto"/>
                <w:vertAlign w:val="superscript"/>
              </w:rPr>
              <w:t>(2)</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2,900</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3,078</w:t>
            </w:r>
          </w:p>
        </w:tc>
        <w:tc>
          <w:tcPr>
            <w:tcW w:w="0" w:type="dxa"/>
            <w:vAlign w:val="bottom"/>
          </w:tcPr>
          <w:p>
            <w:pPr>
              <w:spacing w:after="0"/>
              <w:rPr>
                <w:sz w:val="1"/>
                <w:szCs w:val="1"/>
                <w:color w:val="auto"/>
              </w:rPr>
            </w:pPr>
          </w:p>
        </w:tc>
      </w:tr>
      <w:tr>
        <w:trPr>
          <w:trHeight w:val="265"/>
        </w:trPr>
        <w:tc>
          <w:tcPr>
            <w:tcW w:w="71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Total Fees</w:t>
            </w: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915,900</w:t>
            </w:r>
          </w:p>
        </w:tc>
        <w:tc>
          <w:tcPr>
            <w:tcW w:w="60" w:type="dxa"/>
            <w:vAlign w:val="bottom"/>
          </w:tcPr>
          <w:p>
            <w:pPr>
              <w:spacing w:after="0"/>
              <w:rPr>
                <w:sz w:val="23"/>
                <w:szCs w:val="23"/>
                <w:color w:val="auto"/>
              </w:rPr>
            </w:pP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866,578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-923290</wp:posOffset>
            </wp:positionV>
            <wp:extent cx="6311900" cy="9302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71">
                      <a:extLst>
                        <a:ext uri="{28A0092B-C50C-407E-A947-70E740481C1C}"/>
                      </a:extLst>
                    </a:blip>
                    <a:srcRect/>
                    <a:stretch>
                      <a:fillRect/>
                    </a:stretch>
                  </pic:blipFill>
                  <pic:spPr bwMode="auto">
                    <a:xfrm>
                      <a:off x="0" y="0"/>
                      <a:ext cx="6311900" cy="9302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w:t>
      </w:r>
    </w:p>
    <w:p>
      <w:pPr>
        <w:spacing w:after="0" w:line="254" w:lineRule="exact"/>
        <w:rPr>
          <w:sz w:val="20"/>
          <w:szCs w:val="20"/>
          <w:color w:val="auto"/>
        </w:rPr>
      </w:pPr>
    </w:p>
    <w:p>
      <w:pPr>
        <w:ind w:left="800" w:right="240" w:hanging="322"/>
        <w:spacing w:after="0" w:line="229" w:lineRule="auto"/>
        <w:tabs>
          <w:tab w:leader="none" w:pos="80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Fees” consist of fees billed for professional services rendered in connection with the audit of our financial statements, reviews of our quarterly financial statements and related accounting consultations and services that are normally provided by the independent registered public accountants in connection with statutory and regulatory filings or engagements for those fiscal years.</w:t>
      </w:r>
    </w:p>
    <w:p>
      <w:pPr>
        <w:spacing w:after="0" w:line="40" w:lineRule="exact"/>
        <w:rPr>
          <w:rFonts w:ascii="Times New Roman" w:cs="Times New Roman" w:eastAsia="Times New Roman" w:hAnsi="Times New Roman"/>
          <w:sz w:val="16"/>
          <w:szCs w:val="16"/>
          <w:color w:val="auto"/>
        </w:rPr>
      </w:pPr>
    </w:p>
    <w:p>
      <w:pPr>
        <w:ind w:left="800" w:hanging="322"/>
        <w:spacing w:after="0"/>
        <w:tabs>
          <w:tab w:leader="none" w:pos="80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Other Fees” consist of the cost of a subscription accounting research software.</w:t>
      </w:r>
    </w:p>
    <w:p>
      <w:pPr>
        <w:spacing w:after="0" w:line="2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Auditor Independence</w:t>
      </w:r>
    </w:p>
    <w:p>
      <w:pPr>
        <w:spacing w:after="0" w:line="197" w:lineRule="exact"/>
        <w:rPr>
          <w:sz w:val="20"/>
          <w:szCs w:val="20"/>
          <w:color w:val="auto"/>
        </w:rPr>
      </w:pPr>
    </w:p>
    <w:p>
      <w:pPr>
        <w:ind w:right="40" w:firstLine="360"/>
        <w:spacing w:after="0" w:line="266" w:lineRule="auto"/>
        <w:rPr>
          <w:sz w:val="20"/>
          <w:szCs w:val="20"/>
          <w:color w:val="auto"/>
        </w:rPr>
      </w:pPr>
      <w:r>
        <w:rPr>
          <w:rFonts w:ascii="Times New Roman" w:cs="Times New Roman" w:eastAsia="Times New Roman" w:hAnsi="Times New Roman"/>
          <w:sz w:val="20"/>
          <w:szCs w:val="20"/>
          <w:color w:val="auto"/>
        </w:rPr>
        <w:t>In 2023, there were no other professional services provided by PricewaterhouseCoopers LLP, other than those listed above, that would have required our audit committee to consider their compatibility with maintaining the independence of PricewaterhouseCoopers LLP.</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141</w:t>
      </w:r>
    </w:p>
    <w:p>
      <w:pPr>
        <w:sectPr>
          <w:pgSz w:w="12240" w:h="15840" w:orient="portrait"/>
          <w:cols w:equalWidth="0" w:num="1">
            <w:col w:w="10260"/>
          </w:cols>
          <w:pgMar w:left="1000" w:top="793" w:right="980" w:bottom="0" w:gutter="0" w:footer="0" w:header="0"/>
          <w:type w:val="continuous"/>
        </w:sectPr>
      </w:pPr>
    </w:p>
    <w:bookmarkStart w:id="143" w:name="page144"/>
    <w:bookmarkEnd w:id="143"/>
    <w:p>
      <w:pPr>
        <w:jc w:val="center"/>
        <w:ind w:right="-9"/>
        <w:spacing w:after="0"/>
        <w:rPr>
          <w:sz w:val="20"/>
          <w:szCs w:val="20"/>
          <w:color w:val="auto"/>
        </w:rPr>
      </w:pPr>
      <w:r>
        <w:rPr>
          <w:rFonts w:ascii="Times New Roman" w:cs="Times New Roman" w:eastAsia="Times New Roman" w:hAnsi="Times New Roman"/>
          <w:sz w:val="24"/>
          <w:szCs w:val="24"/>
          <w:b w:val="1"/>
          <w:bCs w:val="1"/>
          <w:color w:val="auto"/>
        </w:rPr>
        <w:t>Part IV</w:t>
      </w:r>
    </w:p>
    <w:p>
      <w:pPr>
        <w:spacing w:after="0" w:line="22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19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(a) 1. Financial Statements</w:t>
      </w:r>
    </w:p>
    <w:p>
      <w:pPr>
        <w:spacing w:after="0" w:line="194" w:lineRule="exact"/>
        <w:rPr>
          <w:sz w:val="20"/>
          <w:szCs w:val="20"/>
          <w:color w:val="auto"/>
        </w:rPr>
      </w:pPr>
    </w:p>
    <w:p>
      <w:pPr>
        <w:ind w:left="10" w:firstLine="360"/>
        <w:spacing w:after="0" w:line="281" w:lineRule="auto"/>
        <w:rPr>
          <w:sz w:val="20"/>
          <w:szCs w:val="20"/>
          <w:color w:val="auto"/>
        </w:rPr>
      </w:pPr>
      <w:r>
        <w:rPr>
          <w:rFonts w:ascii="Times New Roman" w:cs="Times New Roman" w:eastAsia="Times New Roman" w:hAnsi="Times New Roman"/>
          <w:sz w:val="20"/>
          <w:szCs w:val="20"/>
          <w:color w:val="auto"/>
        </w:rPr>
        <w:t>See Index to consolidated financial statements in Part II, Item 8 of this Annual Report on Form 10-K, which is incorporated herein by reference.</w:t>
      </w:r>
    </w:p>
    <w:p>
      <w:pPr>
        <w:spacing w:after="0" w:line="11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2. Financial Statement Schedules</w:t>
      </w:r>
    </w:p>
    <w:p>
      <w:pPr>
        <w:spacing w:after="0" w:line="194" w:lineRule="exact"/>
        <w:rPr>
          <w:sz w:val="20"/>
          <w:szCs w:val="20"/>
          <w:color w:val="auto"/>
        </w:rPr>
      </w:pPr>
    </w:p>
    <w:p>
      <w:pPr>
        <w:ind w:left="10" w:right="280" w:firstLine="360"/>
        <w:spacing w:after="0" w:line="281" w:lineRule="auto"/>
        <w:rPr>
          <w:sz w:val="20"/>
          <w:szCs w:val="20"/>
          <w:color w:val="auto"/>
        </w:rPr>
      </w:pPr>
      <w:r>
        <w:rPr>
          <w:rFonts w:ascii="Times New Roman" w:cs="Times New Roman" w:eastAsia="Times New Roman" w:hAnsi="Times New Roman"/>
          <w:sz w:val="20"/>
          <w:szCs w:val="20"/>
          <w:color w:val="auto"/>
        </w:rPr>
        <w:t>All financial statement schedules have been omitted because they are either not applicable or the required information is shown in the consolidated financial statements or notes thereto.</w:t>
      </w:r>
    </w:p>
    <w:p>
      <w:pPr>
        <w:spacing w:after="0" w:line="11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3. Exhibits</w:t>
      </w:r>
    </w:p>
    <w:p>
      <w:pPr>
        <w:spacing w:after="0" w:line="194"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color w:val="auto"/>
        </w:rPr>
        <w:t>See the Exhibit Index which precedes the signature page of this Annual Report, which is incorporated herein by reference.</w:t>
      </w:r>
    </w:p>
    <w:p>
      <w:pPr>
        <w:spacing w:after="0" w:line="18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(b) Exhibits</w:t>
      </w:r>
    </w:p>
    <w:p>
      <w:pPr>
        <w:spacing w:after="0" w:line="194"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color w:val="auto"/>
        </w:rPr>
        <w:t>See Item 15(a)(3) above.</w:t>
      </w:r>
    </w:p>
    <w:p>
      <w:pPr>
        <w:spacing w:after="0" w:line="186" w:lineRule="exact"/>
        <w:rPr>
          <w:sz w:val="20"/>
          <w:szCs w:val="20"/>
          <w:color w:val="auto"/>
        </w:rPr>
      </w:pPr>
    </w:p>
    <w:p>
      <w:pPr>
        <w:ind w:left="370" w:right="7520" w:hanging="370"/>
        <w:spacing w:after="0" w:line="511" w:lineRule="auto"/>
        <w:tabs>
          <w:tab w:leader="none" w:pos="282" w:val="left"/>
        </w:tabs>
        <w:numPr>
          <w:ilvl w:val="0"/>
          <w:numId w:val="90"/>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 xml:space="preserve">Financial Statement Schedules </w:t>
      </w:r>
      <w:r>
        <w:rPr>
          <w:rFonts w:ascii="Times New Roman" w:cs="Times New Roman" w:eastAsia="Times New Roman" w:hAnsi="Times New Roman"/>
          <w:sz w:val="19"/>
          <w:szCs w:val="19"/>
          <w:color w:val="auto"/>
        </w:rPr>
        <w:t>See Item 15(a)(2) above.</w:t>
      </w:r>
    </w:p>
    <w:p>
      <w:pPr>
        <w:sectPr>
          <w:pgSz w:w="12240" w:h="15840" w:orient="portrait"/>
          <w:cols w:equalWidth="0" w:num="1">
            <w:col w:w="10250"/>
          </w:cols>
          <w:pgMar w:left="990" w:top="77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142</w:t>
      </w:r>
    </w:p>
    <w:p>
      <w:pPr>
        <w:sectPr>
          <w:pgSz w:w="12240" w:h="15840" w:orient="portrait"/>
          <w:cols w:equalWidth="0" w:num="1">
            <w:col w:w="10250"/>
          </w:cols>
          <w:pgMar w:left="990" w:top="771" w:right="1000" w:bottom="0" w:gutter="0" w:footer="0" w:header="0"/>
          <w:type w:val="continuous"/>
        </w:sectPr>
      </w:pPr>
    </w:p>
    <w:bookmarkStart w:id="144" w:name="page145"/>
    <w:bookmarkEnd w:id="144"/>
    <w:p>
      <w:pPr>
        <w:spacing w:after="0"/>
        <w:rPr>
          <w:sz w:val="20"/>
          <w:szCs w:val="20"/>
          <w:color w:val="auto"/>
        </w:rPr>
      </w:pPr>
      <w:r>
        <w:rPr>
          <w:rFonts w:ascii="Times New Roman" w:cs="Times New Roman" w:eastAsia="Times New Roman" w:hAnsi="Times New Roman"/>
          <w:sz w:val="20"/>
          <w:szCs w:val="20"/>
          <w:b w:val="1"/>
          <w:bCs w:val="1"/>
          <w:color w:val="auto"/>
        </w:rPr>
        <w:t>EXHIBITS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0" w:type="dxa"/>
            <w:vAlign w:val="bottom"/>
          </w:tcPr>
          <w:p>
            <w:pPr>
              <w:spacing w:after="0"/>
              <w:rPr>
                <w:sz w:val="16"/>
                <w:szCs w:val="16"/>
                <w:color w:val="auto"/>
              </w:rPr>
            </w:pPr>
          </w:p>
        </w:tc>
        <w:tc>
          <w:tcPr>
            <w:tcW w:w="8380" w:type="dxa"/>
            <w:vAlign w:val="bottom"/>
          </w:tcPr>
          <w:p>
            <w:pPr>
              <w:spacing w:after="0"/>
              <w:rPr>
                <w:sz w:val="16"/>
                <w:szCs w:val="16"/>
                <w:color w:val="auto"/>
              </w:rPr>
            </w:pPr>
          </w:p>
        </w:tc>
      </w:tr>
      <w:tr>
        <w:trPr>
          <w:trHeight w:val="234"/>
        </w:trPr>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0" w:type="dxa"/>
            <w:vAlign w:val="bottom"/>
          </w:tcPr>
          <w:p>
            <w:pPr>
              <w:spacing w:after="0"/>
              <w:rPr>
                <w:sz w:val="20"/>
                <w:szCs w:val="20"/>
                <w:color w:val="auto"/>
              </w:rPr>
            </w:pPr>
          </w:p>
        </w:tc>
        <w:tc>
          <w:tcPr>
            <w:tcW w:w="8380" w:type="dxa"/>
            <w:vAlign w:val="bottom"/>
            <w:tcBorders>
              <w:bottom w:val="single" w:sz="8" w:color="auto"/>
            </w:tcBorders>
          </w:tcPr>
          <w:p>
            <w:pPr>
              <w:ind w:left="378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02"/>
        </w:trPr>
        <w:tc>
          <w:tcPr>
            <w:tcW w:w="78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7"/>
                <w:szCs w:val="17"/>
                <w:color w:val="auto"/>
              </w:rPr>
            </w:pPr>
          </w:p>
        </w:tc>
        <w:tc>
          <w:tcPr>
            <w:tcW w:w="8380" w:type="dxa"/>
            <w:vAlign w:val="bottom"/>
          </w:tcPr>
          <w:p>
            <w:pPr>
              <w:ind w:left="60"/>
              <w:spacing w:after="0" w:line="202" w:lineRule="exact"/>
              <w:rPr>
                <w:sz w:val="20"/>
                <w:szCs w:val="20"/>
                <w:color w:val="auto"/>
              </w:rPr>
            </w:pPr>
            <w:r>
              <w:rPr>
                <w:rFonts w:ascii="Times New Roman" w:cs="Times New Roman" w:eastAsia="Times New Roman" w:hAnsi="Times New Roman"/>
                <w:sz w:val="20"/>
                <w:szCs w:val="20"/>
                <w:color w:val="auto"/>
              </w:rPr>
              <w:t>Business Combination Agreement, dated as of February 7, 2021, by and among ARYA Sciences</w:t>
            </w:r>
          </w:p>
        </w:tc>
      </w:tr>
      <w:tr>
        <w:trPr>
          <w:trHeight w:val="200"/>
        </w:trPr>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3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Acquisition Corp III, Mako Merger Sub, Inc., and Nautilus Biotechnology, Inc. (incorporated by</w:t>
            </w:r>
          </w:p>
        </w:tc>
      </w:tr>
      <w:tr>
        <w:trPr>
          <w:trHeight w:val="200"/>
        </w:trPr>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3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reference to Exhibit 2.1 to the Company’s Current Report on Form 8-K filed with the SEC on February</w:t>
            </w:r>
          </w:p>
        </w:tc>
      </w:tr>
      <w:tr>
        <w:trPr>
          <w:trHeight w:val="260"/>
        </w:trPr>
        <w:tc>
          <w:tcPr>
            <w:tcW w:w="780" w:type="dxa"/>
            <w:vAlign w:val="bottom"/>
          </w:tcPr>
          <w:p>
            <w:pPr>
              <w:spacing w:after="0"/>
              <w:rPr>
                <w:sz w:val="22"/>
                <w:szCs w:val="22"/>
                <w:color w:val="auto"/>
              </w:rPr>
            </w:pPr>
          </w:p>
        </w:tc>
        <w:tc>
          <w:tcPr>
            <w:tcW w:w="858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8, 2021).</w:t>
            </w:r>
          </w:p>
        </w:tc>
      </w:tr>
      <w:tr>
        <w:trPr>
          <w:trHeight w:val="205"/>
        </w:trPr>
        <w:tc>
          <w:tcPr>
            <w:tcW w:w="78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7"/>
                <w:szCs w:val="17"/>
                <w:color w:val="auto"/>
              </w:rPr>
            </w:pPr>
          </w:p>
        </w:tc>
        <w:tc>
          <w:tcPr>
            <w:tcW w:w="8380" w:type="dxa"/>
            <w:vAlign w:val="bottom"/>
          </w:tcPr>
          <w:p>
            <w:pPr>
              <w:ind w:left="60"/>
              <w:spacing w:after="0" w:line="205" w:lineRule="exact"/>
              <w:rPr>
                <w:sz w:val="20"/>
                <w:szCs w:val="20"/>
                <w:color w:val="auto"/>
              </w:rPr>
            </w:pPr>
            <w:r>
              <w:rPr>
                <w:rFonts w:ascii="Times New Roman" w:cs="Times New Roman" w:eastAsia="Times New Roman" w:hAnsi="Times New Roman"/>
                <w:sz w:val="20"/>
                <w:szCs w:val="20"/>
                <w:color w:val="auto"/>
              </w:rPr>
              <w:t>Certificate of Incorporation of Nautilus Biotechnology, Inc. (incorporated by reference to Exhibit 3.1</w:t>
            </w:r>
          </w:p>
        </w:tc>
      </w:tr>
      <w:tr>
        <w:trPr>
          <w:trHeight w:val="260"/>
        </w:trPr>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3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to the Company’s Current Report on Form 8-K filed with the SEC on June 10, 2021).</w:t>
            </w:r>
          </w:p>
        </w:tc>
      </w:tr>
      <w:tr>
        <w:trPr>
          <w:trHeight w:val="205"/>
        </w:trPr>
        <w:tc>
          <w:tcPr>
            <w:tcW w:w="78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17"/>
                <w:szCs w:val="17"/>
                <w:color w:val="auto"/>
              </w:rPr>
            </w:pPr>
          </w:p>
        </w:tc>
        <w:tc>
          <w:tcPr>
            <w:tcW w:w="8380" w:type="dxa"/>
            <w:vAlign w:val="bottom"/>
          </w:tcPr>
          <w:p>
            <w:pPr>
              <w:ind w:left="60"/>
              <w:spacing w:after="0" w:line="205" w:lineRule="exact"/>
              <w:rPr>
                <w:sz w:val="20"/>
                <w:szCs w:val="20"/>
                <w:color w:val="auto"/>
              </w:rPr>
            </w:pPr>
            <w:r>
              <w:rPr>
                <w:rFonts w:ascii="Times New Roman" w:cs="Times New Roman" w:eastAsia="Times New Roman" w:hAnsi="Times New Roman"/>
                <w:sz w:val="20"/>
                <w:szCs w:val="20"/>
                <w:color w:val="auto"/>
              </w:rPr>
              <w:t>Amended and Restated Bylaws of Nautilus Biotechnology, Inc. (incorporated by reference to Exhibit</w:t>
            </w:r>
          </w:p>
        </w:tc>
      </w:tr>
      <w:tr>
        <w:trPr>
          <w:trHeight w:val="260"/>
        </w:trPr>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3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3.2 to the Company’s Quarterly Report on Form 10-Q filed with the SEC on August 2, 2023).</w:t>
            </w:r>
          </w:p>
        </w:tc>
      </w:tr>
      <w:tr>
        <w:trPr>
          <w:trHeight w:val="205"/>
        </w:trPr>
        <w:tc>
          <w:tcPr>
            <w:tcW w:w="78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17"/>
                <w:szCs w:val="17"/>
                <w:color w:val="auto"/>
              </w:rPr>
            </w:pPr>
          </w:p>
        </w:tc>
        <w:tc>
          <w:tcPr>
            <w:tcW w:w="8380" w:type="dxa"/>
            <w:vAlign w:val="bottom"/>
          </w:tcPr>
          <w:p>
            <w:pPr>
              <w:ind w:left="60"/>
              <w:spacing w:after="0" w:line="205" w:lineRule="exact"/>
              <w:rPr>
                <w:sz w:val="20"/>
                <w:szCs w:val="20"/>
                <w:color w:val="auto"/>
              </w:rPr>
            </w:pPr>
            <w:r>
              <w:rPr>
                <w:rFonts w:ascii="Times New Roman" w:cs="Times New Roman" w:eastAsia="Times New Roman" w:hAnsi="Times New Roman"/>
                <w:sz w:val="20"/>
                <w:szCs w:val="20"/>
                <w:color w:val="auto"/>
              </w:rPr>
              <w:t>Specimen Common Stock Certificate (incorporated by reference to Exhibit 4.1 to the Company’s</w:t>
            </w:r>
          </w:p>
        </w:tc>
      </w:tr>
      <w:tr>
        <w:trPr>
          <w:trHeight w:val="260"/>
        </w:trPr>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3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Current Report on Form 8-K filed with the SEC on June 10, 2021).</w:t>
            </w:r>
          </w:p>
        </w:tc>
      </w:tr>
      <w:tr>
        <w:trPr>
          <w:trHeight w:val="235"/>
        </w:trPr>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20"/>
                <w:szCs w:val="20"/>
                <w:color w:val="auto"/>
              </w:rPr>
            </w:pPr>
          </w:p>
        </w:tc>
        <w:tc>
          <w:tcPr>
            <w:tcW w:w="83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Description of Securities (incorporated by reference to Exhibit 4.2 to the Company’s Annual Report on</w:t>
            </w:r>
          </w:p>
        </w:tc>
      </w:tr>
      <w:tr>
        <w:trPr>
          <w:trHeight w:val="260"/>
        </w:trPr>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3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Form 10-K filed with the SEC on February 23, 2023).</w:t>
            </w:r>
          </w:p>
        </w:tc>
      </w:tr>
      <w:tr>
        <w:trPr>
          <w:trHeight w:val="205"/>
        </w:trPr>
        <w:tc>
          <w:tcPr>
            <w:tcW w:w="78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17"/>
                <w:szCs w:val="17"/>
                <w:color w:val="auto"/>
              </w:rPr>
            </w:pPr>
          </w:p>
        </w:tc>
        <w:tc>
          <w:tcPr>
            <w:tcW w:w="8380" w:type="dxa"/>
            <w:vAlign w:val="bottom"/>
          </w:tcPr>
          <w:p>
            <w:pPr>
              <w:ind w:left="60"/>
              <w:spacing w:after="0" w:line="205" w:lineRule="exact"/>
              <w:rPr>
                <w:sz w:val="20"/>
                <w:szCs w:val="20"/>
                <w:color w:val="auto"/>
              </w:rPr>
            </w:pPr>
            <w:r>
              <w:rPr>
                <w:rFonts w:ascii="Times New Roman" w:cs="Times New Roman" w:eastAsia="Times New Roman" w:hAnsi="Times New Roman"/>
                <w:sz w:val="20"/>
                <w:szCs w:val="20"/>
                <w:color w:val="auto"/>
              </w:rPr>
              <w:t>Form of Subscription Agreement (incorporated by reference to Exhibit 10.3 to the Company’s Current</w:t>
            </w:r>
          </w:p>
        </w:tc>
      </w:tr>
      <w:tr>
        <w:trPr>
          <w:trHeight w:val="260"/>
        </w:trPr>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3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Report on Form 8-K filed with the SEC on February 8, 2021).</w:t>
            </w:r>
          </w:p>
        </w:tc>
      </w:tr>
      <w:tr>
        <w:trPr>
          <w:trHeight w:val="215"/>
        </w:trPr>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18"/>
                <w:szCs w:val="18"/>
                <w:color w:val="auto"/>
              </w:rPr>
            </w:pPr>
          </w:p>
        </w:tc>
        <w:tc>
          <w:tcPr>
            <w:tcW w:w="8380" w:type="dxa"/>
            <w:vAlign w:val="bottom"/>
          </w:tcPr>
          <w:p>
            <w:pPr>
              <w:ind w:left="60"/>
              <w:spacing w:after="0" w:line="215" w:lineRule="exact"/>
              <w:rPr>
                <w:sz w:val="20"/>
                <w:szCs w:val="20"/>
                <w:color w:val="auto"/>
              </w:rPr>
            </w:pPr>
            <w:r>
              <w:rPr>
                <w:rFonts w:ascii="Times New Roman" w:cs="Times New Roman" w:eastAsia="Times New Roman" w:hAnsi="Times New Roman"/>
                <w:sz w:val="20"/>
                <w:szCs w:val="20"/>
                <w:color w:val="auto"/>
              </w:rPr>
              <w:t>Form of Amended and Restated Registration Rights and Lock-Up Agreement (incorporated by</w:t>
            </w:r>
          </w:p>
        </w:tc>
      </w:tr>
      <w:tr>
        <w:trPr>
          <w:trHeight w:val="200"/>
        </w:trPr>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3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reference to Exhibit 10.2 to the Company’s Current Report on Form 8-K filed with the SEC on</w:t>
            </w:r>
          </w:p>
        </w:tc>
      </w:tr>
      <w:tr>
        <w:trPr>
          <w:trHeight w:val="260"/>
        </w:trPr>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3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February 8, 2021).</w:t>
            </w:r>
          </w:p>
        </w:tc>
      </w:tr>
      <w:tr>
        <w:trPr>
          <w:trHeight w:val="285"/>
        </w:trPr>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24"/>
                <w:szCs w:val="24"/>
                <w:color w:val="auto"/>
              </w:rPr>
            </w:pPr>
          </w:p>
        </w:tc>
        <w:tc>
          <w:tcPr>
            <w:tcW w:w="83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Amendment No. 1 to Amended and Restated Registration Rights and Lock-Up Agreement</w:t>
            </w:r>
          </w:p>
        </w:tc>
      </w:tr>
      <w:tr>
        <w:trPr>
          <w:trHeight w:val="205"/>
        </w:trPr>
        <w:tc>
          <w:tcPr>
            <w:tcW w:w="78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17"/>
                <w:szCs w:val="17"/>
                <w:color w:val="auto"/>
              </w:rPr>
            </w:pPr>
          </w:p>
        </w:tc>
        <w:tc>
          <w:tcPr>
            <w:tcW w:w="8380" w:type="dxa"/>
            <w:vAlign w:val="bottom"/>
          </w:tcPr>
          <w:p>
            <w:pPr>
              <w:ind w:left="60"/>
              <w:spacing w:after="0" w:line="205" w:lineRule="exact"/>
              <w:rPr>
                <w:sz w:val="20"/>
                <w:szCs w:val="20"/>
                <w:color w:val="auto"/>
              </w:rPr>
            </w:pPr>
            <w:r>
              <w:rPr>
                <w:rFonts w:ascii="Times New Roman" w:cs="Times New Roman" w:eastAsia="Times New Roman" w:hAnsi="Times New Roman"/>
                <w:sz w:val="20"/>
                <w:szCs w:val="20"/>
                <w:color w:val="auto"/>
              </w:rPr>
              <w:t>Nautilus Biotechnology, Inc. 2021 Equity Incentive Plan (incorporated by reference to Exhibit 10.4 to</w:t>
            </w:r>
          </w:p>
        </w:tc>
      </w:tr>
      <w:tr>
        <w:trPr>
          <w:trHeight w:val="260"/>
        </w:trPr>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3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the Company’s Current Report on Form 8-K filed with the SEC on June 10, 2021).</w:t>
            </w:r>
          </w:p>
        </w:tc>
      </w:tr>
      <w:tr>
        <w:trPr>
          <w:trHeight w:val="205"/>
        </w:trPr>
        <w:tc>
          <w:tcPr>
            <w:tcW w:w="78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10.5+</w:t>
            </w:r>
          </w:p>
        </w:tc>
        <w:tc>
          <w:tcPr>
            <w:tcW w:w="200" w:type="dxa"/>
            <w:vAlign w:val="bottom"/>
          </w:tcPr>
          <w:p>
            <w:pPr>
              <w:spacing w:after="0"/>
              <w:rPr>
                <w:sz w:val="17"/>
                <w:szCs w:val="17"/>
                <w:color w:val="auto"/>
              </w:rPr>
            </w:pPr>
          </w:p>
        </w:tc>
        <w:tc>
          <w:tcPr>
            <w:tcW w:w="8380" w:type="dxa"/>
            <w:vAlign w:val="bottom"/>
          </w:tcPr>
          <w:p>
            <w:pPr>
              <w:ind w:left="60"/>
              <w:spacing w:after="0" w:line="205" w:lineRule="exact"/>
              <w:rPr>
                <w:sz w:val="20"/>
                <w:szCs w:val="20"/>
                <w:color w:val="auto"/>
              </w:rPr>
            </w:pPr>
            <w:r>
              <w:rPr>
                <w:rFonts w:ascii="Times New Roman" w:cs="Times New Roman" w:eastAsia="Times New Roman" w:hAnsi="Times New Roman"/>
                <w:sz w:val="20"/>
                <w:szCs w:val="20"/>
                <w:color w:val="auto"/>
              </w:rPr>
              <w:t>Nautilus Biotechnology, Inc. 2021 Employee Stock Purchase Plan (incorporated by reference to</w:t>
            </w:r>
          </w:p>
        </w:tc>
      </w:tr>
      <w:tr>
        <w:trPr>
          <w:trHeight w:val="260"/>
        </w:trPr>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3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Exhibit 10.5 to the Company’s Current Report on Form 8-K filed with the SEC on June 10, 2021).</w:t>
            </w:r>
          </w:p>
        </w:tc>
      </w:tr>
      <w:tr>
        <w:trPr>
          <w:trHeight w:val="215"/>
        </w:trPr>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spacing w:after="0"/>
              <w:rPr>
                <w:sz w:val="18"/>
                <w:szCs w:val="18"/>
                <w:color w:val="auto"/>
              </w:rPr>
            </w:pPr>
          </w:p>
        </w:tc>
        <w:tc>
          <w:tcPr>
            <w:tcW w:w="8380" w:type="dxa"/>
            <w:vAlign w:val="bottom"/>
          </w:tcPr>
          <w:p>
            <w:pPr>
              <w:ind w:left="60"/>
              <w:spacing w:after="0" w:line="215" w:lineRule="exact"/>
              <w:rPr>
                <w:sz w:val="20"/>
                <w:szCs w:val="20"/>
                <w:color w:val="auto"/>
              </w:rPr>
            </w:pPr>
            <w:r>
              <w:rPr>
                <w:rFonts w:ascii="Times New Roman" w:cs="Times New Roman" w:eastAsia="Times New Roman" w:hAnsi="Times New Roman"/>
                <w:sz w:val="20"/>
                <w:szCs w:val="20"/>
                <w:color w:val="auto"/>
              </w:rPr>
              <w:t>Form of Stock Option Agreement under the Nautilus Biotechnology, Inc. 2021 Equity Incentive Plan</w:t>
            </w:r>
          </w:p>
        </w:tc>
      </w:tr>
      <w:tr>
        <w:trPr>
          <w:trHeight w:val="200"/>
        </w:trPr>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3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(incorporated by reference to Exhibit 10.7 to the Company’s Form S-4 filed with the SEC on March</w:t>
            </w:r>
          </w:p>
        </w:tc>
      </w:tr>
      <w:tr>
        <w:trPr>
          <w:trHeight w:val="260"/>
        </w:trPr>
        <w:tc>
          <w:tcPr>
            <w:tcW w:w="780" w:type="dxa"/>
            <w:vAlign w:val="bottom"/>
          </w:tcPr>
          <w:p>
            <w:pPr>
              <w:spacing w:after="0"/>
              <w:rPr>
                <w:sz w:val="22"/>
                <w:szCs w:val="22"/>
                <w:color w:val="auto"/>
              </w:rPr>
            </w:pPr>
          </w:p>
        </w:tc>
        <w:tc>
          <w:tcPr>
            <w:tcW w:w="858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26, 2021).</w:t>
            </w:r>
          </w:p>
        </w:tc>
      </w:tr>
      <w:tr>
        <w:trPr>
          <w:trHeight w:val="236"/>
        </w:trPr>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20"/>
                <w:szCs w:val="20"/>
                <w:color w:val="auto"/>
              </w:rPr>
            </w:pPr>
          </w:p>
        </w:tc>
        <w:tc>
          <w:tcPr>
            <w:tcW w:w="83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Form of Restricted Stock Unit Agreement under the Nautilus Biotechnology, Inc. 2021 Equity</w:t>
            </w:r>
          </w:p>
        </w:tc>
      </w:tr>
      <w:tr>
        <w:trPr>
          <w:trHeight w:val="224"/>
        </w:trPr>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380" w:type="dxa"/>
            <w:vAlign w:val="bottom"/>
          </w:tcPr>
          <w:p>
            <w:pPr>
              <w:ind w:left="60"/>
              <w:spacing w:after="0" w:line="224" w:lineRule="exact"/>
              <w:rPr>
                <w:sz w:val="20"/>
                <w:szCs w:val="20"/>
                <w:color w:val="auto"/>
              </w:rPr>
            </w:pPr>
            <w:r>
              <w:rPr>
                <w:rFonts w:ascii="Times New Roman" w:cs="Times New Roman" w:eastAsia="Times New Roman" w:hAnsi="Times New Roman"/>
                <w:sz w:val="20"/>
                <w:szCs w:val="20"/>
                <w:color w:val="auto"/>
              </w:rPr>
              <w:t>Incentive Plan (incorporated by reference to Exhibit 10.8 to the Company’s Form S-4 filed with the</w:t>
            </w:r>
          </w:p>
        </w:tc>
      </w:tr>
      <w:tr>
        <w:trPr>
          <w:trHeight w:val="260"/>
        </w:trPr>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3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SEC on March 26, 2021).</w:t>
            </w:r>
          </w:p>
        </w:tc>
      </w:tr>
      <w:tr>
        <w:trPr>
          <w:trHeight w:val="215"/>
        </w:trPr>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Pr>
          <w:p>
            <w:pPr>
              <w:spacing w:after="0"/>
              <w:rPr>
                <w:sz w:val="18"/>
                <w:szCs w:val="18"/>
                <w:color w:val="auto"/>
              </w:rPr>
            </w:pPr>
          </w:p>
        </w:tc>
        <w:tc>
          <w:tcPr>
            <w:tcW w:w="8380" w:type="dxa"/>
            <w:vAlign w:val="bottom"/>
          </w:tcPr>
          <w:p>
            <w:pPr>
              <w:ind w:left="60"/>
              <w:spacing w:after="0" w:line="215" w:lineRule="exact"/>
              <w:rPr>
                <w:sz w:val="20"/>
                <w:szCs w:val="20"/>
                <w:color w:val="auto"/>
              </w:rPr>
            </w:pPr>
            <w:r>
              <w:rPr>
                <w:rFonts w:ascii="Times New Roman" w:cs="Times New Roman" w:eastAsia="Times New Roman" w:hAnsi="Times New Roman"/>
                <w:sz w:val="20"/>
                <w:szCs w:val="20"/>
                <w:color w:val="auto"/>
              </w:rPr>
              <w:t>Form of Restricted Stock Award Agreement under the Nautilus Biotechnology, Inc. 2021 Equity</w:t>
            </w:r>
          </w:p>
        </w:tc>
      </w:tr>
      <w:tr>
        <w:trPr>
          <w:trHeight w:val="200"/>
        </w:trPr>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3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Incentive Plan (incorporated by reference to Exhibit 10.9 to the Company’s Form S-4 filed with the</w:t>
            </w:r>
          </w:p>
        </w:tc>
      </w:tr>
      <w:tr>
        <w:trPr>
          <w:trHeight w:val="260"/>
        </w:trPr>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3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SEC on March 26, 2021).</w:t>
            </w:r>
          </w:p>
        </w:tc>
      </w:tr>
      <w:tr>
        <w:trPr>
          <w:trHeight w:val="215"/>
        </w:trPr>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Pr>
          <w:p>
            <w:pPr>
              <w:spacing w:after="0"/>
              <w:rPr>
                <w:sz w:val="18"/>
                <w:szCs w:val="18"/>
                <w:color w:val="auto"/>
              </w:rPr>
            </w:pPr>
          </w:p>
        </w:tc>
        <w:tc>
          <w:tcPr>
            <w:tcW w:w="8380" w:type="dxa"/>
            <w:vAlign w:val="bottom"/>
          </w:tcPr>
          <w:p>
            <w:pPr>
              <w:ind w:left="60"/>
              <w:spacing w:after="0" w:line="215" w:lineRule="exact"/>
              <w:rPr>
                <w:sz w:val="20"/>
                <w:szCs w:val="20"/>
                <w:color w:val="auto"/>
              </w:rPr>
            </w:pPr>
            <w:r>
              <w:rPr>
                <w:rFonts w:ascii="Times New Roman" w:cs="Times New Roman" w:eastAsia="Times New Roman" w:hAnsi="Times New Roman"/>
                <w:sz w:val="20"/>
                <w:szCs w:val="20"/>
                <w:color w:val="auto"/>
              </w:rPr>
              <w:t>Nautilus Biotechnology, Inc. 2017 Equity Incentive Plan and forms of agreements thereunder</w:t>
            </w:r>
          </w:p>
        </w:tc>
      </w:tr>
      <w:tr>
        <w:trPr>
          <w:trHeight w:val="200"/>
        </w:trPr>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3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(incorporated by reference to Exhibit 10.11 to the Company’s Form S-4 filed with the SEC on March</w:t>
            </w:r>
          </w:p>
        </w:tc>
      </w:tr>
      <w:tr>
        <w:trPr>
          <w:trHeight w:val="260"/>
        </w:trPr>
        <w:tc>
          <w:tcPr>
            <w:tcW w:w="780" w:type="dxa"/>
            <w:vAlign w:val="bottom"/>
          </w:tcPr>
          <w:p>
            <w:pPr>
              <w:spacing w:after="0"/>
              <w:rPr>
                <w:sz w:val="22"/>
                <w:szCs w:val="22"/>
                <w:color w:val="auto"/>
              </w:rPr>
            </w:pPr>
          </w:p>
        </w:tc>
        <w:tc>
          <w:tcPr>
            <w:tcW w:w="858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26, 2021).</w:t>
            </w:r>
          </w:p>
        </w:tc>
      </w:tr>
      <w:tr>
        <w:trPr>
          <w:trHeight w:val="215"/>
        </w:trPr>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10.10+</w:t>
            </w:r>
          </w:p>
        </w:tc>
        <w:tc>
          <w:tcPr>
            <w:tcW w:w="200" w:type="dxa"/>
            <w:vAlign w:val="bottom"/>
          </w:tcPr>
          <w:p>
            <w:pPr>
              <w:spacing w:after="0"/>
              <w:rPr>
                <w:sz w:val="18"/>
                <w:szCs w:val="18"/>
                <w:color w:val="auto"/>
              </w:rPr>
            </w:pPr>
          </w:p>
        </w:tc>
        <w:tc>
          <w:tcPr>
            <w:tcW w:w="8380" w:type="dxa"/>
            <w:vAlign w:val="bottom"/>
          </w:tcPr>
          <w:p>
            <w:pPr>
              <w:ind w:left="60"/>
              <w:spacing w:after="0" w:line="215" w:lineRule="exact"/>
              <w:rPr>
                <w:sz w:val="20"/>
                <w:szCs w:val="20"/>
                <w:color w:val="auto"/>
              </w:rPr>
            </w:pPr>
            <w:r>
              <w:rPr>
                <w:rFonts w:ascii="Times New Roman" w:cs="Times New Roman" w:eastAsia="Times New Roman" w:hAnsi="Times New Roman"/>
                <w:sz w:val="20"/>
                <w:szCs w:val="20"/>
                <w:color w:val="auto"/>
              </w:rPr>
              <w:t>Amended and Restated Confirmatory Employment Letter between Nautilus Biotechnology, Inc. and</w:t>
            </w:r>
          </w:p>
        </w:tc>
      </w:tr>
      <w:tr>
        <w:trPr>
          <w:trHeight w:val="200"/>
        </w:trPr>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3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Sujal Patel, dated as of July 31, 2023 (incorporated by reference to Exhibit 10.1 to the Company’s</w:t>
            </w:r>
          </w:p>
        </w:tc>
      </w:tr>
      <w:tr>
        <w:trPr>
          <w:trHeight w:val="260"/>
        </w:trPr>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3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Quarterly Report on Form 10-Q filed with the SEC on August 2, 2023)</w:t>
            </w:r>
          </w:p>
        </w:tc>
      </w:tr>
      <w:tr>
        <w:trPr>
          <w:trHeight w:val="215"/>
        </w:trPr>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10.11+</w:t>
            </w:r>
          </w:p>
        </w:tc>
        <w:tc>
          <w:tcPr>
            <w:tcW w:w="200" w:type="dxa"/>
            <w:vAlign w:val="bottom"/>
          </w:tcPr>
          <w:p>
            <w:pPr>
              <w:spacing w:after="0"/>
              <w:rPr>
                <w:sz w:val="18"/>
                <w:szCs w:val="18"/>
                <w:color w:val="auto"/>
              </w:rPr>
            </w:pPr>
          </w:p>
        </w:tc>
        <w:tc>
          <w:tcPr>
            <w:tcW w:w="8380" w:type="dxa"/>
            <w:vAlign w:val="bottom"/>
          </w:tcPr>
          <w:p>
            <w:pPr>
              <w:ind w:left="60"/>
              <w:spacing w:after="0" w:line="215" w:lineRule="exact"/>
              <w:rPr>
                <w:sz w:val="20"/>
                <w:szCs w:val="20"/>
                <w:color w:val="auto"/>
              </w:rPr>
            </w:pPr>
            <w:r>
              <w:rPr>
                <w:rFonts w:ascii="Times New Roman" w:cs="Times New Roman" w:eastAsia="Times New Roman" w:hAnsi="Times New Roman"/>
                <w:sz w:val="20"/>
                <w:szCs w:val="20"/>
                <w:color w:val="auto"/>
              </w:rPr>
              <w:t>Amended and Restated Confirmatory Employment Letter between Nautilus Biotechnology, Inc. and</w:t>
            </w:r>
          </w:p>
        </w:tc>
      </w:tr>
      <w:tr>
        <w:trPr>
          <w:trHeight w:val="200"/>
        </w:trPr>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3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Parag Mallick, dated as of July 31, 2023 (incorporated by reference to Exhibit 10.2 to the Company’s</w:t>
            </w:r>
          </w:p>
        </w:tc>
      </w:tr>
      <w:tr>
        <w:trPr>
          <w:trHeight w:val="260"/>
        </w:trPr>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3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Quarterly Report on Form 10-Q filed with the SEC on August 2, 2023)</w:t>
            </w:r>
          </w:p>
        </w:tc>
      </w:tr>
      <w:tr>
        <w:trPr>
          <w:trHeight w:val="215"/>
        </w:trPr>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10.12+</w:t>
            </w:r>
          </w:p>
        </w:tc>
        <w:tc>
          <w:tcPr>
            <w:tcW w:w="200" w:type="dxa"/>
            <w:vAlign w:val="bottom"/>
          </w:tcPr>
          <w:p>
            <w:pPr>
              <w:spacing w:after="0"/>
              <w:rPr>
                <w:sz w:val="18"/>
                <w:szCs w:val="18"/>
                <w:color w:val="auto"/>
              </w:rPr>
            </w:pPr>
          </w:p>
        </w:tc>
        <w:tc>
          <w:tcPr>
            <w:tcW w:w="8380" w:type="dxa"/>
            <w:vAlign w:val="bottom"/>
          </w:tcPr>
          <w:p>
            <w:pPr>
              <w:ind w:left="60"/>
              <w:spacing w:after="0" w:line="215" w:lineRule="exact"/>
              <w:rPr>
                <w:sz w:val="20"/>
                <w:szCs w:val="20"/>
                <w:color w:val="auto"/>
              </w:rPr>
            </w:pPr>
            <w:r>
              <w:rPr>
                <w:rFonts w:ascii="Times New Roman" w:cs="Times New Roman" w:eastAsia="Times New Roman" w:hAnsi="Times New Roman"/>
                <w:sz w:val="20"/>
                <w:szCs w:val="20"/>
                <w:color w:val="auto"/>
              </w:rPr>
              <w:t>Amended and Restated Confirmatory Employment Letter between Nautilus Biotechnology, Inc. and</w:t>
            </w:r>
          </w:p>
        </w:tc>
      </w:tr>
      <w:tr>
        <w:trPr>
          <w:trHeight w:val="200"/>
        </w:trPr>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3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Anna Mowry, dated as of July 31, 2023 (incorporated by reference to Exhibit 10.3 to the Company’s</w:t>
            </w:r>
          </w:p>
        </w:tc>
      </w:tr>
      <w:tr>
        <w:trPr>
          <w:trHeight w:val="260"/>
        </w:trPr>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3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Quarterly Report on Form 10-Q filed with the SEC on August 2, 2023)</w:t>
            </w:r>
          </w:p>
        </w:tc>
      </w:tr>
      <w:tr>
        <w:trPr>
          <w:trHeight w:val="215"/>
        </w:trPr>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10.13+</w:t>
            </w:r>
          </w:p>
        </w:tc>
        <w:tc>
          <w:tcPr>
            <w:tcW w:w="200" w:type="dxa"/>
            <w:vAlign w:val="bottom"/>
          </w:tcPr>
          <w:p>
            <w:pPr>
              <w:spacing w:after="0"/>
              <w:rPr>
                <w:sz w:val="18"/>
                <w:szCs w:val="18"/>
                <w:color w:val="auto"/>
              </w:rPr>
            </w:pPr>
          </w:p>
        </w:tc>
        <w:tc>
          <w:tcPr>
            <w:tcW w:w="8380" w:type="dxa"/>
            <w:vAlign w:val="bottom"/>
          </w:tcPr>
          <w:p>
            <w:pPr>
              <w:ind w:left="60"/>
              <w:spacing w:after="0" w:line="215" w:lineRule="exact"/>
              <w:rPr>
                <w:sz w:val="20"/>
                <w:szCs w:val="20"/>
                <w:color w:val="auto"/>
              </w:rPr>
            </w:pPr>
            <w:r>
              <w:rPr>
                <w:rFonts w:ascii="Times New Roman" w:cs="Times New Roman" w:eastAsia="Times New Roman" w:hAnsi="Times New Roman"/>
                <w:sz w:val="20"/>
                <w:szCs w:val="20"/>
                <w:color w:val="auto"/>
              </w:rPr>
              <w:t>Amended and Restated Confirmatory Employment Letter between Nautilus Biotechnology, Inc. and</w:t>
            </w:r>
          </w:p>
        </w:tc>
      </w:tr>
      <w:tr>
        <w:trPr>
          <w:trHeight w:val="200"/>
        </w:trPr>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3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Nick Nelson, dated of as July 31, 2023 (incorporated by reference to Exhibit 10.4 to the Company’s</w:t>
            </w:r>
          </w:p>
        </w:tc>
      </w:tr>
      <w:tr>
        <w:trPr>
          <w:trHeight w:val="260"/>
        </w:trPr>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3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Quarterly Report on Form 10-Q filed with the SEC on August 2, 2023)</w:t>
            </w:r>
          </w:p>
        </w:tc>
      </w:tr>
      <w:tr>
        <w:trPr>
          <w:trHeight w:val="215"/>
        </w:trPr>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10.14+</w:t>
            </w:r>
          </w:p>
        </w:tc>
        <w:tc>
          <w:tcPr>
            <w:tcW w:w="200" w:type="dxa"/>
            <w:vAlign w:val="bottom"/>
          </w:tcPr>
          <w:p>
            <w:pPr>
              <w:spacing w:after="0"/>
              <w:rPr>
                <w:sz w:val="18"/>
                <w:szCs w:val="18"/>
                <w:color w:val="auto"/>
              </w:rPr>
            </w:pPr>
          </w:p>
        </w:tc>
        <w:tc>
          <w:tcPr>
            <w:tcW w:w="8380" w:type="dxa"/>
            <w:vAlign w:val="bottom"/>
          </w:tcPr>
          <w:p>
            <w:pPr>
              <w:ind w:left="60"/>
              <w:spacing w:after="0" w:line="215" w:lineRule="exact"/>
              <w:rPr>
                <w:sz w:val="20"/>
                <w:szCs w:val="20"/>
                <w:color w:val="auto"/>
              </w:rPr>
            </w:pPr>
            <w:r>
              <w:rPr>
                <w:rFonts w:ascii="Times New Roman" w:cs="Times New Roman" w:eastAsia="Times New Roman" w:hAnsi="Times New Roman"/>
                <w:sz w:val="20"/>
                <w:szCs w:val="20"/>
                <w:color w:val="auto"/>
              </w:rPr>
              <w:t>Amended and Restated Confirmatory Employment Letter between Nautilus Biotechnology, Inc. and</w:t>
            </w:r>
          </w:p>
        </w:tc>
      </w:tr>
      <w:tr>
        <w:trPr>
          <w:trHeight w:val="200"/>
        </w:trPr>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3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Gwen Weld, dated as of July 31, 2023 (incorporated by reference to Exhibit 10.5 to the Company’s</w:t>
            </w:r>
          </w:p>
        </w:tc>
      </w:tr>
      <w:tr>
        <w:trPr>
          <w:trHeight w:val="260"/>
        </w:trPr>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3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Quarterly Report on Form 10-Q filed with the SEC on August 2, 2023)</w:t>
            </w:r>
          </w:p>
        </w:tc>
      </w:tr>
      <w:tr>
        <w:trPr>
          <w:trHeight w:val="215"/>
        </w:trPr>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10.15+</w:t>
            </w:r>
          </w:p>
        </w:tc>
        <w:tc>
          <w:tcPr>
            <w:tcW w:w="200" w:type="dxa"/>
            <w:vAlign w:val="bottom"/>
          </w:tcPr>
          <w:p>
            <w:pPr>
              <w:spacing w:after="0"/>
              <w:rPr>
                <w:sz w:val="18"/>
                <w:szCs w:val="18"/>
                <w:color w:val="auto"/>
              </w:rPr>
            </w:pPr>
          </w:p>
        </w:tc>
        <w:tc>
          <w:tcPr>
            <w:tcW w:w="8380" w:type="dxa"/>
            <w:vAlign w:val="bottom"/>
          </w:tcPr>
          <w:p>
            <w:pPr>
              <w:ind w:left="60"/>
              <w:spacing w:after="0" w:line="215" w:lineRule="exact"/>
              <w:rPr>
                <w:sz w:val="20"/>
                <w:szCs w:val="20"/>
                <w:color w:val="auto"/>
              </w:rPr>
            </w:pPr>
            <w:r>
              <w:rPr>
                <w:rFonts w:ascii="Times New Roman" w:cs="Times New Roman" w:eastAsia="Times New Roman" w:hAnsi="Times New Roman"/>
                <w:sz w:val="20"/>
                <w:szCs w:val="20"/>
                <w:color w:val="auto"/>
              </w:rPr>
              <w:t>Amended and Restated Confirmatory Employment Letter between Nautilus Biotechnology, Inc. and</w:t>
            </w:r>
          </w:p>
        </w:tc>
      </w:tr>
      <w:tr>
        <w:trPr>
          <w:trHeight w:val="200"/>
        </w:trPr>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3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Mary Godwin, dated as of July 31, 2023 (incorporated by reference to Exhibit 10.6 to the Company’s</w:t>
            </w:r>
          </w:p>
        </w:tc>
      </w:tr>
      <w:tr>
        <w:trPr>
          <w:trHeight w:val="260"/>
        </w:trPr>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3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Quarterly Report on Form 10-Q filed with the SEC on August 2, 2023)</w:t>
            </w:r>
          </w:p>
        </w:tc>
      </w:tr>
    </w:tbl>
    <w:p>
      <w:pPr>
        <w:spacing w:after="0" w:line="200" w:lineRule="exact"/>
        <w:rPr>
          <w:sz w:val="20"/>
          <w:szCs w:val="20"/>
          <w:color w:val="auto"/>
        </w:rPr>
      </w:pPr>
    </w:p>
    <w:p>
      <w:pPr>
        <w:sectPr>
          <w:pgSz w:w="12240" w:h="15840" w:orient="portrait"/>
          <w:cols w:equalWidth="0" w:num="1">
            <w:col w:w="9620"/>
          </w:cols>
          <w:pgMar w:left="1180" w:top="137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143</w:t>
      </w:r>
    </w:p>
    <w:p>
      <w:pPr>
        <w:sectPr>
          <w:pgSz w:w="12240" w:h="15840" w:orient="portrait"/>
          <w:cols w:equalWidth="0" w:num="1">
            <w:col w:w="9620"/>
          </w:cols>
          <w:pgMar w:left="1180" w:top="1371" w:right="1440" w:bottom="0" w:gutter="0" w:footer="0" w:header="0"/>
          <w:type w:val="continuous"/>
        </w:sectPr>
      </w:pPr>
    </w:p>
    <w:bookmarkStart w:id="145" w:name="page146"/>
    <w:bookmarkEnd w:id="145"/>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84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Amended and Restated Confirmatory Employment Letter between Nautilus Biotechnology, Inc. and</w:t>
            </w:r>
          </w:p>
        </w:tc>
      </w:tr>
      <w:tr>
        <w:trPr>
          <w:trHeight w:val="200"/>
        </w:trPr>
        <w:tc>
          <w:tcPr>
            <w:tcW w:w="780" w:type="dxa"/>
            <w:vAlign w:val="bottom"/>
          </w:tcPr>
          <w:p>
            <w:pPr>
              <w:spacing w:after="0"/>
              <w:rPr>
                <w:sz w:val="17"/>
                <w:szCs w:val="17"/>
                <w:color w:val="auto"/>
              </w:rPr>
            </w:pPr>
          </w:p>
        </w:tc>
        <w:tc>
          <w:tcPr>
            <w:tcW w:w="8460" w:type="dxa"/>
            <w:vAlign w:val="bottom"/>
          </w:tcPr>
          <w:p>
            <w:pPr>
              <w:ind w:left="220"/>
              <w:spacing w:after="0" w:line="200" w:lineRule="exact"/>
              <w:rPr>
                <w:sz w:val="20"/>
                <w:szCs w:val="20"/>
                <w:color w:val="auto"/>
              </w:rPr>
            </w:pPr>
            <w:r>
              <w:rPr>
                <w:rFonts w:ascii="Times New Roman" w:cs="Times New Roman" w:eastAsia="Times New Roman" w:hAnsi="Times New Roman"/>
                <w:sz w:val="20"/>
                <w:szCs w:val="20"/>
                <w:color w:val="auto"/>
              </w:rPr>
              <w:t>Subra Sankar, dated as of July 31, 2023 (incorporated by reference to Exhibit 10.7 to the Company’s</w:t>
            </w:r>
          </w:p>
        </w:tc>
      </w:tr>
      <w:tr>
        <w:trPr>
          <w:trHeight w:val="260"/>
        </w:trPr>
        <w:tc>
          <w:tcPr>
            <w:tcW w:w="780" w:type="dxa"/>
            <w:vAlign w:val="bottom"/>
          </w:tcPr>
          <w:p>
            <w:pPr>
              <w:spacing w:after="0"/>
              <w:rPr>
                <w:sz w:val="22"/>
                <w:szCs w:val="22"/>
                <w:color w:val="auto"/>
              </w:rPr>
            </w:pPr>
          </w:p>
        </w:tc>
        <w:tc>
          <w:tcPr>
            <w:tcW w:w="84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Quarterly Report on Form 10-Q filed with the SEC on August 2, 2023)</w:t>
            </w:r>
          </w:p>
        </w:tc>
      </w:tr>
      <w:tr>
        <w:trPr>
          <w:trHeight w:val="215"/>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8460" w:type="dxa"/>
            <w:vAlign w:val="bottom"/>
          </w:tcPr>
          <w:p>
            <w:pPr>
              <w:ind w:left="220"/>
              <w:spacing w:after="0" w:line="215" w:lineRule="exact"/>
              <w:rPr>
                <w:sz w:val="20"/>
                <w:szCs w:val="20"/>
                <w:color w:val="auto"/>
              </w:rPr>
            </w:pPr>
            <w:r>
              <w:rPr>
                <w:rFonts w:ascii="Times New Roman" w:cs="Times New Roman" w:eastAsia="Times New Roman" w:hAnsi="Times New Roman"/>
                <w:sz w:val="20"/>
                <w:szCs w:val="20"/>
                <w:color w:val="auto"/>
              </w:rPr>
              <w:t>Amended and Restated Confirmatory Employment Letter between Nautilus Biotechnology, Inc. and</w:t>
            </w:r>
          </w:p>
        </w:tc>
      </w:tr>
      <w:tr>
        <w:trPr>
          <w:trHeight w:val="200"/>
        </w:trPr>
        <w:tc>
          <w:tcPr>
            <w:tcW w:w="780" w:type="dxa"/>
            <w:vAlign w:val="bottom"/>
          </w:tcPr>
          <w:p>
            <w:pPr>
              <w:spacing w:after="0"/>
              <w:rPr>
                <w:sz w:val="17"/>
                <w:szCs w:val="17"/>
                <w:color w:val="auto"/>
              </w:rPr>
            </w:pPr>
          </w:p>
        </w:tc>
        <w:tc>
          <w:tcPr>
            <w:tcW w:w="8460" w:type="dxa"/>
            <w:vAlign w:val="bottom"/>
          </w:tcPr>
          <w:p>
            <w:pPr>
              <w:ind w:left="220"/>
              <w:spacing w:after="0" w:line="200" w:lineRule="exact"/>
              <w:rPr>
                <w:sz w:val="20"/>
                <w:szCs w:val="20"/>
                <w:color w:val="auto"/>
              </w:rPr>
            </w:pPr>
            <w:r>
              <w:rPr>
                <w:rFonts w:ascii="Times New Roman" w:cs="Times New Roman" w:eastAsia="Times New Roman" w:hAnsi="Times New Roman"/>
                <w:sz w:val="20"/>
                <w:szCs w:val="20"/>
                <w:color w:val="auto"/>
              </w:rPr>
              <w:t>Matthew Murphy, dated as of July 31, 2023 (incorporated by reference to Exhibit 10.8 to the</w:t>
            </w:r>
          </w:p>
        </w:tc>
      </w:tr>
      <w:tr>
        <w:trPr>
          <w:trHeight w:val="260"/>
        </w:trPr>
        <w:tc>
          <w:tcPr>
            <w:tcW w:w="780" w:type="dxa"/>
            <w:vAlign w:val="bottom"/>
          </w:tcPr>
          <w:p>
            <w:pPr>
              <w:spacing w:after="0"/>
              <w:rPr>
                <w:sz w:val="22"/>
                <w:szCs w:val="22"/>
                <w:color w:val="auto"/>
              </w:rPr>
            </w:pPr>
          </w:p>
        </w:tc>
        <w:tc>
          <w:tcPr>
            <w:tcW w:w="84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Company’s Quarterly Report on Form 10-Q filed with the SEC on August 2, 2023)</w:t>
            </w:r>
          </w:p>
        </w:tc>
      </w:tr>
      <w:tr>
        <w:trPr>
          <w:trHeight w:val="215"/>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8460" w:type="dxa"/>
            <w:vAlign w:val="bottom"/>
          </w:tcPr>
          <w:p>
            <w:pPr>
              <w:ind w:left="220"/>
              <w:spacing w:after="0" w:line="215" w:lineRule="exact"/>
              <w:rPr>
                <w:sz w:val="20"/>
                <w:szCs w:val="20"/>
                <w:color w:val="auto"/>
              </w:rPr>
            </w:pPr>
            <w:r>
              <w:rPr>
                <w:rFonts w:ascii="Times New Roman" w:cs="Times New Roman" w:eastAsia="Times New Roman" w:hAnsi="Times New Roman"/>
                <w:sz w:val="20"/>
                <w:szCs w:val="20"/>
                <w:color w:val="auto"/>
                <w:w w:val="99"/>
              </w:rPr>
              <w:t>Amended and Restated Change in Control and Severance Agreement between Nautilus Biotechnology,</w:t>
            </w:r>
          </w:p>
        </w:tc>
      </w:tr>
      <w:tr>
        <w:trPr>
          <w:trHeight w:val="200"/>
        </w:trPr>
        <w:tc>
          <w:tcPr>
            <w:tcW w:w="780" w:type="dxa"/>
            <w:vAlign w:val="bottom"/>
          </w:tcPr>
          <w:p>
            <w:pPr>
              <w:spacing w:after="0"/>
              <w:rPr>
                <w:sz w:val="17"/>
                <w:szCs w:val="17"/>
                <w:color w:val="auto"/>
              </w:rPr>
            </w:pPr>
          </w:p>
        </w:tc>
        <w:tc>
          <w:tcPr>
            <w:tcW w:w="8460" w:type="dxa"/>
            <w:vAlign w:val="bottom"/>
          </w:tcPr>
          <w:p>
            <w:pPr>
              <w:ind w:left="220"/>
              <w:spacing w:after="0" w:line="200" w:lineRule="exact"/>
              <w:rPr>
                <w:sz w:val="20"/>
                <w:szCs w:val="20"/>
                <w:color w:val="auto"/>
              </w:rPr>
            </w:pPr>
            <w:r>
              <w:rPr>
                <w:rFonts w:ascii="Times New Roman" w:cs="Times New Roman" w:eastAsia="Times New Roman" w:hAnsi="Times New Roman"/>
                <w:sz w:val="20"/>
                <w:szCs w:val="20"/>
                <w:color w:val="auto"/>
              </w:rPr>
              <w:t>Inc. and Sujal Patel, dated as of July 31, 2023 (incorporated by reference to Exhibit 10.9 to the</w:t>
            </w:r>
          </w:p>
        </w:tc>
      </w:tr>
      <w:tr>
        <w:trPr>
          <w:trHeight w:val="260"/>
        </w:trPr>
        <w:tc>
          <w:tcPr>
            <w:tcW w:w="780" w:type="dxa"/>
            <w:vAlign w:val="bottom"/>
          </w:tcPr>
          <w:p>
            <w:pPr>
              <w:spacing w:after="0"/>
              <w:rPr>
                <w:sz w:val="22"/>
                <w:szCs w:val="22"/>
                <w:color w:val="auto"/>
              </w:rPr>
            </w:pPr>
          </w:p>
        </w:tc>
        <w:tc>
          <w:tcPr>
            <w:tcW w:w="84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Company’s Quarterly Report on Form 10-Q filed with the SEC on August 2, 2023)</w:t>
            </w:r>
          </w:p>
        </w:tc>
      </w:tr>
      <w:tr>
        <w:trPr>
          <w:trHeight w:val="215"/>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8460" w:type="dxa"/>
            <w:vAlign w:val="bottom"/>
          </w:tcPr>
          <w:p>
            <w:pPr>
              <w:ind w:left="220"/>
              <w:spacing w:after="0" w:line="215" w:lineRule="exact"/>
              <w:rPr>
                <w:sz w:val="20"/>
                <w:szCs w:val="20"/>
                <w:color w:val="auto"/>
              </w:rPr>
            </w:pPr>
            <w:r>
              <w:rPr>
                <w:rFonts w:ascii="Times New Roman" w:cs="Times New Roman" w:eastAsia="Times New Roman" w:hAnsi="Times New Roman"/>
                <w:sz w:val="20"/>
                <w:szCs w:val="20"/>
                <w:color w:val="auto"/>
                <w:w w:val="99"/>
              </w:rPr>
              <w:t>Amended and Restated Change in Control and Severance Agreement between Nautilus Biotechnology,</w:t>
            </w:r>
          </w:p>
        </w:tc>
      </w:tr>
      <w:tr>
        <w:trPr>
          <w:trHeight w:val="200"/>
        </w:trPr>
        <w:tc>
          <w:tcPr>
            <w:tcW w:w="780" w:type="dxa"/>
            <w:vAlign w:val="bottom"/>
          </w:tcPr>
          <w:p>
            <w:pPr>
              <w:spacing w:after="0"/>
              <w:rPr>
                <w:sz w:val="17"/>
                <w:szCs w:val="17"/>
                <w:color w:val="auto"/>
              </w:rPr>
            </w:pPr>
          </w:p>
        </w:tc>
        <w:tc>
          <w:tcPr>
            <w:tcW w:w="8460" w:type="dxa"/>
            <w:vAlign w:val="bottom"/>
          </w:tcPr>
          <w:p>
            <w:pPr>
              <w:ind w:left="220"/>
              <w:spacing w:after="0" w:line="200" w:lineRule="exact"/>
              <w:rPr>
                <w:sz w:val="20"/>
                <w:szCs w:val="20"/>
                <w:color w:val="auto"/>
              </w:rPr>
            </w:pPr>
            <w:r>
              <w:rPr>
                <w:rFonts w:ascii="Times New Roman" w:cs="Times New Roman" w:eastAsia="Times New Roman" w:hAnsi="Times New Roman"/>
                <w:sz w:val="20"/>
                <w:szCs w:val="20"/>
                <w:color w:val="auto"/>
              </w:rPr>
              <w:t>Inc. and Parag Mallick, dated as of July 31, 2023 (incorporated by reference to Exhibit 10.10 to the</w:t>
            </w:r>
          </w:p>
        </w:tc>
      </w:tr>
      <w:tr>
        <w:trPr>
          <w:trHeight w:val="260"/>
        </w:trPr>
        <w:tc>
          <w:tcPr>
            <w:tcW w:w="780" w:type="dxa"/>
            <w:vAlign w:val="bottom"/>
          </w:tcPr>
          <w:p>
            <w:pPr>
              <w:spacing w:after="0"/>
              <w:rPr>
                <w:sz w:val="22"/>
                <w:szCs w:val="22"/>
                <w:color w:val="auto"/>
              </w:rPr>
            </w:pPr>
          </w:p>
        </w:tc>
        <w:tc>
          <w:tcPr>
            <w:tcW w:w="84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Company’s Quarterly Report on Form 10-Q filed with the SEC on August 2, 2023)</w:t>
            </w:r>
          </w:p>
        </w:tc>
      </w:tr>
      <w:tr>
        <w:trPr>
          <w:trHeight w:val="215"/>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8460" w:type="dxa"/>
            <w:vAlign w:val="bottom"/>
          </w:tcPr>
          <w:p>
            <w:pPr>
              <w:ind w:left="220"/>
              <w:spacing w:after="0" w:line="215" w:lineRule="exact"/>
              <w:rPr>
                <w:sz w:val="20"/>
                <w:szCs w:val="20"/>
                <w:color w:val="auto"/>
              </w:rPr>
            </w:pPr>
            <w:r>
              <w:rPr>
                <w:rFonts w:ascii="Times New Roman" w:cs="Times New Roman" w:eastAsia="Times New Roman" w:hAnsi="Times New Roman"/>
                <w:sz w:val="20"/>
                <w:szCs w:val="20"/>
                <w:color w:val="auto"/>
                <w:w w:val="99"/>
              </w:rPr>
              <w:t>Amended and Restated Change in Control and Severance Agreement between Nautilus Biotechnology,</w:t>
            </w:r>
          </w:p>
        </w:tc>
      </w:tr>
      <w:tr>
        <w:trPr>
          <w:trHeight w:val="200"/>
        </w:trPr>
        <w:tc>
          <w:tcPr>
            <w:tcW w:w="780" w:type="dxa"/>
            <w:vAlign w:val="bottom"/>
          </w:tcPr>
          <w:p>
            <w:pPr>
              <w:spacing w:after="0"/>
              <w:rPr>
                <w:sz w:val="17"/>
                <w:szCs w:val="17"/>
                <w:color w:val="auto"/>
              </w:rPr>
            </w:pPr>
          </w:p>
        </w:tc>
        <w:tc>
          <w:tcPr>
            <w:tcW w:w="8460" w:type="dxa"/>
            <w:vAlign w:val="bottom"/>
          </w:tcPr>
          <w:p>
            <w:pPr>
              <w:ind w:left="220"/>
              <w:spacing w:after="0" w:line="200" w:lineRule="exact"/>
              <w:rPr>
                <w:sz w:val="20"/>
                <w:szCs w:val="20"/>
                <w:color w:val="auto"/>
              </w:rPr>
            </w:pPr>
            <w:r>
              <w:rPr>
                <w:rFonts w:ascii="Times New Roman" w:cs="Times New Roman" w:eastAsia="Times New Roman" w:hAnsi="Times New Roman"/>
                <w:sz w:val="20"/>
                <w:szCs w:val="20"/>
                <w:color w:val="auto"/>
              </w:rPr>
              <w:t>Inc. and Anna Mowry, dated as of July 31, 2023 (incorporated by reference to Exhibit 10.11 to the</w:t>
            </w:r>
          </w:p>
        </w:tc>
      </w:tr>
      <w:tr>
        <w:trPr>
          <w:trHeight w:val="260"/>
        </w:trPr>
        <w:tc>
          <w:tcPr>
            <w:tcW w:w="780" w:type="dxa"/>
            <w:vAlign w:val="bottom"/>
          </w:tcPr>
          <w:p>
            <w:pPr>
              <w:spacing w:after="0"/>
              <w:rPr>
                <w:sz w:val="22"/>
                <w:szCs w:val="22"/>
                <w:color w:val="auto"/>
              </w:rPr>
            </w:pPr>
          </w:p>
        </w:tc>
        <w:tc>
          <w:tcPr>
            <w:tcW w:w="84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Company’s Quarterly Report on Form 10-Q filed with the SEC on August 2, 2023)</w:t>
            </w:r>
          </w:p>
        </w:tc>
      </w:tr>
      <w:tr>
        <w:trPr>
          <w:trHeight w:val="215"/>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8460" w:type="dxa"/>
            <w:vAlign w:val="bottom"/>
          </w:tcPr>
          <w:p>
            <w:pPr>
              <w:ind w:left="220"/>
              <w:spacing w:after="0" w:line="215" w:lineRule="exact"/>
              <w:rPr>
                <w:sz w:val="20"/>
                <w:szCs w:val="20"/>
                <w:color w:val="auto"/>
              </w:rPr>
            </w:pPr>
            <w:r>
              <w:rPr>
                <w:rFonts w:ascii="Times New Roman" w:cs="Times New Roman" w:eastAsia="Times New Roman" w:hAnsi="Times New Roman"/>
                <w:sz w:val="20"/>
                <w:szCs w:val="20"/>
                <w:color w:val="auto"/>
                <w:w w:val="99"/>
              </w:rPr>
              <w:t>Amended and Restated Change in Control and Severance Agreement between Nautilus Biotechnology,</w:t>
            </w:r>
          </w:p>
        </w:tc>
      </w:tr>
      <w:tr>
        <w:trPr>
          <w:trHeight w:val="200"/>
        </w:trPr>
        <w:tc>
          <w:tcPr>
            <w:tcW w:w="780" w:type="dxa"/>
            <w:vAlign w:val="bottom"/>
          </w:tcPr>
          <w:p>
            <w:pPr>
              <w:spacing w:after="0"/>
              <w:rPr>
                <w:sz w:val="17"/>
                <w:szCs w:val="17"/>
                <w:color w:val="auto"/>
              </w:rPr>
            </w:pPr>
          </w:p>
        </w:tc>
        <w:tc>
          <w:tcPr>
            <w:tcW w:w="8460" w:type="dxa"/>
            <w:vAlign w:val="bottom"/>
          </w:tcPr>
          <w:p>
            <w:pPr>
              <w:ind w:left="220"/>
              <w:spacing w:after="0" w:line="200" w:lineRule="exact"/>
              <w:rPr>
                <w:sz w:val="20"/>
                <w:szCs w:val="20"/>
                <w:color w:val="auto"/>
              </w:rPr>
            </w:pPr>
            <w:r>
              <w:rPr>
                <w:rFonts w:ascii="Times New Roman" w:cs="Times New Roman" w:eastAsia="Times New Roman" w:hAnsi="Times New Roman"/>
                <w:sz w:val="20"/>
                <w:szCs w:val="20"/>
                <w:color w:val="auto"/>
              </w:rPr>
              <w:t>Inc. and Nick Nelson, dated as of July 31, 2023 (incorporated by reference to Exhibit 10.12 to the</w:t>
            </w:r>
          </w:p>
        </w:tc>
      </w:tr>
      <w:tr>
        <w:trPr>
          <w:trHeight w:val="260"/>
        </w:trPr>
        <w:tc>
          <w:tcPr>
            <w:tcW w:w="780" w:type="dxa"/>
            <w:vAlign w:val="bottom"/>
          </w:tcPr>
          <w:p>
            <w:pPr>
              <w:spacing w:after="0"/>
              <w:rPr>
                <w:sz w:val="22"/>
                <w:szCs w:val="22"/>
                <w:color w:val="auto"/>
              </w:rPr>
            </w:pPr>
          </w:p>
        </w:tc>
        <w:tc>
          <w:tcPr>
            <w:tcW w:w="84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Company’s Quarterly Report on Form 10-Q filed with the SEC on August 2, 2023)</w:t>
            </w:r>
          </w:p>
        </w:tc>
      </w:tr>
      <w:tr>
        <w:trPr>
          <w:trHeight w:val="215"/>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8460" w:type="dxa"/>
            <w:vAlign w:val="bottom"/>
          </w:tcPr>
          <w:p>
            <w:pPr>
              <w:ind w:left="220"/>
              <w:spacing w:after="0" w:line="215" w:lineRule="exact"/>
              <w:rPr>
                <w:sz w:val="20"/>
                <w:szCs w:val="20"/>
                <w:color w:val="auto"/>
              </w:rPr>
            </w:pPr>
            <w:r>
              <w:rPr>
                <w:rFonts w:ascii="Times New Roman" w:cs="Times New Roman" w:eastAsia="Times New Roman" w:hAnsi="Times New Roman"/>
                <w:sz w:val="20"/>
                <w:szCs w:val="20"/>
                <w:color w:val="auto"/>
                <w:w w:val="99"/>
              </w:rPr>
              <w:t>Amended and Restated Change in Control and Severance Agreement between Nautilus Biotechnology,</w:t>
            </w:r>
          </w:p>
        </w:tc>
      </w:tr>
      <w:tr>
        <w:trPr>
          <w:trHeight w:val="200"/>
        </w:trPr>
        <w:tc>
          <w:tcPr>
            <w:tcW w:w="780" w:type="dxa"/>
            <w:vAlign w:val="bottom"/>
          </w:tcPr>
          <w:p>
            <w:pPr>
              <w:spacing w:after="0"/>
              <w:rPr>
                <w:sz w:val="17"/>
                <w:szCs w:val="17"/>
                <w:color w:val="auto"/>
              </w:rPr>
            </w:pPr>
          </w:p>
        </w:tc>
        <w:tc>
          <w:tcPr>
            <w:tcW w:w="8460" w:type="dxa"/>
            <w:vAlign w:val="bottom"/>
          </w:tcPr>
          <w:p>
            <w:pPr>
              <w:ind w:left="220"/>
              <w:spacing w:after="0" w:line="200" w:lineRule="exact"/>
              <w:rPr>
                <w:sz w:val="20"/>
                <w:szCs w:val="20"/>
                <w:color w:val="auto"/>
              </w:rPr>
            </w:pPr>
            <w:r>
              <w:rPr>
                <w:rFonts w:ascii="Times New Roman" w:cs="Times New Roman" w:eastAsia="Times New Roman" w:hAnsi="Times New Roman"/>
                <w:sz w:val="20"/>
                <w:szCs w:val="20"/>
                <w:color w:val="auto"/>
              </w:rPr>
              <w:t>Inc. and Gwen Weld, dated as of July 31, 2023 (incorporated by reference to Exhibit 10.13 to the</w:t>
            </w:r>
          </w:p>
        </w:tc>
      </w:tr>
      <w:tr>
        <w:trPr>
          <w:trHeight w:val="260"/>
        </w:trPr>
        <w:tc>
          <w:tcPr>
            <w:tcW w:w="780" w:type="dxa"/>
            <w:vAlign w:val="bottom"/>
          </w:tcPr>
          <w:p>
            <w:pPr>
              <w:spacing w:after="0"/>
              <w:rPr>
                <w:sz w:val="22"/>
                <w:szCs w:val="22"/>
                <w:color w:val="auto"/>
              </w:rPr>
            </w:pPr>
          </w:p>
        </w:tc>
        <w:tc>
          <w:tcPr>
            <w:tcW w:w="84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Company’s Quarterly Report on Form 10-Q filed with the SEC on August 2, 2023)</w:t>
            </w:r>
          </w:p>
        </w:tc>
      </w:tr>
      <w:tr>
        <w:trPr>
          <w:trHeight w:val="215"/>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8460" w:type="dxa"/>
            <w:vAlign w:val="bottom"/>
          </w:tcPr>
          <w:p>
            <w:pPr>
              <w:ind w:left="220"/>
              <w:spacing w:after="0" w:line="215" w:lineRule="exact"/>
              <w:rPr>
                <w:sz w:val="20"/>
                <w:szCs w:val="20"/>
                <w:color w:val="auto"/>
              </w:rPr>
            </w:pPr>
            <w:r>
              <w:rPr>
                <w:rFonts w:ascii="Times New Roman" w:cs="Times New Roman" w:eastAsia="Times New Roman" w:hAnsi="Times New Roman"/>
                <w:sz w:val="20"/>
                <w:szCs w:val="20"/>
                <w:color w:val="auto"/>
                <w:w w:val="99"/>
              </w:rPr>
              <w:t>Amended and Restated Change in Control and Severance Agreement between Nautilus Biotechnology,</w:t>
            </w:r>
          </w:p>
        </w:tc>
      </w:tr>
      <w:tr>
        <w:trPr>
          <w:trHeight w:val="200"/>
        </w:trPr>
        <w:tc>
          <w:tcPr>
            <w:tcW w:w="780" w:type="dxa"/>
            <w:vAlign w:val="bottom"/>
          </w:tcPr>
          <w:p>
            <w:pPr>
              <w:spacing w:after="0"/>
              <w:rPr>
                <w:sz w:val="17"/>
                <w:szCs w:val="17"/>
                <w:color w:val="auto"/>
              </w:rPr>
            </w:pPr>
          </w:p>
        </w:tc>
        <w:tc>
          <w:tcPr>
            <w:tcW w:w="8460" w:type="dxa"/>
            <w:vAlign w:val="bottom"/>
          </w:tcPr>
          <w:p>
            <w:pPr>
              <w:ind w:left="220"/>
              <w:spacing w:after="0" w:line="200" w:lineRule="exact"/>
              <w:rPr>
                <w:sz w:val="20"/>
                <w:szCs w:val="20"/>
                <w:color w:val="auto"/>
              </w:rPr>
            </w:pPr>
            <w:r>
              <w:rPr>
                <w:rFonts w:ascii="Times New Roman" w:cs="Times New Roman" w:eastAsia="Times New Roman" w:hAnsi="Times New Roman"/>
                <w:sz w:val="20"/>
                <w:szCs w:val="20"/>
                <w:color w:val="auto"/>
              </w:rPr>
              <w:t>Inc. and Mary Godwin, dated as of July 31, 2023 (incorporated by reference to Exhibit 10.14 to the</w:t>
            </w:r>
          </w:p>
        </w:tc>
      </w:tr>
      <w:tr>
        <w:trPr>
          <w:trHeight w:val="260"/>
        </w:trPr>
        <w:tc>
          <w:tcPr>
            <w:tcW w:w="780" w:type="dxa"/>
            <w:vAlign w:val="bottom"/>
          </w:tcPr>
          <w:p>
            <w:pPr>
              <w:spacing w:after="0"/>
              <w:rPr>
                <w:sz w:val="22"/>
                <w:szCs w:val="22"/>
                <w:color w:val="auto"/>
              </w:rPr>
            </w:pPr>
          </w:p>
        </w:tc>
        <w:tc>
          <w:tcPr>
            <w:tcW w:w="84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Company’s Quarterly Report on Form 10-Q filed with the SEC on August 2, 2023)</w:t>
            </w:r>
          </w:p>
        </w:tc>
      </w:tr>
      <w:tr>
        <w:trPr>
          <w:trHeight w:val="215"/>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8460" w:type="dxa"/>
            <w:vAlign w:val="bottom"/>
          </w:tcPr>
          <w:p>
            <w:pPr>
              <w:ind w:left="220"/>
              <w:spacing w:after="0" w:line="215" w:lineRule="exact"/>
              <w:rPr>
                <w:sz w:val="20"/>
                <w:szCs w:val="20"/>
                <w:color w:val="auto"/>
              </w:rPr>
            </w:pPr>
            <w:r>
              <w:rPr>
                <w:rFonts w:ascii="Times New Roman" w:cs="Times New Roman" w:eastAsia="Times New Roman" w:hAnsi="Times New Roman"/>
                <w:sz w:val="20"/>
                <w:szCs w:val="20"/>
                <w:color w:val="auto"/>
                <w:w w:val="99"/>
              </w:rPr>
              <w:t>Amended and Restated Change in Control and Severance Agreement between Nautilus Biotechnology,</w:t>
            </w:r>
          </w:p>
        </w:tc>
      </w:tr>
      <w:tr>
        <w:trPr>
          <w:trHeight w:val="200"/>
        </w:trPr>
        <w:tc>
          <w:tcPr>
            <w:tcW w:w="780" w:type="dxa"/>
            <w:vAlign w:val="bottom"/>
          </w:tcPr>
          <w:p>
            <w:pPr>
              <w:spacing w:after="0"/>
              <w:rPr>
                <w:sz w:val="17"/>
                <w:szCs w:val="17"/>
                <w:color w:val="auto"/>
              </w:rPr>
            </w:pPr>
          </w:p>
        </w:tc>
        <w:tc>
          <w:tcPr>
            <w:tcW w:w="8460" w:type="dxa"/>
            <w:vAlign w:val="bottom"/>
          </w:tcPr>
          <w:p>
            <w:pPr>
              <w:ind w:left="220"/>
              <w:spacing w:after="0" w:line="200" w:lineRule="exact"/>
              <w:rPr>
                <w:sz w:val="20"/>
                <w:szCs w:val="20"/>
                <w:color w:val="auto"/>
              </w:rPr>
            </w:pPr>
            <w:r>
              <w:rPr>
                <w:rFonts w:ascii="Times New Roman" w:cs="Times New Roman" w:eastAsia="Times New Roman" w:hAnsi="Times New Roman"/>
                <w:sz w:val="20"/>
                <w:szCs w:val="20"/>
                <w:color w:val="auto"/>
              </w:rPr>
              <w:t>Inc. and Subra Sankar, dated as of July 31, 2023 (incorporated by reference to Exhibit 10.15 to the</w:t>
            </w:r>
          </w:p>
        </w:tc>
      </w:tr>
      <w:tr>
        <w:trPr>
          <w:trHeight w:val="260"/>
        </w:trPr>
        <w:tc>
          <w:tcPr>
            <w:tcW w:w="780" w:type="dxa"/>
            <w:vAlign w:val="bottom"/>
          </w:tcPr>
          <w:p>
            <w:pPr>
              <w:spacing w:after="0"/>
              <w:rPr>
                <w:sz w:val="22"/>
                <w:szCs w:val="22"/>
                <w:color w:val="auto"/>
              </w:rPr>
            </w:pPr>
          </w:p>
        </w:tc>
        <w:tc>
          <w:tcPr>
            <w:tcW w:w="84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Company’s Quarterly Report on Form 10-Q filed with the SEC on August 2, 2023)</w:t>
            </w:r>
          </w:p>
        </w:tc>
      </w:tr>
      <w:tr>
        <w:trPr>
          <w:trHeight w:val="215"/>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8460" w:type="dxa"/>
            <w:vAlign w:val="bottom"/>
          </w:tcPr>
          <w:p>
            <w:pPr>
              <w:ind w:left="220"/>
              <w:spacing w:after="0" w:line="215" w:lineRule="exact"/>
              <w:rPr>
                <w:sz w:val="20"/>
                <w:szCs w:val="20"/>
                <w:color w:val="auto"/>
              </w:rPr>
            </w:pPr>
            <w:r>
              <w:rPr>
                <w:rFonts w:ascii="Times New Roman" w:cs="Times New Roman" w:eastAsia="Times New Roman" w:hAnsi="Times New Roman"/>
                <w:sz w:val="20"/>
                <w:szCs w:val="20"/>
                <w:color w:val="auto"/>
                <w:w w:val="99"/>
              </w:rPr>
              <w:t>Amended and Restated Change in Control and Severance Agreement between Nautilus Biotechnology,</w:t>
            </w:r>
          </w:p>
        </w:tc>
      </w:tr>
      <w:tr>
        <w:trPr>
          <w:trHeight w:val="200"/>
        </w:trPr>
        <w:tc>
          <w:tcPr>
            <w:tcW w:w="780" w:type="dxa"/>
            <w:vAlign w:val="bottom"/>
          </w:tcPr>
          <w:p>
            <w:pPr>
              <w:spacing w:after="0"/>
              <w:rPr>
                <w:sz w:val="17"/>
                <w:szCs w:val="17"/>
                <w:color w:val="auto"/>
              </w:rPr>
            </w:pPr>
          </w:p>
        </w:tc>
        <w:tc>
          <w:tcPr>
            <w:tcW w:w="8460" w:type="dxa"/>
            <w:vAlign w:val="bottom"/>
          </w:tcPr>
          <w:p>
            <w:pPr>
              <w:ind w:left="220"/>
              <w:spacing w:after="0" w:line="200" w:lineRule="exact"/>
              <w:rPr>
                <w:sz w:val="20"/>
                <w:szCs w:val="20"/>
                <w:color w:val="auto"/>
              </w:rPr>
            </w:pPr>
            <w:r>
              <w:rPr>
                <w:rFonts w:ascii="Times New Roman" w:cs="Times New Roman" w:eastAsia="Times New Roman" w:hAnsi="Times New Roman"/>
                <w:sz w:val="20"/>
                <w:szCs w:val="20"/>
                <w:color w:val="auto"/>
              </w:rPr>
              <w:t>Inc. and Matthew Murphy, dated as of July 31, 2023 (incorporated by reference to Exhibit 10.16 to the</w:t>
            </w:r>
          </w:p>
        </w:tc>
      </w:tr>
      <w:tr>
        <w:trPr>
          <w:trHeight w:val="260"/>
        </w:trPr>
        <w:tc>
          <w:tcPr>
            <w:tcW w:w="780" w:type="dxa"/>
            <w:vAlign w:val="bottom"/>
          </w:tcPr>
          <w:p>
            <w:pPr>
              <w:spacing w:after="0"/>
              <w:rPr>
                <w:sz w:val="22"/>
                <w:szCs w:val="22"/>
                <w:color w:val="auto"/>
              </w:rPr>
            </w:pPr>
          </w:p>
        </w:tc>
        <w:tc>
          <w:tcPr>
            <w:tcW w:w="84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Company’s Quarterly Report on Form 10-Q filed with the SEC on August 2, 2023)</w:t>
            </w:r>
          </w:p>
        </w:tc>
      </w:tr>
      <w:tr>
        <w:trPr>
          <w:trHeight w:val="205"/>
        </w:trPr>
        <w:tc>
          <w:tcPr>
            <w:tcW w:w="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10.26+</w:t>
            </w:r>
          </w:p>
        </w:tc>
        <w:tc>
          <w:tcPr>
            <w:tcW w:w="8460" w:type="dxa"/>
            <w:vAlign w:val="bottom"/>
          </w:tcPr>
          <w:p>
            <w:pPr>
              <w:ind w:left="220"/>
              <w:spacing w:after="0" w:line="205" w:lineRule="exact"/>
              <w:rPr>
                <w:sz w:val="20"/>
                <w:szCs w:val="20"/>
                <w:color w:val="auto"/>
              </w:rPr>
            </w:pPr>
            <w:r>
              <w:rPr>
                <w:rFonts w:ascii="Times New Roman" w:cs="Times New Roman" w:eastAsia="Times New Roman" w:hAnsi="Times New Roman"/>
                <w:sz w:val="20"/>
                <w:szCs w:val="20"/>
                <w:color w:val="auto"/>
              </w:rPr>
              <w:t>Form of Nautilus Biotechnology, Inc. Indemnification Agreement (incorporated by reference to</w:t>
            </w:r>
          </w:p>
        </w:tc>
      </w:tr>
      <w:tr>
        <w:trPr>
          <w:trHeight w:val="260"/>
        </w:trPr>
        <w:tc>
          <w:tcPr>
            <w:tcW w:w="780" w:type="dxa"/>
            <w:vAlign w:val="bottom"/>
          </w:tcPr>
          <w:p>
            <w:pPr>
              <w:spacing w:after="0"/>
              <w:rPr>
                <w:sz w:val="22"/>
                <w:szCs w:val="22"/>
                <w:color w:val="auto"/>
              </w:rPr>
            </w:pPr>
          </w:p>
        </w:tc>
        <w:tc>
          <w:tcPr>
            <w:tcW w:w="84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Exhibit 10.24 to the Company’s Form S-4/A filed with the SEC on April 26, 2021).</w:t>
            </w:r>
          </w:p>
        </w:tc>
      </w:tr>
      <w:tr>
        <w:trPr>
          <w:trHeight w:val="205"/>
        </w:trPr>
        <w:tc>
          <w:tcPr>
            <w:tcW w:w="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10.27+</w:t>
            </w:r>
          </w:p>
        </w:tc>
        <w:tc>
          <w:tcPr>
            <w:tcW w:w="8460" w:type="dxa"/>
            <w:vAlign w:val="bottom"/>
          </w:tcPr>
          <w:p>
            <w:pPr>
              <w:ind w:left="220"/>
              <w:spacing w:after="0" w:line="205" w:lineRule="exact"/>
              <w:rPr>
                <w:sz w:val="20"/>
                <w:szCs w:val="20"/>
                <w:color w:val="auto"/>
              </w:rPr>
            </w:pPr>
            <w:r>
              <w:rPr>
                <w:rFonts w:ascii="Times New Roman" w:cs="Times New Roman" w:eastAsia="Times New Roman" w:hAnsi="Times New Roman"/>
                <w:sz w:val="20"/>
                <w:szCs w:val="20"/>
                <w:color w:val="auto"/>
              </w:rPr>
              <w:t>Nautilus Biotechnology, Inc. Executive Incentive Compensation Plan (incorporated by reference to</w:t>
            </w:r>
          </w:p>
        </w:tc>
      </w:tr>
      <w:tr>
        <w:trPr>
          <w:trHeight w:val="260"/>
        </w:trPr>
        <w:tc>
          <w:tcPr>
            <w:tcW w:w="780" w:type="dxa"/>
            <w:vAlign w:val="bottom"/>
          </w:tcPr>
          <w:p>
            <w:pPr>
              <w:spacing w:after="0"/>
              <w:rPr>
                <w:sz w:val="22"/>
                <w:szCs w:val="22"/>
                <w:color w:val="auto"/>
              </w:rPr>
            </w:pPr>
          </w:p>
        </w:tc>
        <w:tc>
          <w:tcPr>
            <w:tcW w:w="84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Exhibit 10.25 to the Company’s Form S-4/A filed with the SEC on April 26, 2021).</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84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List of Subsidiaries of the Registrant (incorporated by reference to Exhibit 21.1 to the Company’s</w:t>
            </w:r>
          </w:p>
        </w:tc>
      </w:tr>
    </w:tbl>
    <w:p>
      <w:pPr>
        <w:spacing w:after="0" w:line="1" w:lineRule="exact"/>
        <w:rPr>
          <w:sz w:val="20"/>
          <w:szCs w:val="20"/>
          <w:color w:val="auto"/>
        </w:rPr>
      </w:pPr>
    </w:p>
    <w:p>
      <w:pPr>
        <w:sectPr>
          <w:pgSz w:w="12240" w:h="15840" w:orient="portrait"/>
          <w:cols w:equalWidth="0" w:num="1">
            <w:col w:w="9580"/>
          </w:cols>
          <w:pgMar w:left="1220" w:top="1412" w:right="1440" w:bottom="0" w:gutter="0" w:footer="0" w:header="0"/>
        </w:sect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23.1*</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Annual Report on Form 10-K filed with the SEC on February 24, 2022).</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Consent of Independent Registered Public Accounting Firm</w:t>
      </w:r>
    </w:p>
    <w:p>
      <w:pPr>
        <w:spacing w:after="0" w:line="45" w:lineRule="exact"/>
        <w:rPr>
          <w:sz w:val="20"/>
          <w:szCs w:val="20"/>
          <w:color w:val="auto"/>
        </w:rPr>
      </w:pPr>
    </w:p>
    <w:p>
      <w:pPr>
        <w:ind w:right="600"/>
        <w:spacing w:after="0" w:line="229" w:lineRule="auto"/>
        <w:rPr>
          <w:sz w:val="20"/>
          <w:szCs w:val="20"/>
          <w:color w:val="auto"/>
        </w:rPr>
      </w:pPr>
      <w:r>
        <w:rPr>
          <w:rFonts w:ascii="Times New Roman" w:cs="Times New Roman" w:eastAsia="Times New Roman" w:hAnsi="Times New Roman"/>
          <w:sz w:val="20"/>
          <w:szCs w:val="20"/>
          <w:color w:val="auto"/>
        </w:rPr>
        <w:t>Certification of Principal Executive Officer Pursuant to Rules 13a-14(a) and 15d-14(a) under the Securities Exchange Act of 1934, as Adopted Pursuant to Section 302 of the Sarbanes-Oxley Act of 2002.</w:t>
      </w:r>
    </w:p>
    <w:p>
      <w:pPr>
        <w:spacing w:after="0" w:line="12" w:lineRule="exact"/>
        <w:rPr>
          <w:sz w:val="20"/>
          <w:szCs w:val="20"/>
          <w:color w:val="auto"/>
        </w:rPr>
      </w:pPr>
    </w:p>
    <w:p>
      <w:pPr>
        <w:sectPr>
          <w:pgSz w:w="12240" w:h="15840" w:orient="portrait"/>
          <w:cols w:equalWidth="0" w:num="2">
            <w:col w:w="400" w:space="600"/>
            <w:col w:w="8580"/>
          </w:cols>
          <w:pgMar w:left="1220" w:top="1412" w:right="1440" w:bottom="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31.2*</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32.1*</w:t>
      </w:r>
      <w:r>
        <w:rPr>
          <w:rFonts w:ascii="Times New Roman" w:cs="Times New Roman" w:eastAsia="Times New Roman" w:hAnsi="Times New Roman"/>
          <w:sz w:val="16"/>
          <w:szCs w:val="16"/>
          <w:color w:val="auto"/>
        </w:rPr>
        <w:t>†</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32.2*</w:t>
      </w:r>
      <w:r>
        <w:rPr>
          <w:rFonts w:ascii="Times New Roman" w:cs="Times New Roman" w:eastAsia="Times New Roman" w:hAnsi="Times New Roman"/>
          <w:sz w:val="16"/>
          <w:szCs w:val="16"/>
          <w:color w:val="auto"/>
        </w:rPr>
        <w:t>†</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97.1*</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101.INS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101.SCH</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101.CAL</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101.DEF</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101.LAB</w:t>
      </w:r>
    </w:p>
    <w:p>
      <w:pPr>
        <w:spacing w:after="0" w:line="20" w:lineRule="exact"/>
        <w:rPr>
          <w:sz w:val="20"/>
          <w:szCs w:val="20"/>
          <w:color w:val="auto"/>
        </w:rPr>
      </w:pPr>
      <w:r>
        <w:rPr>
          <w:sz w:val="20"/>
          <w:szCs w:val="20"/>
          <w:color w:val="auto"/>
        </w:rPr>
        <w:br w:type="column"/>
      </w:r>
    </w:p>
    <w:p>
      <w:pPr>
        <w:ind w:right="600"/>
        <w:spacing w:after="0" w:line="229" w:lineRule="auto"/>
        <w:rPr>
          <w:sz w:val="20"/>
          <w:szCs w:val="20"/>
          <w:color w:val="auto"/>
        </w:rPr>
      </w:pPr>
      <w:r>
        <w:rPr>
          <w:rFonts w:ascii="Times New Roman" w:cs="Times New Roman" w:eastAsia="Times New Roman" w:hAnsi="Times New Roman"/>
          <w:sz w:val="20"/>
          <w:szCs w:val="20"/>
          <w:color w:val="auto"/>
        </w:rPr>
        <w:t>Certification of Principal Financial Officer Pursuant to Rules 13a-14(a) and 15d-14(a) under the Securities Exchange Act of 1934, as Adopted Pursuant to Section 302 of the Sarbanes-Oxley Act of 2002.</w:t>
      </w:r>
    </w:p>
    <w:p>
      <w:pPr>
        <w:spacing w:after="0" w:line="7" w:lineRule="exact"/>
        <w:rPr>
          <w:sz w:val="20"/>
          <w:szCs w:val="20"/>
          <w:color w:val="auto"/>
        </w:rPr>
      </w:pPr>
    </w:p>
    <w:p>
      <w:pPr>
        <w:ind w:right="460"/>
        <w:spacing w:after="0"/>
        <w:rPr>
          <w:sz w:val="20"/>
          <w:szCs w:val="20"/>
          <w:color w:val="auto"/>
        </w:rPr>
      </w:pPr>
      <w:r>
        <w:rPr>
          <w:rFonts w:ascii="Times New Roman" w:cs="Times New Roman" w:eastAsia="Times New Roman" w:hAnsi="Times New Roman"/>
          <w:sz w:val="20"/>
          <w:szCs w:val="20"/>
          <w:color w:val="auto"/>
        </w:rPr>
        <w:t>Certification of Principal Executive Officer Pursuant to 18 U.S.C. Section 1350, as Adopted Pursuant to Section 906 of the Sarbanes-Oxley Act of 2002.</w:t>
      </w:r>
    </w:p>
    <w:p>
      <w:pPr>
        <w:spacing w:after="0" w:line="5" w:lineRule="exact"/>
        <w:rPr>
          <w:sz w:val="20"/>
          <w:szCs w:val="20"/>
          <w:color w:val="auto"/>
        </w:rPr>
      </w:pPr>
    </w:p>
    <w:p>
      <w:pPr>
        <w:ind w:right="520"/>
        <w:spacing w:after="0"/>
        <w:rPr>
          <w:sz w:val="20"/>
          <w:szCs w:val="20"/>
          <w:color w:val="auto"/>
        </w:rPr>
      </w:pPr>
      <w:r>
        <w:rPr>
          <w:rFonts w:ascii="Times New Roman" w:cs="Times New Roman" w:eastAsia="Times New Roman" w:hAnsi="Times New Roman"/>
          <w:sz w:val="20"/>
          <w:szCs w:val="20"/>
          <w:color w:val="auto"/>
        </w:rPr>
        <w:t>Certification of Principal Financial Officer Pursuant to 18 U.S.C. Section 1350, as Adopted Pursuant to Section 906 of the Sarbanes-Oxley Act of 2002.</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Nautilus Biotechnology, Inc. Compensation Recovery Policy as adopted on October 24, 2023</w:t>
      </w:r>
    </w:p>
    <w:p>
      <w:pPr>
        <w:spacing w:after="0" w:line="35" w:lineRule="exact"/>
        <w:rPr>
          <w:sz w:val="20"/>
          <w:szCs w:val="20"/>
          <w:color w:val="auto"/>
        </w:rPr>
      </w:pPr>
    </w:p>
    <w:p>
      <w:pPr>
        <w:ind w:right="460"/>
        <w:spacing w:after="0"/>
        <w:rPr>
          <w:sz w:val="20"/>
          <w:szCs w:val="20"/>
          <w:color w:val="auto"/>
        </w:rPr>
      </w:pPr>
      <w:r>
        <w:rPr>
          <w:rFonts w:ascii="Times New Roman" w:cs="Times New Roman" w:eastAsia="Times New Roman" w:hAnsi="Times New Roman"/>
          <w:sz w:val="20"/>
          <w:szCs w:val="20"/>
          <w:color w:val="auto"/>
        </w:rPr>
        <w:t>Inline XBRL Instance Document – the instance document does not appear in the Interactive Data File because XBRL tags are embedded within the Inline XBRL document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p>
      <w:pPr>
        <w:spacing w:after="0" w:line="55" w:lineRule="exact"/>
        <w:rPr>
          <w:sz w:val="20"/>
          <w:szCs w:val="20"/>
          <w:color w:val="auto"/>
        </w:rPr>
      </w:pPr>
    </w:p>
    <w:p>
      <w:pPr>
        <w:ind w:right="3140"/>
        <w:spacing w:after="0" w:line="335" w:lineRule="auto"/>
        <w:rPr>
          <w:sz w:val="20"/>
          <w:szCs w:val="20"/>
          <w:color w:val="auto"/>
        </w:rPr>
      </w:pPr>
      <w:r>
        <w:rPr>
          <w:rFonts w:ascii="Times New Roman" w:cs="Times New Roman" w:eastAsia="Times New Roman" w:hAnsi="Times New Roman"/>
          <w:sz w:val="19"/>
          <w:szCs w:val="19"/>
          <w:color w:val="auto"/>
        </w:rPr>
        <w:t>Inline XBRL Taxonomy Extension Calculation Linkbase Document Inline XBRL Taxonomy Extension Definition Linkbase Document Inline XBRL Taxonomy Extension Label Linkbase Document</w:t>
      </w:r>
    </w:p>
    <w:p>
      <w:pPr>
        <w:spacing w:after="0" w:line="200" w:lineRule="exact"/>
        <w:rPr>
          <w:sz w:val="20"/>
          <w:szCs w:val="20"/>
          <w:color w:val="auto"/>
        </w:rPr>
      </w:pPr>
    </w:p>
    <w:p>
      <w:pPr>
        <w:sectPr>
          <w:pgSz w:w="12240" w:h="15840" w:orient="portrait"/>
          <w:cols w:equalWidth="0" w:num="2">
            <w:col w:w="680" w:space="320"/>
            <w:col w:w="8580"/>
          </w:cols>
          <w:pgMar w:left="1220" w:top="141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144</w:t>
      </w:r>
    </w:p>
    <w:p>
      <w:pPr>
        <w:sectPr>
          <w:pgSz w:w="12240" w:h="15840" w:orient="portrait"/>
          <w:cols w:equalWidth="0" w:num="1">
            <w:col w:w="9580"/>
          </w:cols>
          <w:pgMar w:left="1220" w:top="1412" w:right="1440" w:bottom="0" w:gutter="0" w:footer="0" w:header="0"/>
          <w:type w:val="continuous"/>
        </w:sectPr>
      </w:pPr>
    </w:p>
    <w:bookmarkStart w:id="146" w:name="page147"/>
    <w:bookmarkEnd w:id="146"/>
    <w:p>
      <w:pPr>
        <w:ind w:left="50"/>
        <w:spacing w:after="0"/>
        <w:tabs>
          <w:tab w:leader="none" w:pos="1030" w:val="left"/>
        </w:tabs>
        <w:rPr>
          <w:sz w:val="20"/>
          <w:szCs w:val="20"/>
          <w:color w:val="auto"/>
        </w:rPr>
      </w:pPr>
      <w:r>
        <w:rPr>
          <w:rFonts w:ascii="Times New Roman" w:cs="Times New Roman" w:eastAsia="Times New Roman" w:hAnsi="Times New Roman"/>
          <w:sz w:val="36"/>
          <w:szCs w:val="36"/>
          <w:color w:val="auto"/>
          <w:vertAlign w:val="superscript"/>
        </w:rPr>
        <w:t>101.PRE</w:t>
      </w:r>
      <w:r>
        <w:rPr>
          <w:sz w:val="20"/>
          <w:szCs w:val="20"/>
          <w:color w:val="auto"/>
        </w:rPr>
        <w:tab/>
      </w:r>
      <w:r>
        <w:rPr>
          <w:rFonts w:ascii="Times New Roman" w:cs="Times New Roman" w:eastAsia="Times New Roman" w:hAnsi="Times New Roman"/>
          <w:sz w:val="19"/>
          <w:szCs w:val="19"/>
          <w:color w:val="auto"/>
        </w:rPr>
        <w:t>Inline XBRL Taxonomy Extension Presentation Linkbase Document</w:t>
      </w:r>
    </w:p>
    <w:p>
      <w:pPr>
        <w:ind w:left="1050" w:hanging="997"/>
        <w:spacing w:after="0" w:line="183" w:lineRule="auto"/>
        <w:tabs>
          <w:tab w:leader="none" w:pos="1050" w:val="left"/>
        </w:tabs>
        <w:numPr>
          <w:ilvl w:val="0"/>
          <w:numId w:val="9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Cover page Interactive Data File (embedded with the Inline XBRL document)</w:t>
      </w:r>
    </w:p>
    <w:p>
      <w:pPr>
        <w:spacing w:after="0" w:line="8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 Filed herewith.</w:t>
      </w:r>
    </w:p>
    <w:p>
      <w:pPr>
        <w:spacing w:after="0" w:line="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 Indicates management contract or compensatory plan.</w:t>
      </w:r>
    </w:p>
    <w:p>
      <w:pPr>
        <w:spacing w:after="0" w:line="8" w:lineRule="exact"/>
        <w:rPr>
          <w:sz w:val="20"/>
          <w:szCs w:val="20"/>
          <w:color w:val="auto"/>
        </w:rPr>
      </w:pPr>
    </w:p>
    <w:p>
      <w:pPr>
        <w:ind w:left="370" w:right="120" w:hanging="370"/>
        <w:spacing w:after="0" w:line="253" w:lineRule="auto"/>
        <w:tabs>
          <w:tab w:leader="none" w:pos="13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certifications attached as Exhibit 32.1 and 32.2 that accompany this Annual Report on Form 10-K are deemed furnished and not filed with the Securities and Exchange Commission and are not to be incorporated by reference into any filing of Nautilus Biotechnology, Inc. under the Securities Act of 1933, as amended, or the Securities Exchange Act of 1934, as amended, whether made before or after the date of this Annual Report on Form 10-K, irrespective of any general incorporation language contained in such filing.</w:t>
      </w:r>
    </w:p>
    <w:p>
      <w:pPr>
        <w:sectPr>
          <w:pgSz w:w="12240" w:h="15840" w:orient="portrait"/>
          <w:cols w:equalWidth="0" w:num="1">
            <w:col w:w="9630"/>
          </w:cols>
          <w:pgMar w:left="1170" w:top="132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7"/>
          <w:szCs w:val="17"/>
          <w:color w:val="auto"/>
        </w:rPr>
        <w:t>145</w:t>
      </w:r>
    </w:p>
    <w:p>
      <w:pPr>
        <w:sectPr>
          <w:pgSz w:w="12240" w:h="15840" w:orient="portrait"/>
          <w:cols w:equalWidth="0" w:num="1">
            <w:col w:w="9630"/>
          </w:cols>
          <w:pgMar w:left="1170" w:top="1328" w:right="1440" w:bottom="0"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19"/>
          <w:szCs w:val="19"/>
          <w:b w:val="1"/>
          <w:bCs w:val="1"/>
          <w:color w:val="auto"/>
        </w:rPr>
        <w:t>Item 16. Form 10-K Summary</w:t>
      </w:r>
    </w:p>
    <w:p>
      <w:pPr>
        <w:sectPr>
          <w:pgSz w:w="12240" w:h="15840" w:orient="portrait"/>
          <w:cols w:equalWidth="0" w:num="1">
            <w:col w:w="9800"/>
          </w:cols>
          <w:pgMar w:left="1000" w:top="786" w:right="1440" w:bottom="0" w:gutter="0" w:footer="0" w:header="0"/>
        </w:sectPr>
      </w:pPr>
    </w:p>
    <w:p>
      <w:pPr>
        <w:spacing w:after="0" w:line="2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None.</w:t>
      </w:r>
    </w:p>
    <w:p>
      <w:pPr>
        <w:sectPr>
          <w:pgSz w:w="12240" w:h="15840" w:orient="portrait"/>
          <w:cols w:equalWidth="0" w:num="1">
            <w:col w:w="9800"/>
          </w:cols>
          <w:pgMar w:left="1000" w:top="78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146</w:t>
      </w:r>
    </w:p>
    <w:p>
      <w:pPr>
        <w:sectPr>
          <w:pgSz w:w="12240" w:h="15840" w:orient="portrait"/>
          <w:cols w:equalWidth="0" w:num="1">
            <w:col w:w="9800"/>
          </w:cols>
          <w:pgMar w:left="1000" w:top="786" w:right="1440" w:bottom="0" w:gutter="0" w:footer="0" w:header="0"/>
          <w:type w:val="continuous"/>
        </w:sectPr>
      </w:pPr>
    </w:p>
    <w:bookmarkStart w:id="148" w:name="page149"/>
    <w:bookmarkEnd w:id="148"/>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97" w:lineRule="exact"/>
        <w:rPr>
          <w:sz w:val="20"/>
          <w:szCs w:val="20"/>
          <w:color w:val="auto"/>
        </w:rPr>
      </w:pPr>
    </w:p>
    <w:p>
      <w:pPr>
        <w:ind w:right="380" w:firstLine="360"/>
        <w:spacing w:after="0" w:line="281" w:lineRule="auto"/>
        <w:rPr>
          <w:sz w:val="20"/>
          <w:szCs w:val="20"/>
          <w:color w:val="auto"/>
        </w:rPr>
      </w:pPr>
      <w:r>
        <w:rPr>
          <w:rFonts w:ascii="Times New Roman" w:cs="Times New Roman" w:eastAsia="Times New Roman" w:hAnsi="Times New Roman"/>
          <w:sz w:val="20"/>
          <w:szCs w:val="20"/>
          <w:color w:val="auto"/>
        </w:rPr>
        <w:t>Pursuant to the requirements of Section 13 or 15(d) of the Exchange Act the Registrant has duly caused this Annual Report to be signed on its behalf by the undersigned, thereunto duly authorized.</w:t>
      </w:r>
    </w:p>
    <w:p>
      <w:pPr>
        <w:spacing w:after="0" w:line="1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b w:val="1"/>
          <w:bCs w:val="1"/>
          <w:color w:val="auto"/>
        </w:rPr>
        <w:t>NAUTILUS BIOTECHNOLOGY, INC.</w:t>
      </w:r>
    </w:p>
    <w:p>
      <w:pPr>
        <w:spacing w:after="0" w:line="34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color w:val="auto"/>
        </w:rPr>
        <w:t>By: /s/ Sujal Patel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3743325</wp:posOffset>
                </wp:positionH>
                <wp:positionV relativeFrom="paragraph">
                  <wp:posOffset>27305</wp:posOffset>
                </wp:positionV>
                <wp:extent cx="2200275"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02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4.75pt,2.15pt" to="468pt,2.15pt" o:allowincell="f" strokecolor="#000000" strokeweight="1pt"/>
            </w:pict>
          </mc:Fallback>
        </mc:AlternateContent>
      </w:r>
    </w:p>
    <w:p>
      <w:pPr>
        <w:spacing w:after="0" w:line="3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color w:val="auto"/>
        </w:rPr>
        <w:t>Sujal Patel</w:t>
      </w:r>
    </w:p>
    <w:p>
      <w:pPr>
        <w:spacing w:after="0" w:line="5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197"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KNOW ALL PERSONS BY THESE PRESENTS, that each person whose signature appears below hereby constitutes and appoints Sujal Patel and Anna Mowry, and each of them, as his or her true and lawful attorney-in-fact and agent with full power of substitution, for him or her in any and all capacities, to sign any and all amendments to this Annual Report on Form 10-K, and to file the same, with all exhibits thereto and other documents in connection therewith, with the Securities and Exchange Commission, granting unto said attorney-in-fact, proxy and agent full power and authority to do and perform each and every act and thing requisite and necessary to be done in connection therewith, as fully for all intents and purposes as he or she might or could do in person, hereby ratifying and confirming all that said attorney-in-fact, proxy and agent, or his or her substitute, may lawfully do or cause to be done by virtue hereof.</w:t>
      </w:r>
    </w:p>
    <w:p>
      <w:pPr>
        <w:spacing w:after="0" w:line="149" w:lineRule="exact"/>
        <w:rPr>
          <w:sz w:val="20"/>
          <w:szCs w:val="20"/>
          <w:color w:val="auto"/>
        </w:rPr>
      </w:pPr>
    </w:p>
    <w:p>
      <w:pPr>
        <w:ind w:right="240" w:firstLine="360"/>
        <w:spacing w:after="0" w:line="281"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this report has been signed by the following persons in the capacities and on the dates indicated:</w:t>
      </w:r>
    </w:p>
    <w:p>
      <w:pPr>
        <w:sectPr>
          <w:pgSz w:w="12240" w:h="15840" w:orient="portrait"/>
          <w:cols w:equalWidth="0" w:num="1">
            <w:col w:w="9360"/>
          </w:cols>
          <w:pgMar w:left="1440" w:top="137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ectPr>
          <w:pgSz w:w="12240" w:h="15840" w:orient="portrait"/>
          <w:cols w:equalWidth="0" w:num="1">
            <w:col w:w="9360"/>
          </w:cols>
          <w:pgMar w:left="1440" w:top="1371" w:right="1440" w:bottom="0" w:gutter="0" w:footer="0" w:header="0"/>
          <w:type w:val="continuous"/>
        </w:sectPr>
      </w:pPr>
    </w:p>
    <w:bookmarkStart w:id="149" w:name="page150"/>
    <w:bookmarkEnd w:id="149"/>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34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60" w:type="dxa"/>
            <w:vAlign w:val="bottom"/>
          </w:tcPr>
          <w:p>
            <w:pPr>
              <w:spacing w:after="0"/>
              <w:rPr>
                <w:sz w:val="18"/>
                <w:szCs w:val="18"/>
                <w:color w:val="auto"/>
              </w:rPr>
            </w:pPr>
          </w:p>
        </w:tc>
        <w:tc>
          <w:tcPr>
            <w:tcW w:w="430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60" w:type="dxa"/>
            <w:vAlign w:val="bottom"/>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550"/>
        </w:trPr>
        <w:tc>
          <w:tcPr>
            <w:tcW w:w="33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 Sujal Patel</w:t>
            </w:r>
          </w:p>
        </w:tc>
        <w:tc>
          <w:tcPr>
            <w:tcW w:w="60" w:type="dxa"/>
            <w:vAlign w:val="bottom"/>
          </w:tcPr>
          <w:p>
            <w:pPr>
              <w:spacing w:after="0"/>
              <w:rPr>
                <w:sz w:val="24"/>
                <w:szCs w:val="24"/>
                <w:color w:val="auto"/>
              </w:rPr>
            </w:pPr>
          </w:p>
        </w:tc>
        <w:tc>
          <w:tcPr>
            <w:tcW w:w="4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Chief Executive Officer, President and Director</w:t>
            </w:r>
          </w:p>
        </w:tc>
        <w:tc>
          <w:tcPr>
            <w:tcW w:w="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28, 2024</w:t>
            </w:r>
          </w:p>
        </w:tc>
      </w:tr>
      <w:tr>
        <w:trPr>
          <w:trHeight w:val="262"/>
        </w:trPr>
        <w:tc>
          <w:tcPr>
            <w:tcW w:w="3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Sujal Patel</w:t>
            </w:r>
          </w:p>
        </w:tc>
        <w:tc>
          <w:tcPr>
            <w:tcW w:w="60" w:type="dxa"/>
            <w:vAlign w:val="bottom"/>
          </w:tcPr>
          <w:p>
            <w:pPr>
              <w:spacing w:after="0"/>
              <w:rPr>
                <w:sz w:val="22"/>
                <w:szCs w:val="22"/>
                <w:color w:val="auto"/>
              </w:rPr>
            </w:pPr>
          </w:p>
        </w:tc>
        <w:tc>
          <w:tcPr>
            <w:tcW w:w="4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393"/>
        </w:trPr>
        <w:tc>
          <w:tcPr>
            <w:tcW w:w="33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 Anna Mowry</w:t>
            </w:r>
          </w:p>
        </w:tc>
        <w:tc>
          <w:tcPr>
            <w:tcW w:w="60" w:type="dxa"/>
            <w:vAlign w:val="bottom"/>
          </w:tcPr>
          <w:p>
            <w:pPr>
              <w:spacing w:after="0"/>
              <w:rPr>
                <w:sz w:val="24"/>
                <w:szCs w:val="24"/>
                <w:color w:val="auto"/>
              </w:rPr>
            </w:pPr>
          </w:p>
        </w:tc>
        <w:tc>
          <w:tcPr>
            <w:tcW w:w="4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Chief Financial Officer</w:t>
            </w:r>
          </w:p>
        </w:tc>
        <w:tc>
          <w:tcPr>
            <w:tcW w:w="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28, 2024</w:t>
            </w:r>
          </w:p>
        </w:tc>
      </w:tr>
      <w:tr>
        <w:trPr>
          <w:trHeight w:val="262"/>
        </w:trPr>
        <w:tc>
          <w:tcPr>
            <w:tcW w:w="3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Anna Mowry</w:t>
            </w:r>
          </w:p>
        </w:tc>
        <w:tc>
          <w:tcPr>
            <w:tcW w:w="60" w:type="dxa"/>
            <w:vAlign w:val="bottom"/>
          </w:tcPr>
          <w:p>
            <w:pPr>
              <w:spacing w:after="0"/>
              <w:rPr>
                <w:sz w:val="22"/>
                <w:szCs w:val="22"/>
                <w:color w:val="auto"/>
              </w:rPr>
            </w:pPr>
          </w:p>
        </w:tc>
        <w:tc>
          <w:tcPr>
            <w:tcW w:w="4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(Principal Financial and Accounting Officer)</w:t>
            </w:r>
          </w:p>
        </w:tc>
        <w:tc>
          <w:tcPr>
            <w:tcW w:w="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393"/>
        </w:trPr>
        <w:tc>
          <w:tcPr>
            <w:tcW w:w="33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 Michael Altman</w:t>
            </w:r>
          </w:p>
        </w:tc>
        <w:tc>
          <w:tcPr>
            <w:tcW w:w="60" w:type="dxa"/>
            <w:vAlign w:val="bottom"/>
          </w:tcPr>
          <w:p>
            <w:pPr>
              <w:spacing w:after="0"/>
              <w:rPr>
                <w:sz w:val="24"/>
                <w:szCs w:val="24"/>
                <w:color w:val="auto"/>
              </w:rPr>
            </w:pPr>
          </w:p>
        </w:tc>
        <w:tc>
          <w:tcPr>
            <w:tcW w:w="4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28, 2024</w:t>
            </w:r>
          </w:p>
        </w:tc>
      </w:tr>
      <w:tr>
        <w:trPr>
          <w:trHeight w:val="262"/>
        </w:trPr>
        <w:tc>
          <w:tcPr>
            <w:tcW w:w="3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Michael Altman</w:t>
            </w:r>
          </w:p>
        </w:tc>
        <w:tc>
          <w:tcPr>
            <w:tcW w:w="60" w:type="dxa"/>
            <w:vAlign w:val="bottom"/>
          </w:tcPr>
          <w:p>
            <w:pPr>
              <w:spacing w:after="0"/>
              <w:rPr>
                <w:sz w:val="22"/>
                <w:szCs w:val="22"/>
                <w:color w:val="auto"/>
              </w:rPr>
            </w:pPr>
          </w:p>
        </w:tc>
        <w:tc>
          <w:tcPr>
            <w:tcW w:w="4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393"/>
        </w:trPr>
        <w:tc>
          <w:tcPr>
            <w:tcW w:w="33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 Melissa Epperly</w:t>
            </w:r>
          </w:p>
        </w:tc>
        <w:tc>
          <w:tcPr>
            <w:tcW w:w="60" w:type="dxa"/>
            <w:vAlign w:val="bottom"/>
          </w:tcPr>
          <w:p>
            <w:pPr>
              <w:spacing w:after="0"/>
              <w:rPr>
                <w:sz w:val="24"/>
                <w:szCs w:val="24"/>
                <w:color w:val="auto"/>
              </w:rPr>
            </w:pPr>
          </w:p>
        </w:tc>
        <w:tc>
          <w:tcPr>
            <w:tcW w:w="4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28, 2024</w:t>
            </w:r>
          </w:p>
        </w:tc>
      </w:tr>
      <w:tr>
        <w:trPr>
          <w:trHeight w:val="262"/>
        </w:trPr>
        <w:tc>
          <w:tcPr>
            <w:tcW w:w="3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Melissa Epperly</w:t>
            </w:r>
          </w:p>
        </w:tc>
        <w:tc>
          <w:tcPr>
            <w:tcW w:w="60" w:type="dxa"/>
            <w:vAlign w:val="bottom"/>
          </w:tcPr>
          <w:p>
            <w:pPr>
              <w:spacing w:after="0"/>
              <w:rPr>
                <w:sz w:val="22"/>
                <w:szCs w:val="22"/>
                <w:color w:val="auto"/>
              </w:rPr>
            </w:pPr>
          </w:p>
        </w:tc>
        <w:tc>
          <w:tcPr>
            <w:tcW w:w="4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393"/>
        </w:trPr>
        <w:tc>
          <w:tcPr>
            <w:tcW w:w="33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 Parag Mallick</w:t>
            </w:r>
          </w:p>
        </w:tc>
        <w:tc>
          <w:tcPr>
            <w:tcW w:w="60" w:type="dxa"/>
            <w:vAlign w:val="bottom"/>
          </w:tcPr>
          <w:p>
            <w:pPr>
              <w:spacing w:after="0"/>
              <w:rPr>
                <w:sz w:val="24"/>
                <w:szCs w:val="24"/>
                <w:color w:val="auto"/>
              </w:rPr>
            </w:pPr>
          </w:p>
        </w:tc>
        <w:tc>
          <w:tcPr>
            <w:tcW w:w="4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28, 2024</w:t>
            </w:r>
          </w:p>
        </w:tc>
      </w:tr>
      <w:tr>
        <w:trPr>
          <w:trHeight w:val="262"/>
        </w:trPr>
        <w:tc>
          <w:tcPr>
            <w:tcW w:w="3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Parag Mallick</w:t>
            </w:r>
          </w:p>
        </w:tc>
        <w:tc>
          <w:tcPr>
            <w:tcW w:w="60" w:type="dxa"/>
            <w:vAlign w:val="bottom"/>
          </w:tcPr>
          <w:p>
            <w:pPr>
              <w:spacing w:after="0"/>
              <w:rPr>
                <w:sz w:val="22"/>
                <w:szCs w:val="22"/>
                <w:color w:val="auto"/>
              </w:rPr>
            </w:pPr>
          </w:p>
        </w:tc>
        <w:tc>
          <w:tcPr>
            <w:tcW w:w="4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393"/>
        </w:trPr>
        <w:tc>
          <w:tcPr>
            <w:tcW w:w="33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 Matthew McIlwain</w:t>
            </w:r>
          </w:p>
        </w:tc>
        <w:tc>
          <w:tcPr>
            <w:tcW w:w="60" w:type="dxa"/>
            <w:vAlign w:val="bottom"/>
          </w:tcPr>
          <w:p>
            <w:pPr>
              <w:spacing w:after="0"/>
              <w:rPr>
                <w:sz w:val="24"/>
                <w:szCs w:val="24"/>
                <w:color w:val="auto"/>
              </w:rPr>
            </w:pPr>
          </w:p>
        </w:tc>
        <w:tc>
          <w:tcPr>
            <w:tcW w:w="4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28, 2024</w:t>
            </w:r>
          </w:p>
        </w:tc>
      </w:tr>
      <w:tr>
        <w:trPr>
          <w:trHeight w:val="262"/>
        </w:trPr>
        <w:tc>
          <w:tcPr>
            <w:tcW w:w="3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Matthew McIlwain</w:t>
            </w:r>
          </w:p>
        </w:tc>
        <w:tc>
          <w:tcPr>
            <w:tcW w:w="60" w:type="dxa"/>
            <w:vAlign w:val="bottom"/>
          </w:tcPr>
          <w:p>
            <w:pPr>
              <w:spacing w:after="0"/>
              <w:rPr>
                <w:sz w:val="22"/>
                <w:szCs w:val="22"/>
                <w:color w:val="auto"/>
              </w:rPr>
            </w:pPr>
          </w:p>
        </w:tc>
        <w:tc>
          <w:tcPr>
            <w:tcW w:w="4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393"/>
        </w:trPr>
        <w:tc>
          <w:tcPr>
            <w:tcW w:w="33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 Farzad Nazem</w:t>
            </w:r>
          </w:p>
        </w:tc>
        <w:tc>
          <w:tcPr>
            <w:tcW w:w="60" w:type="dxa"/>
            <w:vAlign w:val="bottom"/>
          </w:tcPr>
          <w:p>
            <w:pPr>
              <w:spacing w:after="0"/>
              <w:rPr>
                <w:sz w:val="24"/>
                <w:szCs w:val="24"/>
                <w:color w:val="auto"/>
              </w:rPr>
            </w:pPr>
          </w:p>
        </w:tc>
        <w:tc>
          <w:tcPr>
            <w:tcW w:w="4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28, 2024</w:t>
            </w:r>
          </w:p>
        </w:tc>
      </w:tr>
      <w:tr>
        <w:trPr>
          <w:trHeight w:val="262"/>
        </w:trPr>
        <w:tc>
          <w:tcPr>
            <w:tcW w:w="3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Farzad Nazem</w:t>
            </w:r>
          </w:p>
        </w:tc>
        <w:tc>
          <w:tcPr>
            <w:tcW w:w="60" w:type="dxa"/>
            <w:vAlign w:val="bottom"/>
          </w:tcPr>
          <w:p>
            <w:pPr>
              <w:spacing w:after="0"/>
              <w:rPr>
                <w:sz w:val="22"/>
                <w:szCs w:val="22"/>
                <w:color w:val="auto"/>
              </w:rPr>
            </w:pPr>
          </w:p>
        </w:tc>
        <w:tc>
          <w:tcPr>
            <w:tcW w:w="4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393"/>
        </w:trPr>
        <w:tc>
          <w:tcPr>
            <w:tcW w:w="33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 Vijay Pande</w:t>
            </w:r>
          </w:p>
        </w:tc>
        <w:tc>
          <w:tcPr>
            <w:tcW w:w="60" w:type="dxa"/>
            <w:vAlign w:val="bottom"/>
          </w:tcPr>
          <w:p>
            <w:pPr>
              <w:spacing w:after="0"/>
              <w:rPr>
                <w:sz w:val="24"/>
                <w:szCs w:val="24"/>
                <w:color w:val="auto"/>
              </w:rPr>
            </w:pPr>
          </w:p>
        </w:tc>
        <w:tc>
          <w:tcPr>
            <w:tcW w:w="4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28, 2024</w:t>
            </w:r>
          </w:p>
        </w:tc>
      </w:tr>
      <w:tr>
        <w:trPr>
          <w:trHeight w:val="262"/>
        </w:trPr>
        <w:tc>
          <w:tcPr>
            <w:tcW w:w="3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Vijay Pande</w:t>
            </w:r>
          </w:p>
        </w:tc>
        <w:tc>
          <w:tcPr>
            <w:tcW w:w="60" w:type="dxa"/>
            <w:vAlign w:val="bottom"/>
          </w:tcPr>
          <w:p>
            <w:pPr>
              <w:spacing w:after="0"/>
              <w:rPr>
                <w:sz w:val="22"/>
                <w:szCs w:val="22"/>
                <w:color w:val="auto"/>
              </w:rPr>
            </w:pPr>
          </w:p>
        </w:tc>
        <w:tc>
          <w:tcPr>
            <w:tcW w:w="4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393"/>
        </w:trPr>
        <w:tc>
          <w:tcPr>
            <w:tcW w:w="33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 Matthew L. Posard</w:t>
            </w:r>
          </w:p>
        </w:tc>
        <w:tc>
          <w:tcPr>
            <w:tcW w:w="60" w:type="dxa"/>
            <w:vAlign w:val="bottom"/>
          </w:tcPr>
          <w:p>
            <w:pPr>
              <w:spacing w:after="0"/>
              <w:rPr>
                <w:sz w:val="24"/>
                <w:szCs w:val="24"/>
                <w:color w:val="auto"/>
              </w:rPr>
            </w:pPr>
          </w:p>
        </w:tc>
        <w:tc>
          <w:tcPr>
            <w:tcW w:w="4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28, 2024</w:t>
            </w:r>
          </w:p>
        </w:tc>
      </w:tr>
      <w:tr>
        <w:trPr>
          <w:trHeight w:val="262"/>
        </w:trPr>
        <w:tc>
          <w:tcPr>
            <w:tcW w:w="3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Matthew L. Posard</w:t>
            </w:r>
          </w:p>
        </w:tc>
        <w:tc>
          <w:tcPr>
            <w:tcW w:w="60" w:type="dxa"/>
            <w:vAlign w:val="bottom"/>
          </w:tcPr>
          <w:p>
            <w:pPr>
              <w:spacing w:after="0"/>
              <w:rPr>
                <w:sz w:val="22"/>
                <w:szCs w:val="22"/>
                <w:color w:val="auto"/>
              </w:rPr>
            </w:pPr>
          </w:p>
        </w:tc>
        <w:tc>
          <w:tcPr>
            <w:tcW w:w="4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393"/>
        </w:trPr>
        <w:tc>
          <w:tcPr>
            <w:tcW w:w="33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 Karen Akinsanya</w:t>
            </w:r>
          </w:p>
        </w:tc>
        <w:tc>
          <w:tcPr>
            <w:tcW w:w="60" w:type="dxa"/>
            <w:vAlign w:val="bottom"/>
          </w:tcPr>
          <w:p>
            <w:pPr>
              <w:spacing w:after="0"/>
              <w:rPr>
                <w:sz w:val="24"/>
                <w:szCs w:val="24"/>
                <w:color w:val="auto"/>
              </w:rPr>
            </w:pPr>
          </w:p>
        </w:tc>
        <w:tc>
          <w:tcPr>
            <w:tcW w:w="4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28, 2024</w:t>
            </w:r>
          </w:p>
        </w:tc>
      </w:tr>
      <w:tr>
        <w:trPr>
          <w:trHeight w:val="262"/>
        </w:trPr>
        <w:tc>
          <w:tcPr>
            <w:tcW w:w="3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Karen Akinsanya</w:t>
            </w:r>
          </w:p>
        </w:tc>
        <w:tc>
          <w:tcPr>
            <w:tcW w:w="60" w:type="dxa"/>
            <w:vAlign w:val="bottom"/>
          </w:tcPr>
          <w:p>
            <w:pPr>
              <w:spacing w:after="0"/>
              <w:rPr>
                <w:sz w:val="22"/>
                <w:szCs w:val="22"/>
                <w:color w:val="auto"/>
              </w:rPr>
            </w:pPr>
          </w:p>
        </w:tc>
        <w:tc>
          <w:tcPr>
            <w:tcW w:w="4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0" w:type="dxa"/>
            <w:vAlign w:val="bottom"/>
          </w:tcPr>
          <w:p>
            <w:pPr>
              <w:spacing w:after="0"/>
              <w:rPr>
                <w:sz w:val="22"/>
                <w:szCs w:val="22"/>
                <w:color w:val="auto"/>
              </w:rPr>
            </w:pPr>
          </w:p>
        </w:tc>
      </w:tr>
    </w:tbl>
    <w:p>
      <w:pPr>
        <w:spacing w:after="0" w:line="200" w:lineRule="exact"/>
        <w:rPr>
          <w:sz w:val="20"/>
          <w:szCs w:val="20"/>
          <w:color w:val="auto"/>
        </w:rPr>
      </w:pPr>
    </w:p>
    <w:p>
      <w:pPr>
        <w:sectPr>
          <w:pgSz w:w="12240" w:h="15840" w:orient="portrait"/>
          <w:cols w:equalWidth="0" w:num="1">
            <w:col w:w="9360"/>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ectPr>
          <w:pgSz w:w="12240" w:h="15840" w:orient="portrait"/>
          <w:cols w:equalWidth="0" w:num="1">
            <w:col w:w="9360"/>
          </w:cols>
          <w:pgMar w:left="1440" w:top="1440" w:right="1440" w:bottom="0" w:gutter="0" w:footer="0" w:header="0"/>
          <w:type w:val="continuous"/>
        </w:sectPr>
      </w:pPr>
    </w:p>
    <w:bookmarkStart w:id="150" w:name="page151"/>
    <w:bookmarkEnd w:id="150"/>
    <w:p>
      <w:pPr>
        <w:spacing w:after="0" w:line="67" w:lineRule="exact"/>
        <w:rPr>
          <w:sz w:val="20"/>
          <w:szCs w:val="20"/>
          <w:color w:val="auto"/>
        </w:rPr>
      </w:pPr>
    </w:p>
    <w:p>
      <w:pPr>
        <w:ind w:right="360"/>
        <w:spacing w:after="0" w:line="254" w:lineRule="auto"/>
        <w:rPr>
          <w:sz w:val="20"/>
          <w:szCs w:val="20"/>
          <w:color w:val="auto"/>
        </w:rPr>
      </w:pPr>
      <w:r>
        <w:rPr>
          <w:rFonts w:ascii="Times New Roman" w:cs="Times New Roman" w:eastAsia="Times New Roman" w:hAnsi="Times New Roman"/>
          <w:sz w:val="16"/>
          <w:szCs w:val="16"/>
          <w:b w:val="1"/>
          <w:bCs w:val="1"/>
          <w:color w:val="221E1F"/>
        </w:rPr>
        <w:t>BOARD OF DIRECTORS AND MANAGEMENT</w:t>
      </w:r>
    </w:p>
    <w:p>
      <w:pPr>
        <w:spacing w:after="0" w:line="20" w:lineRule="exact"/>
        <w:rPr>
          <w:sz w:val="20"/>
          <w:szCs w:val="20"/>
          <w:color w:val="auto"/>
        </w:rPr>
      </w:pPr>
      <w:r>
        <w:rPr>
          <w:sz w:val="20"/>
          <w:szCs w:val="20"/>
          <w:color w:val="auto"/>
        </w:rPr>
        <w:br w:type="column"/>
      </w:r>
    </w:p>
    <w:p>
      <w:pPr>
        <w:spacing w:after="0"/>
        <w:tabs>
          <w:tab w:leader="none" w:pos="3180" w:val="left"/>
        </w:tabs>
        <w:rPr>
          <w:sz w:val="20"/>
          <w:szCs w:val="20"/>
          <w:color w:val="auto"/>
        </w:rPr>
      </w:pPr>
      <w:r>
        <w:rPr>
          <w:rFonts w:ascii="Times New Roman" w:cs="Times New Roman" w:eastAsia="Times New Roman" w:hAnsi="Times New Roman"/>
          <w:sz w:val="16"/>
          <w:szCs w:val="16"/>
          <w:b w:val="1"/>
          <w:bCs w:val="1"/>
          <w:color w:val="221E1F"/>
        </w:rPr>
        <w:t>CORPORATE INFORMATION</w:t>
      </w:r>
      <w:r>
        <w:rPr>
          <w:sz w:val="20"/>
          <w:szCs w:val="20"/>
          <w:color w:val="auto"/>
        </w:rPr>
        <w:tab/>
      </w:r>
      <w:r>
        <w:rPr>
          <w:rFonts w:ascii="Times New Roman" w:cs="Times New Roman" w:eastAsia="Times New Roman" w:hAnsi="Times New Roman"/>
          <w:sz w:val="15"/>
          <w:szCs w:val="15"/>
          <w:b w:val="1"/>
          <w:bCs w:val="1"/>
          <w:color w:val="221E1F"/>
        </w:rPr>
        <w:t>ANNUAL REPORT ON FORM 10-K</w:t>
      </w:r>
    </w:p>
    <w:p>
      <w:pPr>
        <w:spacing w:after="0" w:line="472" w:lineRule="exact"/>
        <w:rPr>
          <w:sz w:val="20"/>
          <w:szCs w:val="20"/>
          <w:color w:val="auto"/>
        </w:rPr>
      </w:pPr>
    </w:p>
    <w:p>
      <w:pPr>
        <w:sectPr>
          <w:pgSz w:w="12240" w:h="15840" w:orient="portrait"/>
          <w:cols w:equalWidth="0" w:num="2">
            <w:col w:w="2580" w:space="720"/>
            <w:col w:w="6240"/>
          </w:cols>
          <w:pgMar w:left="1320" w:top="1361" w:right="1380" w:bottom="537" w:gutter="0" w:footer="0" w:header="0"/>
        </w:sectPr>
      </w:pP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21E1F"/>
        </w:rPr>
        <w:t>Directors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21E1F"/>
        </w:rPr>
        <w:t xml:space="preserve">Matthew L. Posard, </w:t>
      </w:r>
      <w:r>
        <w:rPr>
          <w:rFonts w:ascii="Times New Roman" w:cs="Times New Roman" w:eastAsia="Times New Roman" w:hAnsi="Times New Roman"/>
          <w:sz w:val="14"/>
          <w:szCs w:val="14"/>
          <w:i w:val="1"/>
          <w:iCs w:val="1"/>
          <w:color w:val="221E1F"/>
        </w:rPr>
        <w:t>Chairperson</w:t>
      </w:r>
    </w:p>
    <w:p>
      <w:pPr>
        <w:spacing w:after="0" w:line="1" w:lineRule="exact"/>
        <w:rPr>
          <w:sz w:val="20"/>
          <w:szCs w:val="20"/>
          <w:color w:val="auto"/>
        </w:rPr>
      </w:pPr>
    </w:p>
    <w:p>
      <w:pPr>
        <w:ind w:right="740" w:firstLine="120"/>
        <w:spacing w:after="0" w:line="345" w:lineRule="auto"/>
        <w:rPr>
          <w:sz w:val="20"/>
          <w:szCs w:val="20"/>
          <w:color w:val="auto"/>
        </w:rPr>
      </w:pPr>
      <w:r>
        <w:rPr>
          <w:rFonts w:ascii="Times New Roman" w:cs="Times New Roman" w:eastAsia="Times New Roman" w:hAnsi="Times New Roman"/>
          <w:sz w:val="14"/>
          <w:szCs w:val="14"/>
          <w:i w:val="1"/>
          <w:iCs w:val="1"/>
          <w:color w:val="221E1F"/>
        </w:rPr>
        <w:t xml:space="preserve">Founding Partner, Explore-DNA </w:t>
      </w:r>
      <w:r>
        <w:rPr>
          <w:rFonts w:ascii="Times New Roman" w:cs="Times New Roman" w:eastAsia="Times New Roman" w:hAnsi="Times New Roman"/>
          <w:sz w:val="14"/>
          <w:szCs w:val="14"/>
          <w:color w:val="221E1F"/>
        </w:rPr>
        <w:t>Karen Akinsanya</w:t>
      </w:r>
    </w:p>
    <w:p>
      <w:pPr>
        <w:ind w:left="120"/>
        <w:spacing w:after="0" w:line="271" w:lineRule="auto"/>
        <w:rPr>
          <w:sz w:val="20"/>
          <w:szCs w:val="20"/>
          <w:color w:val="auto"/>
        </w:rPr>
      </w:pPr>
      <w:r>
        <w:rPr>
          <w:rFonts w:ascii="Times New Roman" w:cs="Times New Roman" w:eastAsia="Times New Roman" w:hAnsi="Times New Roman"/>
          <w:sz w:val="14"/>
          <w:szCs w:val="14"/>
          <w:i w:val="1"/>
          <w:iCs w:val="1"/>
          <w:color w:val="221E1F"/>
        </w:rPr>
        <w:t>President of R&amp;D, Therapeutics, Schrodinger, Inc.</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21E1F"/>
        </w:rPr>
        <w:t>Michael Altman</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Managing Director, Perceptive Advisors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21E1F"/>
        </w:rPr>
        <w:t>Melissa Epperly</w:t>
      </w:r>
    </w:p>
    <w:p>
      <w:pPr>
        <w:spacing w:after="0" w:line="1" w:lineRule="exact"/>
        <w:rPr>
          <w:sz w:val="20"/>
          <w:szCs w:val="20"/>
          <w:color w:val="auto"/>
        </w:rPr>
      </w:pPr>
    </w:p>
    <w:p>
      <w:pPr>
        <w:ind w:left="120" w:right="300"/>
        <w:spacing w:after="0" w:line="244" w:lineRule="auto"/>
        <w:rPr>
          <w:sz w:val="20"/>
          <w:szCs w:val="20"/>
          <w:color w:val="auto"/>
        </w:rPr>
      </w:pPr>
      <w:r>
        <w:rPr>
          <w:rFonts w:ascii="Times New Roman" w:cs="Times New Roman" w:eastAsia="Times New Roman" w:hAnsi="Times New Roman"/>
          <w:sz w:val="14"/>
          <w:szCs w:val="14"/>
          <w:i w:val="1"/>
          <w:iCs w:val="1"/>
          <w:color w:val="221E1F"/>
        </w:rPr>
        <w:t>Former Chief Financial Officer, Zentalis Pharmaceuticals, Inc.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21E1F"/>
        </w:rPr>
        <w:t>Parag Mallick</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221E1F"/>
        </w:rPr>
        <w:t>Chief Scientist and Director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21E1F"/>
        </w:rPr>
        <w:t>Matthew McIlwain</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221E1F"/>
        </w:rPr>
        <w:t>Managing Director, Madrona Venture Group</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21E1F"/>
        </w:rPr>
        <w:t>Farzad Nazem</w:t>
      </w:r>
    </w:p>
    <w:p>
      <w:pPr>
        <w:spacing w:after="0" w:line="3" w:lineRule="exact"/>
        <w:rPr>
          <w:sz w:val="20"/>
          <w:szCs w:val="20"/>
          <w:color w:val="auto"/>
        </w:rPr>
      </w:pPr>
    </w:p>
    <w:p>
      <w:pPr>
        <w:ind w:left="120" w:right="140"/>
        <w:spacing w:after="0" w:line="250" w:lineRule="auto"/>
        <w:rPr>
          <w:sz w:val="20"/>
          <w:szCs w:val="20"/>
          <w:color w:val="auto"/>
        </w:rPr>
      </w:pPr>
      <w:r>
        <w:rPr>
          <w:rFonts w:ascii="Times New Roman" w:cs="Times New Roman" w:eastAsia="Times New Roman" w:hAnsi="Times New Roman"/>
          <w:sz w:val="14"/>
          <w:szCs w:val="14"/>
          <w:i w:val="1"/>
          <w:iCs w:val="1"/>
          <w:color w:val="221E1F"/>
        </w:rPr>
        <w:t>Private Investor and Advisor; Former Chief Technology Officer, Yahoo! Inc.</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21E1F"/>
        </w:rPr>
        <w:t>Vijay Pande</w:t>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221E1F"/>
        </w:rPr>
        <w:t>General Partner, Andreessen Horowitz</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21E1F"/>
        </w:rPr>
        <w:t>Sujal Patel</w:t>
      </w:r>
    </w:p>
    <w:p>
      <w:pPr>
        <w:spacing w:after="0" w:line="3" w:lineRule="exact"/>
        <w:rPr>
          <w:sz w:val="20"/>
          <w:szCs w:val="20"/>
          <w:color w:val="auto"/>
        </w:rPr>
      </w:pPr>
    </w:p>
    <w:p>
      <w:pPr>
        <w:ind w:left="120" w:right="80"/>
        <w:spacing w:after="0" w:line="250" w:lineRule="auto"/>
        <w:rPr>
          <w:sz w:val="20"/>
          <w:szCs w:val="20"/>
          <w:color w:val="auto"/>
        </w:rPr>
      </w:pPr>
      <w:r>
        <w:rPr>
          <w:rFonts w:ascii="Times New Roman" w:cs="Times New Roman" w:eastAsia="Times New Roman" w:hAnsi="Times New Roman"/>
          <w:sz w:val="14"/>
          <w:szCs w:val="14"/>
          <w:i w:val="1"/>
          <w:iCs w:val="1"/>
          <w:color w:val="221E1F"/>
        </w:rPr>
        <w:t>Chief Executive Officer, President, Secretary and Director</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21E1F"/>
        </w:rPr>
        <w:t>Executive Officers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21E1F"/>
        </w:rPr>
        <w:t>Sujal Patel</w:t>
      </w:r>
    </w:p>
    <w:p>
      <w:pPr>
        <w:ind w:left="120" w:right="80"/>
        <w:spacing w:after="0" w:line="266" w:lineRule="auto"/>
        <w:rPr>
          <w:sz w:val="20"/>
          <w:szCs w:val="20"/>
          <w:color w:val="auto"/>
        </w:rPr>
      </w:pPr>
      <w:r>
        <w:rPr>
          <w:rFonts w:ascii="Times New Roman" w:cs="Times New Roman" w:eastAsia="Times New Roman" w:hAnsi="Times New Roman"/>
          <w:sz w:val="14"/>
          <w:szCs w:val="14"/>
          <w:i w:val="1"/>
          <w:iCs w:val="1"/>
          <w:color w:val="221E1F"/>
        </w:rPr>
        <w:t>Chief Executive Officer, President, Secretary and Director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21E1F"/>
        </w:rPr>
        <w:t>Parag Mallick</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221E1F"/>
        </w:rPr>
        <w:t>Chief Scientist and Director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21E1F"/>
        </w:rPr>
        <w:t>Anna Mowry</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221E1F"/>
        </w:rPr>
        <w:t>Chief Financial Officer and Treasurer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21E1F"/>
        </w:rPr>
        <w:t>Nick Nelson</w:t>
      </w:r>
    </w:p>
    <w:p>
      <w:pPr>
        <w:spacing w:after="0" w:line="1" w:lineRule="exact"/>
        <w:rPr>
          <w:sz w:val="20"/>
          <w:szCs w:val="20"/>
          <w:color w:val="auto"/>
        </w:rPr>
      </w:pPr>
    </w:p>
    <w:p>
      <w:pPr>
        <w:ind w:left="120" w:right="420"/>
        <w:spacing w:after="0" w:line="266" w:lineRule="auto"/>
        <w:rPr>
          <w:sz w:val="20"/>
          <w:szCs w:val="20"/>
          <w:color w:val="auto"/>
        </w:rPr>
      </w:pPr>
      <w:r>
        <w:rPr>
          <w:rFonts w:ascii="Times New Roman" w:cs="Times New Roman" w:eastAsia="Times New Roman" w:hAnsi="Times New Roman"/>
          <w:sz w:val="14"/>
          <w:szCs w:val="14"/>
          <w:i w:val="1"/>
          <w:iCs w:val="1"/>
          <w:color w:val="221E1F"/>
        </w:rPr>
        <w:t>Chief Business Officer and Senior Vice President, Business Development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21E1F"/>
        </w:rPr>
        <w:t>Subra Sankar</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221E1F"/>
        </w:rPr>
        <w:t>Senior Vice President, Product Development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21E1F"/>
        </w:rPr>
        <w:t>Matthew Murphy</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221E1F"/>
        </w:rPr>
        <w:t>General Counsel</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21E1F"/>
        </w:rPr>
        <w:t>Gwen Weld</w:t>
      </w:r>
    </w:p>
    <w:p>
      <w:pPr>
        <w:ind w:left="120"/>
        <w:spacing w:after="0"/>
        <w:rPr>
          <w:sz w:val="20"/>
          <w:szCs w:val="20"/>
          <w:color w:val="auto"/>
        </w:rPr>
      </w:pPr>
      <w:r>
        <w:rPr>
          <w:rFonts w:ascii="Times New Roman" w:cs="Times New Roman" w:eastAsia="Times New Roman" w:hAnsi="Times New Roman"/>
          <w:sz w:val="14"/>
          <w:szCs w:val="14"/>
          <w:i w:val="1"/>
          <w:iCs w:val="1"/>
          <w:color w:val="221E1F"/>
        </w:rPr>
        <w:t>Chief People Officer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21E1F"/>
        </w:rPr>
        <w:t>Mary Godwin</w:t>
      </w:r>
    </w:p>
    <w:p>
      <w:pPr>
        <w:ind w:left="120"/>
        <w:spacing w:after="0"/>
        <w:rPr>
          <w:sz w:val="20"/>
          <w:szCs w:val="20"/>
          <w:color w:val="auto"/>
        </w:rPr>
      </w:pPr>
      <w:r>
        <w:rPr>
          <w:rFonts w:ascii="Times New Roman" w:cs="Times New Roman" w:eastAsia="Times New Roman" w:hAnsi="Times New Roman"/>
          <w:sz w:val="14"/>
          <w:szCs w:val="14"/>
          <w:i w:val="1"/>
          <w:iCs w:val="1"/>
          <w:color w:val="221E1F"/>
        </w:rPr>
        <w:t>Senior Vice President, Operations</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221E1F"/>
        </w:rPr>
        <w:t>Corporate Headquarters</w:t>
      </w:r>
    </w:p>
    <w:p>
      <w:pPr>
        <w:spacing w:after="0" w:line="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221E1F"/>
        </w:rPr>
        <w:t>Nautilus Biotechnology, Inc.</w:t>
      </w:r>
    </w:p>
    <w:p>
      <w:pPr>
        <w:ind w:left="4"/>
        <w:spacing w:after="0" w:line="203" w:lineRule="auto"/>
        <w:rPr>
          <w:sz w:val="20"/>
          <w:szCs w:val="20"/>
          <w:color w:val="auto"/>
        </w:rPr>
      </w:pPr>
      <w:r>
        <w:rPr>
          <w:rFonts w:ascii="Times New Roman" w:cs="Times New Roman" w:eastAsia="Times New Roman" w:hAnsi="Times New Roman"/>
          <w:sz w:val="14"/>
          <w:szCs w:val="14"/>
          <w:color w:val="221E1F"/>
        </w:rPr>
        <w:t>2701 Eastlake Avenue East</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221E1F"/>
        </w:rPr>
        <w:t>Seattle, WA 98102</w:t>
      </w:r>
    </w:p>
    <w:p>
      <w:pPr>
        <w:spacing w:after="0" w:line="17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221E1F"/>
        </w:rPr>
        <w:t>Annual Meeting</w:t>
      </w:r>
    </w:p>
    <w:p>
      <w:pPr>
        <w:spacing w:after="0" w:line="104" w:lineRule="exact"/>
        <w:rPr>
          <w:sz w:val="20"/>
          <w:szCs w:val="20"/>
          <w:color w:val="auto"/>
        </w:rPr>
      </w:pPr>
    </w:p>
    <w:p>
      <w:pPr>
        <w:ind w:left="4"/>
        <w:spacing w:after="0" w:line="224" w:lineRule="auto"/>
        <w:rPr>
          <w:sz w:val="20"/>
          <w:szCs w:val="20"/>
          <w:color w:val="auto"/>
        </w:rPr>
      </w:pPr>
      <w:r>
        <w:rPr>
          <w:rFonts w:ascii="Times New Roman" w:cs="Times New Roman" w:eastAsia="Times New Roman" w:hAnsi="Times New Roman"/>
          <w:sz w:val="14"/>
          <w:szCs w:val="14"/>
          <w:color w:val="221E1F"/>
        </w:rPr>
        <w:t>Our 2024 Annual Meeting of Stockholders will take place on Thursday, June 13, 2024 at 10:00 a.m. The annual meeting will be conducted virtually via live audio webcast. You will be able to attend the annual meeting virtually by visiting www.vitrualshareholdermeeting.com/NAUT2024, where you will be able to listen to the meeting live, submit questions and vote online during the meeting.</w:t>
      </w:r>
    </w:p>
    <w:p>
      <w:pPr>
        <w:spacing w:after="0" w:line="15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221E1F"/>
        </w:rPr>
        <w:t>Independent Auditors</w:t>
      </w:r>
    </w:p>
    <w:p>
      <w:pPr>
        <w:spacing w:after="0" w:line="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221E1F"/>
        </w:rPr>
        <w:t>PricewaterhouseCoopers, LLP</w:t>
      </w:r>
    </w:p>
    <w:p>
      <w:pPr>
        <w:ind w:left="4"/>
        <w:spacing w:after="0"/>
        <w:rPr>
          <w:sz w:val="20"/>
          <w:szCs w:val="20"/>
          <w:color w:val="auto"/>
        </w:rPr>
      </w:pPr>
      <w:r>
        <w:rPr>
          <w:rFonts w:ascii="Times New Roman" w:cs="Times New Roman" w:eastAsia="Times New Roman" w:hAnsi="Times New Roman"/>
          <w:sz w:val="14"/>
          <w:szCs w:val="14"/>
          <w:color w:val="221E1F"/>
        </w:rPr>
        <w:t>Seattle, WA</w:t>
      </w:r>
    </w:p>
    <w:p>
      <w:pPr>
        <w:spacing w:after="0" w:line="1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221E1F"/>
        </w:rPr>
        <w:t>Legal Counsel</w:t>
      </w:r>
    </w:p>
    <w:p>
      <w:pPr>
        <w:spacing w:after="0" w:line="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221E1F"/>
        </w:rPr>
        <w:t>Wilson Sonsini Goodrich &amp; Rosati, P.C.</w:t>
      </w:r>
    </w:p>
    <w:p>
      <w:pPr>
        <w:ind w:left="4"/>
        <w:spacing w:after="0"/>
        <w:rPr>
          <w:sz w:val="20"/>
          <w:szCs w:val="20"/>
          <w:color w:val="auto"/>
        </w:rPr>
      </w:pPr>
      <w:r>
        <w:rPr>
          <w:rFonts w:ascii="Times New Roman" w:cs="Times New Roman" w:eastAsia="Times New Roman" w:hAnsi="Times New Roman"/>
          <w:sz w:val="14"/>
          <w:szCs w:val="14"/>
          <w:color w:val="221E1F"/>
        </w:rPr>
        <w:t>Palo Alto, California</w:t>
      </w:r>
    </w:p>
    <w:p>
      <w:pPr>
        <w:spacing w:after="0" w:line="1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221E1F"/>
        </w:rPr>
        <w:t>Stockholder Services</w:t>
      </w:r>
    </w:p>
    <w:p>
      <w:pPr>
        <w:spacing w:after="0" w:line="99" w:lineRule="exact"/>
        <w:rPr>
          <w:sz w:val="20"/>
          <w:szCs w:val="20"/>
          <w:color w:val="auto"/>
        </w:rPr>
      </w:pPr>
    </w:p>
    <w:p>
      <w:pPr>
        <w:ind w:left="4" w:right="120" w:hanging="1"/>
        <w:spacing w:after="0" w:line="238" w:lineRule="auto"/>
        <w:rPr>
          <w:sz w:val="20"/>
          <w:szCs w:val="20"/>
          <w:color w:val="auto"/>
        </w:rPr>
      </w:pPr>
      <w:r>
        <w:rPr>
          <w:rFonts w:ascii="Times New Roman" w:cs="Times New Roman" w:eastAsia="Times New Roman" w:hAnsi="Times New Roman"/>
          <w:sz w:val="13"/>
          <w:szCs w:val="13"/>
          <w:color w:val="221E1F"/>
        </w:rPr>
        <w:t>You may contact our transfer agent Continental Stock Transfer &amp; Trust Company, by telephone at</w:t>
      </w:r>
    </w:p>
    <w:p>
      <w:pPr>
        <w:ind w:left="4" w:hanging="4"/>
        <w:spacing w:after="0" w:line="226" w:lineRule="auto"/>
        <w:tabs>
          <w:tab w:leader="none" w:pos="341" w:val="left"/>
        </w:tabs>
        <w:numPr>
          <w:ilvl w:val="0"/>
          <w:numId w:val="93"/>
        </w:numPr>
        <w:rPr>
          <w:rFonts w:ascii="Times New Roman" w:cs="Times New Roman" w:eastAsia="Times New Roman" w:hAnsi="Times New Roman"/>
          <w:sz w:val="14"/>
          <w:szCs w:val="14"/>
          <w:color w:val="221E1F"/>
        </w:rPr>
      </w:pPr>
      <w:r>
        <w:rPr>
          <w:rFonts w:ascii="Times New Roman" w:cs="Times New Roman" w:eastAsia="Times New Roman" w:hAnsi="Times New Roman"/>
          <w:sz w:val="14"/>
          <w:szCs w:val="14"/>
          <w:color w:val="221E1F"/>
        </w:rPr>
        <w:t>509-4000, or by writing Continental Stock Transfer &amp; Trust Company, at 1 State Street 30th Floor, New York, NY 1004-1561. You may also access instructions with respect to certain stockholder matters (e.g., change of address) via the Internet at https://continentalstock.com/.</w:t>
      </w:r>
    </w:p>
    <w:p>
      <w:pPr>
        <w:spacing w:after="0" w:line="16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221E1F"/>
        </w:rPr>
        <w:t>Stock Exchange Information</w:t>
      </w:r>
    </w:p>
    <w:p>
      <w:pPr>
        <w:spacing w:after="0" w:line="106" w:lineRule="exact"/>
        <w:rPr>
          <w:sz w:val="20"/>
          <w:szCs w:val="20"/>
          <w:color w:val="auto"/>
        </w:rPr>
      </w:pPr>
    </w:p>
    <w:p>
      <w:pPr>
        <w:ind w:left="4" w:right="80"/>
        <w:spacing w:after="0" w:line="257" w:lineRule="auto"/>
        <w:rPr>
          <w:sz w:val="20"/>
          <w:szCs w:val="20"/>
          <w:color w:val="auto"/>
        </w:rPr>
      </w:pPr>
      <w:r>
        <w:rPr>
          <w:rFonts w:ascii="Times New Roman" w:cs="Times New Roman" w:eastAsia="Times New Roman" w:hAnsi="Times New Roman"/>
          <w:sz w:val="14"/>
          <w:szCs w:val="14"/>
          <w:color w:val="221E1F"/>
        </w:rPr>
        <w:t>Our common stock is traded on the Nasdaq Global Select Market under the symbol NAUT.</w:t>
      </w:r>
    </w:p>
    <w:p>
      <w:pPr>
        <w:spacing w:after="0" w:line="14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221E1F"/>
        </w:rPr>
        <w:t>Internet Address Information</w:t>
      </w:r>
    </w:p>
    <w:p>
      <w:pPr>
        <w:spacing w:after="0" w:line="106" w:lineRule="exact"/>
        <w:rPr>
          <w:sz w:val="20"/>
          <w:szCs w:val="20"/>
          <w:color w:val="auto"/>
        </w:rPr>
      </w:pPr>
    </w:p>
    <w:p>
      <w:pPr>
        <w:ind w:left="4" w:right="220"/>
        <w:spacing w:after="0" w:line="232" w:lineRule="auto"/>
        <w:rPr>
          <w:sz w:val="20"/>
          <w:szCs w:val="20"/>
          <w:color w:val="auto"/>
        </w:rPr>
      </w:pPr>
      <w:r>
        <w:rPr>
          <w:rFonts w:ascii="Times New Roman" w:cs="Times New Roman" w:eastAsia="Times New Roman" w:hAnsi="Times New Roman"/>
          <w:sz w:val="14"/>
          <w:szCs w:val="14"/>
          <w:color w:val="221E1F"/>
        </w:rPr>
        <w:t>Our investor relations website is located at https://investors.nautilus.bio/. Our 2023 Annual Report is available online at https://investors.nautilus.bio/.</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right="100"/>
        <w:spacing w:after="0" w:line="227" w:lineRule="auto"/>
        <w:rPr>
          <w:sz w:val="20"/>
          <w:szCs w:val="20"/>
          <w:color w:val="auto"/>
        </w:rPr>
      </w:pPr>
      <w:r>
        <w:rPr>
          <w:rFonts w:ascii="Times New Roman" w:cs="Times New Roman" w:eastAsia="Times New Roman" w:hAnsi="Times New Roman"/>
          <w:sz w:val="14"/>
          <w:szCs w:val="14"/>
          <w:b w:val="1"/>
          <w:bCs w:val="1"/>
          <w:color w:val="221E1F"/>
        </w:rPr>
        <w:t>Stockholders may receive a copy of our annual report on Form 10-K, including the financial statements and the financial statement schedules, free of charge upon written request. Please send such requests to Nautilus Biotechnology, Inc., 2701 Eastlake Avenue East, Seattle, Washington 98102, Attention: Investor Relations.</w:t>
      </w:r>
    </w:p>
    <w:p>
      <w:pPr>
        <w:spacing w:after="0" w:line="153" w:lineRule="exact"/>
        <w:rPr>
          <w:sz w:val="20"/>
          <w:szCs w:val="20"/>
          <w:color w:val="auto"/>
        </w:rPr>
      </w:pPr>
    </w:p>
    <w:p>
      <w:pPr>
        <w:ind w:right="520" w:hanging="1"/>
        <w:spacing w:after="0" w:line="223" w:lineRule="auto"/>
        <w:rPr>
          <w:sz w:val="20"/>
          <w:szCs w:val="20"/>
          <w:color w:val="auto"/>
        </w:rPr>
      </w:pPr>
      <w:r>
        <w:rPr>
          <w:rFonts w:ascii="Times New Roman" w:cs="Times New Roman" w:eastAsia="Times New Roman" w:hAnsi="Times New Roman"/>
          <w:sz w:val="14"/>
          <w:szCs w:val="14"/>
          <w:b w:val="1"/>
          <w:bCs w:val="1"/>
          <w:color w:val="221E1F"/>
        </w:rPr>
        <w:t>Special Note Regarding Forward-Looking Statements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221E1F"/>
        </w:rPr>
        <w:t>This Annual Report contains forward-looking statements within the meaning of Section 27A of the Securities Act of 1933, as amended, or Securities Act, and Section 21E of the Securities Exchange Act of 1934, as amended, or Exchange Act, that are based on our management’s beliefs and assumptions and on information currently available to our management. The forward-looking statements are contained principally in the sections of our Annual Report entitled “Business,” “Risk factors,” and “Management’s discussion and analysis of financial condition and results of operations.” Forward - looking statements include statements that are not historical facts and can be identified by terms such as “anticipates,” “believes,” “could,” “seeks,” “estimates,” “expects,” “intends,” “may,” “plans,” “potential,” “predicts,” “projects,” “should,” “will,” “would,” or similar expressions and the negatives of those terms. Forward-looking statements include, but are not limited to, statements regarding Nautilus’ expectations regarding the company’s business operations, financial performance and results of operations; our expectations regarding the timing and progress of the development of the Nautilus platform and any commercialization timelines; expectations with respect to the functionality and performance of Nautilus’ product platform, and its potential impact on pharmaceutical development and drug discovery; our estimates of our addressable market, market growth, future revenue, key performance indicators, expenses, capital requirements and needs for additional financing; the implementation of our business model and strategic plans for the Nautilus platform; and our expectations regarding any collaborations and strategic partnerships. These statements are based on numerous assumptions concerning the development of Nautilus’ products and target markets and involve substantial risks, uncertainties and other factors that may cause actual results to be materially different from the information expressed or implied by these forward-looking statements. Risks and uncertainties that could materially affect the accuracy of Nautilus’ assumptions and its ability to achieve the forward - looking statements set forth in this Annual Report include (without limitation) the following: Nautilus’ product platform is not yet commercially available and remains subject to significant scientific and technical development, which is inherently challenging and difficult to predict, particularly with respect to highly novel and complex products such as those being developed by Nautilus; even if our development efforts are successful, our product platform will require substantial validation of its functionality and utility in life science research; in the course of Nautilus’ scientific and technical development and associated product validation and commercialization, we may experience material delays as a result of unanticipated events; and we cannot provide any guarantee or assurance with respect to the outcome of our development, collaboration, and commercialization initiatives or with respect to their associated timelines. For a more detailed description of additional risks and uncertainties facing Nautilus and its development efforts, investors should refer to the information under the caption “Risk Factors” in our Annual Report on Form 10- K filed with the SEC on February 28, 2024 and in our subsequent filings with the SEC.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80"/>
        <w:spacing w:after="0" w:line="223" w:lineRule="auto"/>
        <w:rPr>
          <w:sz w:val="20"/>
          <w:szCs w:val="20"/>
          <w:color w:val="auto"/>
        </w:rPr>
      </w:pPr>
      <w:r>
        <w:rPr>
          <w:rFonts w:ascii="Times New Roman" w:cs="Times New Roman" w:eastAsia="Times New Roman" w:hAnsi="Times New Roman"/>
          <w:sz w:val="14"/>
          <w:szCs w:val="14"/>
          <w:i w:val="1"/>
          <w:iCs w:val="1"/>
          <w:color w:val="221E1F"/>
        </w:rPr>
        <w:t>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ectPr>
          <w:pgSz w:w="12240" w:h="15840" w:orient="portrait"/>
          <w:cols w:equalWidth="0" w:num="3">
            <w:col w:w="2720" w:space="576"/>
            <w:col w:w="2924" w:space="280"/>
            <w:col w:w="3040"/>
          </w:cols>
          <w:pgMar w:left="1320" w:top="1361" w:right="1380" w:bottom="537" w:gutter="0" w:footer="0" w:header="0"/>
          <w:type w:val="continuous"/>
        </w:sectPr>
      </w:pPr>
    </w:p>
    <w:bookmarkStart w:id="151" w:name="page152"/>
    <w:bookmarkEnd w:id="1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72">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Arial" w:cs="Arial" w:eastAsia="Arial" w:hAnsi="Arial"/>
          <w:sz w:val="24"/>
          <w:szCs w:val="24"/>
          <w:color w:val="FFFFFF"/>
        </w:rPr>
        <w:t>Nautilus Biotechnology</w:t>
      </w:r>
    </w:p>
    <w:p>
      <w:pPr>
        <w:spacing w:after="0" w:line="81" w:lineRule="exact"/>
        <w:rPr>
          <w:sz w:val="20"/>
          <w:szCs w:val="20"/>
          <w:color w:val="auto"/>
        </w:rPr>
      </w:pPr>
    </w:p>
    <w:p>
      <w:pPr>
        <w:jc w:val="right"/>
        <w:spacing w:after="0"/>
        <w:rPr>
          <w:sz w:val="20"/>
          <w:szCs w:val="20"/>
          <w:color w:val="auto"/>
        </w:rPr>
      </w:pPr>
      <w:r>
        <w:rPr>
          <w:rFonts w:ascii="Arial" w:cs="Arial" w:eastAsia="Arial" w:hAnsi="Arial"/>
          <w:sz w:val="20"/>
          <w:szCs w:val="20"/>
          <w:color w:val="FFFFFF"/>
        </w:rPr>
        <w:t>2701 Eastlake Avenue East</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0"/>
          <w:szCs w:val="20"/>
          <w:color w:val="FFFFFF"/>
        </w:rPr>
        <w:t>Seattle, WA 98102</w:t>
      </w:r>
    </w:p>
    <w:p>
      <w:pPr>
        <w:spacing w:after="0" w:line="90" w:lineRule="exact"/>
        <w:rPr>
          <w:sz w:val="20"/>
          <w:szCs w:val="20"/>
          <w:color w:val="auto"/>
        </w:rPr>
      </w:pPr>
    </w:p>
    <w:p>
      <w:pPr>
        <w:ind w:left="6580"/>
        <w:spacing w:after="0"/>
        <w:rPr>
          <w:sz w:val="20"/>
          <w:szCs w:val="20"/>
          <w:color w:val="auto"/>
        </w:rPr>
      </w:pPr>
      <w:r>
        <w:rPr>
          <w:rFonts w:ascii="Arial" w:cs="Arial" w:eastAsia="Arial" w:hAnsi="Arial"/>
          <w:sz w:val="19"/>
          <w:szCs w:val="19"/>
          <w:color w:val="FFFFFF"/>
        </w:rPr>
        <w:t xml:space="preserve">+1 (206) 333-2001 </w:t>
      </w:r>
      <w:r>
        <w:rPr>
          <w:rFonts w:ascii="Arial" w:cs="Arial" w:eastAsia="Arial" w:hAnsi="Arial"/>
          <w:sz w:val="19"/>
          <w:szCs w:val="19"/>
          <w:color w:val="F58453"/>
        </w:rPr>
        <w:t>|</w:t>
      </w:r>
      <w:r>
        <w:rPr>
          <w:rFonts w:ascii="Arial" w:cs="Arial" w:eastAsia="Arial" w:hAnsi="Arial"/>
          <w:sz w:val="19"/>
          <w:szCs w:val="19"/>
          <w:color w:val="FFFFFF"/>
        </w:rPr>
        <w:t xml:space="preserve"> www.nautilus.bio</w:t>
      </w:r>
    </w:p>
    <w:sectPr>
      <w:pgSz w:w="12240" w:h="15840" w:orient="portrait"/>
      <w:cols w:equalWidth="0" w:num="1">
        <w:col w:w="9800"/>
      </w:cols>
      <w:pgMar w:left="1440" w:top="1440" w:right="1000" w:bottom="32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
      <w:numFmt w:val="bullet"/>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
      <w:numFmt w:val="bullet"/>
      <w:start w:val="1"/>
    </w:lvl>
  </w:abstractNum>
  <w:abstractNum w:abstractNumId="8">
    <w:nsid w:val="1BA026FA"/>
    <w:multiLevelType w:val="hybridMultilevel"/>
    <w:lvl w:ilvl="0">
      <w:lvlJc w:val="left"/>
      <w:lvlText w:val="%1."/>
      <w:numFmt w:val="decimal"/>
      <w:start w:val="1"/>
    </w:lvl>
  </w:abstractNum>
  <w:abstractNum w:abstractNumId="9">
    <w:nsid w:val="79A1DEAA"/>
    <w:multiLevelType w:val="hybridMultilevel"/>
    <w:lvl w:ilvl="0">
      <w:lvlJc w:val="left"/>
      <w:lvlText w:val="%1."/>
      <w:numFmt w:val="decimal"/>
      <w:start w:val="2"/>
    </w:lvl>
  </w:abstractNum>
  <w:abstractNum w:abstractNumId="10">
    <w:nsid w:val="75C6C33A"/>
    <w:multiLevelType w:val="hybridMultilevel"/>
    <w:lvl w:ilvl="0">
      <w:lvlJc w:val="left"/>
      <w:lvlText w:val="%1."/>
      <w:numFmt w:val="decimal"/>
      <w:start w:val="3"/>
    </w:lvl>
  </w:abstractNum>
  <w:abstractNum w:abstractNumId="11">
    <w:nsid w:val="12E685FB"/>
    <w:multiLevelType w:val="hybridMultilevel"/>
    <w:lvl w:ilvl="0">
      <w:lvlJc w:val="left"/>
      <w:lvlText w:val="%1."/>
      <w:numFmt w:val="decimal"/>
      <w:start w:val="4"/>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1)"/>
      <w:numFmt w:val="decimal"/>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
      <w:numFmt w:val="bullet"/>
      <w:start w:val="1"/>
    </w:lvl>
  </w:abstractNum>
  <w:abstractNum w:abstractNumId="25">
    <w:nsid w:val="15B5AF5C"/>
    <w:multiLevelType w:val="hybridMultilevel"/>
    <w:lvl w:ilvl="0">
      <w:lvlJc w:val="left"/>
      <w:lvlText w:val="•"/>
      <w:numFmt w:val="bullet"/>
      <w:start w:val="1"/>
    </w:lvl>
  </w:abstractNum>
  <w:abstractNum w:abstractNumId="26">
    <w:nsid w:val="741226BB"/>
    <w:multiLevelType w:val="hybridMultilevel"/>
    <w:lvl w:ilvl="0">
      <w:lvlJc w:val="left"/>
      <w:lvlText w:val="•"/>
      <w:numFmt w:val="bullet"/>
      <w:start w:val="1"/>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
      <w:numFmt w:val="bullet"/>
      <w:start w:val="1"/>
    </w:lvl>
  </w:abstractNum>
  <w:abstractNum w:abstractNumId="29">
    <w:nsid w:val="3F6AB60F"/>
    <w:multiLevelType w:val="hybridMultilevel"/>
    <w:lvl w:ilvl="0">
      <w:lvlJc w:val="left"/>
      <w:lvlText w:val="•"/>
      <w:numFmt w:val="bullet"/>
      <w:start w:val="1"/>
    </w:lvl>
  </w:abstractNum>
  <w:abstractNum w:abstractNumId="30">
    <w:nsid w:val="61574095"/>
    <w:multiLevelType w:val="hybridMultilevel"/>
    <w:lvl w:ilvl="0">
      <w:lvlJc w:val="left"/>
      <w:lvlText w:val="•"/>
      <w:numFmt w:val="bullet"/>
      <w:start w:val="1"/>
    </w:lvl>
  </w:abstractNum>
  <w:abstractNum w:abstractNumId="31">
    <w:nsid w:val="7E0C57B1"/>
    <w:multiLevelType w:val="hybridMultilevel"/>
    <w:lvl w:ilvl="0">
      <w:lvlJc w:val="left"/>
      <w:lvlText w:val="•"/>
      <w:numFmt w:val="bullet"/>
      <w:start w:val="1"/>
    </w:lvl>
  </w:abstractNum>
  <w:abstractNum w:abstractNumId="32">
    <w:nsid w:val="77AE35EB"/>
    <w:multiLevelType w:val="hybridMultilevel"/>
    <w:lvl w:ilvl="0">
      <w:lvlJc w:val="left"/>
      <w:lvlText w:val="•"/>
      <w:numFmt w:val="bullet"/>
      <w:start w:val="1"/>
    </w:lvl>
  </w:abstractNum>
  <w:abstractNum w:abstractNumId="33">
    <w:nsid w:val="579BE4F1"/>
    <w:multiLevelType w:val="hybridMultilevel"/>
    <w:lvl w:ilvl="0">
      <w:lvlJc w:val="left"/>
      <w:lvlText w:val="•"/>
      <w:numFmt w:val="bullet"/>
      <w:start w:val="1"/>
    </w:lvl>
  </w:abstractNum>
  <w:abstractNum w:abstractNumId="34">
    <w:nsid w:val="310C50B3"/>
    <w:multiLevelType w:val="hybridMultilevel"/>
    <w:lvl w:ilvl="0">
      <w:lvlJc w:val="left"/>
      <w:lvlText w:val="•"/>
      <w:numFmt w:val="bullet"/>
      <w:start w:val="1"/>
    </w:lvl>
  </w:abstractNum>
  <w:abstractNum w:abstractNumId="35">
    <w:nsid w:val="5FF87E05"/>
    <w:multiLevelType w:val="hybridMultilevel"/>
    <w:lvl w:ilvl="0">
      <w:lvlJc w:val="left"/>
      <w:lvlText w:val="•"/>
      <w:numFmt w:val="bullet"/>
      <w:start w:val="1"/>
    </w:lvl>
  </w:abstractNum>
  <w:abstractNum w:abstractNumId="36">
    <w:nsid w:val="2F305DEF"/>
    <w:multiLevelType w:val="hybridMultilevel"/>
    <w:lvl w:ilvl="0">
      <w:lvlJc w:val="left"/>
      <w:lvlText w:val="•"/>
      <w:numFmt w:val="bullet"/>
      <w:start w:val="1"/>
    </w:lvl>
  </w:abstractNum>
  <w:abstractNum w:abstractNumId="37">
    <w:nsid w:val="25A70BF7"/>
    <w:multiLevelType w:val="hybridMultilevel"/>
    <w:lvl w:ilvl="0">
      <w:lvlJc w:val="left"/>
      <w:lvlText w:val="•"/>
      <w:numFmt w:val="bullet"/>
      <w:start w:val="1"/>
    </w:lvl>
  </w:abstractNum>
  <w:abstractNum w:abstractNumId="38">
    <w:nsid w:val="1DBABF00"/>
    <w:multiLevelType w:val="hybridMultilevel"/>
    <w:lvl w:ilvl="0">
      <w:lvlJc w:val="left"/>
      <w:lvlText w:val="•"/>
      <w:numFmt w:val="bullet"/>
      <w:start w:val="1"/>
    </w:lvl>
  </w:abstractNum>
  <w:abstractNum w:abstractNumId="39">
    <w:nsid w:val="4AD084E9"/>
    <w:multiLevelType w:val="hybridMultilevel"/>
    <w:lvl w:ilvl="0">
      <w:lvlJc w:val="left"/>
      <w:lvlText w:val="•"/>
      <w:numFmt w:val="bullet"/>
      <w:start w:val="1"/>
    </w:lvl>
  </w:abstractNum>
  <w:abstractNum w:abstractNumId="40">
    <w:nsid w:val="1F48EAA1"/>
    <w:multiLevelType w:val="hybridMultilevel"/>
    <w:lvl w:ilvl="0">
      <w:lvlJc w:val="left"/>
      <w:lvlText w:val="•"/>
      <w:numFmt w:val="bullet"/>
      <w:start w:val="1"/>
    </w:lvl>
  </w:abstractNum>
  <w:abstractNum w:abstractNumId="41">
    <w:nsid w:val="1381823A"/>
    <w:multiLevelType w:val="hybridMultilevel"/>
    <w:lvl w:ilvl="0">
      <w:lvlJc w:val="left"/>
      <w:lvlText w:val="•"/>
      <w:numFmt w:val="bullet"/>
      <w:start w:val="1"/>
    </w:lvl>
  </w:abstractNum>
  <w:abstractNum w:abstractNumId="42">
    <w:nsid w:val="5DB70AE5"/>
    <w:multiLevelType w:val="hybridMultilevel"/>
    <w:lvl w:ilvl="0">
      <w:lvlJc w:val="left"/>
      <w:lvlText w:val="•"/>
      <w:numFmt w:val="bullet"/>
      <w:start w:val="1"/>
    </w:lvl>
  </w:abstractNum>
  <w:abstractNum w:abstractNumId="43">
    <w:nsid w:val="100F8FCA"/>
    <w:multiLevelType w:val="hybridMultilevel"/>
    <w:lvl w:ilvl="0">
      <w:lvlJc w:val="left"/>
      <w:lvlText w:val="•"/>
      <w:numFmt w:val="bullet"/>
      <w:start w:val="1"/>
    </w:lvl>
  </w:abstractNum>
  <w:abstractNum w:abstractNumId="44">
    <w:nsid w:val="6590700B"/>
    <w:multiLevelType w:val="hybridMultilevel"/>
    <w:lvl w:ilvl="0">
      <w:lvlJc w:val="left"/>
      <w:lvlText w:val="•"/>
      <w:numFmt w:val="bullet"/>
      <w:start w:val="1"/>
    </w:lvl>
  </w:abstractNum>
  <w:abstractNum w:abstractNumId="45">
    <w:nsid w:val="15014ACB"/>
    <w:multiLevelType w:val="hybridMultilevel"/>
    <w:lvl w:ilvl="0">
      <w:lvlJc w:val="left"/>
      <w:lvlText w:val="•"/>
      <w:numFmt w:val="bullet"/>
      <w:start w:val="1"/>
    </w:lvl>
  </w:abstractNum>
  <w:abstractNum w:abstractNumId="46">
    <w:nsid w:val="5F5E7FD0"/>
    <w:multiLevelType w:val="hybridMultilevel"/>
    <w:lvl w:ilvl="0">
      <w:lvlJc w:val="left"/>
      <w:lvlText w:val="•"/>
      <w:numFmt w:val="bullet"/>
      <w:start w:val="1"/>
    </w:lvl>
  </w:abstractNum>
  <w:abstractNum w:abstractNumId="47">
    <w:nsid w:val="98A3148"/>
    <w:multiLevelType w:val="hybridMultilevel"/>
    <w:lvl w:ilvl="0">
      <w:lvlJc w:val="left"/>
      <w:lvlText w:val="•"/>
      <w:numFmt w:val="bullet"/>
      <w:start w:val="1"/>
    </w:lvl>
  </w:abstractNum>
  <w:abstractNum w:abstractNumId="48">
    <w:nsid w:val="799D0247"/>
    <w:multiLevelType w:val="hybridMultilevel"/>
    <w:lvl w:ilvl="0">
      <w:lvlJc w:val="left"/>
      <w:lvlText w:val="◦"/>
      <w:numFmt w:val="bullet"/>
      <w:start w:val="1"/>
    </w:lvl>
  </w:abstractNum>
  <w:abstractNum w:abstractNumId="49">
    <w:nsid w:val="6B94764"/>
    <w:multiLevelType w:val="hybridMultilevel"/>
    <w:lvl w:ilvl="0">
      <w:lvlJc w:val="left"/>
      <w:lvlText w:val="•"/>
      <w:numFmt w:val="bullet"/>
      <w:start w:val="1"/>
    </w:lvl>
  </w:abstractNum>
  <w:abstractNum w:abstractNumId="50">
    <w:nsid w:val="42C296BD"/>
    <w:multiLevelType w:val="hybridMultilevel"/>
    <w:lvl w:ilvl="0">
      <w:lvlJc w:val="left"/>
      <w:lvlText w:val="•"/>
      <w:numFmt w:val="bullet"/>
      <w:start w:val="1"/>
    </w:lvl>
  </w:abstractNum>
  <w:abstractNum w:abstractNumId="51">
    <w:nsid w:val="168E121F"/>
    <w:multiLevelType w:val="hybridMultilevel"/>
    <w:lvl w:ilvl="0">
      <w:lvlJc w:val="left"/>
      <w:lvlText w:val="•"/>
      <w:numFmt w:val="bullet"/>
      <w:start w:val="1"/>
    </w:lvl>
  </w:abstractNum>
  <w:abstractNum w:abstractNumId="52">
    <w:nsid w:val="1EBA5D23"/>
    <w:multiLevelType w:val="hybridMultilevel"/>
    <w:lvl w:ilvl="0">
      <w:lvlJc w:val="left"/>
      <w:lvlText w:val="•"/>
      <w:numFmt w:val="bullet"/>
      <w:start w:val="1"/>
    </w:lvl>
  </w:abstractNum>
  <w:abstractNum w:abstractNumId="53">
    <w:nsid w:val="661E3F1E"/>
    <w:multiLevelType w:val="hybridMultilevel"/>
    <w:lvl w:ilvl="0">
      <w:lvlJc w:val="left"/>
      <w:lvlText w:val="%1."/>
      <w:numFmt w:val="decimal"/>
      <w:start w:val="1"/>
    </w:lvl>
  </w:abstractNum>
  <w:abstractNum w:abstractNumId="54">
    <w:nsid w:val="5DC79EA8"/>
    <w:multiLevelType w:val="hybridMultilevel"/>
    <w:lvl w:ilvl="0">
      <w:lvlJc w:val="left"/>
      <w:lvlText w:val="%1."/>
      <w:numFmt w:val="decimal"/>
      <w:start w:val="2"/>
    </w:lvl>
  </w:abstractNum>
  <w:abstractNum w:abstractNumId="55">
    <w:nsid w:val="540A471C"/>
    <w:multiLevelType w:val="hybridMultilevel"/>
    <w:lvl w:ilvl="0">
      <w:lvlJc w:val="left"/>
      <w:lvlText w:val="%1."/>
      <w:numFmt w:val="decimal"/>
      <w:start w:val="3"/>
    </w:lvl>
  </w:abstractNum>
  <w:abstractNum w:abstractNumId="56">
    <w:nsid w:val="7BD3EE7B"/>
    <w:multiLevelType w:val="hybridMultilevel"/>
    <w:lvl w:ilvl="0">
      <w:lvlJc w:val="left"/>
      <w:lvlText w:val="%1."/>
      <w:numFmt w:val="decimal"/>
      <w:start w:val="4"/>
    </w:lvl>
  </w:abstractNum>
  <w:abstractNum w:abstractNumId="57">
    <w:nsid w:val="51D9C564"/>
    <w:multiLevelType w:val="hybridMultilevel"/>
    <w:lvl w:ilvl="0">
      <w:lvlJc w:val="left"/>
      <w:lvlText w:val="%1."/>
      <w:numFmt w:val="decimal"/>
      <w:start w:val="5"/>
    </w:lvl>
  </w:abstractNum>
  <w:abstractNum w:abstractNumId="58">
    <w:nsid w:val="613EFDC5"/>
    <w:multiLevelType w:val="hybridMultilevel"/>
    <w:lvl w:ilvl="0">
      <w:lvlJc w:val="left"/>
      <w:lvlText w:val="%1."/>
      <w:numFmt w:val="decimal"/>
      <w:start w:val="6"/>
    </w:lvl>
  </w:abstractNum>
  <w:abstractNum w:abstractNumId="59">
    <w:nsid w:val="BF72B14"/>
    <w:multiLevelType w:val="hybridMultilevel"/>
    <w:lvl w:ilvl="0">
      <w:lvlJc w:val="left"/>
      <w:lvlText w:val="%1."/>
      <w:numFmt w:val="decimal"/>
      <w:start w:val="7"/>
    </w:lvl>
  </w:abstractNum>
  <w:abstractNum w:abstractNumId="60">
    <w:nsid w:val="11447B73"/>
    <w:multiLevelType w:val="hybridMultilevel"/>
    <w:lvl w:ilvl="0">
      <w:lvlJc w:val="left"/>
      <w:lvlText w:val="%1."/>
      <w:numFmt w:val="decimal"/>
      <w:start w:val="8"/>
    </w:lvl>
  </w:abstractNum>
  <w:abstractNum w:abstractNumId="61">
    <w:nsid w:val="42963E5A"/>
    <w:multiLevelType w:val="hybridMultilevel"/>
    <w:lvl w:ilvl="0">
      <w:lvlJc w:val="left"/>
      <w:lvlText w:val="%1."/>
      <w:numFmt w:val="decimal"/>
      <w:start w:val="9"/>
    </w:lvl>
  </w:abstractNum>
  <w:abstractNum w:abstractNumId="62">
    <w:nsid w:val="A0382C5"/>
    <w:multiLevelType w:val="hybridMultilevel"/>
    <w:lvl w:ilvl="0">
      <w:lvlJc w:val="left"/>
      <w:lvlText w:val="(%1)"/>
      <w:numFmt w:val="decimal"/>
      <w:start w:val="1"/>
    </w:lvl>
  </w:abstractNum>
  <w:abstractNum w:abstractNumId="63">
    <w:nsid w:val="8F2B15E"/>
    <w:multiLevelType w:val="hybridMultilevel"/>
    <w:lvl w:ilvl="0">
      <w:lvlJc w:val="left"/>
      <w:lvlText w:val="•"/>
      <w:numFmt w:val="bullet"/>
      <w:start w:val="1"/>
    </w:lvl>
  </w:abstractNum>
  <w:abstractNum w:abstractNumId="64">
    <w:nsid w:val="1A32234B"/>
    <w:multiLevelType w:val="hybridMultilevel"/>
    <w:lvl w:ilvl="0">
      <w:lvlJc w:val="left"/>
      <w:lvlText w:val="•"/>
      <w:numFmt w:val="bullet"/>
      <w:start w:val="1"/>
    </w:lvl>
  </w:abstractNum>
  <w:abstractNum w:abstractNumId="65">
    <w:nsid w:val="3B0FD379"/>
    <w:multiLevelType w:val="hybridMultilevel"/>
    <w:lvl w:ilvl="0">
      <w:lvlJc w:val="left"/>
      <w:lvlText w:val="•"/>
      <w:numFmt w:val="bullet"/>
      <w:start w:val="1"/>
    </w:lvl>
  </w:abstractNum>
  <w:abstractNum w:abstractNumId="66">
    <w:nsid w:val="68EB2F63"/>
    <w:multiLevelType w:val="hybridMultilevel"/>
    <w:lvl w:ilvl="0">
      <w:lvlJc w:val="left"/>
      <w:lvlText w:val="•"/>
      <w:numFmt w:val="bullet"/>
      <w:start w:val="1"/>
    </w:lvl>
  </w:abstractNum>
  <w:abstractNum w:abstractNumId="67">
    <w:nsid w:val="4962813B"/>
    <w:multiLevelType w:val="hybridMultilevel"/>
    <w:lvl w:ilvl="0">
      <w:lvlJc w:val="left"/>
      <w:lvlText w:val="•"/>
      <w:numFmt w:val="bullet"/>
      <w:start w:val="1"/>
    </w:lvl>
  </w:abstractNum>
  <w:abstractNum w:abstractNumId="68">
    <w:nsid w:val="60B6DF70"/>
    <w:multiLevelType w:val="hybridMultilevel"/>
    <w:lvl w:ilvl="0">
      <w:lvlJc w:val="left"/>
      <w:lvlText w:val="(%1)"/>
      <w:numFmt w:val="decimal"/>
      <w:start w:val="1"/>
    </w:lvl>
  </w:abstractNum>
  <w:abstractNum w:abstractNumId="69">
    <w:nsid w:val="6A5EE64"/>
    <w:multiLevelType w:val="hybridMultilevel"/>
    <w:lvl w:ilvl="0">
      <w:lvlJc w:val="left"/>
      <w:lvlText w:val="•"/>
      <w:numFmt w:val="bullet"/>
      <w:start w:val="1"/>
    </w:lvl>
  </w:abstractNum>
  <w:abstractNum w:abstractNumId="70">
    <w:nsid w:val="14330624"/>
    <w:multiLevelType w:val="hybridMultilevel"/>
    <w:lvl w:ilvl="0">
      <w:lvlJc w:val="left"/>
      <w:lvlText w:val="(%1)"/>
      <w:numFmt w:val="decimal"/>
      <w:start w:val="1"/>
    </w:lvl>
  </w:abstractNum>
  <w:abstractNum w:abstractNumId="71">
    <w:nsid w:val="7FFFCA11"/>
    <w:multiLevelType w:val="hybridMultilevel"/>
    <w:lvl w:ilvl="0">
      <w:lvlJc w:val="left"/>
      <w:lvlText w:val="\emdash "/>
      <w:numFmt w:val="bullet"/>
      <w:start w:val="1"/>
    </w:lvl>
  </w:abstractNum>
  <w:abstractNum w:abstractNumId="72">
    <w:nsid w:val="1A27709E"/>
    <w:multiLevelType w:val="hybridMultilevel"/>
    <w:lvl w:ilvl="0">
      <w:lvlJc w:val="left"/>
      <w:lvlText w:val="\emdash "/>
      <w:numFmt w:val="bullet"/>
      <w:start w:val="1"/>
    </w:lvl>
  </w:abstractNum>
  <w:abstractNum w:abstractNumId="73">
    <w:nsid w:val="71EA1109"/>
    <w:multiLevelType w:val="hybridMultilevel"/>
    <w:lvl w:ilvl="0">
      <w:lvlJc w:val="left"/>
      <w:lvlText w:val="\emdash "/>
      <w:numFmt w:val="bullet"/>
      <w:start w:val="1"/>
    </w:lvl>
  </w:abstractNum>
  <w:abstractNum w:abstractNumId="74">
    <w:nsid w:val="100F59DC"/>
    <w:multiLevelType w:val="hybridMultilevel"/>
    <w:lvl w:ilvl="0">
      <w:lvlJc w:val="left"/>
      <w:lvlText w:val="(%1)"/>
      <w:numFmt w:val="decimal"/>
      <w:start w:val="1"/>
    </w:lvl>
  </w:abstractNum>
  <w:abstractNum w:abstractNumId="75">
    <w:nsid w:val="7FB7E0AA"/>
    <w:multiLevelType w:val="hybridMultilevel"/>
    <w:lvl w:ilvl="0">
      <w:lvlJc w:val="left"/>
      <w:lvlText w:val="•"/>
      <w:numFmt w:val="bullet"/>
      <w:start w:val="1"/>
    </w:lvl>
  </w:abstractNum>
  <w:abstractNum w:abstractNumId="76">
    <w:nsid w:val="6EB5BD4"/>
    <w:multiLevelType w:val="hybridMultilevel"/>
    <w:lvl w:ilvl="0">
      <w:lvlJc w:val="left"/>
      <w:lvlText w:val="•"/>
      <w:numFmt w:val="bullet"/>
      <w:start w:val="1"/>
    </w:lvl>
  </w:abstractNum>
  <w:abstractNum w:abstractNumId="77">
    <w:nsid w:val="6F6DD9AC"/>
    <w:multiLevelType w:val="hybridMultilevel"/>
    <w:lvl w:ilvl="0">
      <w:lvlJc w:val="left"/>
      <w:lvlText w:val="•"/>
      <w:numFmt w:val="bullet"/>
      <w:start w:val="1"/>
    </w:lvl>
    <w:lvl w:ilvl="1">
      <w:lvlJc w:val="left"/>
      <w:lvlText w:val="◦"/>
      <w:numFmt w:val="bullet"/>
      <w:start w:val="1"/>
    </w:lvl>
  </w:abstractNum>
  <w:abstractNum w:abstractNumId="78">
    <w:nsid w:val="94211F2"/>
    <w:multiLevelType w:val="hybridMultilevel"/>
    <w:lvl w:ilvl="0">
      <w:lvlJc w:val="left"/>
      <w:lvlText w:val="•"/>
      <w:numFmt w:val="bullet"/>
      <w:start w:val="1"/>
    </w:lvl>
  </w:abstractNum>
  <w:abstractNum w:abstractNumId="79">
    <w:nsid w:val="885E1B"/>
    <w:multiLevelType w:val="hybridMultilevel"/>
    <w:lvl w:ilvl="0">
      <w:lvlJc w:val="left"/>
      <w:lvlText w:val="(%1)"/>
      <w:numFmt w:val="decimal"/>
      <w:start w:val="1"/>
    </w:lvl>
  </w:abstractNum>
  <w:abstractNum w:abstractNumId="80">
    <w:nsid w:val="76272110"/>
    <w:multiLevelType w:val="hybridMultilevel"/>
    <w:lvl w:ilvl="0">
      <w:lvlJc w:val="left"/>
      <w:lvlText w:val="•"/>
      <w:numFmt w:val="bullet"/>
      <w:start w:val="1"/>
    </w:lvl>
  </w:abstractNum>
  <w:abstractNum w:abstractNumId="81">
    <w:nsid w:val="4C04A8AF"/>
    <w:multiLevelType w:val="hybridMultilevel"/>
    <w:lvl w:ilvl="0">
      <w:lvlJc w:val="left"/>
      <w:lvlText w:val="*"/>
      <w:numFmt w:val="bullet"/>
      <w:start w:val="1"/>
    </w:lvl>
  </w:abstractNum>
  <w:abstractNum w:abstractNumId="82">
    <w:nsid w:val="1716703B"/>
    <w:multiLevelType w:val="hybridMultilevel"/>
    <w:lvl w:ilvl="0">
      <w:lvlJc w:val="left"/>
      <w:lvlText w:val="(%1)"/>
      <w:numFmt w:val="decimal"/>
      <w:start w:val="1"/>
    </w:lvl>
  </w:abstractNum>
  <w:abstractNum w:abstractNumId="83">
    <w:nsid w:val="14E17E33"/>
    <w:multiLevelType w:val="hybridMultilevel"/>
    <w:lvl w:ilvl="0">
      <w:lvlJc w:val="left"/>
      <w:lvlText w:val="(%1)"/>
      <w:numFmt w:val="decimal"/>
      <w:start w:val="10"/>
    </w:lvl>
  </w:abstractNum>
  <w:abstractNum w:abstractNumId="84">
    <w:nsid w:val="3222E7CD"/>
    <w:multiLevelType w:val="hybridMultilevel"/>
    <w:lvl w:ilvl="0">
      <w:lvlJc w:val="left"/>
      <w:lvlText w:val="(%1)"/>
      <w:numFmt w:val="decimal"/>
      <w:start w:val="13"/>
    </w:lvl>
  </w:abstractNum>
  <w:abstractNum w:abstractNumId="85">
    <w:nsid w:val="74DE0EE3"/>
    <w:multiLevelType w:val="hybridMultilevel"/>
    <w:lvl w:ilvl="0">
      <w:lvlJc w:val="left"/>
      <w:lvlText w:val="•"/>
      <w:numFmt w:val="bullet"/>
      <w:start w:val="1"/>
    </w:lvl>
  </w:abstractNum>
  <w:abstractNum w:abstractNumId="86">
    <w:nsid w:val="68EBC550"/>
    <w:multiLevelType w:val="hybridMultilevel"/>
    <w:lvl w:ilvl="0">
      <w:lvlJc w:val="left"/>
      <w:lvlText w:val="•"/>
      <w:numFmt w:val="bullet"/>
      <w:start w:val="1"/>
    </w:lvl>
  </w:abstractNum>
  <w:abstractNum w:abstractNumId="87">
    <w:nsid w:val="2DF6D648"/>
    <w:multiLevelType w:val="hybridMultilevel"/>
    <w:lvl w:ilvl="0">
      <w:lvlJc w:val="left"/>
      <w:lvlText w:val="•"/>
      <w:numFmt w:val="bullet"/>
      <w:start w:val="1"/>
    </w:lvl>
  </w:abstractNum>
  <w:abstractNum w:abstractNumId="88">
    <w:nsid w:val="46B7D447"/>
    <w:multiLevelType w:val="hybridMultilevel"/>
    <w:lvl w:ilvl="0">
      <w:lvlJc w:val="left"/>
      <w:lvlText w:val="(%1)"/>
      <w:numFmt w:val="decimal"/>
      <w:start w:val="1"/>
    </w:lvl>
  </w:abstractNum>
  <w:abstractNum w:abstractNumId="89">
    <w:nsid w:val="4A2AC315"/>
    <w:multiLevelType w:val="hybridMultilevel"/>
    <w:lvl w:ilvl="0">
      <w:lvlJc w:val="left"/>
      <w:lvlText w:val="(%1)"/>
      <w:numFmt w:val="lowerLetter"/>
      <w:start w:val="3"/>
    </w:lvl>
  </w:abstractNum>
  <w:abstractNum w:abstractNumId="90">
    <w:nsid w:val="39EE015C"/>
    <w:multiLevelType w:val="hybridMultilevel"/>
    <w:lvl w:ilvl="0">
      <w:lvlJc w:val="left"/>
      <w:lvlText w:val="%1"/>
      <w:numFmt w:val="decimal"/>
      <w:start w:val="104"/>
    </w:lvl>
  </w:abstractNum>
  <w:abstractNum w:abstractNumId="91">
    <w:nsid w:val="57FC4FBB"/>
    <w:multiLevelType w:val="hybridMultilevel"/>
    <w:lvl w:ilvl="0">
      <w:lvlJc w:val="left"/>
      <w:lvlText w:val="†"/>
      <w:numFmt w:val="bullet"/>
      <w:start w:val="1"/>
    </w:lvl>
  </w:abstractNum>
  <w:abstractNum w:abstractNumId="92">
    <w:nsid w:val="CC1016F"/>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2024-04-28T14:58:33Z</dcterms:created>
  <dcterms:modified xsi:type="dcterms:W3CDTF">2024-04-28T14:58:33Z</dcterms:modified>
</cp:coreProperties>
</file>