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October 27, 2022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4"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November 1, 2022, Nautilus Biotechnology, Inc. issued a press release reporting its financial results for the quarter ended September 30, 2022.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220" w:firstLine="324"/>
        <w:spacing w:after="0" w:line="261" w:lineRule="auto"/>
        <w:rPr>
          <w:sz w:val="20"/>
          <w:szCs w:val="20"/>
          <w:color w:val="auto"/>
        </w:rPr>
      </w:pPr>
      <w:r>
        <w:rPr>
          <w:rFonts w:ascii="Arial" w:cs="Arial" w:eastAsia="Arial" w:hAnsi="Arial"/>
          <w:sz w:val="17"/>
          <w:szCs w:val="17"/>
          <w:color w:val="auto"/>
        </w:rPr>
        <w:t>On October 27, 2022, the Company’s board of directors, upon recommendation of the nominating and governance committee, amended and restated the Company’s amended and restated bylaws, effective immediately. The bylaws were amended and restated, among other things, to:</w:t>
      </w:r>
    </w:p>
    <w:p>
      <w:pPr>
        <w:spacing w:after="0" w:line="20" w:lineRule="exact"/>
        <w:rPr>
          <w:sz w:val="20"/>
          <w:szCs w:val="20"/>
          <w:color w:val="auto"/>
        </w:rPr>
      </w:pPr>
    </w:p>
    <w:p>
      <w:pPr>
        <w:ind w:left="660" w:right="180" w:hanging="328"/>
        <w:spacing w:after="0" w:line="23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revise the procedures and requirements for the nomination of directors and the submission of proposals by stockholders for consideration at meetings of stockholders, including, among other items, by adding a requirement that a stockholder seeking to nominate director(s) at a meeting deliver to the Company reasonable evidence that it has complied with the requirements of Rule 14a-19 of the Exchange Act no later than five business days before the meeting;</w:t>
      </w:r>
    </w:p>
    <w:p>
      <w:pPr>
        <w:spacing w:after="0" w:line="12" w:lineRule="exact"/>
        <w:rPr>
          <w:rFonts w:ascii="Arial" w:cs="Arial" w:eastAsia="Arial" w:hAnsi="Arial"/>
          <w:sz w:val="22"/>
          <w:szCs w:val="22"/>
          <w:color w:val="auto"/>
        </w:rPr>
      </w:pPr>
    </w:p>
    <w:p>
      <w:pPr>
        <w:ind w:left="660" w:right="300" w:hanging="328"/>
        <w:spacing w:after="0" w:line="22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revise certain additional procedures related to stockholder meetings to conform to the provisions of the Delaware General Corporation Law, as recently amended (the “DGCL”);</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remove provisions regarding the lock-up of certain shares, as such lock-up period has expired;</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update various provisions regarding directors, board committees and officers;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clarify the forum selection provision with respect to claims under the Securities Act; and</w:t>
      </w:r>
    </w:p>
    <w:p>
      <w:pPr>
        <w:spacing w:after="0" w:line="10" w:lineRule="exact"/>
        <w:rPr>
          <w:rFonts w:ascii="Arial" w:cs="Arial" w:eastAsia="Arial" w:hAnsi="Arial"/>
          <w:sz w:val="22"/>
          <w:szCs w:val="22"/>
          <w:color w:val="auto"/>
        </w:rPr>
      </w:pPr>
    </w:p>
    <w:p>
      <w:pPr>
        <w:ind w:left="660" w:right="280" w:hanging="328"/>
        <w:spacing w:after="0" w:line="22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make various updates throughout to conform to current Delaware law (including the recent amendments to the DGCL) and to make ministerial changes, clarifications, and other conforming revisions.</w:t>
      </w:r>
    </w:p>
    <w:p>
      <w:pPr>
        <w:spacing w:after="0" w:line="216"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foregoing description is qualified in its entirety by reference to the Amended and Restated Bylaws, a copy of which is attached hereto as Exhibit 3.1 and incorporated herein by reference.</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6"/>
        </w:trPr>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3080" w:type="dxa"/>
            <w:vAlign w:val="bottom"/>
            <w:gridSpan w:val="3"/>
          </w:tcPr>
          <w:p>
            <w:pPr>
              <w:ind w:left="2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2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p>
        </w:tc>
        <w:tc>
          <w:tcPr>
            <w:tcW w:w="80" w:type="dxa"/>
            <w:vAlign w:val="bottom"/>
            <w:tcBorders>
              <w:bottom w:val="single" w:sz="8" w:color="0000FF"/>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Amended and Restated Bylaws</w:t>
            </w:r>
          </w:p>
        </w:tc>
        <w:tc>
          <w:tcPr>
            <w:tcW w:w="600" w:type="dxa"/>
            <w:vAlign w:val="bottom"/>
          </w:tcPr>
          <w:p>
            <w:pPr>
              <w:spacing w:after="0"/>
              <w:rPr>
                <w:sz w:val="19"/>
                <w:szCs w:val="19"/>
                <w:color w:val="auto"/>
              </w:rPr>
            </w:pPr>
          </w:p>
        </w:tc>
      </w:tr>
      <w:tr>
        <w:trPr>
          <w:trHeight w:val="209"/>
        </w:trPr>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Press Release dated November 1, 2022.</w:t>
            </w:r>
          </w:p>
        </w:tc>
      </w:tr>
    </w:tbl>
    <w:p>
      <w:pPr>
        <w:spacing w:after="0" w:line="26" w:lineRule="exact"/>
        <w:rPr>
          <w:sz w:val="20"/>
          <w:szCs w:val="20"/>
          <w:color w:val="auto"/>
        </w:rPr>
      </w:pPr>
    </w:p>
    <w:p>
      <w:pPr>
        <w:ind w:left="980" w:hanging="95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2022</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BYLAWS OF</w:t>
      </w:r>
    </w:p>
    <w:p>
      <w:pPr>
        <w:sectPr>
          <w:pgSz w:w="11900" w:h="16838" w:orient="portrait"/>
          <w:cols w:equalWidth="0" w:num="1">
            <w:col w:w="9019"/>
          </w:cols>
          <w:pgMar w:left="1440" w:top="1440"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BIOTECHNOLOGY, INC.</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(initially adopted on June 9, 2021)</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 amended and restated on October 27, 2022)</w:t>
      </w:r>
    </w:p>
    <w:p>
      <w:pPr>
        <w:sectPr>
          <w:pgSz w:w="11900" w:h="16838" w:orient="portrait"/>
          <w:cols w:equalWidth="0" w:num="1">
            <w:col w:w="9019"/>
          </w:cols>
          <w:pgMar w:left="1440" w:top="1440" w:right="1440" w:bottom="1440" w:gutter="0" w:footer="0" w:header="0"/>
          <w:type w:val="continuous"/>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gridSpan w:val="38"/>
          </w:tcPr>
          <w:p>
            <w:pPr>
              <w:ind w:left="100"/>
              <w:spacing w:after="0"/>
              <w:rPr>
                <w:sz w:val="20"/>
                <w:szCs w:val="20"/>
                <w:color w:val="auto"/>
              </w:rPr>
            </w:pPr>
            <w:r>
              <w:rPr>
                <w:rFonts w:ascii="Arial" w:cs="Arial" w:eastAsia="Arial" w:hAnsi="Arial"/>
                <w:sz w:val="18"/>
                <w:szCs w:val="18"/>
                <w:b w:val="1"/>
                <w:bCs w:val="1"/>
                <w:i w:val="1"/>
                <w:iCs w:val="1"/>
                <w:color w:val="auto"/>
              </w:rPr>
              <w:t>Page</w:t>
            </w:r>
          </w:p>
        </w:tc>
        <w:tc>
          <w:tcPr>
            <w:tcW w:w="3040" w:type="dxa"/>
            <w:vAlign w:val="bottom"/>
          </w:tcPr>
          <w:p>
            <w:pPr>
              <w:spacing w:after="0"/>
              <w:rPr>
                <w:sz w:val="20"/>
                <w:szCs w:val="20"/>
                <w:color w:val="auto"/>
              </w:rPr>
            </w:pPr>
          </w:p>
        </w:tc>
      </w:tr>
      <w:tr>
        <w:trPr>
          <w:trHeight w:val="256"/>
        </w:trPr>
        <w:tc>
          <w:tcPr>
            <w:tcW w:w="3380" w:type="dxa"/>
            <w:vAlign w:val="bottom"/>
            <w:tcBorders>
              <w:bottom w:val="single" w:sz="8" w:color="auto"/>
            </w:tcBorders>
            <w:gridSpan w:val="26"/>
          </w:tcPr>
          <w:p>
            <w:pPr>
              <w:spacing w:after="0"/>
              <w:rPr>
                <w:sz w:val="20"/>
                <w:szCs w:val="20"/>
                <w:color w:val="auto"/>
              </w:rPr>
            </w:pPr>
            <w:r>
              <w:rPr>
                <w:rFonts w:ascii="Arial" w:cs="Arial" w:eastAsia="Arial" w:hAnsi="Arial"/>
                <w:sz w:val="22"/>
                <w:szCs w:val="22"/>
                <w:color w:val="auto"/>
                <w:w w:val="91"/>
              </w:rPr>
              <w:t>ARTICLE I - CORPORATE OFFICES</w:t>
            </w:r>
          </w:p>
        </w:tc>
        <w:tc>
          <w:tcPr>
            <w:tcW w:w="4400" w:type="dxa"/>
            <w:vAlign w:val="bottom"/>
            <w:gridSpan w:val="15"/>
          </w:tcPr>
          <w:p>
            <w:pPr>
              <w:spacing w:after="0"/>
              <w:rPr>
                <w:sz w:val="22"/>
                <w:szCs w:val="22"/>
                <w:color w:val="auto"/>
              </w:rPr>
            </w:pPr>
          </w:p>
        </w:tc>
        <w:tc>
          <w:tcPr>
            <w:tcW w:w="3040" w:type="dxa"/>
            <w:vAlign w:val="bottom"/>
          </w:tcPr>
          <w:p>
            <w:pPr>
              <w:ind w:left="2820"/>
              <w:spacing w:after="0"/>
              <w:rPr>
                <w:sz w:val="20"/>
                <w:szCs w:val="20"/>
                <w:color w:val="auto"/>
              </w:rPr>
            </w:pPr>
            <w:r>
              <w:rPr>
                <w:rFonts w:ascii="Arial" w:cs="Arial" w:eastAsia="Arial" w:hAnsi="Arial"/>
                <w:sz w:val="22"/>
                <w:szCs w:val="22"/>
                <w:color w:val="auto"/>
              </w:rPr>
              <w:t>1</w:t>
            </w: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1.</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REGISTERED OFFICE</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1.</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20" w:type="dxa"/>
            <w:vAlign w:val="bottom"/>
            <w:tcBorders>
              <w:top w:val="single" w:sz="8" w:color="auto"/>
            </w:tcBorders>
            <w:gridSpan w:val="13"/>
          </w:tcPr>
          <w:p>
            <w:pPr>
              <w:spacing w:after="0" w:line="250" w:lineRule="exact"/>
              <w:rPr>
                <w:sz w:val="20"/>
                <w:szCs w:val="20"/>
                <w:color w:val="auto"/>
              </w:rPr>
            </w:pPr>
            <w:r>
              <w:rPr>
                <w:rFonts w:ascii="Arial" w:cs="Arial" w:eastAsia="Arial" w:hAnsi="Arial"/>
                <w:sz w:val="22"/>
                <w:szCs w:val="22"/>
                <w:color w:val="auto"/>
              </w:rPr>
              <w:t>OTHER OFFICES</w:t>
            </w:r>
          </w:p>
        </w:tc>
        <w:tc>
          <w:tcPr>
            <w:tcW w:w="5180" w:type="dxa"/>
            <w:vAlign w:val="bottom"/>
            <w:gridSpan w:val="25"/>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7780" w:type="dxa"/>
            <w:vAlign w:val="bottom"/>
            <w:gridSpan w:val="41"/>
          </w:tcPr>
          <w:p>
            <w:pPr>
              <w:spacing w:after="0" w:line="250" w:lineRule="exact"/>
              <w:rPr>
                <w:sz w:val="20"/>
                <w:szCs w:val="20"/>
                <w:color w:val="auto"/>
              </w:rPr>
            </w:pPr>
            <w:r>
              <w:rPr>
                <w:rFonts w:ascii="Arial" w:cs="Arial" w:eastAsia="Arial" w:hAnsi="Arial"/>
                <w:sz w:val="22"/>
                <w:szCs w:val="22"/>
                <w:color w:val="auto"/>
              </w:rPr>
              <w:t>ARTICLE II - MEETINGS OF STOCKHOLDERS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1</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960" w:type="dxa"/>
            <w:vAlign w:val="bottom"/>
            <w:tcBorders>
              <w:top w:val="single" w:sz="8" w:color="auto"/>
            </w:tcBorders>
            <w:gridSpan w:val="30"/>
          </w:tcPr>
          <w:p>
            <w:pPr>
              <w:spacing w:after="0" w:line="250" w:lineRule="exact"/>
              <w:rPr>
                <w:sz w:val="20"/>
                <w:szCs w:val="20"/>
                <w:color w:val="auto"/>
              </w:rPr>
            </w:pPr>
            <w:r>
              <w:rPr>
                <w:rFonts w:ascii="Arial" w:cs="Arial" w:eastAsia="Arial" w:hAnsi="Arial"/>
                <w:sz w:val="22"/>
                <w:szCs w:val="22"/>
                <w:color w:val="auto"/>
              </w:rPr>
              <w:t>PLACE OF MEETINGS</w:t>
            </w:r>
          </w:p>
        </w:tc>
        <w:tc>
          <w:tcPr>
            <w:tcW w:w="3340" w:type="dxa"/>
            <w:vAlign w:val="bottom"/>
            <w:gridSpan w:val="8"/>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Borders>
              <w:top w:val="single" w:sz="8" w:color="auto"/>
            </w:tcBorders>
            <w:gridSpan w:val="14"/>
          </w:tcPr>
          <w:p>
            <w:pPr>
              <w:spacing w:after="0" w:line="250" w:lineRule="exact"/>
              <w:rPr>
                <w:sz w:val="20"/>
                <w:szCs w:val="20"/>
                <w:color w:val="auto"/>
              </w:rPr>
            </w:pPr>
            <w:r>
              <w:rPr>
                <w:rFonts w:ascii="Arial" w:cs="Arial" w:eastAsia="Arial" w:hAnsi="Arial"/>
                <w:sz w:val="22"/>
                <w:szCs w:val="22"/>
                <w:color w:val="auto"/>
              </w:rPr>
              <w:t>ANNUAL MEETING</w:t>
            </w:r>
          </w:p>
        </w:tc>
        <w:tc>
          <w:tcPr>
            <w:tcW w:w="5140" w:type="dxa"/>
            <w:vAlign w:val="bottom"/>
            <w:gridSpan w:val="24"/>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Borders>
              <w:top w:val="single" w:sz="8" w:color="auto"/>
            </w:tcBorders>
            <w:gridSpan w:val="11"/>
          </w:tcPr>
          <w:p>
            <w:pPr>
              <w:spacing w:after="0" w:line="250" w:lineRule="exact"/>
              <w:rPr>
                <w:sz w:val="20"/>
                <w:szCs w:val="20"/>
                <w:color w:val="auto"/>
              </w:rPr>
            </w:pPr>
            <w:r>
              <w:rPr>
                <w:rFonts w:ascii="Arial" w:cs="Arial" w:eastAsia="Arial" w:hAnsi="Arial"/>
                <w:sz w:val="22"/>
                <w:szCs w:val="22"/>
                <w:color w:val="auto"/>
                <w:w w:val="96"/>
              </w:rPr>
              <w:t>SPECIAL MEETING</w:t>
            </w:r>
          </w:p>
        </w:tc>
        <w:tc>
          <w:tcPr>
            <w:tcW w:w="5360" w:type="dxa"/>
            <w:vAlign w:val="bottom"/>
            <w:gridSpan w:val="27"/>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tcBorders>
              <w:bottom w:val="single" w:sz="8" w:color="auto"/>
            </w:tcBorders>
            <w:gridSpan w:val="29"/>
          </w:tcPr>
          <w:p>
            <w:pPr>
              <w:spacing w:after="0" w:line="250" w:lineRule="exact"/>
              <w:rPr>
                <w:sz w:val="20"/>
                <w:szCs w:val="20"/>
                <w:color w:val="auto"/>
              </w:rPr>
            </w:pPr>
            <w:r>
              <w:rPr>
                <w:rFonts w:ascii="Arial" w:cs="Arial" w:eastAsia="Arial" w:hAnsi="Arial"/>
                <w:sz w:val="22"/>
                <w:szCs w:val="22"/>
                <w:color w:val="auto"/>
                <w:w w:val="93"/>
              </w:rPr>
              <w:t>ADVANCE NOTICE PROCEDURES</w:t>
            </w:r>
          </w:p>
        </w:tc>
        <w:tc>
          <w:tcPr>
            <w:tcW w:w="3960" w:type="dxa"/>
            <w:vAlign w:val="bottom"/>
            <w:gridSpan w:val="9"/>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1</w:t>
            </w: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00" w:type="dxa"/>
            <w:vAlign w:val="bottom"/>
            <w:tcBorders>
              <w:bottom w:val="single" w:sz="8" w:color="auto"/>
            </w:tcBorders>
            <w:gridSpan w:val="31"/>
          </w:tcPr>
          <w:p>
            <w:pPr>
              <w:spacing w:after="0" w:line="250" w:lineRule="exact"/>
              <w:rPr>
                <w:sz w:val="20"/>
                <w:szCs w:val="20"/>
                <w:color w:val="auto"/>
              </w:rPr>
            </w:pPr>
            <w:r>
              <w:rPr>
                <w:rFonts w:ascii="Arial" w:cs="Arial" w:eastAsia="Arial" w:hAnsi="Arial"/>
                <w:sz w:val="22"/>
                <w:szCs w:val="22"/>
                <w:color w:val="auto"/>
                <w:w w:val="94"/>
              </w:rPr>
              <w:t>NOTICE OF STOCKHOLDERS’ MEETINGS</w:t>
            </w:r>
          </w:p>
        </w:tc>
        <w:tc>
          <w:tcPr>
            <w:tcW w:w="3200" w:type="dxa"/>
            <w:vAlign w:val="bottom"/>
            <w:gridSpan w:val="7"/>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7</w:t>
            </w: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QUORUM</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7</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tcBorders>
              <w:bottom w:val="single" w:sz="8" w:color="auto"/>
            </w:tcBorders>
            <w:gridSpan w:val="28"/>
          </w:tcPr>
          <w:p>
            <w:pPr>
              <w:spacing w:after="0" w:line="250" w:lineRule="exact"/>
              <w:rPr>
                <w:sz w:val="20"/>
                <w:szCs w:val="20"/>
                <w:color w:val="auto"/>
              </w:rPr>
            </w:pPr>
            <w:r>
              <w:rPr>
                <w:rFonts w:ascii="Arial" w:cs="Arial" w:eastAsia="Arial" w:hAnsi="Arial"/>
                <w:sz w:val="22"/>
                <w:szCs w:val="22"/>
                <w:color w:val="auto"/>
                <w:w w:val="95"/>
              </w:rPr>
              <w:t>ADJOURNED MEETING; NOTICE</w:t>
            </w:r>
          </w:p>
        </w:tc>
        <w:tc>
          <w:tcPr>
            <w:tcW w:w="4060" w:type="dxa"/>
            <w:vAlign w:val="bottom"/>
            <w:gridSpan w:val="10"/>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8</w:t>
            </w: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60" w:type="dxa"/>
            <w:vAlign w:val="bottom"/>
            <w:tcBorders>
              <w:bottom w:val="single" w:sz="8" w:color="auto"/>
            </w:tcBorders>
            <w:gridSpan w:val="18"/>
          </w:tcPr>
          <w:p>
            <w:pPr>
              <w:spacing w:after="0" w:line="250" w:lineRule="exact"/>
              <w:rPr>
                <w:sz w:val="20"/>
                <w:szCs w:val="20"/>
                <w:color w:val="auto"/>
              </w:rPr>
            </w:pPr>
            <w:r>
              <w:rPr>
                <w:rFonts w:ascii="Arial" w:cs="Arial" w:eastAsia="Arial" w:hAnsi="Arial"/>
                <w:sz w:val="22"/>
                <w:szCs w:val="22"/>
                <w:color w:val="auto"/>
                <w:w w:val="92"/>
              </w:rPr>
              <w:t>CONDUCT OF BUSINESS</w:t>
            </w:r>
          </w:p>
        </w:tc>
        <w:tc>
          <w:tcPr>
            <w:tcW w:w="4840" w:type="dxa"/>
            <w:vAlign w:val="bottom"/>
            <w:gridSpan w:val="20"/>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8</w:t>
            </w: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2.</w:t>
            </w:r>
            <w:r>
              <w:rPr>
                <w:rFonts w:ascii="Arial" w:cs="Arial" w:eastAsia="Arial" w:hAnsi="Arial"/>
                <w:sz w:val="22"/>
                <w:szCs w:val="22"/>
                <w:b w:val="1"/>
                <w:bCs w:val="1"/>
                <w:u w:val="single" w:color="auto"/>
                <w:color w:val="auto"/>
                <w:w w:val="78"/>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bottom w:val="single" w:sz="8" w:color="auto"/>
            </w:tcBorders>
            <w:gridSpan w:val="3"/>
          </w:tcPr>
          <w:p>
            <w:pPr>
              <w:spacing w:after="0" w:line="250" w:lineRule="exact"/>
              <w:rPr>
                <w:sz w:val="20"/>
                <w:szCs w:val="20"/>
                <w:color w:val="auto"/>
              </w:rPr>
            </w:pPr>
            <w:r>
              <w:rPr>
                <w:rFonts w:ascii="Arial" w:cs="Arial" w:eastAsia="Arial" w:hAnsi="Arial"/>
                <w:sz w:val="22"/>
                <w:szCs w:val="22"/>
                <w:color w:val="auto"/>
                <w:w w:val="97"/>
              </w:rPr>
              <w:t>VOTING</w:t>
            </w:r>
          </w:p>
        </w:tc>
        <w:tc>
          <w:tcPr>
            <w:tcW w:w="6460" w:type="dxa"/>
            <w:vAlign w:val="bottom"/>
            <w:gridSpan w:val="35"/>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8</w:t>
            </w:r>
          </w:p>
        </w:tc>
      </w:tr>
      <w:tr>
        <w:trPr>
          <w:trHeight w:val="250"/>
        </w:trPr>
        <w:tc>
          <w:tcPr>
            <w:tcW w:w="7780" w:type="dxa"/>
            <w:vAlign w:val="bottom"/>
            <w:gridSpan w:val="41"/>
          </w:tcPr>
          <w:p>
            <w:pPr>
              <w:spacing w:after="0" w:line="250" w:lineRule="exact"/>
              <w:rPr>
                <w:sz w:val="20"/>
                <w:szCs w:val="20"/>
                <w:color w:val="auto"/>
              </w:rPr>
            </w:pPr>
            <w:r>
              <w:rPr>
                <w:rFonts w:ascii="Arial" w:cs="Arial" w:eastAsia="Arial" w:hAnsi="Arial"/>
                <w:sz w:val="22"/>
                <w:szCs w:val="22"/>
                <w:b w:val="1"/>
                <w:bCs w:val="1"/>
                <w:color w:val="auto"/>
                <w:w w:val="96"/>
              </w:rPr>
              <w:t>2.</w:t>
            </w:r>
            <w:r>
              <w:rPr>
                <w:rFonts w:ascii="Arial" w:cs="Arial" w:eastAsia="Arial" w:hAnsi="Arial"/>
                <w:sz w:val="22"/>
                <w:szCs w:val="22"/>
                <w:b w:val="1"/>
                <w:bCs w:val="1"/>
                <w:u w:val="single" w:color="auto"/>
                <w:color w:val="auto"/>
                <w:w w:val="96"/>
              </w:rPr>
              <w:t>10</w:t>
            </w:r>
            <w:r>
              <w:rPr>
                <w:rFonts w:ascii="Arial" w:cs="Arial" w:eastAsia="Arial" w:hAnsi="Arial"/>
                <w:sz w:val="22"/>
                <w:szCs w:val="22"/>
                <w:b w:val="1"/>
                <w:bCs w:val="1"/>
                <w:color w:val="auto"/>
                <w:w w:val="96"/>
              </w:rPr>
              <w:t xml:space="preserve">  </w:t>
            </w:r>
            <w:r>
              <w:rPr>
                <w:rFonts w:ascii="Arial" w:cs="Arial" w:eastAsia="Arial" w:hAnsi="Arial"/>
                <w:sz w:val="22"/>
                <w:szCs w:val="22"/>
                <w:color w:val="auto"/>
                <w:w w:val="96"/>
              </w:rPr>
              <w:t>STOCKHOLDER ACTION BY WRITTEN CONSENT WITHOUT A MEETING</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9</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w w:val="74"/>
              </w:rPr>
              <w:t>2.</w:t>
            </w:r>
            <w:r>
              <w:rPr>
                <w:rFonts w:ascii="Arial" w:cs="Arial" w:eastAsia="Arial" w:hAnsi="Arial"/>
                <w:sz w:val="22"/>
                <w:szCs w:val="22"/>
                <w:b w:val="1"/>
                <w:bCs w:val="1"/>
                <w:u w:val="single" w:color="auto"/>
                <w:color w:val="auto"/>
                <w:w w:val="74"/>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0" w:type="dxa"/>
            <w:vAlign w:val="bottom"/>
            <w:gridSpan w:val="37"/>
          </w:tcPr>
          <w:p>
            <w:pPr>
              <w:spacing w:after="0" w:line="250" w:lineRule="exact"/>
              <w:rPr>
                <w:sz w:val="20"/>
                <w:szCs w:val="20"/>
                <w:color w:val="auto"/>
              </w:rPr>
            </w:pPr>
            <w:r>
              <w:rPr>
                <w:rFonts w:ascii="Arial" w:cs="Arial" w:eastAsia="Arial" w:hAnsi="Arial"/>
                <w:sz w:val="22"/>
                <w:szCs w:val="22"/>
                <w:color w:val="auto"/>
              </w:rPr>
              <w:t>RECORD DATES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9</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w w:val="74"/>
              </w:rPr>
              <w:t>2.</w:t>
            </w:r>
            <w:r>
              <w:rPr>
                <w:rFonts w:ascii="Arial" w:cs="Arial" w:eastAsia="Arial" w:hAnsi="Arial"/>
                <w:sz w:val="22"/>
                <w:szCs w:val="22"/>
                <w:b w:val="1"/>
                <w:bCs w:val="1"/>
                <w:u w:val="single" w:color="auto"/>
                <w:color w:val="auto"/>
                <w:w w:val="74"/>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0" w:type="dxa"/>
            <w:vAlign w:val="bottom"/>
            <w:gridSpan w:val="37"/>
          </w:tcPr>
          <w:p>
            <w:pPr>
              <w:ind w:left="20"/>
              <w:spacing w:after="0" w:line="250" w:lineRule="exact"/>
              <w:rPr>
                <w:sz w:val="20"/>
                <w:szCs w:val="20"/>
                <w:color w:val="auto"/>
              </w:rPr>
            </w:pPr>
            <w:r>
              <w:rPr>
                <w:rFonts w:ascii="Arial" w:cs="Arial" w:eastAsia="Arial" w:hAnsi="Arial"/>
                <w:sz w:val="22"/>
                <w:szCs w:val="22"/>
                <w:color w:val="auto"/>
              </w:rPr>
              <w:t>PROXIES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rPr>
              <w:t>9</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7780" w:type="dxa"/>
            <w:vAlign w:val="bottom"/>
            <w:gridSpan w:val="41"/>
          </w:tcPr>
          <w:p>
            <w:pPr>
              <w:spacing w:after="0" w:line="250" w:lineRule="exact"/>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b w:val="1"/>
                <w:bCs w:val="1"/>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LIST OF STOCKHOLDERS ENTITLED TO VOTE</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10</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w w:val="74"/>
              </w:rPr>
              <w:t>2.</w:t>
            </w:r>
            <w:r>
              <w:rPr>
                <w:rFonts w:ascii="Arial" w:cs="Arial" w:eastAsia="Arial" w:hAnsi="Arial"/>
                <w:sz w:val="22"/>
                <w:szCs w:val="22"/>
                <w:b w:val="1"/>
                <w:bCs w:val="1"/>
                <w:u w:val="single" w:color="auto"/>
                <w:color w:val="auto"/>
                <w:w w:val="74"/>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0" w:type="dxa"/>
            <w:vAlign w:val="bottom"/>
            <w:gridSpan w:val="37"/>
          </w:tcPr>
          <w:p>
            <w:pPr>
              <w:ind w:left="20"/>
              <w:spacing w:after="0" w:line="250" w:lineRule="exact"/>
              <w:rPr>
                <w:sz w:val="20"/>
                <w:szCs w:val="20"/>
                <w:color w:val="auto"/>
              </w:rPr>
            </w:pPr>
            <w:r>
              <w:rPr>
                <w:rFonts w:ascii="Arial" w:cs="Arial" w:eastAsia="Arial" w:hAnsi="Arial"/>
                <w:sz w:val="22"/>
                <w:szCs w:val="22"/>
                <w:color w:val="auto"/>
              </w:rPr>
              <w:t>INSPECTORS OF ELECTION</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10</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540" w:type="dxa"/>
            <w:vAlign w:val="bottom"/>
            <w:tcBorders>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94"/>
              </w:rPr>
              <w:t>ARTICLE III - DIRECTORS</w:t>
            </w:r>
          </w:p>
        </w:tc>
        <w:tc>
          <w:tcPr>
            <w:tcW w:w="5240" w:type="dxa"/>
            <w:vAlign w:val="bottom"/>
            <w:gridSpan w:val="26"/>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10</w:t>
            </w: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POWERS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10</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NUMBER OF DIRECTORS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10</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ELECTION, QUALIFICATION AND TERM OF OFFICE OF DIRECTORS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10</w:t>
            </w:r>
          </w:p>
        </w:tc>
      </w:tr>
      <w:tr>
        <w:trPr>
          <w:trHeight w:val="250"/>
        </w:trPr>
        <w:tc>
          <w:tcPr>
            <w:tcW w:w="2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tcBorders>
              <w:top w:val="single" w:sz="8" w:color="auto"/>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94"/>
              </w:rPr>
              <w:t>RESIGNATION AND VACANCIES</w:t>
            </w:r>
          </w:p>
        </w:tc>
        <w:tc>
          <w:tcPr>
            <w:tcW w:w="3480" w:type="dxa"/>
            <w:vAlign w:val="bottom"/>
            <w:tcBorders>
              <w:top w:val="single" w:sz="8" w:color="auto"/>
            </w:tcBorders>
            <w:gridSpan w:val="10"/>
          </w:tcPr>
          <w:p>
            <w:pPr>
              <w:spacing w:after="0"/>
              <w:rPr>
                <w:sz w:val="21"/>
                <w:szCs w:val="21"/>
                <w:color w:val="auto"/>
              </w:rPr>
            </w:pPr>
          </w:p>
        </w:tc>
        <w:tc>
          <w:tcPr>
            <w:tcW w:w="600" w:type="dxa"/>
            <w:vAlign w:val="bottom"/>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11</w:t>
            </w: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PLACE OF MEETINGS; MEETINGS BY TELEPHONE</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11</w:t>
            </w:r>
          </w:p>
        </w:tc>
      </w:tr>
      <w:tr>
        <w:trPr>
          <w:trHeight w:val="250"/>
        </w:trPr>
        <w:tc>
          <w:tcPr>
            <w:tcW w:w="260" w:type="dxa"/>
            <w:vAlign w:val="bottom"/>
            <w:tcBorders>
              <w:top w:val="single" w:sz="8" w:color="auto"/>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Borders>
              <w:top w:val="single" w:sz="8" w:color="auto"/>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94"/>
              </w:rPr>
              <w:t>REGULAR MEETINGS</w:t>
            </w:r>
          </w:p>
        </w:tc>
        <w:tc>
          <w:tcPr>
            <w:tcW w:w="2840" w:type="dxa"/>
            <w:vAlign w:val="bottom"/>
            <w:tcBorders>
              <w:top w:val="single" w:sz="8" w:color="auto"/>
            </w:tcBorders>
            <w:gridSpan w:val="20"/>
          </w:tcPr>
          <w:p>
            <w:pPr>
              <w:spacing w:after="0"/>
              <w:rPr>
                <w:sz w:val="21"/>
                <w:szCs w:val="21"/>
                <w:color w:val="auto"/>
              </w:rPr>
            </w:pPr>
          </w:p>
        </w:tc>
        <w:tc>
          <w:tcPr>
            <w:tcW w:w="2280" w:type="dxa"/>
            <w:vAlign w:val="bottom"/>
            <w:gridSpan w:val="3"/>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11</w:t>
            </w: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tcBorders>
              <w:bottom w:val="single" w:sz="8" w:color="auto"/>
            </w:tcBorders>
            <w:gridSpan w:val="25"/>
          </w:tcPr>
          <w:p>
            <w:pPr>
              <w:spacing w:after="0" w:line="250" w:lineRule="exact"/>
              <w:rPr>
                <w:sz w:val="20"/>
                <w:szCs w:val="20"/>
                <w:color w:val="auto"/>
              </w:rPr>
            </w:pPr>
            <w:r>
              <w:rPr>
                <w:rFonts w:ascii="Arial" w:cs="Arial" w:eastAsia="Arial" w:hAnsi="Arial"/>
                <w:sz w:val="22"/>
                <w:szCs w:val="22"/>
                <w:color w:val="auto"/>
                <w:w w:val="94"/>
              </w:rPr>
              <w:t>SPECIAL MEETINGS; NOTICE</w:t>
            </w:r>
          </w:p>
        </w:tc>
        <w:tc>
          <w:tcPr>
            <w:tcW w:w="4360" w:type="dxa"/>
            <w:vAlign w:val="bottom"/>
            <w:gridSpan w:val="13"/>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11</w:t>
            </w: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QUORUM; VOTING</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12</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3.</w:t>
            </w:r>
            <w:r>
              <w:rPr>
                <w:rFonts w:ascii="Arial" w:cs="Arial" w:eastAsia="Arial" w:hAnsi="Arial"/>
                <w:sz w:val="22"/>
                <w:szCs w:val="22"/>
                <w:b w:val="1"/>
                <w:bCs w:val="1"/>
                <w:u w:val="single" w:color="auto"/>
                <w:color w:val="auto"/>
                <w:w w:val="78"/>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60" w:type="dxa"/>
            <w:vAlign w:val="bottom"/>
            <w:tcBorders>
              <w:bottom w:val="single" w:sz="8" w:color="auto"/>
            </w:tcBorders>
            <w:gridSpan w:val="36"/>
          </w:tcPr>
          <w:p>
            <w:pPr>
              <w:spacing w:after="0" w:line="250" w:lineRule="exact"/>
              <w:rPr>
                <w:sz w:val="20"/>
                <w:szCs w:val="20"/>
                <w:color w:val="auto"/>
              </w:rPr>
            </w:pPr>
            <w:r>
              <w:rPr>
                <w:rFonts w:ascii="Arial" w:cs="Arial" w:eastAsia="Arial" w:hAnsi="Arial"/>
                <w:sz w:val="22"/>
                <w:szCs w:val="22"/>
                <w:color w:val="auto"/>
                <w:w w:val="96"/>
              </w:rPr>
              <w:t>BOARD ACTION BY WRITTEN CONSENT WITHOUT A MEETING</w:t>
            </w:r>
          </w:p>
        </w:tc>
        <w:tc>
          <w:tcPr>
            <w:tcW w:w="940" w:type="dxa"/>
            <w:vAlign w:val="bottom"/>
            <w:gridSpan w:val="2"/>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12</w:t>
            </w:r>
          </w:p>
        </w:tc>
      </w:tr>
      <w:tr>
        <w:trPr>
          <w:trHeight w:val="250"/>
        </w:trPr>
        <w:tc>
          <w:tcPr>
            <w:tcW w:w="7780" w:type="dxa"/>
            <w:vAlign w:val="bottom"/>
            <w:gridSpan w:val="41"/>
          </w:tcPr>
          <w:p>
            <w:pPr>
              <w:spacing w:after="0" w:line="250" w:lineRule="exact"/>
              <w:rPr>
                <w:sz w:val="20"/>
                <w:szCs w:val="20"/>
                <w:color w:val="auto"/>
              </w:rPr>
            </w:pPr>
            <w:r>
              <w:rPr>
                <w:rFonts w:ascii="Arial" w:cs="Arial" w:eastAsia="Arial" w:hAnsi="Arial"/>
                <w:sz w:val="22"/>
                <w:szCs w:val="22"/>
                <w:b w:val="1"/>
                <w:bCs w:val="1"/>
                <w:color w:val="auto"/>
              </w:rPr>
              <w:t>3.</w:t>
            </w:r>
            <w:r>
              <w:rPr>
                <w:rFonts w:ascii="Arial" w:cs="Arial" w:eastAsia="Arial" w:hAnsi="Arial"/>
                <w:sz w:val="22"/>
                <w:szCs w:val="22"/>
                <w:b w:val="1"/>
                <w:bCs w:val="1"/>
                <w:u w:val="single" w:color="auto"/>
                <w:color w:val="auto"/>
              </w:rPr>
              <w:t>10</w:t>
            </w:r>
            <w:r>
              <w:rPr>
                <w:rFonts w:ascii="Arial" w:cs="Arial" w:eastAsia="Arial" w:hAnsi="Arial"/>
                <w:sz w:val="22"/>
                <w:szCs w:val="22"/>
                <w:b w:val="1"/>
                <w:bCs w:val="1"/>
                <w:color w:val="auto"/>
              </w:rPr>
              <w:t xml:space="preserve">  </w:t>
            </w:r>
            <w:r>
              <w:rPr>
                <w:rFonts w:ascii="Arial" w:cs="Arial" w:eastAsia="Arial" w:hAnsi="Arial"/>
                <w:sz w:val="22"/>
                <w:szCs w:val="22"/>
                <w:color w:val="auto"/>
              </w:rPr>
              <w:t>FEES AND COMPENSATION OF DIRECTORS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12</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30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7780" w:type="dxa"/>
            <w:vAlign w:val="bottom"/>
            <w:gridSpan w:val="41"/>
          </w:tcPr>
          <w:p>
            <w:pPr>
              <w:spacing w:after="0" w:line="250" w:lineRule="exact"/>
              <w:rPr>
                <w:sz w:val="20"/>
                <w:szCs w:val="20"/>
                <w:color w:val="auto"/>
              </w:rPr>
            </w:pPr>
            <w:r>
              <w:rPr>
                <w:rFonts w:ascii="Arial" w:cs="Arial" w:eastAsia="Arial" w:hAnsi="Arial"/>
                <w:sz w:val="22"/>
                <w:szCs w:val="22"/>
                <w:b w:val="1"/>
                <w:bCs w:val="1"/>
                <w:color w:val="auto"/>
              </w:rPr>
              <w:t>3.</w:t>
            </w:r>
            <w:r>
              <w:rPr>
                <w:rFonts w:ascii="Arial" w:cs="Arial" w:eastAsia="Arial" w:hAnsi="Arial"/>
                <w:sz w:val="22"/>
                <w:szCs w:val="22"/>
                <w:b w:val="1"/>
                <w:bCs w:val="1"/>
                <w:u w:val="single" w:color="auto"/>
                <w:color w:val="auto"/>
              </w:rPr>
              <w:t>11</w:t>
            </w:r>
            <w:r>
              <w:rPr>
                <w:rFonts w:ascii="Arial" w:cs="Arial" w:eastAsia="Arial" w:hAnsi="Arial"/>
                <w:sz w:val="22"/>
                <w:szCs w:val="22"/>
                <w:b w:val="1"/>
                <w:bCs w:val="1"/>
                <w:color w:val="auto"/>
              </w:rPr>
              <w:t xml:space="preserve">  </w:t>
            </w:r>
            <w:r>
              <w:rPr>
                <w:rFonts w:ascii="Arial" w:cs="Arial" w:eastAsia="Arial" w:hAnsi="Arial"/>
                <w:sz w:val="22"/>
                <w:szCs w:val="22"/>
                <w:color w:val="auto"/>
              </w:rPr>
              <w:t>REMOVAL OF DIRECTORS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12</w:t>
            </w: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5"/>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7780" w:type="dxa"/>
            <w:vAlign w:val="bottom"/>
            <w:gridSpan w:val="41"/>
          </w:tcPr>
          <w:p>
            <w:pPr>
              <w:spacing w:after="0" w:line="250" w:lineRule="exact"/>
              <w:rPr>
                <w:sz w:val="20"/>
                <w:szCs w:val="20"/>
                <w:color w:val="auto"/>
              </w:rPr>
            </w:pPr>
            <w:r>
              <w:rPr>
                <w:rFonts w:ascii="Arial" w:cs="Arial" w:eastAsia="Arial" w:hAnsi="Arial"/>
                <w:sz w:val="22"/>
                <w:szCs w:val="22"/>
                <w:color w:val="auto"/>
              </w:rPr>
              <w:t>ARTICLE IV - COMMITTEES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13</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gridSpan w:val="7"/>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4.</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COMMITTEES OF DIRECTORS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13</w:t>
            </w: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4.</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Borders>
              <w:top w:val="single" w:sz="8" w:color="auto"/>
            </w:tcBorders>
            <w:gridSpan w:val="26"/>
          </w:tcPr>
          <w:p>
            <w:pPr>
              <w:spacing w:after="0" w:line="250" w:lineRule="exact"/>
              <w:rPr>
                <w:sz w:val="20"/>
                <w:szCs w:val="20"/>
                <w:color w:val="auto"/>
              </w:rPr>
            </w:pPr>
            <w:r>
              <w:rPr>
                <w:rFonts w:ascii="Arial" w:cs="Arial" w:eastAsia="Arial" w:hAnsi="Arial"/>
                <w:sz w:val="22"/>
                <w:szCs w:val="22"/>
                <w:color w:val="auto"/>
              </w:rPr>
              <w:t>COMMITTEE MINUTES</w:t>
            </w:r>
          </w:p>
        </w:tc>
        <w:tc>
          <w:tcPr>
            <w:tcW w:w="4320" w:type="dxa"/>
            <w:vAlign w:val="bottom"/>
            <w:gridSpan w:val="12"/>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13</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7"/>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4.</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Borders>
              <w:bottom w:val="single" w:sz="8" w:color="auto"/>
            </w:tcBorders>
            <w:gridSpan w:val="32"/>
          </w:tcPr>
          <w:p>
            <w:pPr>
              <w:spacing w:after="0" w:line="250" w:lineRule="exact"/>
              <w:rPr>
                <w:sz w:val="20"/>
                <w:szCs w:val="20"/>
                <w:color w:val="auto"/>
              </w:rPr>
            </w:pPr>
            <w:r>
              <w:rPr>
                <w:rFonts w:ascii="Arial" w:cs="Arial" w:eastAsia="Arial" w:hAnsi="Arial"/>
                <w:sz w:val="22"/>
                <w:szCs w:val="22"/>
                <w:color w:val="auto"/>
                <w:w w:val="95"/>
              </w:rPr>
              <w:t>MEETINGS AND ACTION OF COMMITTEES</w:t>
            </w:r>
          </w:p>
        </w:tc>
        <w:tc>
          <w:tcPr>
            <w:tcW w:w="3020" w:type="dxa"/>
            <w:vAlign w:val="bottom"/>
            <w:gridSpan w:val="6"/>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13</w:t>
            </w: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4.</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Borders>
              <w:bottom w:val="single" w:sz="8" w:color="auto"/>
            </w:tcBorders>
            <w:gridSpan w:val="10"/>
          </w:tcPr>
          <w:p>
            <w:pPr>
              <w:spacing w:after="0" w:line="250" w:lineRule="exact"/>
              <w:rPr>
                <w:sz w:val="20"/>
                <w:szCs w:val="20"/>
                <w:color w:val="auto"/>
              </w:rPr>
            </w:pPr>
            <w:r>
              <w:rPr>
                <w:rFonts w:ascii="Arial" w:cs="Arial" w:eastAsia="Arial" w:hAnsi="Arial"/>
                <w:sz w:val="22"/>
                <w:szCs w:val="22"/>
                <w:color w:val="auto"/>
                <w:w w:val="96"/>
              </w:rPr>
              <w:t>SUBCOMMITTEES</w:t>
            </w:r>
          </w:p>
        </w:tc>
        <w:tc>
          <w:tcPr>
            <w:tcW w:w="5400" w:type="dxa"/>
            <w:vAlign w:val="bottom"/>
            <w:gridSpan w:val="28"/>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13</w:t>
            </w:r>
          </w:p>
        </w:tc>
      </w:tr>
      <w:tr>
        <w:trPr>
          <w:trHeight w:val="250"/>
        </w:trPr>
        <w:tc>
          <w:tcPr>
            <w:tcW w:w="2300" w:type="dxa"/>
            <w:vAlign w:val="bottom"/>
            <w:tcBorders>
              <w:bottom w:val="single" w:sz="8" w:color="auto"/>
            </w:tcBorders>
            <w:gridSpan w:val="12"/>
          </w:tcPr>
          <w:p>
            <w:pPr>
              <w:spacing w:after="0" w:line="250" w:lineRule="exact"/>
              <w:rPr>
                <w:sz w:val="20"/>
                <w:szCs w:val="20"/>
                <w:color w:val="auto"/>
              </w:rPr>
            </w:pPr>
            <w:r>
              <w:rPr>
                <w:rFonts w:ascii="Arial" w:cs="Arial" w:eastAsia="Arial" w:hAnsi="Arial"/>
                <w:sz w:val="22"/>
                <w:szCs w:val="22"/>
                <w:color w:val="auto"/>
                <w:w w:val="93"/>
              </w:rPr>
              <w:t>ARTICLE V - OFFICERS</w:t>
            </w:r>
          </w:p>
        </w:tc>
        <w:tc>
          <w:tcPr>
            <w:tcW w:w="5480" w:type="dxa"/>
            <w:vAlign w:val="bottom"/>
            <w:gridSpan w:val="29"/>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14</w:t>
            </w: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gridSpan w:val="6"/>
          </w:tcPr>
          <w:p>
            <w:pPr>
              <w:spacing w:after="0" w:line="250" w:lineRule="exact"/>
              <w:rPr>
                <w:sz w:val="20"/>
                <w:szCs w:val="20"/>
                <w:color w:val="auto"/>
              </w:rPr>
            </w:pPr>
            <w:r>
              <w:rPr>
                <w:rFonts w:ascii="Arial" w:cs="Arial" w:eastAsia="Arial" w:hAnsi="Arial"/>
                <w:sz w:val="22"/>
                <w:szCs w:val="22"/>
                <w:color w:val="auto"/>
                <w:w w:val="89"/>
              </w:rPr>
              <w:t>OFFICERS</w:t>
            </w:r>
          </w:p>
        </w:tc>
        <w:tc>
          <w:tcPr>
            <w:tcW w:w="6280" w:type="dxa"/>
            <w:vAlign w:val="bottom"/>
            <w:gridSpan w:val="32"/>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14</w:t>
            </w: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APPOINTMENT OF OFFICERS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14</w:t>
            </w: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20" w:type="dxa"/>
            <w:vAlign w:val="bottom"/>
            <w:tcBorders>
              <w:top w:val="single" w:sz="8" w:color="auto"/>
            </w:tcBorders>
            <w:gridSpan w:val="24"/>
          </w:tcPr>
          <w:p>
            <w:pPr>
              <w:spacing w:after="0" w:line="250" w:lineRule="exact"/>
              <w:rPr>
                <w:sz w:val="20"/>
                <w:szCs w:val="20"/>
                <w:color w:val="auto"/>
              </w:rPr>
            </w:pPr>
            <w:r>
              <w:rPr>
                <w:rFonts w:ascii="Arial" w:cs="Arial" w:eastAsia="Arial" w:hAnsi="Arial"/>
                <w:sz w:val="22"/>
                <w:szCs w:val="22"/>
                <w:color w:val="auto"/>
              </w:rPr>
              <w:t>SUBORDINATE OFFICERS</w:t>
            </w:r>
          </w:p>
        </w:tc>
        <w:tc>
          <w:tcPr>
            <w:tcW w:w="4380" w:type="dxa"/>
            <w:vAlign w:val="bottom"/>
            <w:gridSpan w:val="14"/>
          </w:tcPr>
          <w:p>
            <w:pPr>
              <w:spacing w:after="0"/>
              <w:rPr>
                <w:sz w:val="21"/>
                <w:szCs w:val="21"/>
                <w:color w:val="auto"/>
              </w:rPr>
            </w:pP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14</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0"/>
            <w:shd w:val="clear" w:color="auto" w:fill="000000"/>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300" w:type="dxa"/>
            <w:vAlign w:val="bottom"/>
            <w:gridSpan w:val="38"/>
          </w:tcPr>
          <w:p>
            <w:pPr>
              <w:spacing w:after="0" w:line="250" w:lineRule="exact"/>
              <w:rPr>
                <w:sz w:val="20"/>
                <w:szCs w:val="20"/>
                <w:color w:val="auto"/>
              </w:rPr>
            </w:pPr>
            <w:r>
              <w:rPr>
                <w:rFonts w:ascii="Arial" w:cs="Arial" w:eastAsia="Arial" w:hAnsi="Arial"/>
                <w:sz w:val="22"/>
                <w:szCs w:val="22"/>
                <w:color w:val="auto"/>
              </w:rPr>
              <w:t>REMOVAL AND RESIGNATION OF OFFICERS</w:t>
            </w:r>
          </w:p>
        </w:tc>
        <w:tc>
          <w:tcPr>
            <w:tcW w:w="3040" w:type="dxa"/>
            <w:vAlign w:val="bottom"/>
          </w:tcPr>
          <w:p>
            <w:pPr>
              <w:ind w:left="2820"/>
              <w:spacing w:after="0" w:line="250" w:lineRule="exact"/>
              <w:rPr>
                <w:sz w:val="20"/>
                <w:szCs w:val="20"/>
                <w:color w:val="auto"/>
              </w:rPr>
            </w:pPr>
            <w:r>
              <w:rPr>
                <w:rFonts w:ascii="Arial" w:cs="Arial" w:eastAsia="Arial" w:hAnsi="Arial"/>
                <w:sz w:val="22"/>
                <w:szCs w:val="22"/>
                <w:color w:val="auto"/>
                <w:w w:val="81"/>
              </w:rPr>
              <w:t>14</w:t>
            </w: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400" w:top="13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20"/>
          </w:cols>
          <w:pgMar w:left="400" w:top="135" w:right="679" w:bottom="1440" w:gutter="0" w:footer="0" w:header="0"/>
          <w:type w:val="continuous"/>
        </w:sectPr>
      </w:pPr>
    </w:p>
    <w:bookmarkStart w:id="5" w:name="page6"/>
    <w:bookmarkEnd w:id="5"/>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tcBorders>
              <w:bottom w:val="single" w:sz="8" w:color="auto"/>
            </w:tcBorders>
            <w:gridSpan w:val="14"/>
          </w:tcPr>
          <w:p>
            <w:pPr>
              <w:spacing w:after="0"/>
              <w:rPr>
                <w:sz w:val="20"/>
                <w:szCs w:val="20"/>
                <w:color w:val="auto"/>
              </w:rPr>
            </w:pPr>
            <w:r>
              <w:rPr>
                <w:rFonts w:ascii="Arial" w:cs="Arial" w:eastAsia="Arial" w:hAnsi="Arial"/>
                <w:sz w:val="22"/>
                <w:szCs w:val="22"/>
                <w:color w:val="auto"/>
                <w:w w:val="93"/>
              </w:rPr>
              <w:t>VACANCIES IN OFFICES</w:t>
            </w:r>
          </w:p>
        </w:tc>
        <w:tc>
          <w:tcPr>
            <w:tcW w:w="6920" w:type="dxa"/>
            <w:vAlign w:val="bottom"/>
            <w:gridSpan w:val="21"/>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REPRESENTATION OF SECURITIES OF OTHER ENTITIES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5.</w:t>
            </w:r>
            <w:r>
              <w:rPr>
                <w:rFonts w:ascii="Arial" w:cs="Arial" w:eastAsia="Arial" w:hAnsi="Arial"/>
                <w:sz w:val="22"/>
                <w:szCs w:val="22"/>
                <w:b w:val="1"/>
                <w:bCs w:val="1"/>
                <w:u w:val="single" w:color="auto"/>
                <w:color w:val="auto"/>
                <w:w w:val="78"/>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Borders>
              <w:top w:val="single" w:sz="8" w:color="auto"/>
            </w:tcBorders>
            <w:gridSpan w:val="31"/>
          </w:tcPr>
          <w:p>
            <w:pPr>
              <w:spacing w:after="0" w:line="250" w:lineRule="exact"/>
              <w:rPr>
                <w:sz w:val="20"/>
                <w:szCs w:val="20"/>
                <w:color w:val="auto"/>
              </w:rPr>
            </w:pPr>
            <w:r>
              <w:rPr>
                <w:rFonts w:ascii="Arial" w:cs="Arial" w:eastAsia="Arial" w:hAnsi="Arial"/>
                <w:sz w:val="22"/>
                <w:szCs w:val="22"/>
                <w:color w:val="auto"/>
              </w:rPr>
              <w:t>AUTHORITY AND DUTIES OF OFFICERS</w:t>
            </w:r>
          </w:p>
        </w:tc>
        <w:tc>
          <w:tcPr>
            <w:tcW w:w="3780" w:type="dxa"/>
            <w:vAlign w:val="bottom"/>
            <w:gridSpan w:val="4"/>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gridSpan w:val="38"/>
          </w:tcPr>
          <w:p>
            <w:pPr>
              <w:spacing w:after="0" w:line="250" w:lineRule="exact"/>
              <w:rPr>
                <w:sz w:val="20"/>
                <w:szCs w:val="20"/>
                <w:color w:val="auto"/>
              </w:rPr>
            </w:pPr>
            <w:r>
              <w:rPr>
                <w:rFonts w:ascii="Arial" w:cs="Arial" w:eastAsia="Arial" w:hAnsi="Arial"/>
                <w:sz w:val="22"/>
                <w:szCs w:val="22"/>
                <w:color w:val="auto"/>
              </w:rPr>
              <w:t>ARTICLE VI - STOCK</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STOCK CERTIFICATES; PARTLY PAID SHARES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30"/>
        </w:trPr>
        <w:tc>
          <w:tcPr>
            <w:tcW w:w="260" w:type="dxa"/>
            <w:vAlign w:val="bottom"/>
            <w:tcBorders>
              <w:top w:val="single" w:sz="8" w:color="auto"/>
              <w:bottom w:val="single" w:sz="8" w:color="auto"/>
            </w:tcBorders>
          </w:tcPr>
          <w:p>
            <w:pPr>
              <w:spacing w:after="0" w:line="23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Borders>
              <w:top w:val="single" w:sz="8" w:color="auto"/>
              <w:bottom w:val="single" w:sz="8" w:color="auto"/>
            </w:tcBorders>
            <w:gridSpan w:val="28"/>
          </w:tcPr>
          <w:p>
            <w:pPr>
              <w:spacing w:after="0" w:line="230" w:lineRule="exact"/>
              <w:rPr>
                <w:sz w:val="20"/>
                <w:szCs w:val="20"/>
                <w:color w:val="auto"/>
              </w:rPr>
            </w:pPr>
            <w:r>
              <w:rPr>
                <w:rFonts w:ascii="Arial" w:cs="Arial" w:eastAsia="Arial" w:hAnsi="Arial"/>
                <w:sz w:val="22"/>
                <w:szCs w:val="22"/>
                <w:color w:val="auto"/>
                <w:w w:val="93"/>
              </w:rPr>
              <w:t>SPECIAL DESIGNATION ON CERTIFICATES</w:t>
            </w:r>
          </w:p>
        </w:tc>
        <w:tc>
          <w:tcPr>
            <w:tcW w:w="280" w:type="dxa"/>
            <w:vAlign w:val="bottom"/>
            <w:tcBorders>
              <w:top w:val="single" w:sz="8" w:color="auto"/>
            </w:tcBorders>
          </w:tcPr>
          <w:p>
            <w:pPr>
              <w:spacing w:after="0"/>
              <w:rPr>
                <w:sz w:val="20"/>
                <w:szCs w:val="20"/>
                <w:color w:val="auto"/>
              </w:rPr>
            </w:pPr>
          </w:p>
        </w:tc>
        <w:tc>
          <w:tcPr>
            <w:tcW w:w="4800" w:type="dxa"/>
            <w:vAlign w:val="bottom"/>
            <w:gridSpan w:val="6"/>
          </w:tcPr>
          <w:p>
            <w:pPr>
              <w:spacing w:after="0"/>
              <w:rPr>
                <w:sz w:val="20"/>
                <w:szCs w:val="20"/>
                <w:color w:val="auto"/>
              </w:rPr>
            </w:pPr>
          </w:p>
        </w:tc>
        <w:tc>
          <w:tcPr>
            <w:tcW w:w="1000" w:type="dxa"/>
            <w:vAlign w:val="bottom"/>
          </w:tcPr>
          <w:p>
            <w:pPr>
              <w:jc w:val="right"/>
              <w:spacing w:after="0" w:line="230"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LOST CERTIFICATES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tcBorders>
              <w:top w:val="single" w:sz="8" w:color="auto"/>
            </w:tcBorders>
            <w:gridSpan w:val="10"/>
          </w:tcPr>
          <w:p>
            <w:pPr>
              <w:spacing w:after="0" w:line="250" w:lineRule="exact"/>
              <w:rPr>
                <w:sz w:val="20"/>
                <w:szCs w:val="20"/>
                <w:color w:val="auto"/>
              </w:rPr>
            </w:pPr>
            <w:r>
              <w:rPr>
                <w:rFonts w:ascii="Arial" w:cs="Arial" w:eastAsia="Arial" w:hAnsi="Arial"/>
                <w:sz w:val="22"/>
                <w:szCs w:val="22"/>
                <w:color w:val="auto"/>
              </w:rPr>
              <w:t>DIVIDENDS</w:t>
            </w:r>
          </w:p>
        </w:tc>
        <w:tc>
          <w:tcPr>
            <w:tcW w:w="7280" w:type="dxa"/>
            <w:vAlign w:val="bottom"/>
            <w:gridSpan w:val="25"/>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tcBorders>
              <w:bottom w:val="single" w:sz="8" w:color="auto"/>
            </w:tcBorders>
            <w:gridSpan w:val="11"/>
          </w:tcPr>
          <w:p>
            <w:pPr>
              <w:spacing w:after="0" w:line="250" w:lineRule="exact"/>
              <w:rPr>
                <w:sz w:val="20"/>
                <w:szCs w:val="20"/>
                <w:color w:val="auto"/>
              </w:rPr>
            </w:pPr>
            <w:r>
              <w:rPr>
                <w:rFonts w:ascii="Arial" w:cs="Arial" w:eastAsia="Arial" w:hAnsi="Arial"/>
                <w:sz w:val="22"/>
                <w:szCs w:val="22"/>
                <w:color w:val="auto"/>
                <w:w w:val="91"/>
              </w:rPr>
              <w:t>TRANSFER OF STOCK</w:t>
            </w:r>
          </w:p>
        </w:tc>
        <w:tc>
          <w:tcPr>
            <w:tcW w:w="7140" w:type="dxa"/>
            <w:vAlign w:val="bottom"/>
            <w:gridSpan w:val="24"/>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Borders>
              <w:bottom w:val="single" w:sz="8" w:color="auto"/>
            </w:tcBorders>
            <w:gridSpan w:val="22"/>
          </w:tcPr>
          <w:p>
            <w:pPr>
              <w:spacing w:after="0" w:line="250" w:lineRule="exact"/>
              <w:rPr>
                <w:sz w:val="20"/>
                <w:szCs w:val="20"/>
                <w:color w:val="auto"/>
              </w:rPr>
            </w:pPr>
            <w:r>
              <w:rPr>
                <w:rFonts w:ascii="Arial" w:cs="Arial" w:eastAsia="Arial" w:hAnsi="Arial"/>
                <w:sz w:val="22"/>
                <w:szCs w:val="22"/>
                <w:color w:val="auto"/>
                <w:w w:val="93"/>
              </w:rPr>
              <w:t>STOCK TRANSFER AGREEMENTS</w:t>
            </w:r>
          </w:p>
        </w:tc>
        <w:tc>
          <w:tcPr>
            <w:tcW w:w="5960" w:type="dxa"/>
            <w:vAlign w:val="bottom"/>
            <w:gridSpan w:val="13"/>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6.</w:t>
            </w:r>
            <w:r>
              <w:rPr>
                <w:rFonts w:ascii="Arial" w:cs="Arial" w:eastAsia="Arial" w:hAnsi="Arial"/>
                <w:sz w:val="22"/>
                <w:szCs w:val="22"/>
                <w:b w:val="1"/>
                <w:bCs w:val="1"/>
                <w:u w:val="single" w:color="auto"/>
                <w:color w:val="auto"/>
                <w:w w:val="78"/>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tcBorders>
              <w:bottom w:val="single" w:sz="8" w:color="auto"/>
            </w:tcBorders>
            <w:gridSpan w:val="18"/>
          </w:tcPr>
          <w:p>
            <w:pPr>
              <w:spacing w:after="0" w:line="250" w:lineRule="exact"/>
              <w:rPr>
                <w:sz w:val="20"/>
                <w:szCs w:val="20"/>
                <w:color w:val="auto"/>
              </w:rPr>
            </w:pPr>
            <w:r>
              <w:rPr>
                <w:rFonts w:ascii="Arial" w:cs="Arial" w:eastAsia="Arial" w:hAnsi="Arial"/>
                <w:sz w:val="22"/>
                <w:szCs w:val="22"/>
                <w:color w:val="auto"/>
                <w:w w:val="92"/>
              </w:rPr>
              <w:t>REGISTERED STOCKHOLDERS</w:t>
            </w:r>
          </w:p>
        </w:tc>
        <w:tc>
          <w:tcPr>
            <w:tcW w:w="6260" w:type="dxa"/>
            <w:vAlign w:val="bottom"/>
            <w:gridSpan w:val="17"/>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gridSpan w:val="33"/>
          </w:tcPr>
          <w:p>
            <w:pPr>
              <w:spacing w:after="0" w:line="250" w:lineRule="exact"/>
              <w:rPr>
                <w:sz w:val="20"/>
                <w:szCs w:val="20"/>
                <w:color w:val="auto"/>
              </w:rPr>
            </w:pPr>
            <w:r>
              <w:rPr>
                <w:rFonts w:ascii="Arial" w:cs="Arial" w:eastAsia="Arial" w:hAnsi="Arial"/>
                <w:sz w:val="22"/>
                <w:szCs w:val="22"/>
                <w:color w:val="auto"/>
                <w:w w:val="96"/>
              </w:rPr>
              <w:t>ARTICLE VII - MANNER OF GIVING NOTICE AND WAIVER</w:t>
            </w:r>
          </w:p>
        </w:tc>
        <w:tc>
          <w:tcPr>
            <w:tcW w:w="4040" w:type="dxa"/>
            <w:vAlign w:val="bottom"/>
            <w:gridSpan w:val="5"/>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7.</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00" w:type="dxa"/>
            <w:vAlign w:val="bottom"/>
            <w:tcBorders>
              <w:bottom w:val="single" w:sz="8" w:color="auto"/>
            </w:tcBorders>
            <w:gridSpan w:val="27"/>
          </w:tcPr>
          <w:p>
            <w:pPr>
              <w:spacing w:after="0" w:line="250" w:lineRule="exact"/>
              <w:rPr>
                <w:sz w:val="20"/>
                <w:szCs w:val="20"/>
                <w:color w:val="auto"/>
              </w:rPr>
            </w:pPr>
            <w:r>
              <w:rPr>
                <w:rFonts w:ascii="Arial" w:cs="Arial" w:eastAsia="Arial" w:hAnsi="Arial"/>
                <w:sz w:val="22"/>
                <w:szCs w:val="22"/>
                <w:color w:val="auto"/>
                <w:w w:val="94"/>
              </w:rPr>
              <w:t>NOTICE OF STOCKHOLDERS’ MEETINGS</w:t>
            </w:r>
          </w:p>
        </w:tc>
        <w:tc>
          <w:tcPr>
            <w:tcW w:w="5240" w:type="dxa"/>
            <w:vAlign w:val="bottom"/>
            <w:gridSpan w:val="8"/>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7.</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NOTICE TO STOCKHOLDERS SHARING AN ADDRESS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7.</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NOTICE TO PERSON WITH WHOM COMMUNICATION IS UNLAWFUL</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50"/>
        </w:trPr>
        <w:tc>
          <w:tcPr>
            <w:tcW w:w="260" w:type="dxa"/>
            <w:vAlign w:val="bottom"/>
            <w:tcBorders>
              <w:top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7.</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0" w:type="dxa"/>
            <w:vAlign w:val="bottom"/>
            <w:tcBorders>
              <w:top w:val="single" w:sz="8" w:color="auto"/>
            </w:tcBorders>
            <w:gridSpan w:val="33"/>
          </w:tcPr>
          <w:p>
            <w:pPr>
              <w:spacing w:after="0" w:line="250" w:lineRule="exact"/>
              <w:rPr>
                <w:sz w:val="20"/>
                <w:szCs w:val="20"/>
                <w:color w:val="auto"/>
              </w:rPr>
            </w:pPr>
            <w:r>
              <w:rPr>
                <w:rFonts w:ascii="Arial" w:cs="Arial" w:eastAsia="Arial" w:hAnsi="Arial"/>
                <w:sz w:val="22"/>
                <w:szCs w:val="22"/>
                <w:color w:val="auto"/>
              </w:rPr>
              <w:t>WAIVER OF NOTICE</w:t>
            </w:r>
          </w:p>
        </w:tc>
        <w:tc>
          <w:tcPr>
            <w:tcW w:w="2540" w:type="dxa"/>
            <w:vAlign w:val="bottom"/>
            <w:gridSpan w:val="2"/>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97"/>
              </w:rPr>
              <w:t>ARTICLE VIII - INDEMNIFICATION</w:t>
            </w:r>
          </w:p>
        </w:tc>
        <w:tc>
          <w:tcPr>
            <w:tcW w:w="6400" w:type="dxa"/>
            <w:vAlign w:val="bottom"/>
            <w:gridSpan w:val="18"/>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360" w:type="dxa"/>
            <w:vAlign w:val="bottom"/>
            <w:tcBorders>
              <w:bottom w:val="single" w:sz="8" w:color="auto"/>
            </w:tcBorders>
            <w:gridSpan w:val="34"/>
          </w:tcPr>
          <w:p>
            <w:pPr>
              <w:spacing w:after="0" w:line="250" w:lineRule="exact"/>
              <w:rPr>
                <w:sz w:val="20"/>
                <w:szCs w:val="20"/>
                <w:color w:val="auto"/>
              </w:rPr>
            </w:pPr>
            <w:r>
              <w:rPr>
                <w:rFonts w:ascii="Arial" w:cs="Arial" w:eastAsia="Arial" w:hAnsi="Arial"/>
                <w:sz w:val="22"/>
                <w:szCs w:val="22"/>
                <w:color w:val="auto"/>
                <w:w w:val="93"/>
              </w:rPr>
              <w:t>INDEMNIFICATION OF DIRECTORS AND OFFICERS IN THIRD PARTY PROCEEDINGS</w:t>
            </w:r>
          </w:p>
        </w:tc>
        <w:tc>
          <w:tcPr>
            <w:tcW w:w="980" w:type="dxa"/>
            <w:vAlign w:val="bottom"/>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tcBorders>
              <w:bottom w:val="single" w:sz="8" w:color="auto"/>
            </w:tcBorders>
            <w:gridSpan w:val="35"/>
          </w:tcPr>
          <w:p>
            <w:pPr>
              <w:spacing w:after="0" w:line="250" w:lineRule="exact"/>
              <w:rPr>
                <w:sz w:val="20"/>
                <w:szCs w:val="20"/>
                <w:color w:val="auto"/>
              </w:rPr>
            </w:pPr>
            <w:r>
              <w:rPr>
                <w:rFonts w:ascii="Arial" w:cs="Arial" w:eastAsia="Arial" w:hAnsi="Arial"/>
                <w:sz w:val="22"/>
                <w:szCs w:val="22"/>
                <w:color w:val="auto"/>
                <w:w w:val="94"/>
              </w:rPr>
              <w:t>INDEMNIFICATION OF DIRECTORS AND OFFICERS IN ACTIONS BY OR IN THE RIGHT OF THE</w:t>
            </w:r>
          </w:p>
        </w:tc>
        <w:tc>
          <w:tcPr>
            <w:tcW w:w="1000" w:type="dxa"/>
            <w:vAlign w:val="bottom"/>
            <w:vMerge w:val="restart"/>
          </w:tcPr>
          <w:p>
            <w:pPr>
              <w:jc w:val="right"/>
              <w:spacing w:after="0"/>
              <w:rPr>
                <w:sz w:val="20"/>
                <w:szCs w:val="20"/>
                <w:color w:val="auto"/>
              </w:rPr>
            </w:pPr>
            <w:r>
              <w:rPr>
                <w:rFonts w:ascii="Arial" w:cs="Arial" w:eastAsia="Arial" w:hAnsi="Arial"/>
                <w:sz w:val="22"/>
                <w:szCs w:val="22"/>
                <w:color w:val="auto"/>
              </w:rPr>
              <w:t>17</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auto"/>
            </w:tcBorders>
            <w:gridSpan w:val="7"/>
          </w:tcPr>
          <w:p>
            <w:pPr>
              <w:spacing w:after="0" w:line="195" w:lineRule="exact"/>
              <w:rPr>
                <w:sz w:val="20"/>
                <w:szCs w:val="20"/>
                <w:color w:val="auto"/>
              </w:rPr>
            </w:pPr>
            <w:r>
              <w:rPr>
                <w:rFonts w:ascii="Arial" w:cs="Arial" w:eastAsia="Arial" w:hAnsi="Arial"/>
                <w:sz w:val="22"/>
                <w:szCs w:val="22"/>
                <w:color w:val="auto"/>
                <w:w w:val="93"/>
              </w:rPr>
              <w:t>COMPANY</w:t>
            </w:r>
          </w:p>
        </w:tc>
        <w:tc>
          <w:tcPr>
            <w:tcW w:w="8760" w:type="dxa"/>
            <w:vAlign w:val="bottom"/>
            <w:gridSpan w:val="31"/>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tcBorders>
              <w:bottom w:val="single" w:sz="8" w:color="auto"/>
            </w:tcBorders>
            <w:gridSpan w:val="13"/>
          </w:tcPr>
          <w:p>
            <w:pPr>
              <w:spacing w:after="0" w:line="250" w:lineRule="exact"/>
              <w:rPr>
                <w:sz w:val="20"/>
                <w:szCs w:val="20"/>
                <w:color w:val="auto"/>
              </w:rPr>
            </w:pPr>
            <w:r>
              <w:rPr>
                <w:rFonts w:ascii="Arial" w:cs="Arial" w:eastAsia="Arial" w:hAnsi="Arial"/>
                <w:sz w:val="22"/>
                <w:szCs w:val="22"/>
                <w:color w:val="auto"/>
                <w:w w:val="90"/>
              </w:rPr>
              <w:t>SUCCESSFUL DEFENSE</w:t>
            </w:r>
          </w:p>
        </w:tc>
        <w:tc>
          <w:tcPr>
            <w:tcW w:w="6980" w:type="dxa"/>
            <w:vAlign w:val="bottom"/>
            <w:gridSpan w:val="22"/>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tcBorders>
              <w:bottom w:val="single" w:sz="8" w:color="auto"/>
            </w:tcBorders>
            <w:gridSpan w:val="21"/>
          </w:tcPr>
          <w:p>
            <w:pPr>
              <w:spacing w:after="0" w:line="250" w:lineRule="exact"/>
              <w:rPr>
                <w:sz w:val="20"/>
                <w:szCs w:val="20"/>
                <w:color w:val="auto"/>
              </w:rPr>
            </w:pPr>
            <w:r>
              <w:rPr>
                <w:rFonts w:ascii="Arial" w:cs="Arial" w:eastAsia="Arial" w:hAnsi="Arial"/>
                <w:sz w:val="22"/>
                <w:szCs w:val="22"/>
                <w:color w:val="auto"/>
                <w:w w:val="95"/>
              </w:rPr>
              <w:t>INDEMNIFICATION OF OTHERS</w:t>
            </w:r>
          </w:p>
        </w:tc>
        <w:tc>
          <w:tcPr>
            <w:tcW w:w="6160" w:type="dxa"/>
            <w:vAlign w:val="bottom"/>
            <w:gridSpan w:val="14"/>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00" w:type="dxa"/>
            <w:vAlign w:val="bottom"/>
            <w:tcBorders>
              <w:bottom w:val="single" w:sz="8" w:color="auto"/>
            </w:tcBorders>
            <w:gridSpan w:val="24"/>
          </w:tcPr>
          <w:p>
            <w:pPr>
              <w:spacing w:after="0" w:line="250" w:lineRule="exact"/>
              <w:rPr>
                <w:sz w:val="20"/>
                <w:szCs w:val="20"/>
                <w:color w:val="auto"/>
              </w:rPr>
            </w:pPr>
            <w:r>
              <w:rPr>
                <w:rFonts w:ascii="Arial" w:cs="Arial" w:eastAsia="Arial" w:hAnsi="Arial"/>
                <w:sz w:val="22"/>
                <w:szCs w:val="22"/>
                <w:color w:val="auto"/>
                <w:w w:val="92"/>
              </w:rPr>
              <w:t>ADVANCED PAYMENT OF EXPENSES</w:t>
            </w:r>
          </w:p>
        </w:tc>
        <w:tc>
          <w:tcPr>
            <w:tcW w:w="5640" w:type="dxa"/>
            <w:vAlign w:val="bottom"/>
            <w:gridSpan w:val="11"/>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tcBorders>
              <w:bottom w:val="single" w:sz="8" w:color="auto"/>
            </w:tcBorders>
            <w:gridSpan w:val="23"/>
          </w:tcPr>
          <w:p>
            <w:pPr>
              <w:spacing w:after="0" w:line="250" w:lineRule="exact"/>
              <w:rPr>
                <w:sz w:val="20"/>
                <w:szCs w:val="20"/>
                <w:color w:val="auto"/>
              </w:rPr>
            </w:pPr>
            <w:r>
              <w:rPr>
                <w:rFonts w:ascii="Arial" w:cs="Arial" w:eastAsia="Arial" w:hAnsi="Arial"/>
                <w:sz w:val="22"/>
                <w:szCs w:val="22"/>
                <w:color w:val="auto"/>
                <w:w w:val="97"/>
              </w:rPr>
              <w:t>LIMITATION OF INDEMNIFICATION</w:t>
            </w:r>
          </w:p>
        </w:tc>
        <w:tc>
          <w:tcPr>
            <w:tcW w:w="5800" w:type="dxa"/>
            <w:vAlign w:val="bottom"/>
            <w:gridSpan w:val="12"/>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tcBorders>
              <w:bottom w:val="single" w:sz="8" w:color="auto"/>
            </w:tcBorders>
            <w:gridSpan w:val="15"/>
          </w:tcPr>
          <w:p>
            <w:pPr>
              <w:spacing w:after="0" w:line="250" w:lineRule="exact"/>
              <w:rPr>
                <w:sz w:val="20"/>
                <w:szCs w:val="20"/>
                <w:color w:val="auto"/>
              </w:rPr>
            </w:pPr>
            <w:r>
              <w:rPr>
                <w:rFonts w:ascii="Arial" w:cs="Arial" w:eastAsia="Arial" w:hAnsi="Arial"/>
                <w:sz w:val="22"/>
                <w:szCs w:val="22"/>
                <w:color w:val="auto"/>
                <w:w w:val="97"/>
              </w:rPr>
              <w:t>DETERMINATION; CLAIM</w:t>
            </w:r>
          </w:p>
        </w:tc>
        <w:tc>
          <w:tcPr>
            <w:tcW w:w="6760" w:type="dxa"/>
            <w:vAlign w:val="bottom"/>
            <w:gridSpan w:val="20"/>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tcBorders>
              <w:bottom w:val="single" w:sz="8" w:color="auto"/>
            </w:tcBorders>
            <w:gridSpan w:val="20"/>
          </w:tcPr>
          <w:p>
            <w:pPr>
              <w:spacing w:after="0" w:line="250" w:lineRule="exact"/>
              <w:rPr>
                <w:sz w:val="20"/>
                <w:szCs w:val="20"/>
                <w:color w:val="auto"/>
              </w:rPr>
            </w:pPr>
            <w:r>
              <w:rPr>
                <w:rFonts w:ascii="Arial" w:cs="Arial" w:eastAsia="Arial" w:hAnsi="Arial"/>
                <w:sz w:val="22"/>
                <w:szCs w:val="22"/>
                <w:color w:val="auto"/>
                <w:w w:val="96"/>
              </w:rPr>
              <w:t>NON-EXCLUSIVITY OF RIGHTS</w:t>
            </w:r>
          </w:p>
        </w:tc>
        <w:tc>
          <w:tcPr>
            <w:tcW w:w="6180" w:type="dxa"/>
            <w:vAlign w:val="bottom"/>
            <w:gridSpan w:val="15"/>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8.</w:t>
            </w:r>
            <w:r>
              <w:rPr>
                <w:rFonts w:ascii="Arial" w:cs="Arial" w:eastAsia="Arial" w:hAnsi="Arial"/>
                <w:sz w:val="22"/>
                <w:szCs w:val="22"/>
                <w:b w:val="1"/>
                <w:bCs w:val="1"/>
                <w:u w:val="single" w:color="auto"/>
                <w:color w:val="auto"/>
                <w:w w:val="78"/>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INSURANCE</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w w:val="74"/>
              </w:rPr>
              <w:t>8.</w:t>
            </w:r>
            <w:r>
              <w:rPr>
                <w:rFonts w:ascii="Arial" w:cs="Arial" w:eastAsia="Arial" w:hAnsi="Arial"/>
                <w:sz w:val="22"/>
                <w:szCs w:val="22"/>
                <w:b w:val="1"/>
                <w:bCs w:val="1"/>
                <w:u w:val="single" w:color="auto"/>
                <w:color w:val="auto"/>
                <w:w w:val="74"/>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40" w:type="dxa"/>
            <w:vAlign w:val="bottom"/>
            <w:gridSpan w:val="34"/>
          </w:tcPr>
          <w:p>
            <w:pPr>
              <w:ind w:left="20"/>
              <w:spacing w:after="0" w:line="250" w:lineRule="exact"/>
              <w:rPr>
                <w:sz w:val="20"/>
                <w:szCs w:val="20"/>
                <w:color w:val="auto"/>
              </w:rPr>
            </w:pPr>
            <w:r>
              <w:rPr>
                <w:rFonts w:ascii="Arial" w:cs="Arial" w:eastAsia="Arial" w:hAnsi="Arial"/>
                <w:sz w:val="22"/>
                <w:szCs w:val="22"/>
                <w:color w:val="auto"/>
              </w:rPr>
              <w:t>SURVIVAL</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gridSpan w:val="38"/>
          </w:tcPr>
          <w:p>
            <w:pPr>
              <w:spacing w:after="0" w:line="250" w:lineRule="exact"/>
              <w:rPr>
                <w:sz w:val="20"/>
                <w:szCs w:val="20"/>
                <w:color w:val="auto"/>
              </w:rPr>
            </w:pPr>
            <w:r>
              <w:rPr>
                <w:rFonts w:ascii="Arial" w:cs="Arial" w:eastAsia="Arial" w:hAnsi="Arial"/>
                <w:sz w:val="22"/>
                <w:szCs w:val="22"/>
                <w:b w:val="1"/>
                <w:bCs w:val="1"/>
                <w:color w:val="auto"/>
              </w:rPr>
              <w:t>8.</w:t>
            </w:r>
            <w:r>
              <w:rPr>
                <w:rFonts w:ascii="Arial" w:cs="Arial" w:eastAsia="Arial" w:hAnsi="Arial"/>
                <w:sz w:val="22"/>
                <w:szCs w:val="22"/>
                <w:b w:val="1"/>
                <w:bCs w:val="1"/>
                <w:u w:val="single" w:color="auto"/>
                <w:color w:val="auto"/>
              </w:rPr>
              <w:t>11</w:t>
            </w:r>
            <w:r>
              <w:rPr>
                <w:rFonts w:ascii="Arial" w:cs="Arial" w:eastAsia="Arial" w:hAnsi="Arial"/>
                <w:sz w:val="22"/>
                <w:szCs w:val="22"/>
                <w:b w:val="1"/>
                <w:bCs w:val="1"/>
                <w:color w:val="auto"/>
              </w:rPr>
              <w:t xml:space="preserve">  </w:t>
            </w:r>
            <w:r>
              <w:rPr>
                <w:rFonts w:ascii="Arial" w:cs="Arial" w:eastAsia="Arial" w:hAnsi="Arial"/>
                <w:sz w:val="22"/>
                <w:szCs w:val="22"/>
                <w:color w:val="auto"/>
              </w:rPr>
              <w:t>EFFECT OF REPEAL OR MODIFICATION</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spacing w:after="0" w:line="250" w:lineRule="exact"/>
              <w:rPr>
                <w:sz w:val="20"/>
                <w:szCs w:val="20"/>
                <w:color w:val="auto"/>
              </w:rPr>
            </w:pPr>
            <w:r>
              <w:rPr>
                <w:rFonts w:ascii="Arial" w:cs="Arial" w:eastAsia="Arial" w:hAnsi="Arial"/>
                <w:sz w:val="22"/>
                <w:szCs w:val="22"/>
                <w:b w:val="1"/>
                <w:bCs w:val="1"/>
                <w:color w:val="auto"/>
                <w:w w:val="74"/>
              </w:rPr>
              <w:t>8.</w:t>
            </w:r>
            <w:r>
              <w:rPr>
                <w:rFonts w:ascii="Arial" w:cs="Arial" w:eastAsia="Arial" w:hAnsi="Arial"/>
                <w:sz w:val="22"/>
                <w:szCs w:val="22"/>
                <w:b w:val="1"/>
                <w:bCs w:val="1"/>
                <w:u w:val="single" w:color="auto"/>
                <w:color w:val="auto"/>
                <w:w w:val="74"/>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40" w:type="dxa"/>
            <w:vAlign w:val="bottom"/>
            <w:gridSpan w:val="34"/>
          </w:tcPr>
          <w:p>
            <w:pPr>
              <w:ind w:left="20"/>
              <w:spacing w:after="0" w:line="250" w:lineRule="exact"/>
              <w:rPr>
                <w:sz w:val="20"/>
                <w:szCs w:val="20"/>
                <w:color w:val="auto"/>
              </w:rPr>
            </w:pPr>
            <w:r>
              <w:rPr>
                <w:rFonts w:ascii="Arial" w:cs="Arial" w:eastAsia="Arial" w:hAnsi="Arial"/>
                <w:sz w:val="22"/>
                <w:szCs w:val="22"/>
                <w:color w:val="auto"/>
              </w:rPr>
              <w:t>CERTAIN DEFINITIONS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180" w:type="dxa"/>
            <w:vAlign w:val="bottom"/>
            <w:gridSpan w:val="1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gridSpan w:val="38"/>
          </w:tcPr>
          <w:p>
            <w:pPr>
              <w:spacing w:after="0" w:line="250" w:lineRule="exact"/>
              <w:rPr>
                <w:sz w:val="20"/>
                <w:szCs w:val="20"/>
                <w:color w:val="auto"/>
              </w:rPr>
            </w:pPr>
            <w:r>
              <w:rPr>
                <w:rFonts w:ascii="Arial" w:cs="Arial" w:eastAsia="Arial" w:hAnsi="Arial"/>
                <w:sz w:val="22"/>
                <w:szCs w:val="22"/>
                <w:color w:val="auto"/>
              </w:rPr>
              <w:t>ARTICLE IX - GENERAL MATTERS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gridSpan w:val="4"/>
            <w:shd w:val="clear" w:color="auto" w:fill="000000"/>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180" w:type="dxa"/>
            <w:vAlign w:val="bottom"/>
            <w:gridSpan w:val="13"/>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9.</w:t>
            </w:r>
            <w:r>
              <w:rPr>
                <w:rFonts w:ascii="Arial" w:cs="Arial" w:eastAsia="Arial" w:hAnsi="Arial"/>
                <w:sz w:val="22"/>
                <w:szCs w:val="22"/>
                <w:b w:val="1"/>
                <w:bCs w:val="1"/>
                <w:u w:val="single" w:color="auto"/>
                <w:color w:val="auto"/>
                <w:w w:val="78"/>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20" w:type="dxa"/>
            <w:vAlign w:val="bottom"/>
            <w:tcBorders>
              <w:bottom w:val="single" w:sz="8" w:color="auto"/>
            </w:tcBorders>
            <w:gridSpan w:val="32"/>
          </w:tcPr>
          <w:p>
            <w:pPr>
              <w:spacing w:after="0" w:line="250" w:lineRule="exact"/>
              <w:rPr>
                <w:sz w:val="20"/>
                <w:szCs w:val="20"/>
                <w:color w:val="auto"/>
              </w:rPr>
            </w:pPr>
            <w:r>
              <w:rPr>
                <w:rFonts w:ascii="Arial" w:cs="Arial" w:eastAsia="Arial" w:hAnsi="Arial"/>
                <w:sz w:val="22"/>
                <w:szCs w:val="22"/>
                <w:color w:val="auto"/>
                <w:w w:val="93"/>
              </w:rPr>
              <w:t>EXECUTION OF CORPORATE CONTRACTS AND INSTRUMENTS</w:t>
            </w:r>
          </w:p>
        </w:tc>
        <w:tc>
          <w:tcPr>
            <w:tcW w:w="3020" w:type="dxa"/>
            <w:vAlign w:val="bottom"/>
            <w:gridSpan w:val="3"/>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9.</w:t>
            </w:r>
            <w:r>
              <w:rPr>
                <w:rFonts w:ascii="Arial" w:cs="Arial" w:eastAsia="Arial" w:hAnsi="Arial"/>
                <w:sz w:val="22"/>
                <w:szCs w:val="22"/>
                <w:b w:val="1"/>
                <w:bCs w:val="1"/>
                <w:u w:val="single" w:color="auto"/>
                <w:color w:val="auto"/>
                <w:w w:val="78"/>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Borders>
              <w:bottom w:val="single" w:sz="8" w:color="auto"/>
            </w:tcBorders>
            <w:gridSpan w:val="7"/>
          </w:tcPr>
          <w:p>
            <w:pPr>
              <w:spacing w:after="0" w:line="250" w:lineRule="exact"/>
              <w:rPr>
                <w:sz w:val="20"/>
                <w:szCs w:val="20"/>
                <w:color w:val="auto"/>
              </w:rPr>
            </w:pPr>
            <w:r>
              <w:rPr>
                <w:rFonts w:ascii="Arial" w:cs="Arial" w:eastAsia="Arial" w:hAnsi="Arial"/>
                <w:sz w:val="22"/>
                <w:szCs w:val="22"/>
                <w:color w:val="auto"/>
                <w:w w:val="96"/>
              </w:rPr>
              <w:t>FISCAL YEAR</w:t>
            </w:r>
          </w:p>
        </w:tc>
        <w:tc>
          <w:tcPr>
            <w:tcW w:w="7940" w:type="dxa"/>
            <w:vAlign w:val="bottom"/>
            <w:gridSpan w:val="28"/>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9.</w:t>
            </w:r>
            <w:r>
              <w:rPr>
                <w:rFonts w:ascii="Arial" w:cs="Arial" w:eastAsia="Arial" w:hAnsi="Arial"/>
                <w:sz w:val="22"/>
                <w:szCs w:val="22"/>
                <w:b w:val="1"/>
                <w:bCs w:val="1"/>
                <w:u w:val="single" w:color="auto"/>
                <w:color w:val="auto"/>
                <w:w w:val="78"/>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SEAL</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620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bottom w:val="single" w:sz="8" w:color="auto"/>
            </w:tcBorders>
          </w:tcPr>
          <w:p>
            <w:pPr>
              <w:spacing w:after="0" w:line="250" w:lineRule="exact"/>
              <w:rPr>
                <w:sz w:val="20"/>
                <w:szCs w:val="20"/>
                <w:color w:val="auto"/>
              </w:rPr>
            </w:pPr>
            <w:r>
              <w:rPr>
                <w:rFonts w:ascii="Arial" w:cs="Arial" w:eastAsia="Arial" w:hAnsi="Arial"/>
                <w:sz w:val="22"/>
                <w:szCs w:val="22"/>
                <w:b w:val="1"/>
                <w:bCs w:val="1"/>
                <w:color w:val="auto"/>
                <w:w w:val="78"/>
              </w:rPr>
              <w:t>9.</w:t>
            </w:r>
            <w:r>
              <w:rPr>
                <w:rFonts w:ascii="Arial" w:cs="Arial" w:eastAsia="Arial" w:hAnsi="Arial"/>
                <w:sz w:val="22"/>
                <w:szCs w:val="22"/>
                <w:b w:val="1"/>
                <w:bCs w:val="1"/>
                <w:u w:val="single" w:color="auto"/>
                <w:color w:val="auto"/>
                <w:w w:val="78"/>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40" w:type="dxa"/>
            <w:vAlign w:val="bottom"/>
            <w:tcBorders>
              <w:bottom w:val="single" w:sz="8" w:color="auto"/>
            </w:tcBorders>
            <w:gridSpan w:val="19"/>
          </w:tcPr>
          <w:p>
            <w:pPr>
              <w:spacing w:after="0" w:line="250" w:lineRule="exact"/>
              <w:rPr>
                <w:sz w:val="20"/>
                <w:szCs w:val="20"/>
                <w:color w:val="auto"/>
              </w:rPr>
            </w:pPr>
            <w:r>
              <w:rPr>
                <w:rFonts w:ascii="Arial" w:cs="Arial" w:eastAsia="Arial" w:hAnsi="Arial"/>
                <w:sz w:val="22"/>
                <w:szCs w:val="22"/>
                <w:color w:val="auto"/>
                <w:w w:val="94"/>
              </w:rPr>
              <w:t>CONSTRUCTION; DEFINITIONS</w:t>
            </w:r>
          </w:p>
        </w:tc>
        <w:tc>
          <w:tcPr>
            <w:tcW w:w="6200" w:type="dxa"/>
            <w:vAlign w:val="bottom"/>
            <w:gridSpan w:val="16"/>
          </w:tcPr>
          <w:p>
            <w:pPr>
              <w:spacing w:after="0"/>
              <w:rPr>
                <w:sz w:val="21"/>
                <w:szCs w:val="21"/>
                <w:color w:val="auto"/>
              </w:rPr>
            </w:pP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50"/>
        </w:trPr>
        <w:tc>
          <w:tcPr>
            <w:tcW w:w="260" w:type="dxa"/>
            <w:vAlign w:val="bottom"/>
          </w:tcPr>
          <w:p>
            <w:pPr>
              <w:spacing w:after="0" w:line="250" w:lineRule="exact"/>
              <w:rPr>
                <w:sz w:val="20"/>
                <w:szCs w:val="20"/>
                <w:color w:val="auto"/>
              </w:rPr>
            </w:pPr>
            <w:r>
              <w:rPr>
                <w:rFonts w:ascii="Arial" w:cs="Arial" w:eastAsia="Arial" w:hAnsi="Arial"/>
                <w:sz w:val="22"/>
                <w:szCs w:val="22"/>
                <w:b w:val="1"/>
                <w:bCs w:val="1"/>
                <w:color w:val="auto"/>
                <w:w w:val="78"/>
              </w:rPr>
              <w:t>9.</w:t>
            </w:r>
            <w:r>
              <w:rPr>
                <w:rFonts w:ascii="Arial" w:cs="Arial" w:eastAsia="Arial" w:hAnsi="Arial"/>
                <w:sz w:val="22"/>
                <w:szCs w:val="22"/>
                <w:b w:val="1"/>
                <w:bCs w:val="1"/>
                <w:u w:val="single" w:color="auto"/>
                <w:color w:val="auto"/>
                <w:w w:val="78"/>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gridSpan w:val="35"/>
          </w:tcPr>
          <w:p>
            <w:pPr>
              <w:spacing w:after="0" w:line="250" w:lineRule="exact"/>
              <w:rPr>
                <w:sz w:val="20"/>
                <w:szCs w:val="20"/>
                <w:color w:val="auto"/>
              </w:rPr>
            </w:pPr>
            <w:r>
              <w:rPr>
                <w:rFonts w:ascii="Arial" w:cs="Arial" w:eastAsia="Arial" w:hAnsi="Arial"/>
                <w:sz w:val="22"/>
                <w:szCs w:val="22"/>
                <w:color w:val="auto"/>
              </w:rPr>
              <w:t>FORUM SELECTION</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0" w:type="dxa"/>
            <w:vAlign w:val="bottom"/>
            <w:gridSpan w:val="9"/>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20" w:type="dxa"/>
            <w:vAlign w:val="bottom"/>
            <w:gridSpan w:val="2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gridSpan w:val="38"/>
          </w:tcPr>
          <w:p>
            <w:pPr>
              <w:spacing w:after="0" w:line="250" w:lineRule="exact"/>
              <w:rPr>
                <w:sz w:val="20"/>
                <w:szCs w:val="20"/>
                <w:color w:val="auto"/>
              </w:rPr>
            </w:pPr>
            <w:r>
              <w:rPr>
                <w:rFonts w:ascii="Arial" w:cs="Arial" w:eastAsia="Arial" w:hAnsi="Arial"/>
                <w:sz w:val="22"/>
                <w:szCs w:val="22"/>
                <w:color w:val="auto"/>
              </w:rPr>
              <w:t>ARTICLE X - AMENDMENTS</w:t>
            </w:r>
          </w:p>
        </w:tc>
        <w:tc>
          <w:tcPr>
            <w:tcW w:w="1000" w:type="dxa"/>
            <w:vAlign w:val="bottom"/>
          </w:tcPr>
          <w:p>
            <w:pPr>
              <w:jc w:val="right"/>
              <w:spacing w:after="0" w:line="250"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20"/>
          </w:cols>
          <w:pgMar w:left="400" w:top="135" w:right="6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188595</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154305</wp:posOffset>
            </wp:positionV>
            <wp:extent cx="3505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ARTICLE I -</w:t>
      </w:r>
      <w:r>
        <w:rPr>
          <w:sz w:val="20"/>
          <w:szCs w:val="20"/>
          <w:color w:val="auto"/>
        </w:rPr>
        <w:tab/>
      </w:r>
      <w:r>
        <w:rPr>
          <w:rFonts w:ascii="Arial" w:cs="Arial" w:eastAsia="Arial" w:hAnsi="Arial"/>
          <w:sz w:val="17"/>
          <w:szCs w:val="17"/>
          <w:b w:val="1"/>
          <w:bCs w:val="1"/>
          <w:color w:val="auto"/>
        </w:rPr>
        <w:t>CORPORATE OFFICES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REGISTERED OFFICE</w:t>
      </w:r>
    </w:p>
    <w:p>
      <w:pPr>
        <w:spacing w:after="0" w:line="198"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8"/>
          <w:szCs w:val="18"/>
          <w:color w:val="auto"/>
        </w:rPr>
        <w:t>The registered office of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fixed in the Company’s certificate of incorporation, as the same may be amended from time to time.</w:t>
      </w:r>
    </w:p>
    <w:p>
      <w:pPr>
        <w:spacing w:after="0" w:line="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OTHER OFFICES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at any time establish other offices.</w:t>
      </w:r>
    </w:p>
    <w:p>
      <w:pPr>
        <w:spacing w:after="0" w:line="19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ARTICLE II -</w:t>
        <w:tab/>
        <w:t>MEETINGS OF STOCKHOLDERS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PLACE OF MEETINGS</w:t>
      </w:r>
    </w:p>
    <w:p>
      <w:pPr>
        <w:spacing w:after="0" w:line="20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Meetings of stockholders shall be held at a place, if any, within or outside the State of Delaware, determined by the board of directors of the Company (the “</w:t>
      </w:r>
      <w:r>
        <w:rPr>
          <w:rFonts w:ascii="Arial" w:cs="Arial" w:eastAsia="Arial" w:hAnsi="Arial"/>
          <w:sz w:val="18"/>
          <w:szCs w:val="18"/>
          <w:b w:val="1"/>
          <w:bCs w:val="1"/>
          <w:color w:val="auto"/>
        </w:rPr>
        <w:t>Board of Directors</w:t>
      </w:r>
      <w:r>
        <w:rPr>
          <w:rFonts w:ascii="Arial" w:cs="Arial" w:eastAsia="Arial" w:hAnsi="Arial"/>
          <w:sz w:val="18"/>
          <w:szCs w:val="18"/>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ANNUAL MEETING</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w:t>
      </w:r>
    </w:p>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SPECIAL MEETING</w:t>
      </w:r>
    </w:p>
    <w:p>
      <w:pPr>
        <w:spacing w:after="0" w:line="202" w:lineRule="exact"/>
        <w:rPr>
          <w:sz w:val="20"/>
          <w:szCs w:val="20"/>
          <w:color w:val="auto"/>
        </w:rPr>
      </w:pPr>
    </w:p>
    <w:p>
      <w:pPr>
        <w:jc w:val="both"/>
        <w:ind w:firstLine="1304"/>
        <w:spacing w:after="0" w:line="325" w:lineRule="auto"/>
        <w:tabs>
          <w:tab w:leader="none" w:pos="1938" w:val="left"/>
        </w:tabs>
        <w:numPr>
          <w:ilvl w:val="1"/>
          <w:numId w:val="4"/>
        </w:numPr>
        <w:rPr>
          <w:rFonts w:ascii="Arial" w:cs="Arial" w:eastAsia="Arial" w:hAnsi="Arial"/>
          <w:sz w:val="16"/>
          <w:szCs w:val="16"/>
          <w:b w:val="1"/>
          <w:bCs w:val="1"/>
          <w:color w:val="auto"/>
        </w:rPr>
      </w:pPr>
      <w:r>
        <w:rPr>
          <w:rFonts w:ascii="Arial" w:cs="Arial" w:eastAsia="Arial" w:hAnsi="Arial"/>
          <w:sz w:val="16"/>
          <w:szCs w:val="16"/>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spacing w:after="0" w:line="1" w:lineRule="exact"/>
        <w:rPr>
          <w:rFonts w:ascii="Arial" w:cs="Arial" w:eastAsia="Arial" w:hAnsi="Arial"/>
          <w:sz w:val="16"/>
          <w:szCs w:val="16"/>
          <w:b w:val="1"/>
          <w:bCs w:val="1"/>
          <w:color w:val="auto"/>
        </w:rPr>
      </w:pP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president, but a special meeting may not be called by any other person or persons and any power of stockholders to call a special meeting of</w:t>
      </w:r>
    </w:p>
    <w:p>
      <w:pPr>
        <w:spacing w:after="0" w:line="61" w:lineRule="exact"/>
        <w:rPr>
          <w:rFonts w:ascii="Arial" w:cs="Arial" w:eastAsia="Arial" w:hAnsi="Arial"/>
          <w:sz w:val="17"/>
          <w:szCs w:val="17"/>
          <w:color w:val="auto"/>
        </w:rPr>
      </w:pPr>
    </w:p>
    <w:p>
      <w:pPr>
        <w:spacing w:after="0" w:line="377" w:lineRule="auto"/>
        <w:rPr>
          <w:rFonts w:ascii="Arial" w:cs="Arial" w:eastAsia="Arial" w:hAnsi="Arial"/>
          <w:sz w:val="17"/>
          <w:szCs w:val="17"/>
          <w:color w:val="auto"/>
        </w:rPr>
      </w:pPr>
      <w:r>
        <w:rPr>
          <w:rFonts w:ascii="Arial" w:cs="Arial" w:eastAsia="Arial" w:hAnsi="Arial"/>
          <w:sz w:val="16"/>
          <w:szCs w:val="16"/>
          <w:color w:val="auto"/>
        </w:rPr>
        <w:t>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83" w:lineRule="exact"/>
        <w:rPr>
          <w:rFonts w:ascii="Arial" w:cs="Arial" w:eastAsia="Arial" w:hAnsi="Arial"/>
          <w:sz w:val="17"/>
          <w:szCs w:val="17"/>
          <w:color w:val="auto"/>
        </w:rPr>
      </w:pPr>
    </w:p>
    <w:p>
      <w:pPr>
        <w:ind w:left="1940" w:hanging="636"/>
        <w:spacing w:after="0"/>
        <w:tabs>
          <w:tab w:leader="none" w:pos="1940"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The notice of a special meeting shall include the purpose for which the meeting is called. Only such business shall be conducted</w:t>
      </w:r>
    </w:p>
    <w:p>
      <w:pPr>
        <w:spacing w:after="0" w:line="72"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1" w:right="339" w:bottom="1440" w:gutter="0" w:footer="0" w:header="0"/>
        </w:sectPr>
      </w:pPr>
    </w:p>
    <w:bookmarkStart w:id="7" w:name="page8"/>
    <w:bookmarkEnd w:id="7"/>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color w:val="auto"/>
        </w:rPr>
        <w:t>ADVANCE NOTICE PROCEDURES</w:t>
      </w:r>
    </w:p>
    <w:p>
      <w:pPr>
        <w:spacing w:after="0" w:line="216" w:lineRule="exact"/>
        <w:rPr>
          <w:sz w:val="20"/>
          <w:szCs w:val="20"/>
          <w:color w:val="auto"/>
        </w:rPr>
      </w:pPr>
    </w:p>
    <w:p>
      <w:pPr>
        <w:ind w:left="1940" w:hanging="636"/>
        <w:spacing w:after="0"/>
        <w:tabs>
          <w:tab w:leader="none" w:pos="194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Annual Meetings of Stockholders</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ind w:left="2600" w:hanging="648"/>
        <w:spacing w:after="0"/>
        <w:tabs>
          <w:tab w:leader="none" w:pos="2600"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Nominations of persons for election to the Board of Directors or the proposal of other business to be transacted by the</w:t>
      </w:r>
    </w:p>
    <w:p>
      <w:pPr>
        <w:spacing w:after="0" w:line="72"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w:t>
      </w:r>
    </w:p>
    <w:p>
      <w:pPr>
        <w:spacing w:after="0" w:line="1"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20" w:lineRule="exact"/>
        <w:rPr>
          <w:rFonts w:ascii="Arial" w:cs="Arial" w:eastAsia="Arial" w:hAnsi="Arial"/>
          <w:sz w:val="16"/>
          <w:szCs w:val="16"/>
          <w:b w:val="1"/>
          <w:bCs w:val="1"/>
          <w:color w:val="auto"/>
        </w:rPr>
      </w:pPr>
    </w:p>
    <w:p>
      <w:pPr>
        <w:ind w:left="2600" w:hanging="648"/>
        <w:spacing w:after="0"/>
        <w:tabs>
          <w:tab w:leader="none" w:pos="2600"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For nominations or other business to be properly brought before an annual meeting of stockholders by a stockholder</w:t>
      </w:r>
    </w:p>
    <w:p>
      <w:pPr>
        <w:spacing w:after="0" w:line="68" w:lineRule="exact"/>
        <w:rPr>
          <w:rFonts w:ascii="Arial" w:cs="Arial" w:eastAsia="Arial" w:hAnsi="Arial"/>
          <w:sz w:val="16"/>
          <w:szCs w:val="16"/>
          <w:b w:val="1"/>
          <w:bCs w:val="1"/>
          <w:color w:val="auto"/>
        </w:rPr>
      </w:pPr>
    </w:p>
    <w:p>
      <w:pPr>
        <w:jc w:val="both"/>
        <w:spacing w:after="0" w:line="328" w:lineRule="auto"/>
        <w:rPr>
          <w:rFonts w:ascii="Arial" w:cs="Arial" w:eastAsia="Arial" w:hAnsi="Arial"/>
          <w:sz w:val="16"/>
          <w:szCs w:val="16"/>
          <w:b w:val="1"/>
          <w:bCs w:val="1"/>
          <w:color w:val="auto"/>
        </w:rPr>
      </w:pPr>
      <w:r>
        <w:rPr>
          <w:rFonts w:ascii="Arial" w:cs="Arial" w:eastAsia="Arial" w:hAnsi="Arial"/>
          <w:sz w:val="16"/>
          <w:szCs w:val="16"/>
          <w:color w:val="auto"/>
        </w:rPr>
        <w:t>pursuant to clause (4) of Section 2.4(a)(i), the stockholder must have given timely notice in writing to the secretary of the Company (the “</w:t>
      </w:r>
      <w:r>
        <w:rPr>
          <w:rFonts w:ascii="Arial" w:cs="Arial" w:eastAsia="Arial" w:hAnsi="Arial"/>
          <w:sz w:val="16"/>
          <w:szCs w:val="16"/>
          <w:b w:val="1"/>
          <w:bCs w:val="1"/>
          <w:color w:val="auto"/>
        </w:rPr>
        <w:t>Secretary</w:t>
      </w:r>
      <w:r>
        <w:rPr>
          <w:rFonts w:ascii="Arial" w:cs="Arial" w:eastAsia="Arial" w:hAnsi="Arial"/>
          <w:sz w:val="16"/>
          <w:szCs w:val="16"/>
          <w:color w:val="auto"/>
        </w:rPr>
        <w:t>”) and any such nomination or proposed business must constitute a proper matter for stockholder action. To be timely, a stockholder’s notice must be received by</w:t>
      </w:r>
    </w:p>
    <w:p>
      <w:pPr>
        <w:jc w:val="both"/>
        <w:spacing w:after="0" w:line="328" w:lineRule="auto"/>
        <w:rPr>
          <w:rFonts w:ascii="Arial" w:cs="Arial" w:eastAsia="Arial" w:hAnsi="Arial"/>
          <w:sz w:val="16"/>
          <w:szCs w:val="16"/>
          <w:b w:val="1"/>
          <w:bCs w:val="1"/>
          <w:color w:val="auto"/>
        </w:rPr>
      </w:pPr>
      <w:r>
        <w:rPr>
          <w:rFonts w:ascii="Arial" w:cs="Arial" w:eastAsia="Arial" w:hAnsi="Arial"/>
          <w:sz w:val="16"/>
          <w:szCs w:val="16"/>
          <w:color w:val="auto"/>
        </w:rPr>
        <w:t>the Secretary at the principal executive offices of the Company no earlier than 8:00 a.m., Pacific time, on the 120th day and no later than 5:00 p.m., Pacific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w:t>
      </w:r>
    </w:p>
    <w:p>
      <w:pPr>
        <w:spacing w:after="0" w:line="1" w:lineRule="exact"/>
        <w:rPr>
          <w:rFonts w:ascii="Arial" w:cs="Arial" w:eastAsia="Arial" w:hAnsi="Arial"/>
          <w:sz w:val="16"/>
          <w:szCs w:val="16"/>
          <w:b w:val="1"/>
          <w:bCs w:val="1"/>
          <w:color w:val="auto"/>
        </w:rPr>
      </w:pPr>
    </w:p>
    <w:p>
      <w:pPr>
        <w:jc w:val="both"/>
        <w:ind w:right="20"/>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by the Secretary at the principal executive offices of the Company no earlier than 8:00 a.m., Pacific time, on the 120th day prior to the day of the annual meeting and no later than 5:00 p.m., Pacific time, on the later of the 90th day prior to the day of the annual meeting or, if the first public announcement of</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w:t>
      </w:r>
    </w:p>
    <w:p>
      <w:pPr>
        <w:spacing w:after="0" w:line="1" w:lineRule="exact"/>
        <w:rPr>
          <w:rFonts w:ascii="Arial" w:cs="Arial" w:eastAsia="Arial" w:hAnsi="Arial"/>
          <w:sz w:val="16"/>
          <w:szCs w:val="16"/>
          <w:b w:val="1"/>
          <w:bCs w:val="1"/>
          <w:color w:val="auto"/>
        </w:rPr>
      </w:pPr>
    </w:p>
    <w:p>
      <w:pPr>
        <w:jc w:val="both"/>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principal executive offices of the Company no later than 5:00 p.m., Pacific time, on the 10th day following the day on which such public announcement is first made. “</w:t>
      </w:r>
      <w:r>
        <w:rPr>
          <w:rFonts w:ascii="Arial" w:cs="Arial" w:eastAsia="Arial" w:hAnsi="Arial"/>
          <w:sz w:val="16"/>
          <w:szCs w:val="16"/>
          <w:b w:val="1"/>
          <w:bCs w:val="1"/>
          <w:color w:val="auto"/>
        </w:rPr>
        <w:t>Public announcement</w:t>
      </w:r>
      <w:r>
        <w:rPr>
          <w:rFonts w:ascii="Arial" w:cs="Arial" w:eastAsia="Arial" w:hAnsi="Arial"/>
          <w:sz w:val="16"/>
          <w:szCs w:val="16"/>
          <w:color w:val="auto"/>
        </w:rPr>
        <w:t>” means disclosure in a press release reported by a national news service or in a document publicly filed by the</w:t>
      </w:r>
    </w:p>
    <w:p>
      <w:pPr>
        <w:jc w:val="both"/>
        <w:spacing w:after="0" w:line="358" w:lineRule="auto"/>
        <w:rPr>
          <w:rFonts w:ascii="Arial" w:cs="Arial" w:eastAsia="Arial" w:hAnsi="Arial"/>
          <w:sz w:val="16"/>
          <w:szCs w:val="16"/>
          <w:b w:val="1"/>
          <w:bCs w:val="1"/>
          <w:color w:val="auto"/>
        </w:rPr>
      </w:pPr>
      <w:r>
        <w:rPr>
          <w:rFonts w:ascii="Arial" w:cs="Arial" w:eastAsia="Arial" w:hAnsi="Arial"/>
          <w:sz w:val="16"/>
          <w:szCs w:val="16"/>
          <w:color w:val="auto"/>
        </w:rPr>
        <w:t>Company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pursuant to Section 13, Section 14 or Section 15(d) of the Securities Exchange Act of 1934 (as amended and inclusive of rules and regulations thereunder, the “</w:t>
      </w:r>
      <w:r>
        <w:rPr>
          <w:rFonts w:ascii="Arial" w:cs="Arial" w:eastAsia="Arial" w:hAnsi="Arial"/>
          <w:sz w:val="16"/>
          <w:szCs w:val="16"/>
          <w:b w:val="1"/>
          <w:bCs w:val="1"/>
          <w:color w:val="auto"/>
        </w:rPr>
        <w:t>1934 Act</w:t>
      </w:r>
      <w:r>
        <w:rPr>
          <w:rFonts w:ascii="Arial" w:cs="Arial" w:eastAsia="Arial" w:hAnsi="Arial"/>
          <w:sz w:val="16"/>
          <w:szCs w:val="16"/>
          <w:color w:val="auto"/>
        </w:rPr>
        <w:t>”) or by such other means as is reasonably designed to inform the public or stockholders of the Company in general of such information, including, without limitation, posting on the Company’s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31" w:right="339" w:bottom="1440" w:gutter="0" w:footer="0" w:header="0"/>
        </w:sectPr>
      </w:pPr>
    </w:p>
    <w:bookmarkStart w:id="8" w:name="page9"/>
    <w:bookmarkEnd w:id="8"/>
    <w:p>
      <w:pPr>
        <w:ind w:left="2600" w:hanging="648"/>
        <w:spacing w:after="0"/>
        <w:tabs>
          <w:tab w:leader="none" w:pos="26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stockholder’s notice to the Secretary must set forth:</w:t>
      </w:r>
    </w:p>
    <w:p>
      <w:pPr>
        <w:spacing w:after="0" w:line="211" w:lineRule="exact"/>
        <w:rPr>
          <w:rFonts w:ascii="Arial" w:cs="Arial" w:eastAsia="Arial" w:hAnsi="Arial"/>
          <w:sz w:val="18"/>
          <w:szCs w:val="18"/>
          <w:b w:val="1"/>
          <w:bCs w:val="1"/>
          <w:color w:val="auto"/>
        </w:rPr>
      </w:pPr>
    </w:p>
    <w:p>
      <w:pPr>
        <w:ind w:left="3240" w:hanging="640"/>
        <w:spacing w:after="0"/>
        <w:tabs>
          <w:tab w:leader="none" w:pos="324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as to each person whom the stockholder proposes to nominate for election as a director:</w:t>
      </w:r>
    </w:p>
    <w:p>
      <w:pPr>
        <w:spacing w:after="0" w:line="198" w:lineRule="exact"/>
        <w:rPr>
          <w:rFonts w:ascii="Arial" w:cs="Arial" w:eastAsia="Arial" w:hAnsi="Arial"/>
          <w:sz w:val="18"/>
          <w:szCs w:val="18"/>
          <w:b w:val="1"/>
          <w:bCs w:val="1"/>
          <w:color w:val="auto"/>
        </w:rPr>
      </w:pPr>
    </w:p>
    <w:p>
      <w:pPr>
        <w:ind w:left="3880" w:hanging="632"/>
        <w:spacing w:after="0"/>
        <w:tabs>
          <w:tab w:leader="none" w:pos="3880" w:val="left"/>
        </w:tabs>
        <w:numPr>
          <w:ilvl w:val="2"/>
          <w:numId w:val="7"/>
        </w:numPr>
        <w:rPr>
          <w:rFonts w:ascii="Arial" w:cs="Arial" w:eastAsia="Arial" w:hAnsi="Arial"/>
          <w:sz w:val="16"/>
          <w:szCs w:val="16"/>
          <w:b w:val="1"/>
          <w:bCs w:val="1"/>
          <w:color w:val="auto"/>
        </w:rPr>
      </w:pPr>
      <w:r>
        <w:rPr>
          <w:rFonts w:ascii="Arial" w:cs="Arial" w:eastAsia="Arial" w:hAnsi="Arial"/>
          <w:sz w:val="16"/>
          <w:szCs w:val="16"/>
          <w:color w:val="auto"/>
        </w:rPr>
        <w:t>such  person’s  name,  age,  business  address,  residence  address  and  principal  occupation  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employment;</w:t>
      </w:r>
    </w:p>
    <w:p>
      <w:pPr>
        <w:spacing w:after="0" w:line="198" w:lineRule="exact"/>
        <w:rPr>
          <w:sz w:val="20"/>
          <w:szCs w:val="20"/>
          <w:color w:val="auto"/>
        </w:rPr>
      </w:pPr>
    </w:p>
    <w:p>
      <w:pPr>
        <w:ind w:left="3900" w:hanging="652"/>
        <w:spacing w:after="0"/>
        <w:tabs>
          <w:tab w:leader="none" w:pos="3900"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the class and number of shares of the Company that are held of record or are beneficially owned by</w:t>
      </w:r>
    </w:p>
    <w:p>
      <w:pPr>
        <w:spacing w:after="0" w:line="72"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such person and any (i) Derivative Instruments (defined below) held or beneficially owned by such person, including the full notional amount of any securities that, directly or indirectly, underlie any Derivative Instrument; and (ii) other agreement, arrangement or understanding that has been made the</w:t>
      </w:r>
    </w:p>
    <w:p>
      <w:pPr>
        <w:spacing w:after="0" w:line="1"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effect or intent of which is to create or mitigate loss to, or to manage the risk or benefit of share price changes for, or to increase or decrease the voting power of such person with respect to the Company’s securities;</w:t>
      </w:r>
    </w:p>
    <w:p>
      <w:pPr>
        <w:spacing w:after="0" w:line="130" w:lineRule="exact"/>
        <w:rPr>
          <w:rFonts w:ascii="Arial" w:cs="Arial" w:eastAsia="Arial" w:hAnsi="Arial"/>
          <w:sz w:val="16"/>
          <w:szCs w:val="16"/>
          <w:b w:val="1"/>
          <w:bCs w:val="1"/>
          <w:color w:val="auto"/>
        </w:rPr>
      </w:pPr>
    </w:p>
    <w:p>
      <w:pPr>
        <w:ind w:left="3940" w:hanging="692"/>
        <w:spacing w:after="0"/>
        <w:tabs>
          <w:tab w:leader="none" w:pos="3940"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all information relating to such person that is required to be disclosed in connection with solicitations</w:t>
      </w:r>
    </w:p>
    <w:p>
      <w:pPr>
        <w:spacing w:after="0" w:line="5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proxies for the contested election of directors, or is otherwise required, in each case pursuant to Section 14 of the 1934 Act;</w:t>
      </w:r>
    </w:p>
    <w:p>
      <w:pPr>
        <w:spacing w:after="0" w:line="211" w:lineRule="exact"/>
        <w:rPr>
          <w:rFonts w:ascii="Arial" w:cs="Arial" w:eastAsia="Arial" w:hAnsi="Arial"/>
          <w:sz w:val="16"/>
          <w:szCs w:val="16"/>
          <w:b w:val="1"/>
          <w:bCs w:val="1"/>
          <w:color w:val="auto"/>
        </w:rPr>
      </w:pPr>
    </w:p>
    <w:p>
      <w:pPr>
        <w:ind w:left="3880" w:hanging="632"/>
        <w:spacing w:after="0"/>
        <w:tabs>
          <w:tab w:leader="none" w:pos="3880"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such person’s written consent (i) to being named as a nominee of such stockholder, (ii) to being</w:t>
      </w:r>
    </w:p>
    <w:p>
      <w:pPr>
        <w:spacing w:after="0" w:line="4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named in the Company’s form of proxy pursuant to Rule 14a-19 under the 1934 Act and (iii) to serving as a director of the Company if elected;</w:t>
      </w:r>
    </w:p>
    <w:p>
      <w:pPr>
        <w:spacing w:after="0" w:line="223" w:lineRule="exact"/>
        <w:rPr>
          <w:rFonts w:ascii="Arial" w:cs="Arial" w:eastAsia="Arial" w:hAnsi="Arial"/>
          <w:sz w:val="17"/>
          <w:szCs w:val="17"/>
          <w:b w:val="1"/>
          <w:bCs w:val="1"/>
          <w:color w:val="auto"/>
        </w:rPr>
      </w:pPr>
    </w:p>
    <w:p>
      <w:pPr>
        <w:jc w:val="both"/>
        <w:ind w:firstLine="3248"/>
        <w:spacing w:after="0" w:line="323" w:lineRule="auto"/>
        <w:tabs>
          <w:tab w:leader="none" w:pos="3885" w:val="left"/>
        </w:tabs>
        <w:numPr>
          <w:ilvl w:val="1"/>
          <w:numId w:val="8"/>
        </w:numPr>
        <w:rPr>
          <w:rFonts w:ascii="Arial" w:cs="Arial" w:eastAsia="Arial" w:hAnsi="Arial"/>
          <w:sz w:val="17"/>
          <w:szCs w:val="17"/>
          <w:b w:val="1"/>
          <w:bCs w:val="1"/>
          <w:color w:val="auto"/>
        </w:rPr>
      </w:pPr>
      <w:r>
        <w:rPr>
          <w:rFonts w:ascii="Arial" w:cs="Arial" w:eastAsia="Arial" w:hAnsi="Arial"/>
          <w:sz w:val="17"/>
          <w:szCs w:val="17"/>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Arial" w:cs="Arial" w:eastAsia="Arial" w:hAnsi="Arial"/>
          <w:sz w:val="17"/>
          <w:szCs w:val="17"/>
          <w:b w:val="1"/>
          <w:bCs w:val="1"/>
          <w:color w:val="auto"/>
        </w:rPr>
        <w:t>Third-Party Compensation Arrangement</w:t>
      </w:r>
      <w:r>
        <w:rPr>
          <w:rFonts w:ascii="Arial" w:cs="Arial" w:eastAsia="Arial" w:hAnsi="Arial"/>
          <w:sz w:val="17"/>
          <w:szCs w:val="17"/>
          <w:color w:val="auto"/>
        </w:rPr>
        <w:t>”); and</w:t>
      </w:r>
    </w:p>
    <w:p>
      <w:pPr>
        <w:spacing w:after="0" w:line="108" w:lineRule="exact"/>
        <w:rPr>
          <w:rFonts w:ascii="Arial" w:cs="Arial" w:eastAsia="Arial" w:hAnsi="Arial"/>
          <w:sz w:val="17"/>
          <w:szCs w:val="17"/>
          <w:b w:val="1"/>
          <w:bCs w:val="1"/>
          <w:color w:val="auto"/>
        </w:rPr>
      </w:pPr>
    </w:p>
    <w:p>
      <w:pPr>
        <w:ind w:left="3880" w:hanging="632"/>
        <w:spacing w:after="0"/>
        <w:tabs>
          <w:tab w:leader="none" w:pos="3880"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a description of any other material relationships between such person and such person’s respective</w:t>
      </w:r>
    </w:p>
    <w:p>
      <w:pPr>
        <w:spacing w:after="0" w:line="72"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w:t>
      </w:r>
    </w:p>
    <w:p>
      <w:pPr>
        <w:spacing w:after="0" w:line="1" w:lineRule="exact"/>
        <w:rPr>
          <w:rFonts w:ascii="Arial" w:cs="Arial" w:eastAsia="Arial" w:hAnsi="Arial"/>
          <w:sz w:val="16"/>
          <w:szCs w:val="16"/>
          <w:b w:val="1"/>
          <w:bCs w:val="1"/>
          <w:color w:val="auto"/>
        </w:rPr>
      </w:pPr>
    </w:p>
    <w:p>
      <w:pPr>
        <w:spacing w:after="0" w:line="341" w:lineRule="auto"/>
        <w:rPr>
          <w:rFonts w:ascii="Arial" w:cs="Arial" w:eastAsia="Arial" w:hAnsi="Arial"/>
          <w:sz w:val="16"/>
          <w:szCs w:val="16"/>
          <w:b w:val="1"/>
          <w:bCs w:val="1"/>
          <w:color w:val="auto"/>
        </w:rPr>
      </w:pPr>
      <w:r>
        <w:rPr>
          <w:rFonts w:ascii="Arial" w:cs="Arial" w:eastAsia="Arial" w:hAnsi="Arial"/>
          <w:sz w:val="17"/>
          <w:szCs w:val="17"/>
          <w:color w:val="auto"/>
        </w:rPr>
        <w:t>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106" w:lineRule="exact"/>
        <w:rPr>
          <w:rFonts w:ascii="Arial" w:cs="Arial" w:eastAsia="Arial" w:hAnsi="Arial"/>
          <w:sz w:val="16"/>
          <w:szCs w:val="16"/>
          <w:b w:val="1"/>
          <w:bCs w:val="1"/>
          <w:color w:val="auto"/>
        </w:rPr>
      </w:pPr>
    </w:p>
    <w:p>
      <w:pPr>
        <w:ind w:left="3240" w:hanging="640"/>
        <w:spacing w:after="0"/>
        <w:tabs>
          <w:tab w:leader="none" w:pos="32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as to any other business that the stockholder proposes to bring before the annual meeting:</w:t>
      </w:r>
    </w:p>
    <w:p>
      <w:pPr>
        <w:spacing w:after="0" w:line="198" w:lineRule="exact"/>
        <w:rPr>
          <w:rFonts w:ascii="Arial" w:cs="Arial" w:eastAsia="Arial" w:hAnsi="Arial"/>
          <w:sz w:val="18"/>
          <w:szCs w:val="18"/>
          <w:b w:val="1"/>
          <w:bCs w:val="1"/>
          <w:color w:val="auto"/>
        </w:rPr>
      </w:pPr>
    </w:p>
    <w:p>
      <w:pPr>
        <w:ind w:left="3880" w:hanging="632"/>
        <w:spacing w:after="0"/>
        <w:tabs>
          <w:tab w:leader="none" w:pos="388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a brief description of the business desired to be brought before the annual meeting;</w:t>
      </w:r>
    </w:p>
    <w:p>
      <w:pPr>
        <w:spacing w:after="0" w:line="211" w:lineRule="exact"/>
        <w:rPr>
          <w:rFonts w:ascii="Arial" w:cs="Arial" w:eastAsia="Arial" w:hAnsi="Arial"/>
          <w:sz w:val="18"/>
          <w:szCs w:val="18"/>
          <w:b w:val="1"/>
          <w:bCs w:val="1"/>
          <w:color w:val="auto"/>
        </w:rPr>
      </w:pPr>
    </w:p>
    <w:p>
      <w:pPr>
        <w:ind w:right="20" w:firstLine="3248"/>
        <w:spacing w:after="0" w:line="308" w:lineRule="auto"/>
        <w:tabs>
          <w:tab w:leader="none" w:pos="3878"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the text of the proposal or business (including the text of any resolutions proposed for consideration and, if applicable, the text of any proposed amendment to these bylaws);</w:t>
      </w:r>
    </w:p>
    <w:p>
      <w:pPr>
        <w:spacing w:after="0" w:line="130" w:lineRule="exact"/>
        <w:rPr>
          <w:rFonts w:ascii="Arial" w:cs="Arial" w:eastAsia="Arial" w:hAnsi="Arial"/>
          <w:sz w:val="18"/>
          <w:szCs w:val="18"/>
          <w:b w:val="1"/>
          <w:bCs w:val="1"/>
          <w:color w:val="auto"/>
        </w:rPr>
      </w:pPr>
    </w:p>
    <w:p>
      <w:pPr>
        <w:ind w:left="3880" w:hanging="632"/>
        <w:spacing w:after="0"/>
        <w:tabs>
          <w:tab w:leader="none" w:pos="3880"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the reasons for conducting such business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35" w:right="339" w:bottom="1440" w:gutter="0" w:footer="0" w:header="0"/>
        </w:sectPr>
      </w:pPr>
    </w:p>
    <w:bookmarkStart w:id="9" w:name="page10"/>
    <w:bookmarkEnd w:id="9"/>
    <w:p>
      <w:pPr>
        <w:ind w:left="3880" w:hanging="632"/>
        <w:spacing w:after="0"/>
        <w:tabs>
          <w:tab w:leader="none" w:pos="388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any material interest in such business of such stockholder giving the notice and the beneficial owner,</w:t>
      </w:r>
    </w:p>
    <w:p>
      <w:pPr>
        <w:spacing w:after="0" w:line="7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if any, on whose behalf the proposal is made, and their respective affiliates and associates, or others acting in concert with them; and</w:t>
      </w:r>
    </w:p>
    <w:p>
      <w:pPr>
        <w:spacing w:after="0" w:line="198" w:lineRule="exact"/>
        <w:rPr>
          <w:rFonts w:ascii="Arial" w:cs="Arial" w:eastAsia="Arial" w:hAnsi="Arial"/>
          <w:sz w:val="16"/>
          <w:szCs w:val="16"/>
          <w:b w:val="1"/>
          <w:bCs w:val="1"/>
          <w:color w:val="auto"/>
        </w:rPr>
      </w:pPr>
    </w:p>
    <w:p>
      <w:pPr>
        <w:ind w:left="3880" w:hanging="632"/>
        <w:spacing w:after="0"/>
        <w:tabs>
          <w:tab w:leader="none" w:pos="388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all agreements, arrangements and understandings between such stockholder and the beneficial owner,</w:t>
      </w:r>
    </w:p>
    <w:p>
      <w:pPr>
        <w:spacing w:after="0" w:line="72"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30" w:lineRule="exact"/>
        <w:rPr>
          <w:rFonts w:ascii="Arial" w:cs="Arial" w:eastAsia="Arial" w:hAnsi="Arial"/>
          <w:sz w:val="16"/>
          <w:szCs w:val="16"/>
          <w:b w:val="1"/>
          <w:bCs w:val="1"/>
          <w:color w:val="auto"/>
        </w:rPr>
      </w:pPr>
    </w:p>
    <w:p>
      <w:pPr>
        <w:ind w:left="3240" w:hanging="640"/>
        <w:spacing w:after="0"/>
        <w:tabs>
          <w:tab w:leader="none" w:pos="32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as to the stockholder giving the notice and the beneficial owner, if any, on whose behalf the nomination or</w:t>
      </w:r>
    </w:p>
    <w:p>
      <w:pPr>
        <w:spacing w:after="0" w:line="47"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proposal is made:</w:t>
      </w:r>
    </w:p>
    <w:p>
      <w:pPr>
        <w:spacing w:after="0" w:line="211" w:lineRule="exact"/>
        <w:rPr>
          <w:rFonts w:ascii="Arial" w:cs="Arial" w:eastAsia="Arial" w:hAnsi="Arial"/>
          <w:sz w:val="17"/>
          <w:szCs w:val="17"/>
          <w:b w:val="1"/>
          <w:bCs w:val="1"/>
          <w:color w:val="auto"/>
        </w:rPr>
      </w:pPr>
    </w:p>
    <w:p>
      <w:pPr>
        <w:ind w:firstLine="3248"/>
        <w:spacing w:after="0" w:line="308" w:lineRule="auto"/>
        <w:tabs>
          <w:tab w:leader="none" w:pos="3885"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the name and address of such stockholder (as they appear on the Company’s books), of such beneficial owner and of their respective affiliates or associates or others acting in concert with them;</w:t>
      </w:r>
    </w:p>
    <w:p>
      <w:pPr>
        <w:spacing w:after="0" w:line="130" w:lineRule="exact"/>
        <w:rPr>
          <w:rFonts w:ascii="Arial" w:cs="Arial" w:eastAsia="Arial" w:hAnsi="Arial"/>
          <w:sz w:val="18"/>
          <w:szCs w:val="18"/>
          <w:b w:val="1"/>
          <w:bCs w:val="1"/>
          <w:color w:val="auto"/>
        </w:rPr>
      </w:pPr>
    </w:p>
    <w:p>
      <w:pPr>
        <w:jc w:val="both"/>
        <w:ind w:firstLine="3248"/>
        <w:spacing w:after="0" w:line="303" w:lineRule="auto"/>
        <w:tabs>
          <w:tab w:leader="none" w:pos="3881"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20" w:lineRule="exact"/>
        <w:rPr>
          <w:rFonts w:ascii="Arial" w:cs="Arial" w:eastAsia="Arial" w:hAnsi="Arial"/>
          <w:sz w:val="18"/>
          <w:szCs w:val="18"/>
          <w:b w:val="1"/>
          <w:bCs w:val="1"/>
          <w:color w:val="auto"/>
        </w:rPr>
      </w:pPr>
    </w:p>
    <w:p>
      <w:pPr>
        <w:ind w:left="3880" w:hanging="632"/>
        <w:spacing w:after="0"/>
        <w:tabs>
          <w:tab w:leader="none" w:pos="3880" w:val="left"/>
        </w:tabs>
        <w:numPr>
          <w:ilvl w:val="1"/>
          <w:numId w:val="11"/>
        </w:numPr>
        <w:rPr>
          <w:rFonts w:ascii="Arial" w:cs="Arial" w:eastAsia="Arial" w:hAnsi="Arial"/>
          <w:sz w:val="16"/>
          <w:szCs w:val="16"/>
          <w:b w:val="1"/>
          <w:bCs w:val="1"/>
          <w:color w:val="auto"/>
        </w:rPr>
      </w:pPr>
      <w:r>
        <w:rPr>
          <w:rFonts w:ascii="Arial" w:cs="Arial" w:eastAsia="Arial" w:hAnsi="Arial"/>
          <w:sz w:val="16"/>
          <w:szCs w:val="16"/>
          <w:color w:val="auto"/>
        </w:rPr>
        <w:t>any agreement, arrangement or understanding between such stockholder, such beneficial owner or</w:t>
      </w:r>
    </w:p>
    <w:p>
      <w:pPr>
        <w:spacing w:after="0" w:line="72"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their respective affiliates or associates or others acting in concert with them, and any other person or persons (including, in each case, their names) in connection with the proposal of such nomination or other business;</w:t>
      </w:r>
    </w:p>
    <w:p>
      <w:pPr>
        <w:spacing w:after="0" w:line="130" w:lineRule="exact"/>
        <w:rPr>
          <w:rFonts w:ascii="Arial" w:cs="Arial" w:eastAsia="Arial" w:hAnsi="Arial"/>
          <w:sz w:val="16"/>
          <w:szCs w:val="16"/>
          <w:b w:val="1"/>
          <w:bCs w:val="1"/>
          <w:color w:val="auto"/>
        </w:rPr>
      </w:pPr>
    </w:p>
    <w:p>
      <w:pPr>
        <w:ind w:left="3880" w:hanging="632"/>
        <w:spacing w:after="0"/>
        <w:tabs>
          <w:tab w:leader="none" w:pos="3880" w:val="left"/>
        </w:tabs>
        <w:numPr>
          <w:ilvl w:val="1"/>
          <w:numId w:val="11"/>
        </w:numPr>
        <w:rPr>
          <w:rFonts w:ascii="Arial" w:cs="Arial" w:eastAsia="Arial" w:hAnsi="Arial"/>
          <w:sz w:val="16"/>
          <w:szCs w:val="16"/>
          <w:b w:val="1"/>
          <w:bCs w:val="1"/>
          <w:color w:val="auto"/>
        </w:rPr>
      </w:pPr>
      <w:r>
        <w:rPr>
          <w:rFonts w:ascii="Arial" w:cs="Arial" w:eastAsia="Arial" w:hAnsi="Arial"/>
          <w:sz w:val="16"/>
          <w:szCs w:val="16"/>
          <w:color w:val="auto"/>
        </w:rPr>
        <w:t>any (i) agreement, arrangement or understanding (including, without limitation and regardless of the</w:t>
      </w:r>
    </w:p>
    <w:p>
      <w:pPr>
        <w:spacing w:after="0" w:line="72"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beneficial owner or their respective affiliates or associates or others acting in concert with them, with respect to the Company’s securities (any of the foregoing, a “</w:t>
      </w:r>
      <w:r>
        <w:rPr>
          <w:rFonts w:ascii="Arial" w:cs="Arial" w:eastAsia="Arial" w:hAnsi="Arial"/>
          <w:sz w:val="16"/>
          <w:szCs w:val="16"/>
          <w:b w:val="1"/>
          <w:bCs w:val="1"/>
          <w:color w:val="auto"/>
        </w:rPr>
        <w:t>Derivative Instrument</w:t>
      </w:r>
      <w:r>
        <w:rPr>
          <w:rFonts w:ascii="Arial" w:cs="Arial" w:eastAsia="Arial" w:hAnsi="Arial"/>
          <w:sz w:val="16"/>
          <w:szCs w:val="16"/>
          <w:color w:val="auto"/>
        </w:rPr>
        <w:t>”) including the full notional amount of any securities that, directly or indirectly, underlie any Derivative Instrument;</w:t>
      </w:r>
    </w:p>
    <w:p>
      <w:pPr>
        <w:spacing w:after="0" w:line="1"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20" w:lineRule="exact"/>
        <w:rPr>
          <w:rFonts w:ascii="Arial" w:cs="Arial" w:eastAsia="Arial" w:hAnsi="Arial"/>
          <w:sz w:val="16"/>
          <w:szCs w:val="16"/>
          <w:b w:val="1"/>
          <w:bCs w:val="1"/>
          <w:color w:val="auto"/>
        </w:rPr>
      </w:pPr>
    </w:p>
    <w:p>
      <w:pPr>
        <w:ind w:left="3880" w:hanging="632"/>
        <w:spacing w:after="0"/>
        <w:tabs>
          <w:tab w:leader="none" w:pos="3880" w:val="left"/>
        </w:tabs>
        <w:numPr>
          <w:ilvl w:val="1"/>
          <w:numId w:val="11"/>
        </w:numPr>
        <w:rPr>
          <w:rFonts w:ascii="Arial" w:cs="Arial" w:eastAsia="Arial" w:hAnsi="Arial"/>
          <w:sz w:val="16"/>
          <w:szCs w:val="16"/>
          <w:b w:val="1"/>
          <w:bCs w:val="1"/>
          <w:color w:val="auto"/>
        </w:rPr>
      </w:pPr>
      <w:r>
        <w:rPr>
          <w:rFonts w:ascii="Arial" w:cs="Arial" w:eastAsia="Arial" w:hAnsi="Arial"/>
          <w:sz w:val="16"/>
          <w:szCs w:val="16"/>
          <w:color w:val="auto"/>
        </w:rPr>
        <w:t>any proxy, contract, arrangement, understanding or relationship pursuant to which such stockholder,</w:t>
      </w:r>
    </w:p>
    <w:p>
      <w:pPr>
        <w:spacing w:after="0" w:line="72"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such beneficial owner or their respective affiliates or associates or others acting in concert with them has a right to vote any shares of any security of the Company;</w:t>
      </w:r>
    </w:p>
    <w:p>
      <w:pPr>
        <w:spacing w:after="0" w:line="130" w:lineRule="exact"/>
        <w:rPr>
          <w:rFonts w:ascii="Arial" w:cs="Arial" w:eastAsia="Arial" w:hAnsi="Arial"/>
          <w:sz w:val="16"/>
          <w:szCs w:val="16"/>
          <w:b w:val="1"/>
          <w:bCs w:val="1"/>
          <w:color w:val="auto"/>
        </w:rPr>
      </w:pPr>
    </w:p>
    <w:p>
      <w:pPr>
        <w:jc w:val="both"/>
        <w:ind w:firstLine="3248"/>
        <w:spacing w:after="0" w:line="303" w:lineRule="auto"/>
        <w:tabs>
          <w:tab w:leader="none" w:pos="3878"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20" w:lineRule="exact"/>
        <w:rPr>
          <w:rFonts w:ascii="Arial" w:cs="Arial" w:eastAsia="Arial" w:hAnsi="Arial"/>
          <w:sz w:val="18"/>
          <w:szCs w:val="18"/>
          <w:b w:val="1"/>
          <w:bCs w:val="1"/>
          <w:color w:val="auto"/>
        </w:rPr>
      </w:pPr>
    </w:p>
    <w:p>
      <w:pPr>
        <w:ind w:left="3880" w:hanging="632"/>
        <w:spacing w:after="0"/>
        <w:tabs>
          <w:tab w:leader="none" w:pos="3880"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any proportionate interest in the Company’s securities or Derivative Instruments held, directly or</w:t>
      </w:r>
    </w:p>
    <w:p>
      <w:pPr>
        <w:spacing w:after="0" w:line="61" w:lineRule="exact"/>
        <w:rPr>
          <w:rFonts w:ascii="Arial" w:cs="Arial" w:eastAsia="Arial" w:hAnsi="Arial"/>
          <w:sz w:val="17"/>
          <w:szCs w:val="17"/>
          <w:b w:val="1"/>
          <w:bCs w:val="1"/>
          <w:color w:val="auto"/>
        </w:rPr>
      </w:pPr>
    </w:p>
    <w:p>
      <w:pPr>
        <w:spacing w:after="0" w:line="377" w:lineRule="auto"/>
        <w:rPr>
          <w:rFonts w:ascii="Arial" w:cs="Arial" w:eastAsia="Arial" w:hAnsi="Arial"/>
          <w:sz w:val="17"/>
          <w:szCs w:val="17"/>
          <w:b w:val="1"/>
          <w:bCs w:val="1"/>
          <w:color w:val="auto"/>
        </w:rPr>
      </w:pPr>
      <w:r>
        <w:rPr>
          <w:rFonts w:ascii="Arial" w:cs="Arial" w:eastAsia="Arial" w:hAnsi="Arial"/>
          <w:sz w:val="16"/>
          <w:szCs w:val="16"/>
          <w:color w:val="auto"/>
        </w:rPr>
        <w:t>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5" w:right="339" w:bottom="1440" w:gutter="0" w:footer="0" w:header="0"/>
        </w:sectPr>
      </w:pPr>
    </w:p>
    <w:bookmarkStart w:id="10" w:name="page11"/>
    <w:bookmarkEnd w:id="10"/>
    <w:p>
      <w:pPr>
        <w:ind w:left="3880" w:hanging="632"/>
        <w:spacing w:after="0"/>
        <w:tabs>
          <w:tab w:leader="none" w:pos="38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any performance-related fees (other than an asset-based fee) that such stockholder, such beneficial</w:t>
      </w:r>
    </w:p>
    <w:p>
      <w:pPr>
        <w:spacing w:after="0" w:line="72"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20" w:lineRule="exact"/>
        <w:rPr>
          <w:rFonts w:ascii="Arial" w:cs="Arial" w:eastAsia="Arial" w:hAnsi="Arial"/>
          <w:sz w:val="16"/>
          <w:szCs w:val="16"/>
          <w:b w:val="1"/>
          <w:bCs w:val="1"/>
          <w:color w:val="auto"/>
        </w:rPr>
      </w:pPr>
    </w:p>
    <w:p>
      <w:pPr>
        <w:ind w:left="3900" w:hanging="652"/>
        <w:spacing w:after="0"/>
        <w:tabs>
          <w:tab w:leader="none" w:pos="390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any significant equity interests or any Derivative Instruments in any principal competitor of the</w:t>
      </w:r>
    </w:p>
    <w:p>
      <w:pPr>
        <w:spacing w:after="0" w:line="6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color w:val="auto"/>
        </w:rPr>
        <w:t>Company that are held by such stockholder, such beneficial owner or their respective affiliates or associates or others acting in concert with them;</w:t>
      </w:r>
    </w:p>
    <w:p>
      <w:pPr>
        <w:spacing w:after="0" w:line="209" w:lineRule="exact"/>
        <w:rPr>
          <w:rFonts w:ascii="Arial" w:cs="Arial" w:eastAsia="Arial" w:hAnsi="Arial"/>
          <w:sz w:val="17"/>
          <w:szCs w:val="17"/>
          <w:b w:val="1"/>
          <w:bCs w:val="1"/>
          <w:color w:val="auto"/>
        </w:rPr>
      </w:pPr>
    </w:p>
    <w:p>
      <w:pPr>
        <w:ind w:left="3880" w:hanging="632"/>
        <w:spacing w:after="0"/>
        <w:tabs>
          <w:tab w:leader="none" w:pos="38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any direct or indirect interest of such stockholder, such beneficial owner or their respective affiliates</w:t>
      </w:r>
    </w:p>
    <w:p>
      <w:pPr>
        <w:spacing w:after="0" w:line="72" w:lineRule="exact"/>
        <w:rPr>
          <w:rFonts w:ascii="Arial" w:cs="Arial" w:eastAsia="Arial" w:hAnsi="Arial"/>
          <w:sz w:val="16"/>
          <w:szCs w:val="16"/>
          <w:b w:val="1"/>
          <w:bCs w:val="1"/>
          <w:color w:val="auto"/>
        </w:rPr>
      </w:pPr>
    </w:p>
    <w:p>
      <w:pPr>
        <w:spacing w:after="0" w:line="341" w:lineRule="auto"/>
        <w:rPr>
          <w:rFonts w:ascii="Arial" w:cs="Arial" w:eastAsia="Arial" w:hAnsi="Arial"/>
          <w:sz w:val="16"/>
          <w:szCs w:val="16"/>
          <w:b w:val="1"/>
          <w:bCs w:val="1"/>
          <w:color w:val="auto"/>
        </w:rPr>
      </w:pPr>
      <w:r>
        <w:rPr>
          <w:rFonts w:ascii="Arial" w:cs="Arial" w:eastAsia="Arial" w:hAnsi="Arial"/>
          <w:sz w:val="17"/>
          <w:szCs w:val="17"/>
          <w:color w:val="auto"/>
        </w:rPr>
        <w:t>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06" w:lineRule="exact"/>
        <w:rPr>
          <w:rFonts w:ascii="Arial" w:cs="Arial" w:eastAsia="Arial" w:hAnsi="Arial"/>
          <w:sz w:val="16"/>
          <w:szCs w:val="16"/>
          <w:b w:val="1"/>
          <w:bCs w:val="1"/>
          <w:color w:val="auto"/>
        </w:rPr>
      </w:pPr>
    </w:p>
    <w:p>
      <w:pPr>
        <w:jc w:val="both"/>
        <w:ind w:firstLine="3248"/>
        <w:spacing w:after="0" w:line="303" w:lineRule="auto"/>
        <w:tabs>
          <w:tab w:leader="none" w:pos="3881"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20" w:lineRule="exact"/>
        <w:rPr>
          <w:rFonts w:ascii="Arial" w:cs="Arial" w:eastAsia="Arial" w:hAnsi="Arial"/>
          <w:sz w:val="18"/>
          <w:szCs w:val="18"/>
          <w:b w:val="1"/>
          <w:bCs w:val="1"/>
          <w:color w:val="auto"/>
        </w:rPr>
      </w:pPr>
    </w:p>
    <w:p>
      <w:pPr>
        <w:ind w:left="3880" w:hanging="632"/>
        <w:spacing w:after="0"/>
        <w:tabs>
          <w:tab w:leader="none" w:pos="38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any material relationship between such stockholder, such beneficial owner or their respective</w:t>
      </w:r>
    </w:p>
    <w:p>
      <w:pPr>
        <w:spacing w:after="0" w:line="61" w:lineRule="exact"/>
        <w:rPr>
          <w:rFonts w:ascii="Arial" w:cs="Arial" w:eastAsia="Arial" w:hAnsi="Arial"/>
          <w:sz w:val="17"/>
          <w:szCs w:val="17"/>
          <w:b w:val="1"/>
          <w:bCs w:val="1"/>
          <w:color w:val="auto"/>
        </w:rPr>
      </w:pPr>
    </w:p>
    <w:p>
      <w:pPr>
        <w:spacing w:after="0" w:line="308" w:lineRule="auto"/>
        <w:rPr>
          <w:rFonts w:ascii="Arial" w:cs="Arial" w:eastAsia="Arial" w:hAnsi="Arial"/>
          <w:sz w:val="17"/>
          <w:szCs w:val="17"/>
          <w:b w:val="1"/>
          <w:bCs w:val="1"/>
          <w:color w:val="auto"/>
        </w:rPr>
      </w:pPr>
      <w:r>
        <w:rPr>
          <w:rFonts w:ascii="Arial" w:cs="Arial" w:eastAsia="Arial" w:hAnsi="Arial"/>
          <w:sz w:val="18"/>
          <w:szCs w:val="18"/>
          <w:color w:val="auto"/>
        </w:rPr>
        <w:t>affiliates or associates or others acting in concert with them, on the one hand, and the Company or any of its officers, directors or affiliates, on the other hand;</w:t>
      </w:r>
    </w:p>
    <w:p>
      <w:pPr>
        <w:spacing w:after="0" w:line="130" w:lineRule="exact"/>
        <w:rPr>
          <w:rFonts w:ascii="Arial" w:cs="Arial" w:eastAsia="Arial" w:hAnsi="Arial"/>
          <w:sz w:val="17"/>
          <w:szCs w:val="17"/>
          <w:b w:val="1"/>
          <w:bCs w:val="1"/>
          <w:color w:val="auto"/>
        </w:rPr>
      </w:pPr>
    </w:p>
    <w:p>
      <w:pPr>
        <w:ind w:left="3880" w:hanging="632"/>
        <w:spacing w:after="0"/>
        <w:tabs>
          <w:tab w:leader="none" w:pos="38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 representation and undertaking that the stockholder is a holder of record of stock of the Company as</w:t>
      </w:r>
    </w:p>
    <w:p>
      <w:pPr>
        <w:spacing w:after="0" w:line="72"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of the date of submission of the stockholder’s notice and intends to appear in person or by proxy at the annual meeting to bring such nomination or other business before the annual meeting;</w:t>
      </w:r>
    </w:p>
    <w:p>
      <w:pPr>
        <w:spacing w:after="0" w:line="130" w:lineRule="exact"/>
        <w:rPr>
          <w:rFonts w:ascii="Arial" w:cs="Arial" w:eastAsia="Arial" w:hAnsi="Arial"/>
          <w:sz w:val="16"/>
          <w:szCs w:val="16"/>
          <w:b w:val="1"/>
          <w:bCs w:val="1"/>
          <w:color w:val="auto"/>
        </w:rPr>
      </w:pPr>
    </w:p>
    <w:p>
      <w:pPr>
        <w:jc w:val="both"/>
        <w:ind w:firstLine="3248"/>
        <w:spacing w:after="0" w:line="325" w:lineRule="auto"/>
        <w:tabs>
          <w:tab w:leader="none" w:pos="3881"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 representation and undertaking as to whether such stockholder, such beneficial owner or their respective affiliates or associates or others acting in concert with them intends, or is part of a group that intends, to (x) deliver a proxy statement or form of</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w:t>
      </w:r>
    </w:p>
    <w:p>
      <w:pPr>
        <w:spacing w:after="0" w:line="1" w:lineRule="exact"/>
        <w:rPr>
          <w:rFonts w:ascii="Arial" w:cs="Arial" w:eastAsia="Arial" w:hAnsi="Arial"/>
          <w:sz w:val="16"/>
          <w:szCs w:val="16"/>
          <w:b w:val="1"/>
          <w:bCs w:val="1"/>
          <w:color w:val="auto"/>
        </w:rPr>
      </w:pPr>
    </w:p>
    <w:p>
      <w:pPr>
        <w:spacing w:after="0" w:line="341" w:lineRule="auto"/>
        <w:rPr>
          <w:rFonts w:ascii="Arial" w:cs="Arial" w:eastAsia="Arial" w:hAnsi="Arial"/>
          <w:sz w:val="16"/>
          <w:szCs w:val="16"/>
          <w:b w:val="1"/>
          <w:bCs w:val="1"/>
          <w:color w:val="auto"/>
        </w:rPr>
      </w:pPr>
      <w:r>
        <w:rPr>
          <w:rFonts w:ascii="Arial" w:cs="Arial" w:eastAsia="Arial" w:hAnsi="Arial"/>
          <w:sz w:val="17"/>
          <w:szCs w:val="17"/>
          <w:color w:val="auto"/>
        </w:rPr>
        <w:t>respective affiliates or associates or others acting in concert with them intends to solicit the requisite percentage of the voting power of the Company’s stock under Rule 14a-19 of the 1934 Act); or (y) otherwise solicit proxies from stockholders in support of such proposal or nomination;</w:t>
      </w:r>
    </w:p>
    <w:p>
      <w:pPr>
        <w:spacing w:after="0" w:line="106" w:lineRule="exact"/>
        <w:rPr>
          <w:rFonts w:ascii="Arial" w:cs="Arial" w:eastAsia="Arial" w:hAnsi="Arial"/>
          <w:sz w:val="16"/>
          <w:szCs w:val="16"/>
          <w:b w:val="1"/>
          <w:bCs w:val="1"/>
          <w:color w:val="auto"/>
        </w:rPr>
      </w:pPr>
    </w:p>
    <w:p>
      <w:pPr>
        <w:jc w:val="both"/>
        <w:ind w:firstLine="3248"/>
        <w:spacing w:after="0" w:line="325" w:lineRule="auto"/>
        <w:tabs>
          <w:tab w:leader="none" w:pos="3885"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any other information relating to such stockholder, such beneficial owner or their respective affiliates or associates or others acting in concert with them, or director nominee or proposed business, that, in each case, would be required to be disclosed in a</w:t>
      </w:r>
    </w:p>
    <w:p>
      <w:pPr>
        <w:spacing w:after="0" w:line="1"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proxy statement or other filing required to be made in connection with the solicitation of proxies in support of such nominee (in a contested election of directors) or proposal pursuant to Section 14 of the 1934 Act; and</w:t>
      </w:r>
    </w:p>
    <w:p>
      <w:pPr>
        <w:spacing w:after="0" w:line="130" w:lineRule="exact"/>
        <w:rPr>
          <w:sz w:val="20"/>
          <w:szCs w:val="20"/>
          <w:color w:val="auto"/>
        </w:rPr>
      </w:pPr>
    </w:p>
    <w:p>
      <w:pPr>
        <w:ind w:left="3880" w:hanging="632"/>
        <w:spacing w:after="0"/>
        <w:tabs>
          <w:tab w:leader="none" w:pos="3880" w:val="left"/>
        </w:tabs>
        <w:numPr>
          <w:ilvl w:val="1"/>
          <w:numId w:val="13"/>
        </w:numPr>
        <w:rPr>
          <w:rFonts w:ascii="Arial" w:cs="Arial" w:eastAsia="Arial" w:hAnsi="Arial"/>
          <w:sz w:val="16"/>
          <w:szCs w:val="16"/>
          <w:b w:val="1"/>
          <w:bCs w:val="1"/>
          <w:color w:val="auto"/>
        </w:rPr>
      </w:pPr>
      <w:r>
        <w:rPr>
          <w:rFonts w:ascii="Arial" w:cs="Arial" w:eastAsia="Arial" w:hAnsi="Arial"/>
          <w:sz w:val="16"/>
          <w:szCs w:val="16"/>
          <w:color w:val="auto"/>
        </w:rPr>
        <w:t>such other information relating to any proposed item of business as the Company may reasonably</w:t>
      </w:r>
    </w:p>
    <w:p>
      <w:pPr>
        <w:spacing w:after="0" w:line="59"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require to determine whether such proposed item of business is a proper matter for stockholder action.</w:t>
      </w:r>
    </w:p>
    <w:p>
      <w:pPr>
        <w:spacing w:after="0" w:line="211" w:lineRule="exact"/>
        <w:rPr>
          <w:rFonts w:ascii="Arial" w:cs="Arial" w:eastAsia="Arial" w:hAnsi="Arial"/>
          <w:sz w:val="16"/>
          <w:szCs w:val="16"/>
          <w:b w:val="1"/>
          <w:bCs w:val="1"/>
          <w:color w:val="auto"/>
        </w:rPr>
      </w:pPr>
    </w:p>
    <w:p>
      <w:pPr>
        <w:jc w:val="both"/>
        <w:ind w:firstLine="1952"/>
        <w:spacing w:after="0" w:line="303" w:lineRule="auto"/>
        <w:tabs>
          <w:tab w:leader="none" w:pos="2586"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35" w:right="339" w:bottom="1440" w:gutter="0" w:footer="0" w:header="0"/>
        </w:sectPr>
      </w:pPr>
    </w:p>
    <w:bookmarkStart w:id="11" w:name="page12"/>
    <w:bookmarkEnd w:id="11"/>
    <w:p>
      <w:pPr>
        <w:jc w:val="both"/>
        <w:spacing w:after="0" w:line="309" w:lineRule="auto"/>
        <w:rPr>
          <w:sz w:val="20"/>
          <w:szCs w:val="20"/>
          <w:color w:val="auto"/>
        </w:rPr>
      </w:pPr>
      <w:r>
        <w:rPr>
          <w:rFonts w:ascii="Arial" w:cs="Arial" w:eastAsia="Arial" w:hAnsi="Arial"/>
          <w:sz w:val="17"/>
          <w:szCs w:val="17"/>
          <w:color w:val="auto"/>
        </w:rPr>
        <w:t>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in the case of a request for additional information, promptly following a request therefor, which response must be received by the Secretary not later than such reasonable time as is specified in any such request from the Company or,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25" w:lineRule="exact"/>
        <w:rPr>
          <w:sz w:val="20"/>
          <w:szCs w:val="20"/>
          <w:color w:val="auto"/>
        </w:rPr>
      </w:pPr>
    </w:p>
    <w:p>
      <w:pPr>
        <w:ind w:left="1940" w:hanging="636"/>
        <w:spacing w:after="0"/>
        <w:tabs>
          <w:tab w:leader="none" w:pos="1940" w:val="left"/>
        </w:tabs>
        <w:numPr>
          <w:ilvl w:val="0"/>
          <w:numId w:val="1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Special Meetings of Stockholders. </w:t>
      </w:r>
      <w:r>
        <w:rPr>
          <w:rFonts w:ascii="Arial" w:cs="Arial" w:eastAsia="Arial" w:hAnsi="Arial"/>
          <w:sz w:val="16"/>
          <w:szCs w:val="16"/>
          <w:color w:val="auto"/>
        </w:rPr>
        <w:t>Except to the extent required by the DGCL, and subject to Section 2.3(a), special meetings of</w:t>
      </w:r>
    </w:p>
    <w:p>
      <w:pPr>
        <w:spacing w:after="0" w:line="72"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w:t>
      </w:r>
    </w:p>
    <w:p>
      <w:pPr>
        <w:spacing w:after="0" w:line="1" w:lineRule="exact"/>
        <w:rPr>
          <w:rFonts w:ascii="Arial" w:cs="Arial" w:eastAsia="Arial" w:hAnsi="Arial"/>
          <w:sz w:val="16"/>
          <w:szCs w:val="16"/>
          <w:b w:val="1"/>
          <w:bCs w:val="1"/>
          <w:color w:val="auto"/>
        </w:rPr>
      </w:pPr>
    </w:p>
    <w:p>
      <w:pPr>
        <w:jc w:val="both"/>
        <w:spacing w:after="0" w:line="328" w:lineRule="auto"/>
        <w:rPr>
          <w:rFonts w:ascii="Arial" w:cs="Arial" w:eastAsia="Arial" w:hAnsi="Arial"/>
          <w:sz w:val="16"/>
          <w:szCs w:val="16"/>
          <w:b w:val="1"/>
          <w:bCs w:val="1"/>
          <w:color w:val="auto"/>
        </w:rPr>
      </w:pPr>
      <w:r>
        <w:rPr>
          <w:rFonts w:ascii="Arial" w:cs="Arial" w:eastAsia="Arial" w:hAnsi="Arial"/>
          <w:sz w:val="16"/>
          <w:szCs w:val="16"/>
          <w:color w:val="auto"/>
        </w:rPr>
        <w:t>time of the special meeting; and (v) complies with the procedures set forth in this Section 2.4(b) (with such procedures that the Company deems to be applicable to such special meeting). For nominations to be properly brought by a stockholder before a special meeting pursuant to this Section 2.4(b), the stockholder’s notice must be received by the Secretary at the principal executive offices of the Company no earlier than 8:00 a.m., Pacific time, on the</w:t>
      </w:r>
    </w:p>
    <w:p>
      <w:pPr>
        <w:spacing w:after="0" w:line="1" w:lineRule="exact"/>
        <w:rPr>
          <w:rFonts w:ascii="Arial" w:cs="Arial" w:eastAsia="Arial" w:hAnsi="Arial"/>
          <w:sz w:val="16"/>
          <w:szCs w:val="16"/>
          <w:b w:val="1"/>
          <w:bCs w:val="1"/>
          <w:color w:val="auto"/>
        </w:rPr>
      </w:pPr>
    </w:p>
    <w:p>
      <w:pPr>
        <w:spacing w:after="0" w:line="341" w:lineRule="auto"/>
        <w:rPr>
          <w:rFonts w:ascii="Arial" w:cs="Arial" w:eastAsia="Arial" w:hAnsi="Arial"/>
          <w:sz w:val="16"/>
          <w:szCs w:val="16"/>
          <w:b w:val="1"/>
          <w:bCs w:val="1"/>
          <w:color w:val="auto"/>
        </w:rPr>
      </w:pPr>
      <w:r>
        <w:rPr>
          <w:rFonts w:ascii="Arial" w:cs="Arial" w:eastAsia="Arial" w:hAnsi="Arial"/>
          <w:sz w:val="17"/>
          <w:szCs w:val="17"/>
          <w:color w:val="auto"/>
        </w:rPr>
        <w:t>120th day prior to the day of the special meeting and no later than 5:00 p.m., Pacific time, on the 10th day following the day on which public announcement of the date of the special meeting was first made. In no event will any adjournment, rescheduling, postponement or other delay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35" w:right="339" w:bottom="1440" w:gutter="0" w:footer="0" w:header="0"/>
        </w:sectPr>
      </w:pPr>
    </w:p>
    <w:bookmarkStart w:id="12" w:name="page13"/>
    <w:bookmarkEnd w:id="12"/>
    <w:p>
      <w:pPr>
        <w:jc w:val="both"/>
        <w:spacing w:after="0" w:line="328" w:lineRule="auto"/>
        <w:rPr>
          <w:sz w:val="20"/>
          <w:szCs w:val="20"/>
          <w:color w:val="auto"/>
        </w:rPr>
      </w:pPr>
      <w:r>
        <w:rPr>
          <w:rFonts w:ascii="Arial" w:cs="Arial" w:eastAsia="Arial" w:hAnsi="Arial"/>
          <w:sz w:val="17"/>
          <w:szCs w:val="17"/>
          <w:color w:val="auto"/>
        </w:rPr>
        <w:t>a special meeting or any announcement thereof commence a new time period (or extend any time period) for the giving of a stockholder’s notice as described above. A stockholder’s notice to the Secretary must comply with the applicable notice requirements of Sections 2.4(a)(iii) and 2.4(a)(iv) with references therein to “annual meeting” deemed to mean “special meeting” for the purposes of this final sentence of this Section 2.4(b).</w:t>
      </w:r>
    </w:p>
    <w:p>
      <w:pPr>
        <w:spacing w:after="0" w:line="117" w:lineRule="exact"/>
        <w:rPr>
          <w:sz w:val="20"/>
          <w:szCs w:val="20"/>
          <w:color w:val="auto"/>
        </w:rPr>
      </w:pPr>
    </w:p>
    <w:p>
      <w:pPr>
        <w:ind w:left="1940" w:hanging="636"/>
        <w:spacing w:after="0"/>
        <w:tabs>
          <w:tab w:leader="none" w:pos="1940" w:val="left"/>
        </w:tabs>
        <w:numPr>
          <w:ilvl w:val="0"/>
          <w:numId w:val="16"/>
        </w:numPr>
        <w:rPr>
          <w:rFonts w:ascii="Arial" w:cs="Arial" w:eastAsia="Arial" w:hAnsi="Arial"/>
          <w:sz w:val="18"/>
          <w:szCs w:val="18"/>
          <w:b w:val="1"/>
          <w:bCs w:val="1"/>
          <w:color w:val="auto"/>
        </w:rPr>
      </w:pPr>
      <w:r>
        <w:rPr>
          <w:rFonts w:ascii="Arial" w:cs="Arial" w:eastAsia="Arial" w:hAnsi="Arial"/>
          <w:sz w:val="18"/>
          <w:szCs w:val="18"/>
          <w:i w:val="1"/>
          <w:iCs w:val="1"/>
          <w:color w:val="auto"/>
        </w:rPr>
        <w:t>Other Requirements and Procedures</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ind w:right="20" w:firstLine="1952"/>
        <w:spacing w:after="0" w:line="395" w:lineRule="auto"/>
        <w:tabs>
          <w:tab w:leader="none" w:pos="2586" w:val="left"/>
        </w:tabs>
        <w:numPr>
          <w:ilvl w:val="1"/>
          <w:numId w:val="16"/>
        </w:numPr>
        <w:rPr>
          <w:rFonts w:ascii="Arial" w:cs="Arial" w:eastAsia="Arial" w:hAnsi="Arial"/>
          <w:sz w:val="16"/>
          <w:szCs w:val="16"/>
          <w:b w:val="1"/>
          <w:bCs w:val="1"/>
          <w:color w:val="auto"/>
        </w:rPr>
      </w:pPr>
      <w:r>
        <w:rPr>
          <w:rFonts w:ascii="Arial" w:cs="Arial" w:eastAsia="Arial" w:hAnsi="Arial"/>
          <w:sz w:val="16"/>
          <w:szCs w:val="16"/>
          <w:color w:val="auto"/>
        </w:rPr>
        <w:t>To be eligible to be a nominee of any stockholder for election as a director of the Company, the proposed nominee must provide to the Secretary, in accordance with the applicable time periods prescribed for delivery of notice under Section 2.4(a)(ii) or Section 2.4(b):</w:t>
      </w:r>
    </w:p>
    <w:p>
      <w:pPr>
        <w:spacing w:after="0" w:line="55" w:lineRule="exact"/>
        <w:rPr>
          <w:rFonts w:ascii="Arial" w:cs="Arial" w:eastAsia="Arial" w:hAnsi="Arial"/>
          <w:sz w:val="16"/>
          <w:szCs w:val="16"/>
          <w:b w:val="1"/>
          <w:bCs w:val="1"/>
          <w:color w:val="auto"/>
        </w:rPr>
      </w:pPr>
    </w:p>
    <w:p>
      <w:pPr>
        <w:ind w:left="3240" w:hanging="640"/>
        <w:spacing w:after="0"/>
        <w:tabs>
          <w:tab w:leader="none" w:pos="3240" w:val="left"/>
        </w:tabs>
        <w:numPr>
          <w:ilvl w:val="2"/>
          <w:numId w:val="16"/>
        </w:numPr>
        <w:rPr>
          <w:rFonts w:ascii="Arial" w:cs="Arial" w:eastAsia="Arial" w:hAnsi="Arial"/>
          <w:sz w:val="16"/>
          <w:szCs w:val="16"/>
          <w:b w:val="1"/>
          <w:bCs w:val="1"/>
          <w:color w:val="auto"/>
        </w:rPr>
      </w:pPr>
      <w:r>
        <w:rPr>
          <w:rFonts w:ascii="Arial" w:cs="Arial" w:eastAsia="Arial" w:hAnsi="Arial"/>
          <w:sz w:val="16"/>
          <w:szCs w:val="16"/>
          <w:color w:val="auto"/>
        </w:rPr>
        <w:t>a signed and completed written questionnaire (in the form provided by the Secretary at the written request of</w:t>
      </w:r>
    </w:p>
    <w:p>
      <w:pPr>
        <w:spacing w:after="0" w:line="72"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20" w:lineRule="exact"/>
        <w:rPr>
          <w:rFonts w:ascii="Arial" w:cs="Arial" w:eastAsia="Arial" w:hAnsi="Arial"/>
          <w:sz w:val="16"/>
          <w:szCs w:val="16"/>
          <w:b w:val="1"/>
          <w:bCs w:val="1"/>
          <w:color w:val="auto"/>
        </w:rPr>
      </w:pPr>
    </w:p>
    <w:p>
      <w:pPr>
        <w:ind w:left="3240" w:hanging="640"/>
        <w:spacing w:after="0"/>
        <w:tabs>
          <w:tab w:leader="none" w:pos="3240" w:val="left"/>
        </w:tabs>
        <w:numPr>
          <w:ilvl w:val="2"/>
          <w:numId w:val="16"/>
        </w:numPr>
        <w:rPr>
          <w:rFonts w:ascii="Arial" w:cs="Arial" w:eastAsia="Arial" w:hAnsi="Arial"/>
          <w:sz w:val="16"/>
          <w:szCs w:val="16"/>
          <w:b w:val="1"/>
          <w:bCs w:val="1"/>
          <w:color w:val="auto"/>
        </w:rPr>
      </w:pPr>
      <w:r>
        <w:rPr>
          <w:rFonts w:ascii="Arial" w:cs="Arial" w:eastAsia="Arial" w:hAnsi="Arial"/>
          <w:sz w:val="16"/>
          <w:szCs w:val="16"/>
          <w:color w:val="auto"/>
        </w:rPr>
        <w:t>a written representation and undertaking that, unless previously disclosed to the Company, such nominee is</w:t>
      </w:r>
    </w:p>
    <w:p>
      <w:pPr>
        <w:spacing w:after="0" w:line="72"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not, and will not become, a party to any voting agreement, arrangement, commitment, assurance or understanding with any person or entity as to how such nominee, if elected as a director, will vote on any issue;</w:t>
      </w:r>
    </w:p>
    <w:p>
      <w:pPr>
        <w:spacing w:after="0" w:line="130" w:lineRule="exact"/>
        <w:rPr>
          <w:rFonts w:ascii="Arial" w:cs="Arial" w:eastAsia="Arial" w:hAnsi="Arial"/>
          <w:sz w:val="16"/>
          <w:szCs w:val="16"/>
          <w:b w:val="1"/>
          <w:bCs w:val="1"/>
          <w:color w:val="auto"/>
        </w:rPr>
      </w:pPr>
    </w:p>
    <w:p>
      <w:pPr>
        <w:ind w:firstLine="2600"/>
        <w:spacing w:after="0" w:line="308" w:lineRule="auto"/>
        <w:tabs>
          <w:tab w:leader="none" w:pos="3234" w:val="left"/>
        </w:tabs>
        <w:numPr>
          <w:ilvl w:val="2"/>
          <w:numId w:val="16"/>
        </w:numPr>
        <w:rPr>
          <w:rFonts w:ascii="Arial" w:cs="Arial" w:eastAsia="Arial" w:hAnsi="Arial"/>
          <w:sz w:val="18"/>
          <w:szCs w:val="18"/>
          <w:b w:val="1"/>
          <w:bCs w:val="1"/>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Third-Party Compensation Arrangement;</w:t>
      </w:r>
    </w:p>
    <w:p>
      <w:pPr>
        <w:spacing w:after="0" w:line="130" w:lineRule="exact"/>
        <w:rPr>
          <w:rFonts w:ascii="Arial" w:cs="Arial" w:eastAsia="Arial" w:hAnsi="Arial"/>
          <w:sz w:val="18"/>
          <w:szCs w:val="18"/>
          <w:b w:val="1"/>
          <w:bCs w:val="1"/>
          <w:color w:val="auto"/>
        </w:rPr>
      </w:pPr>
    </w:p>
    <w:p>
      <w:pPr>
        <w:ind w:left="3240" w:hanging="640"/>
        <w:spacing w:after="0"/>
        <w:tabs>
          <w:tab w:leader="none" w:pos="3240" w:val="left"/>
        </w:tabs>
        <w:numPr>
          <w:ilvl w:val="2"/>
          <w:numId w:val="16"/>
        </w:numPr>
        <w:rPr>
          <w:rFonts w:ascii="Arial" w:cs="Arial" w:eastAsia="Arial" w:hAnsi="Arial"/>
          <w:sz w:val="16"/>
          <w:szCs w:val="16"/>
          <w:b w:val="1"/>
          <w:bCs w:val="1"/>
          <w:color w:val="auto"/>
        </w:rPr>
      </w:pPr>
      <w:r>
        <w:rPr>
          <w:rFonts w:ascii="Arial" w:cs="Arial" w:eastAsia="Arial" w:hAnsi="Arial"/>
          <w:sz w:val="16"/>
          <w:szCs w:val="16"/>
          <w:color w:val="auto"/>
        </w:rPr>
        <w:t>a written representation and undertaking that, if elected as a director, such nominee would be in compliance,</w:t>
      </w:r>
    </w:p>
    <w:p>
      <w:pPr>
        <w:spacing w:after="0" w:line="72"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and will continue to comply, with the Company’s corporate governance, conflict of interest, confidentiality, stock ownership and trading guidelines and other policies and guidelines applicable to directors and in effect during such person’s term in office as a director as disclosed on the Company’s website, as amended from time to time; and</w:t>
      </w:r>
    </w:p>
    <w:p>
      <w:pPr>
        <w:spacing w:after="0" w:line="120" w:lineRule="exact"/>
        <w:rPr>
          <w:rFonts w:ascii="Arial" w:cs="Arial" w:eastAsia="Arial" w:hAnsi="Arial"/>
          <w:sz w:val="16"/>
          <w:szCs w:val="16"/>
          <w:b w:val="1"/>
          <w:bCs w:val="1"/>
          <w:color w:val="auto"/>
        </w:rPr>
      </w:pPr>
    </w:p>
    <w:p>
      <w:pPr>
        <w:ind w:left="3240" w:hanging="640"/>
        <w:spacing w:after="0"/>
        <w:tabs>
          <w:tab w:leader="none" w:pos="3240" w:val="left"/>
        </w:tabs>
        <w:numPr>
          <w:ilvl w:val="2"/>
          <w:numId w:val="16"/>
        </w:numPr>
        <w:rPr>
          <w:rFonts w:ascii="Arial" w:cs="Arial" w:eastAsia="Arial" w:hAnsi="Arial"/>
          <w:sz w:val="17"/>
          <w:szCs w:val="17"/>
          <w:b w:val="1"/>
          <w:bCs w:val="1"/>
          <w:color w:val="auto"/>
        </w:rPr>
      </w:pPr>
      <w:r>
        <w:rPr>
          <w:rFonts w:ascii="Arial" w:cs="Arial" w:eastAsia="Arial" w:hAnsi="Arial"/>
          <w:sz w:val="17"/>
          <w:szCs w:val="17"/>
          <w:color w:val="auto"/>
        </w:rPr>
        <w:t>a written representation and undertaking that such nominee, if elected, intends to serve a full term on the</w:t>
      </w:r>
    </w:p>
    <w:p>
      <w:pPr>
        <w:spacing w:after="0" w:line="6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Board of Directors.</w:t>
      </w:r>
    </w:p>
    <w:p>
      <w:pPr>
        <w:spacing w:after="0" w:line="198" w:lineRule="exact"/>
        <w:rPr>
          <w:sz w:val="20"/>
          <w:szCs w:val="20"/>
          <w:color w:val="auto"/>
        </w:rPr>
      </w:pPr>
    </w:p>
    <w:p>
      <w:pPr>
        <w:ind w:firstLine="1952"/>
        <w:spacing w:after="0" w:line="357" w:lineRule="auto"/>
        <w:tabs>
          <w:tab w:leader="none" w:pos="2586"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79" w:lineRule="exact"/>
        <w:rPr>
          <w:rFonts w:ascii="Arial" w:cs="Arial" w:eastAsia="Arial" w:hAnsi="Arial"/>
          <w:sz w:val="17"/>
          <w:szCs w:val="17"/>
          <w:b w:val="1"/>
          <w:bCs w:val="1"/>
          <w:color w:val="auto"/>
        </w:rPr>
      </w:pPr>
    </w:p>
    <w:p>
      <w:pPr>
        <w:ind w:left="2600" w:hanging="648"/>
        <w:spacing w:after="0"/>
        <w:tabs>
          <w:tab w:leader="none" w:pos="26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No person will be eligible to be nominated by a stockholder for election as a director of the Company, or to be seated as</w:t>
      </w:r>
    </w:p>
    <w:p>
      <w:pPr>
        <w:spacing w:after="0" w:line="72" w:lineRule="exact"/>
        <w:rPr>
          <w:rFonts w:ascii="Arial" w:cs="Arial" w:eastAsia="Arial" w:hAnsi="Arial"/>
          <w:sz w:val="16"/>
          <w:szCs w:val="16"/>
          <w:b w:val="1"/>
          <w:bCs w:val="1"/>
          <w:color w:val="auto"/>
        </w:rPr>
      </w:pPr>
    </w:p>
    <w:p>
      <w:pPr>
        <w:ind w:right="20"/>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30" w:lineRule="exact"/>
        <w:rPr>
          <w:rFonts w:ascii="Arial" w:cs="Arial" w:eastAsia="Arial" w:hAnsi="Arial"/>
          <w:sz w:val="16"/>
          <w:szCs w:val="16"/>
          <w:b w:val="1"/>
          <w:bCs w:val="1"/>
          <w:color w:val="auto"/>
        </w:rPr>
      </w:pPr>
    </w:p>
    <w:p>
      <w:pPr>
        <w:jc w:val="both"/>
        <w:ind w:firstLine="1952"/>
        <w:spacing w:after="0" w:line="325" w:lineRule="auto"/>
        <w:tabs>
          <w:tab w:leader="none" w:pos="2592"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w:t>
      </w:r>
    </w:p>
    <w:p>
      <w:pPr>
        <w:spacing w:after="0" w:line="1" w:lineRule="exact"/>
        <w:rPr>
          <w:rFonts w:ascii="Arial" w:cs="Arial" w:eastAsia="Arial" w:hAnsi="Arial"/>
          <w:sz w:val="16"/>
          <w:szCs w:val="16"/>
          <w:b w:val="1"/>
          <w:bCs w:val="1"/>
          <w:color w:val="auto"/>
        </w:rPr>
      </w:pPr>
    </w:p>
    <w:p>
      <w:pPr>
        <w:spacing w:after="0" w:line="308" w:lineRule="auto"/>
        <w:rPr>
          <w:rFonts w:ascii="Arial" w:cs="Arial" w:eastAsia="Arial" w:hAnsi="Arial"/>
          <w:sz w:val="16"/>
          <w:szCs w:val="16"/>
          <w:b w:val="1"/>
          <w:bCs w:val="1"/>
          <w:color w:val="auto"/>
        </w:rPr>
      </w:pPr>
      <w:r>
        <w:rPr>
          <w:rFonts w:ascii="Arial" w:cs="Arial" w:eastAsia="Arial" w:hAnsi="Arial"/>
          <w:sz w:val="18"/>
          <w:szCs w:val="18"/>
          <w:color w:val="auto"/>
        </w:rPr>
        <w:t>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35" w:right="339" w:bottom="1440" w:gutter="0" w:footer="0" w:header="0"/>
        </w:sectPr>
      </w:pPr>
    </w:p>
    <w:bookmarkStart w:id="13" w:name="page14"/>
    <w:bookmarkEnd w:id="13"/>
    <w:p>
      <w:pPr>
        <w:ind w:left="2580" w:hanging="628"/>
        <w:spacing w:after="0"/>
        <w:tabs>
          <w:tab w:leader="none" w:pos="258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Notwithstanding anything to the contrary in this Section 2.4, unless otherwise required by law, if the stockholder (or a</w:t>
      </w:r>
    </w:p>
    <w:p>
      <w:pPr>
        <w:spacing w:after="0" w:line="72"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w:t>
      </w:r>
    </w:p>
    <w:p>
      <w:pPr>
        <w:spacing w:after="0" w:line="1" w:lineRule="exact"/>
        <w:rPr>
          <w:rFonts w:ascii="Arial" w:cs="Arial" w:eastAsia="Arial" w:hAnsi="Arial"/>
          <w:sz w:val="16"/>
          <w:szCs w:val="16"/>
          <w:b w:val="1"/>
          <w:bCs w:val="1"/>
          <w:color w:val="auto"/>
        </w:rPr>
      </w:pPr>
    </w:p>
    <w:p>
      <w:pPr>
        <w:jc w:val="both"/>
        <w:spacing w:after="0" w:line="325" w:lineRule="auto"/>
        <w:rPr>
          <w:rFonts w:ascii="Arial" w:cs="Arial" w:eastAsia="Arial" w:hAnsi="Arial"/>
          <w:sz w:val="16"/>
          <w:szCs w:val="16"/>
          <w:b w:val="1"/>
          <w:bCs w:val="1"/>
          <w:color w:val="auto"/>
        </w:rPr>
      </w:pPr>
      <w:r>
        <w:rPr>
          <w:rFonts w:ascii="Arial" w:cs="Arial" w:eastAsia="Arial" w:hAnsi="Arial"/>
          <w:sz w:val="16"/>
          <w:szCs w:val="16"/>
          <w:color w:val="auto"/>
        </w:rPr>
        <w:t>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w:t>
      </w:r>
    </w:p>
    <w:p>
      <w:pPr>
        <w:spacing w:after="0" w:line="1" w:lineRule="exact"/>
        <w:rPr>
          <w:rFonts w:ascii="Arial" w:cs="Arial" w:eastAsia="Arial" w:hAnsi="Arial"/>
          <w:sz w:val="16"/>
          <w:szCs w:val="16"/>
          <w:b w:val="1"/>
          <w:bCs w:val="1"/>
          <w:color w:val="auto"/>
        </w:rPr>
      </w:pPr>
    </w:p>
    <w:p>
      <w:pPr>
        <w:ind w:right="20"/>
        <w:spacing w:after="0" w:line="341" w:lineRule="auto"/>
        <w:rPr>
          <w:rFonts w:ascii="Arial" w:cs="Arial" w:eastAsia="Arial" w:hAnsi="Arial"/>
          <w:sz w:val="16"/>
          <w:szCs w:val="16"/>
          <w:b w:val="1"/>
          <w:bCs w:val="1"/>
          <w:color w:val="auto"/>
        </w:rPr>
      </w:pPr>
      <w:r>
        <w:rPr>
          <w:rFonts w:ascii="Arial" w:cs="Arial" w:eastAsia="Arial" w:hAnsi="Arial"/>
          <w:sz w:val="17"/>
          <w:szCs w:val="17"/>
          <w:color w:val="auto"/>
        </w:rPr>
        <w:t>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06" w:lineRule="exact"/>
        <w:rPr>
          <w:rFonts w:ascii="Arial" w:cs="Arial" w:eastAsia="Arial" w:hAnsi="Arial"/>
          <w:sz w:val="16"/>
          <w:szCs w:val="16"/>
          <w:b w:val="1"/>
          <w:bCs w:val="1"/>
          <w:color w:val="auto"/>
        </w:rPr>
      </w:pPr>
    </w:p>
    <w:p>
      <w:pPr>
        <w:jc w:val="both"/>
        <w:ind w:firstLine="1952"/>
        <w:spacing w:after="0" w:line="325" w:lineRule="auto"/>
        <w:tabs>
          <w:tab w:leader="none" w:pos="2586"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w:t>
      </w:r>
    </w:p>
    <w:p>
      <w:pPr>
        <w:spacing w:after="0" w:line="1" w:lineRule="exact"/>
        <w:rPr>
          <w:rFonts w:ascii="Arial" w:cs="Arial" w:eastAsia="Arial" w:hAnsi="Arial"/>
          <w:sz w:val="16"/>
          <w:szCs w:val="16"/>
          <w:b w:val="1"/>
          <w:bCs w:val="1"/>
          <w:color w:val="auto"/>
        </w:rPr>
      </w:pPr>
    </w:p>
    <w:p>
      <w:pPr>
        <w:jc w:val="both"/>
        <w:spacing w:after="0" w:line="303" w:lineRule="auto"/>
        <w:rPr>
          <w:rFonts w:ascii="Arial" w:cs="Arial" w:eastAsia="Arial" w:hAnsi="Arial"/>
          <w:sz w:val="16"/>
          <w:szCs w:val="16"/>
          <w:b w:val="1"/>
          <w:bCs w:val="1"/>
          <w:color w:val="auto"/>
        </w:rPr>
      </w:pPr>
      <w:r>
        <w:rPr>
          <w:rFonts w:ascii="Arial" w:cs="Arial" w:eastAsia="Arial" w:hAnsi="Arial"/>
          <w:sz w:val="18"/>
          <w:szCs w:val="18"/>
          <w:color w:val="auto"/>
        </w:rPr>
        <w:t>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20" w:lineRule="exact"/>
        <w:rPr>
          <w:rFonts w:ascii="Arial" w:cs="Arial" w:eastAsia="Arial" w:hAnsi="Arial"/>
          <w:sz w:val="16"/>
          <w:szCs w:val="16"/>
          <w:b w:val="1"/>
          <w:bCs w:val="1"/>
          <w:color w:val="auto"/>
        </w:rPr>
      </w:pPr>
    </w:p>
    <w:p>
      <w:pPr>
        <w:ind w:left="2580" w:hanging="628"/>
        <w:spacing w:after="0"/>
        <w:tabs>
          <w:tab w:leader="none" w:pos="25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Notwithstanding anything to the contrary in this Section 2.4, the notice requirements set forth in these bylaws with</w:t>
      </w:r>
    </w:p>
    <w:p>
      <w:pPr>
        <w:spacing w:after="0" w:line="61" w:lineRule="exact"/>
        <w:rPr>
          <w:rFonts w:ascii="Arial" w:cs="Arial" w:eastAsia="Arial" w:hAnsi="Arial"/>
          <w:sz w:val="17"/>
          <w:szCs w:val="17"/>
          <w:b w:val="1"/>
          <w:bCs w:val="1"/>
          <w:color w:val="auto"/>
        </w:rPr>
      </w:pPr>
    </w:p>
    <w:p>
      <w:pPr>
        <w:jc w:val="both"/>
        <w:spacing w:after="0" w:line="244" w:lineRule="exact"/>
        <w:rPr>
          <w:rFonts w:ascii="Arial" w:cs="Arial" w:eastAsia="Arial" w:hAnsi="Arial"/>
          <w:sz w:val="17"/>
          <w:szCs w:val="17"/>
          <w:b w:val="1"/>
          <w:bCs w:val="1"/>
          <w:color w:val="auto"/>
        </w:rPr>
      </w:pPr>
      <w:r>
        <w:rPr>
          <w:rFonts w:ascii="Arial" w:cs="Arial" w:eastAsia="Arial" w:hAnsi="Arial"/>
          <w:sz w:val="16"/>
          <w:szCs w:val="16"/>
          <w:color w:val="auto"/>
        </w:rPr>
        <w:t>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6"/>
          <w:szCs w:val="16"/>
          <w:color w:val="auto"/>
        </w:rPr>
        <w:t>‑</w:t>
      </w:r>
      <w:r>
        <w:rPr>
          <w:rFonts w:ascii="Arial" w:cs="Arial" w:eastAsia="Arial" w:hAnsi="Arial"/>
          <w:sz w:val="16"/>
          <w:szCs w:val="16"/>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6"/>
          <w:szCs w:val="16"/>
          <w:color w:val="auto"/>
        </w:rPr>
        <w:t>‑</w:t>
      </w:r>
      <w:r>
        <w:rPr>
          <w:rFonts w:ascii="Arial" w:cs="Arial" w:eastAsia="Arial" w:hAnsi="Arial"/>
          <w:sz w:val="16"/>
          <w:szCs w:val="16"/>
          <w:color w:val="auto"/>
        </w:rPr>
        <w:t>8 and other applicable rules and regulations</w:t>
      </w:r>
    </w:p>
    <w:p>
      <w:pPr>
        <w:spacing w:after="0" w:line="26" w:lineRule="exact"/>
        <w:rPr>
          <w:rFonts w:ascii="Arial" w:cs="Arial" w:eastAsia="Arial" w:hAnsi="Arial"/>
          <w:sz w:val="17"/>
          <w:szCs w:val="17"/>
          <w:b w:val="1"/>
          <w:bCs w:val="1"/>
          <w:color w:val="auto"/>
        </w:rPr>
      </w:pPr>
    </w:p>
    <w:p>
      <w:pPr>
        <w:spacing w:after="0" w:line="308" w:lineRule="auto"/>
        <w:rPr>
          <w:rFonts w:ascii="Arial" w:cs="Arial" w:eastAsia="Arial" w:hAnsi="Arial"/>
          <w:sz w:val="17"/>
          <w:szCs w:val="17"/>
          <w:b w:val="1"/>
          <w:bCs w:val="1"/>
          <w:color w:val="auto"/>
        </w:rPr>
      </w:pPr>
      <w:r>
        <w:rPr>
          <w:rFonts w:ascii="Arial" w:cs="Arial" w:eastAsia="Arial" w:hAnsi="Arial"/>
          <w:sz w:val="18"/>
          <w:szCs w:val="18"/>
          <w:color w:val="auto"/>
        </w:rPr>
        <w:t>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color w:val="auto"/>
        </w:rPr>
        <w:t>NOTICE OF STOCKHOLDERS’ MEETINGS</w:t>
      </w:r>
    </w:p>
    <w:p>
      <w:pPr>
        <w:spacing w:after="0" w:line="202"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6"/>
          <w:szCs w:val="16"/>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QUORUM</w:t>
      </w:r>
    </w:p>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3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incorporation, these bylaws or the rules of any applicable stock exchange on which the Company’s securities are listed.</w:t>
      </w:r>
    </w:p>
    <w:p>
      <w:pPr>
        <w:spacing w:after="0" w:line="212"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color w:val="auto"/>
        </w:rPr>
        <w:t>ADJOURNED MEETING; NOTICE</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CONDUCT OF BUSINESS</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VOTING</w:t>
      </w:r>
    </w:p>
    <w:p>
      <w:pPr>
        <w:spacing w:after="0" w:line="2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2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35" w:right="339" w:bottom="1440" w:gutter="0" w:footer="0" w:header="0"/>
        </w:sectPr>
      </w:pPr>
    </w:p>
    <w:bookmarkStart w:id="15" w:name="page16"/>
    <w:bookmarkEnd w:id="15"/>
    <w:p>
      <w:pPr>
        <w:jc w:val="both"/>
        <w:ind w:firstLine="648"/>
        <w:spacing w:after="0" w:line="311" w:lineRule="auto"/>
        <w:rPr>
          <w:sz w:val="20"/>
          <w:szCs w:val="20"/>
          <w:color w:val="auto"/>
        </w:rPr>
      </w:pPr>
      <w:r>
        <w:rPr>
          <w:rFonts w:ascii="Arial" w:cs="Arial" w:eastAsia="Arial" w:hAnsi="Arial"/>
          <w:sz w:val="17"/>
          <w:szCs w:val="17"/>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 on which the securities of the Company are listed.</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STOCKHOLDER ACTION BY WRITTEN CONSENT WITHOUT A MEETING</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Unless otherwise provided in the Company’s certificate of incorporation and 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RECORD DATES</w:t>
      </w:r>
    </w:p>
    <w:p>
      <w:pPr>
        <w:spacing w:after="0" w:line="202"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28"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35" w:right="339" w:bottom="1440" w:gutter="0" w:footer="0" w:header="0"/>
        </w:sectPr>
      </w:pPr>
    </w:p>
    <w:bookmarkStart w:id="16" w:name="page17"/>
    <w:bookmarkEnd w:id="16"/>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PROXIES</w:t>
      </w:r>
    </w:p>
    <w:p>
      <w:pPr>
        <w:spacing w:after="0" w:line="216" w:lineRule="exact"/>
        <w:rPr>
          <w:sz w:val="20"/>
          <w:szCs w:val="20"/>
          <w:color w:val="auto"/>
        </w:rPr>
      </w:pPr>
    </w:p>
    <w:p>
      <w:pPr>
        <w:jc w:val="both"/>
        <w:ind w:firstLine="324"/>
        <w:spacing w:after="0" w:line="336" w:lineRule="auto"/>
        <w:rPr>
          <w:sz w:val="20"/>
          <w:szCs w:val="20"/>
          <w:color w:val="auto"/>
        </w:rPr>
      </w:pPr>
      <w:r>
        <w:rPr>
          <w:rFonts w:ascii="Arial" w:cs="Arial" w:eastAsia="Arial" w:hAnsi="Arial"/>
          <w:sz w:val="16"/>
          <w:szCs w:val="16"/>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color w:val="auto"/>
        </w:rPr>
        <w:t>LIST OF STOCKHOLDERS ENTITLED TO VOTE</w:t>
      </w:r>
    </w:p>
    <w:p>
      <w:pPr>
        <w:spacing w:after="0" w:line="20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7"/>
          <w:szCs w:val="17"/>
          <w:color w:val="auto"/>
        </w:rPr>
        <w:t>The Company shall prepare, no later than the tenth day before each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6"/>
          <w:szCs w:val="16"/>
          <w:color w:val="auto"/>
        </w:rPr>
        <w:t>INSPECTORS OF ELECTION</w:t>
      </w:r>
    </w:p>
    <w:p>
      <w:pPr>
        <w:spacing w:after="0" w:line="2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inspectors shall:</w:t>
      </w:r>
    </w:p>
    <w:p>
      <w:pPr>
        <w:spacing w:after="0" w:line="198" w:lineRule="exact"/>
        <w:rPr>
          <w:sz w:val="20"/>
          <w:szCs w:val="20"/>
          <w:color w:val="auto"/>
        </w:rPr>
      </w:pPr>
    </w:p>
    <w:p>
      <w:pPr>
        <w:ind w:left="1940" w:hanging="636"/>
        <w:spacing w:after="0"/>
        <w:tabs>
          <w:tab w:leader="none" w:pos="19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ascertain the number of shares outstanding and the voting power of each;</w:t>
      </w:r>
    </w:p>
    <w:p>
      <w:pPr>
        <w:spacing w:after="0" w:line="211" w:lineRule="exact"/>
        <w:rPr>
          <w:rFonts w:ascii="Arial" w:cs="Arial" w:eastAsia="Arial" w:hAnsi="Arial"/>
          <w:sz w:val="18"/>
          <w:szCs w:val="18"/>
          <w:b w:val="1"/>
          <w:bCs w:val="1"/>
          <w:color w:val="auto"/>
        </w:rPr>
      </w:pPr>
    </w:p>
    <w:p>
      <w:pPr>
        <w:ind w:left="1940" w:hanging="636"/>
        <w:spacing w:after="0"/>
        <w:tabs>
          <w:tab w:leader="none" w:pos="19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determine the shares represented at the meeting and the validity of proxies and ballots;</w:t>
      </w:r>
    </w:p>
    <w:p>
      <w:pPr>
        <w:spacing w:after="0" w:line="198" w:lineRule="exact"/>
        <w:rPr>
          <w:rFonts w:ascii="Arial" w:cs="Arial" w:eastAsia="Arial" w:hAnsi="Arial"/>
          <w:sz w:val="18"/>
          <w:szCs w:val="18"/>
          <w:b w:val="1"/>
          <w:bCs w:val="1"/>
          <w:color w:val="auto"/>
        </w:rPr>
      </w:pPr>
    </w:p>
    <w:p>
      <w:pPr>
        <w:ind w:left="1940" w:hanging="636"/>
        <w:spacing w:after="0"/>
        <w:tabs>
          <w:tab w:leader="none" w:pos="19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count all votes and ballots;</w:t>
      </w:r>
    </w:p>
    <w:p>
      <w:pPr>
        <w:spacing w:after="0" w:line="211" w:lineRule="exact"/>
        <w:rPr>
          <w:rFonts w:ascii="Arial" w:cs="Arial" w:eastAsia="Arial" w:hAnsi="Arial"/>
          <w:sz w:val="18"/>
          <w:szCs w:val="18"/>
          <w:b w:val="1"/>
          <w:bCs w:val="1"/>
          <w:color w:val="auto"/>
        </w:rPr>
      </w:pPr>
    </w:p>
    <w:p>
      <w:pPr>
        <w:ind w:left="1940" w:hanging="636"/>
        <w:spacing w:after="0"/>
        <w:tabs>
          <w:tab w:leader="none" w:pos="19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inspectors; and</w:t>
      </w:r>
    </w:p>
    <w:p>
      <w:pPr>
        <w:spacing w:after="0" w:line="212" w:lineRule="exact"/>
        <w:rPr>
          <w:sz w:val="20"/>
          <w:szCs w:val="20"/>
          <w:color w:val="auto"/>
        </w:rPr>
      </w:pPr>
    </w:p>
    <w:p>
      <w:pPr>
        <w:ind w:left="1940" w:hanging="636"/>
        <w:spacing w:after="0"/>
        <w:tabs>
          <w:tab w:leader="none" w:pos="194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certify their determination of the number of shares represented at the meeting, and their count of all votes and ballots.</w:t>
      </w:r>
    </w:p>
    <w:p>
      <w:pPr>
        <w:spacing w:after="0" w:line="2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31" w:right="339" w:bottom="1440" w:gutter="0" w:footer="0" w:header="0"/>
        </w:sectPr>
      </w:pPr>
    </w:p>
    <w:bookmarkStart w:id="17" w:name="page18"/>
    <w:bookmarkEnd w:id="17"/>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 DIRECTORS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POWERS</w:t>
      </w:r>
    </w:p>
    <w:p>
      <w:pPr>
        <w:spacing w:after="0" w:line="20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business and affairs of the Company shall be managed by or under the direction of the Board of Directors, except as may be otherwise provided in the DGCL or the certificate of incorporation.</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NUMBER OF DIRECTORS</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ELECTION, QUALIFICATION AND TERM OF OFFICE OF DIRECTORS</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so provided in the certificate of incorporation, the directors of the Company shall be divided into three classes.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RESIGNATION AND VACANCIES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PLACE OF MEETINGS; MEETINGS BY TELEPHONE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jc w:val="both"/>
        <w:ind w:firstLine="648"/>
        <w:spacing w:after="0" w:line="303"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color w:val="auto"/>
        </w:rPr>
        <w:t>REGULAR MEETINGS</w:t>
      </w:r>
    </w:p>
    <w:p>
      <w:pPr>
        <w:spacing w:after="0" w:line="20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color w:val="auto"/>
        </w:rPr>
        <w:t>SPECIAL MEETINGS; NOTICE</w:t>
      </w:r>
    </w:p>
    <w:p>
      <w:pPr>
        <w:spacing w:after="0" w:line="21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or the Secretary or by a majority of the Whole Board; provided, that the person(s) authorized to call a special meeting of the Board of Directors may authorize another person or persons to send notice of such meeting.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12" w:lineRule="exact"/>
        <w:rPr>
          <w:sz w:val="20"/>
          <w:szCs w:val="20"/>
          <w:color w:val="auto"/>
        </w:rPr>
      </w:pPr>
    </w:p>
    <w:p>
      <w:pPr>
        <w:ind w:left="1940" w:hanging="636"/>
        <w:spacing w:after="0"/>
        <w:tabs>
          <w:tab w:leader="none" w:pos="19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delivered personally by hand, by courier or by telephone;</w:t>
      </w:r>
    </w:p>
    <w:p>
      <w:pPr>
        <w:spacing w:after="0" w:line="198"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sent by United States first-class mail, postage prepaid;</w:t>
      </w:r>
    </w:p>
    <w:p>
      <w:pPr>
        <w:spacing w:after="0" w:line="211"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sent by facsimile;</w:t>
      </w:r>
    </w:p>
    <w:p>
      <w:pPr>
        <w:spacing w:after="0" w:line="198"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sent by electronic mail; or</w:t>
      </w:r>
    </w:p>
    <w:p>
      <w:pPr>
        <w:spacing w:after="0" w:line="211"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otherwise given by electronic transmission (as defined in Section 232 of the DGCL),</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3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w:t>
      </w:r>
    </w:p>
    <w:p>
      <w:pPr>
        <w:spacing w:after="0" w:line="1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QUORUM; VOTING</w:t>
      </w:r>
    </w:p>
    <w:p>
      <w:pPr>
        <w:spacing w:after="0" w:line="20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3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35" w:right="339" w:bottom="1440" w:gutter="0" w:footer="0" w:header="0"/>
        </w:sectPr>
      </w:pPr>
    </w:p>
    <w:bookmarkStart w:id="19" w:name="page20"/>
    <w:bookmarkEnd w:id="19"/>
    <w:p>
      <w:pPr>
        <w:jc w:val="both"/>
        <w:ind w:firstLine="648"/>
        <w:spacing w:after="0" w:line="301" w:lineRule="auto"/>
        <w:rPr>
          <w:sz w:val="20"/>
          <w:szCs w:val="20"/>
          <w:color w:val="auto"/>
        </w:rPr>
      </w:pPr>
      <w:r>
        <w:rPr>
          <w:rFonts w:ascii="Arial" w:cs="Arial" w:eastAsia="Arial" w:hAnsi="Arial"/>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BOARD ACTION BY WRITTEN CONSENT WITHOUT A MEETING</w:t>
      </w:r>
    </w:p>
    <w:p>
      <w:pPr>
        <w:spacing w:after="0" w:line="2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FEES AND COMPENSATION OF DIRECTORS</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REMOVAL OF DIRECTORS</w:t>
      </w:r>
    </w:p>
    <w:p>
      <w:pPr>
        <w:spacing w:after="0" w:line="216"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COMMITTEES OF DIRECTORS</w:t>
      </w:r>
    </w:p>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35" w:right="339" w:bottom="1440" w:gutter="0" w:footer="0" w:header="0"/>
        </w:sectPr>
      </w:pPr>
    </w:p>
    <w:bookmarkStart w:id="20" w:name="page21"/>
    <w:bookmarkEnd w:id="20"/>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COMMITTEE MINUTES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and subcommittee shall keep regular minutes of its meetings.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MEETINGS AND ACTION OF COMMITTEES</w:t>
      </w:r>
    </w:p>
    <w:p>
      <w:pPr>
        <w:spacing w:after="0" w:line="216"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Unless otherwise specified by the Board of Directors, meetings and actions of committees and subcommittees shall be governed by, and held and taken in accordance with, the provisions of:</w:t>
      </w:r>
    </w:p>
    <w:p>
      <w:pPr>
        <w:spacing w:after="0" w:line="130"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Section 3.5 (place of meetings and meetings by telephone);</w:t>
      </w:r>
    </w:p>
    <w:p>
      <w:pPr>
        <w:spacing w:after="0" w:line="198"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Section 3.6 (regular meetings);</w:t>
      </w:r>
    </w:p>
    <w:p>
      <w:pPr>
        <w:spacing w:after="0" w:line="211"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Section 3.7 (special meetings and notice);</w:t>
      </w:r>
    </w:p>
    <w:p>
      <w:pPr>
        <w:spacing w:after="0" w:line="198"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Section 3.8 (quorum; voting);</w:t>
      </w:r>
    </w:p>
    <w:p>
      <w:pPr>
        <w:spacing w:after="0" w:line="211"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Section 3.9 (action without a meeting); and</w:t>
      </w:r>
    </w:p>
    <w:p>
      <w:pPr>
        <w:spacing w:after="0" w:line="198" w:lineRule="exact"/>
        <w:rPr>
          <w:rFonts w:ascii="Arial" w:cs="Arial" w:eastAsia="Arial" w:hAnsi="Arial"/>
          <w:sz w:val="18"/>
          <w:szCs w:val="18"/>
          <w:b w:val="1"/>
          <w:bCs w:val="1"/>
          <w:color w:val="auto"/>
        </w:rPr>
      </w:pPr>
    </w:p>
    <w:p>
      <w:pPr>
        <w:ind w:left="1940" w:hanging="636"/>
        <w:spacing w:after="0"/>
        <w:tabs>
          <w:tab w:leader="none" w:pos="19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Section 7.4 (waiver of notice)</w:t>
      </w:r>
    </w:p>
    <w:p>
      <w:pPr>
        <w:spacing w:after="0" w:line="212" w:lineRule="exact"/>
        <w:rPr>
          <w:sz w:val="20"/>
          <w:szCs w:val="20"/>
          <w:color w:val="auto"/>
        </w:rPr>
      </w:pPr>
    </w:p>
    <w:p>
      <w:pPr>
        <w:jc w:val="both"/>
        <w:spacing w:after="0" w:line="316" w:lineRule="auto"/>
        <w:rPr>
          <w:sz w:val="20"/>
          <w:szCs w:val="20"/>
          <w:color w:val="auto"/>
        </w:rPr>
      </w:pPr>
      <w:r>
        <w:rPr>
          <w:rFonts w:ascii="Arial" w:cs="Arial" w:eastAsia="Arial" w:hAnsi="Arial"/>
          <w:sz w:val="17"/>
          <w:szCs w:val="17"/>
          <w:color w:val="auto"/>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spacing w:after="0" w:line="116"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SUBCOMMITTEES</w:t>
      </w:r>
    </w:p>
    <w:p>
      <w:pPr>
        <w:spacing w:after="0" w:line="2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17"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18"/>
          <w:szCs w:val="18"/>
          <w:b w:val="1"/>
          <w:bCs w:val="1"/>
          <w:color w:val="auto"/>
        </w:rPr>
        <w:t>ARTICLE V -</w:t>
      </w:r>
      <w:r>
        <w:rPr>
          <w:sz w:val="20"/>
          <w:szCs w:val="20"/>
          <w:color w:val="auto"/>
        </w:rPr>
        <w:tab/>
      </w:r>
      <w:r>
        <w:rPr>
          <w:rFonts w:ascii="Arial" w:cs="Arial" w:eastAsia="Arial" w:hAnsi="Arial"/>
          <w:sz w:val="17"/>
          <w:szCs w:val="17"/>
          <w:b w:val="1"/>
          <w:bCs w:val="1"/>
          <w:color w:val="auto"/>
        </w:rPr>
        <w:t>OFFICERS</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OFFICERS</w:t>
      </w:r>
    </w:p>
    <w:p>
      <w:pPr>
        <w:spacing w:after="0" w:line="20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31" w:right="339" w:bottom="1440" w:gutter="0" w:footer="0" w:header="0"/>
        </w:sectPr>
      </w:pPr>
    </w:p>
    <w:bookmarkStart w:id="21" w:name="page22"/>
    <w:bookmarkEnd w:id="21"/>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APPOINTMENT OF OFFICERS</w:t>
      </w:r>
    </w:p>
    <w:p>
      <w:pPr>
        <w:spacing w:after="0" w:line="2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SUBORDINATE OFFICERS</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Board of Directors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REMOVAL AND RESIGNATION OF OFFICERS</w:t>
      </w:r>
    </w:p>
    <w:p>
      <w:pPr>
        <w:spacing w:after="0" w:line="2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2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VACANCIES IN OFFICES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Company shall be filled by the Board of Directors or as provided in Section 5.3.</w:t>
      </w:r>
    </w:p>
    <w:p>
      <w:pPr>
        <w:spacing w:after="0" w:line="2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REPRESENTATION OF SECURITIES OF OTHER ENTITIES</w:t>
      </w:r>
    </w:p>
    <w:p>
      <w:pPr>
        <w:spacing w:after="0" w:line="202"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color w:val="auto"/>
        </w:rPr>
        <w:t>AUTHORITY AND DUTIES OF OFFICERS</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31" w:right="339" w:bottom="1440" w:gutter="0" w:footer="0" w:header="0"/>
        </w:sectPr>
      </w:pPr>
    </w:p>
    <w:bookmarkStart w:id="22" w:name="page23"/>
    <w:bookmarkEnd w:id="22"/>
    <w:p>
      <w:pPr>
        <w:spacing w:after="0" w:line="15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ARTICLE VI -  STOCK</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color w:val="auto"/>
        </w:rPr>
        <w:t>STOCK CERTIFICATES; PARTLY PAID SHARES</w:t>
      </w:r>
    </w:p>
    <w:p>
      <w:pPr>
        <w:spacing w:after="0" w:line="20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color w:val="auto"/>
        </w:rPr>
        <w:t>SPECIAL DESIGNATION ON CERTIFICATES</w:t>
      </w:r>
    </w:p>
    <w:p>
      <w:pPr>
        <w:spacing w:after="0" w:line="216"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LOST CERTIFICATES</w:t>
      </w:r>
    </w:p>
    <w:p>
      <w:pPr>
        <w:spacing w:after="0" w:line="2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303" w:lineRule="auto"/>
        <w:rPr>
          <w:sz w:val="20"/>
          <w:szCs w:val="20"/>
          <w:color w:val="auto"/>
        </w:rPr>
      </w:pPr>
      <w:r>
        <w:rPr>
          <w:rFonts w:ascii="Arial" w:cs="Arial" w:eastAsia="Arial" w:hAnsi="Arial"/>
          <w:sz w:val="18"/>
          <w:szCs w:val="18"/>
          <w:color w:val="auto"/>
        </w:rPr>
        <w:t>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color w:val="auto"/>
        </w:rPr>
        <w:t>DIVIDENDS</w:t>
      </w:r>
    </w:p>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color w:val="auto"/>
        </w:rPr>
        <w:t>TRANSFER OF STOCK</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Transfers of record of shares of stock of the Company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9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color w:val="auto"/>
        </w:rPr>
        <w:t>STOCK TRANSFER AGREEMENTS</w:t>
      </w:r>
    </w:p>
    <w:p>
      <w:pPr>
        <w:spacing w:after="0" w:line="21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REGISTERED STOCKHOLDERS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w:t>
      </w:r>
    </w:p>
    <w:p>
      <w:pPr>
        <w:spacing w:after="0" w:line="212" w:lineRule="exact"/>
        <w:rPr>
          <w:sz w:val="20"/>
          <w:szCs w:val="20"/>
          <w:color w:val="auto"/>
        </w:rPr>
      </w:pPr>
    </w:p>
    <w:p>
      <w:pPr>
        <w:ind w:right="20" w:firstLine="1304"/>
        <w:spacing w:after="0" w:line="308" w:lineRule="auto"/>
        <w:tabs>
          <w:tab w:leader="none" w:pos="1938"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shall be entitled to recognize the exclusive right of a person registered on its books as the owner of shares to receive dividends and notices and to vote as such owner; and</w:t>
      </w:r>
    </w:p>
    <w:p>
      <w:pPr>
        <w:spacing w:after="0" w:line="130" w:lineRule="exact"/>
        <w:rPr>
          <w:rFonts w:ascii="Arial" w:cs="Arial" w:eastAsia="Arial" w:hAnsi="Arial"/>
          <w:sz w:val="18"/>
          <w:szCs w:val="18"/>
          <w:b w:val="1"/>
          <w:bCs w:val="1"/>
          <w:color w:val="auto"/>
        </w:rPr>
      </w:pPr>
    </w:p>
    <w:p>
      <w:pPr>
        <w:ind w:firstLine="1304"/>
        <w:spacing w:after="0" w:line="308" w:lineRule="auto"/>
        <w:tabs>
          <w:tab w:leader="none" w:pos="1934"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2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color w:val="auto"/>
        </w:rPr>
        <w:t>NOTICE OF STOCKHOLDERS’ MEETINGS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any meeting of stockholders shall be given in the manner set forth in the DGCL.</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NOTICE TO STOCKHOLDERS SHARING AN ADDRESS</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35" w:right="339" w:bottom="1440" w:gutter="0" w:footer="0" w:header="0"/>
        </w:sectPr>
      </w:pPr>
    </w:p>
    <w:bookmarkStart w:id="24" w:name="page25"/>
    <w:bookmarkEnd w:id="24"/>
    <w:p>
      <w:pPr>
        <w:jc w:val="both"/>
        <w:ind w:right="20"/>
        <w:spacing w:after="0" w:line="324" w:lineRule="auto"/>
        <w:rPr>
          <w:sz w:val="20"/>
          <w:szCs w:val="20"/>
          <w:color w:val="auto"/>
        </w:rPr>
      </w:pPr>
      <w:r>
        <w:rPr>
          <w:rFonts w:ascii="Arial" w:cs="Arial" w:eastAsia="Arial" w:hAnsi="Arial"/>
          <w:sz w:val="18"/>
          <w:szCs w:val="18"/>
          <w:color w:val="auto"/>
        </w:rPr>
        <w:t>intention to send the single notice, shall be deemed to have consented to receiving such single written notice. This Section 7.2 shall not apply to Sections 164, 296, 311, 312 or 324 of the DGCL.</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NOTICE TO PERSON WITH WHOM COMMUNICATION IS UNLAWFUL</w:t>
      </w:r>
    </w:p>
    <w:p>
      <w:pPr>
        <w:spacing w:after="0" w:line="21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color w:val="auto"/>
        </w:rPr>
        <w:t>WAIVER OF NOTICE</w:t>
      </w:r>
    </w:p>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26" w:lineRule="exact"/>
        <w:rPr>
          <w:sz w:val="20"/>
          <w:szCs w:val="20"/>
          <w:color w:val="auto"/>
        </w:rPr>
      </w:pPr>
    </w:p>
    <w:p>
      <w:pPr>
        <w:ind w:left="3800"/>
        <w:spacing w:after="0"/>
        <w:tabs>
          <w:tab w:leader="none" w:pos="5720" w:val="left"/>
        </w:tabs>
        <w:rPr>
          <w:sz w:val="20"/>
          <w:szCs w:val="20"/>
          <w:color w:val="auto"/>
        </w:rPr>
      </w:pPr>
      <w:r>
        <w:rPr>
          <w:rFonts w:ascii="Arial" w:cs="Arial" w:eastAsia="Arial" w:hAnsi="Arial"/>
          <w:sz w:val="18"/>
          <w:szCs w:val="18"/>
          <w:b w:val="1"/>
          <w:bCs w:val="1"/>
          <w:color w:val="auto"/>
        </w:rPr>
        <w:t>ARTICLE VIII -</w:t>
      </w:r>
      <w:r>
        <w:rPr>
          <w:sz w:val="20"/>
          <w:szCs w:val="20"/>
          <w:color w:val="auto"/>
        </w:rPr>
        <w:tab/>
      </w:r>
      <w:r>
        <w:rPr>
          <w:rFonts w:ascii="Arial" w:cs="Arial" w:eastAsia="Arial" w:hAnsi="Arial"/>
          <w:sz w:val="18"/>
          <w:szCs w:val="18"/>
          <w:b w:val="1"/>
          <w:bCs w:val="1"/>
          <w:color w:val="auto"/>
        </w:rPr>
        <w:t>INDEMNIFICATION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INDEMNIFICATION OF DIRECTORS AND OFFICERS IN THIRD PARTY PROCEEDINGS</w:t>
      </w:r>
    </w:p>
    <w:p>
      <w:pPr>
        <w:spacing w:after="0" w:line="20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35" w:right="339" w:bottom="1440" w:gutter="0" w:footer="0" w:header="0"/>
        </w:sectPr>
      </w:pPr>
    </w:p>
    <w:bookmarkStart w:id="25" w:name="page26"/>
    <w:bookmarkEnd w:id="25"/>
    <w:p>
      <w:pPr>
        <w:ind w:left="660"/>
        <w:spacing w:after="0"/>
        <w:tabs>
          <w:tab w:leader="none" w:pos="12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color w:val="auto"/>
        </w:rPr>
        <w:t>INDEMNIFICATION OF DIRECTORS AND OFFICERS IN ACTIONS BY OR IN THE RIGHT OF THE COMPANY</w:t>
      </w:r>
    </w:p>
    <w:p>
      <w:pPr>
        <w:spacing w:after="0" w:line="21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color w:val="auto"/>
        </w:rPr>
        <w:t>SUCCESSFUL DEFENSE</w:t>
      </w:r>
    </w:p>
    <w:p>
      <w:pPr>
        <w:spacing w:after="0" w:line="202"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color w:val="auto"/>
        </w:rPr>
        <w:t>INDEMNIFICATION OF OTHERS</w:t>
      </w:r>
    </w:p>
    <w:p>
      <w:pPr>
        <w:spacing w:after="0" w:line="20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color w:val="auto"/>
        </w:rPr>
        <w:t>ADVANCED PAYMENT OF EXPENSES</w:t>
      </w:r>
    </w:p>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31" w:right="339" w:bottom="1440" w:gutter="0" w:footer="0" w:header="0"/>
        </w:sectPr>
      </w:pPr>
    </w:p>
    <w:bookmarkStart w:id="26" w:name="page27"/>
    <w:bookmarkEnd w:id="26"/>
    <w:p>
      <w:pPr>
        <w:jc w:val="both"/>
        <w:ind w:firstLine="648"/>
        <w:spacing w:after="0" w:line="313" w:lineRule="auto"/>
        <w:rPr>
          <w:sz w:val="20"/>
          <w:szCs w:val="20"/>
          <w:color w:val="auto"/>
        </w:rPr>
      </w:pPr>
      <w:r>
        <w:rPr>
          <w:rFonts w:ascii="Arial" w:cs="Arial" w:eastAsia="Arial" w:hAnsi="Arial"/>
          <w:sz w:val="17"/>
          <w:szCs w:val="17"/>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color w:val="auto"/>
        </w:rPr>
        <w:t>LIMITATION OF INDEMNIFICATION</w:t>
      </w:r>
    </w:p>
    <w:p>
      <w:pPr>
        <w:spacing w:after="0" w:line="20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Subject to the requirements in Section 8.3 and the DGCL, the Company shall not be obligated to indemnify any person pursuant to this Article VIII in connection with any Proceeding (or any part of any Proceeding):</w:t>
      </w:r>
    </w:p>
    <w:p>
      <w:pPr>
        <w:spacing w:after="0" w:line="103" w:lineRule="exact"/>
        <w:rPr>
          <w:sz w:val="20"/>
          <w:szCs w:val="20"/>
          <w:color w:val="auto"/>
        </w:rPr>
      </w:pPr>
    </w:p>
    <w:p>
      <w:pPr>
        <w:ind w:firstLine="1304"/>
        <w:spacing w:after="0" w:line="324" w:lineRule="auto"/>
        <w:tabs>
          <w:tab w:leader="none" w:pos="1938"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02" w:lineRule="exact"/>
        <w:rPr>
          <w:rFonts w:ascii="Arial" w:cs="Arial" w:eastAsia="Arial" w:hAnsi="Arial"/>
          <w:sz w:val="18"/>
          <w:szCs w:val="18"/>
          <w:b w:val="1"/>
          <w:bCs w:val="1"/>
          <w:color w:val="auto"/>
        </w:rPr>
      </w:pPr>
    </w:p>
    <w:p>
      <w:pPr>
        <w:ind w:firstLine="1304"/>
        <w:spacing w:after="0" w:line="324" w:lineRule="auto"/>
        <w:tabs>
          <w:tab w:leader="none" w:pos="1934"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02" w:lineRule="exact"/>
        <w:rPr>
          <w:rFonts w:ascii="Arial" w:cs="Arial" w:eastAsia="Arial" w:hAnsi="Arial"/>
          <w:sz w:val="18"/>
          <w:szCs w:val="18"/>
          <w:b w:val="1"/>
          <w:bCs w:val="1"/>
          <w:color w:val="auto"/>
        </w:rPr>
      </w:pPr>
    </w:p>
    <w:p>
      <w:pPr>
        <w:jc w:val="both"/>
        <w:ind w:firstLine="1304"/>
        <w:spacing w:after="0" w:line="331" w:lineRule="auto"/>
        <w:tabs>
          <w:tab w:leader="none" w:pos="1941"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w:t>
      </w:r>
    </w:p>
    <w:p>
      <w:pPr>
        <w:spacing w:after="0" w:line="1" w:lineRule="exact"/>
        <w:rPr>
          <w:rFonts w:ascii="Arial" w:cs="Arial" w:eastAsia="Arial" w:hAnsi="Arial"/>
          <w:sz w:val="16"/>
          <w:szCs w:val="16"/>
          <w:b w:val="1"/>
          <w:bCs w:val="1"/>
          <w:color w:val="auto"/>
        </w:rPr>
      </w:pPr>
    </w:p>
    <w:p>
      <w:pPr>
        <w:jc w:val="both"/>
        <w:spacing w:after="0" w:line="305" w:lineRule="auto"/>
        <w:rPr>
          <w:rFonts w:ascii="Arial" w:cs="Arial" w:eastAsia="Arial" w:hAnsi="Arial"/>
          <w:sz w:val="16"/>
          <w:szCs w:val="16"/>
          <w:b w:val="1"/>
          <w:bCs w:val="1"/>
          <w:color w:val="auto"/>
        </w:rPr>
      </w:pPr>
      <w:r>
        <w:rPr>
          <w:rFonts w:ascii="Arial" w:cs="Arial" w:eastAsia="Arial" w:hAnsi="Arial"/>
          <w:sz w:val="18"/>
          <w:szCs w:val="18"/>
          <w:color w:val="auto"/>
        </w:rPr>
        <w:t>reimbursements that arise from an accounting restatement of the Company pursuant to Section 304 of the Sarbanes-Oxley Act of 2002 (the “</w:t>
      </w:r>
      <w:r>
        <w:rPr>
          <w:rFonts w:ascii="Arial" w:cs="Arial" w:eastAsia="Arial" w:hAnsi="Arial"/>
          <w:sz w:val="18"/>
          <w:szCs w:val="18"/>
          <w:b w:val="1"/>
          <w:bCs w:val="1"/>
          <w:color w:val="auto"/>
        </w:rPr>
        <w:t>Sarbanes-Oxley Act</w:t>
      </w:r>
      <w:r>
        <w:rPr>
          <w:rFonts w:ascii="Arial" w:cs="Arial" w:eastAsia="Arial" w:hAnsi="Arial"/>
          <w:sz w:val="18"/>
          <w:szCs w:val="18"/>
          <w:color w:val="auto"/>
        </w:rPr>
        <w:t>”), or the payment to the Company of profits arising from the purchase and sale by such person of securities in violation of Section 306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Sarbanes-Oxley Act), if such person is held liable therefor (including pursuant to any settlement arrangements);</w:t>
      </w:r>
    </w:p>
    <w:p>
      <w:pPr>
        <w:spacing w:after="0" w:line="119" w:lineRule="exact"/>
        <w:rPr>
          <w:rFonts w:ascii="Arial" w:cs="Arial" w:eastAsia="Arial" w:hAnsi="Arial"/>
          <w:sz w:val="16"/>
          <w:szCs w:val="16"/>
          <w:b w:val="1"/>
          <w:bCs w:val="1"/>
          <w:color w:val="auto"/>
        </w:rPr>
      </w:pPr>
    </w:p>
    <w:p>
      <w:pPr>
        <w:ind w:left="1940" w:hanging="636"/>
        <w:spacing w:after="0"/>
        <w:tabs>
          <w:tab w:leader="none" w:pos="19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initiated by such person, including any Proceeding (or any part of any Proceeding) initiated by such person against the Company</w:t>
      </w:r>
    </w:p>
    <w:p>
      <w:pPr>
        <w:spacing w:after="0" w:line="72" w:lineRule="exact"/>
        <w:rPr>
          <w:rFonts w:ascii="Arial" w:cs="Arial" w:eastAsia="Arial" w:hAnsi="Arial"/>
          <w:sz w:val="16"/>
          <w:szCs w:val="16"/>
          <w:b w:val="1"/>
          <w:bCs w:val="1"/>
          <w:color w:val="auto"/>
        </w:rPr>
      </w:pPr>
    </w:p>
    <w:p>
      <w:pPr>
        <w:jc w:val="both"/>
        <w:spacing w:after="0" w:line="328" w:lineRule="auto"/>
        <w:rPr>
          <w:rFonts w:ascii="Arial" w:cs="Arial" w:eastAsia="Arial" w:hAnsi="Arial"/>
          <w:sz w:val="16"/>
          <w:szCs w:val="16"/>
          <w:b w:val="1"/>
          <w:bCs w:val="1"/>
          <w:color w:val="auto"/>
        </w:rPr>
      </w:pPr>
      <w:r>
        <w:rPr>
          <w:rFonts w:ascii="Arial" w:cs="Arial" w:eastAsia="Arial" w:hAnsi="Arial"/>
          <w:sz w:val="17"/>
          <w:szCs w:val="17"/>
          <w:color w:val="auto"/>
        </w:rPr>
        <w:t>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03" w:lineRule="exact"/>
        <w:rPr>
          <w:rFonts w:ascii="Arial" w:cs="Arial" w:eastAsia="Arial" w:hAnsi="Arial"/>
          <w:sz w:val="16"/>
          <w:szCs w:val="16"/>
          <w:b w:val="1"/>
          <w:bCs w:val="1"/>
          <w:color w:val="auto"/>
        </w:rPr>
      </w:pPr>
    </w:p>
    <w:p>
      <w:pPr>
        <w:ind w:left="1940" w:hanging="636"/>
        <w:spacing w:after="0"/>
        <w:tabs>
          <w:tab w:leader="none" w:pos="19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if prohibited by applicable law.</w:t>
      </w:r>
    </w:p>
    <w:p>
      <w:pPr>
        <w:spacing w:after="0" w:line="20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color w:val="auto"/>
        </w:rPr>
        <w:t>DETERMINATION; CLAIM</w:t>
      </w:r>
    </w:p>
    <w:p>
      <w:pPr>
        <w:spacing w:after="0" w:line="202"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35" w:right="339" w:bottom="1440" w:gutter="0" w:footer="0" w:header="0"/>
        </w:sectPr>
      </w:pPr>
    </w:p>
    <w:bookmarkStart w:id="27" w:name="page28"/>
    <w:bookmarkEnd w:id="27"/>
    <w:p>
      <w:pPr>
        <w:ind w:left="660"/>
        <w:spacing w:after="0"/>
        <w:tabs>
          <w:tab w:leader="none" w:pos="12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color w:val="auto"/>
        </w:rPr>
        <w:t>NON-EXCLUSIVITY OF RIGHTS</w:t>
      </w:r>
    </w:p>
    <w:p>
      <w:pPr>
        <w:spacing w:after="0" w:line="21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7"/>
          <w:szCs w:val="17"/>
          <w:color w:val="auto"/>
        </w:rPr>
        <w:t>INSURANCE</w:t>
      </w:r>
    </w:p>
    <w:p>
      <w:pPr>
        <w:spacing w:after="0" w:line="21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7"/>
          <w:szCs w:val="17"/>
          <w:color w:val="auto"/>
        </w:rPr>
        <w:t>SURVIVAL</w:t>
      </w:r>
    </w:p>
    <w:p>
      <w:pPr>
        <w:spacing w:after="0" w:line="202"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7"/>
          <w:szCs w:val="17"/>
          <w:color w:val="auto"/>
        </w:rPr>
        <w:t>EFFECT OF REPEAL OR MODIFICATION</w:t>
      </w:r>
    </w:p>
    <w:p>
      <w:pPr>
        <w:spacing w:after="0" w:line="21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color w:val="auto"/>
        </w:rPr>
        <w:t>CERTAIN DEFINITIONS</w:t>
      </w:r>
    </w:p>
    <w:p>
      <w:pPr>
        <w:spacing w:after="0" w:line="2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shall include, in addition to the resulting entity,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w:t>
      </w:r>
      <w:r>
        <w:rPr>
          <w:rFonts w:ascii="Arial" w:cs="Arial" w:eastAsia="Arial" w:hAnsi="Arial"/>
          <w:sz w:val="17"/>
          <w:szCs w:val="17"/>
          <w:color w:val="auto"/>
        </w:rPr>
        <w:t>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deemed to have acted in a manner “</w:t>
      </w:r>
      <w:r>
        <w:rPr>
          <w:rFonts w:ascii="Arial" w:cs="Arial" w:eastAsia="Arial" w:hAnsi="Arial"/>
          <w:sz w:val="18"/>
          <w:szCs w:val="18"/>
          <w:b w:val="1"/>
          <w:bCs w:val="1"/>
          <w:color w:val="auto"/>
        </w:rPr>
        <w:t>not opposed to the best interests of the Company</w:t>
      </w:r>
      <w:r>
        <w:rPr>
          <w:rFonts w:ascii="Arial" w:cs="Arial" w:eastAsia="Arial" w:hAnsi="Arial"/>
          <w:sz w:val="18"/>
          <w:szCs w:val="18"/>
          <w:color w:val="auto"/>
        </w:rPr>
        <w:t>” as referred to in this Article VIII.</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ARTICLE IX -  GENERAL MATTERS</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color w:val="auto"/>
        </w:rPr>
        <w:t>EXECUTION OF CORPORATE CONTRACTS AND INSTRUMENTS</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color w:val="auto"/>
        </w:rPr>
        <w:t>FISCAL YEAR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Company shall be fixed by resolution of the Board of Directors and may be changed by the Board of Directors.</w:t>
      </w:r>
    </w:p>
    <w:p>
      <w:pPr>
        <w:spacing w:after="0" w:line="19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7"/>
          <w:szCs w:val="17"/>
          <w:color w:val="auto"/>
        </w:rPr>
        <w:t>SEAL</w:t>
      </w:r>
    </w:p>
    <w:p>
      <w:pPr>
        <w:spacing w:after="0" w:line="2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1.20</w:t>
      </w:r>
      <w:r>
        <w:rPr>
          <w:sz w:val="20"/>
          <w:szCs w:val="20"/>
          <w:color w:val="auto"/>
        </w:rPr>
        <w:tab/>
      </w:r>
      <w:r>
        <w:rPr>
          <w:rFonts w:ascii="Arial" w:cs="Arial" w:eastAsia="Arial" w:hAnsi="Arial"/>
          <w:sz w:val="17"/>
          <w:szCs w:val="17"/>
          <w:color w:val="auto"/>
        </w:rPr>
        <w:t>CONSTRUCTION; DEFINITIONS</w:t>
      </w:r>
    </w:p>
    <w:p>
      <w:pPr>
        <w:spacing w:after="0" w:line="202"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FORUM SELECTION</w:t>
      </w:r>
    </w:p>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31" w:right="339" w:bottom="1440" w:gutter="0" w:footer="0" w:header="0"/>
        </w:sectPr>
      </w:pPr>
    </w:p>
    <w:bookmarkStart w:id="29" w:name="page30"/>
    <w:bookmarkEnd w:id="29"/>
    <w:p>
      <w:pPr>
        <w:jc w:val="both"/>
        <w:ind w:firstLine="648"/>
        <w:spacing w:after="0" w:line="301" w:lineRule="auto"/>
        <w:rPr>
          <w:sz w:val="20"/>
          <w:szCs w:val="20"/>
          <w:color w:val="auto"/>
        </w:rPr>
      </w:pPr>
      <w:r>
        <w:rPr>
          <w:rFonts w:ascii="Arial" w:cs="Arial" w:eastAsia="Arial" w:hAnsi="Arial"/>
          <w:sz w:val="18"/>
          <w:szCs w:val="18"/>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Company’s securities, including, without limitation and for the avoidance of doubt, any auditor, underwriter, expert, control person or other defendant.</w:t>
      </w:r>
    </w:p>
    <w:p>
      <w:pPr>
        <w:spacing w:after="0" w:line="1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For the avoidance of doubt, nothing contained in this Section 9.5 shall apply to any action brought to enforce a duty or liability created by the 1934 Act or any successor thereto.</w:t>
      </w:r>
    </w:p>
    <w:p>
      <w:pPr>
        <w:spacing w:after="0" w:line="11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ARTICLE X -</w:t>
        <w:tab/>
        <w:t>AMENDMENTS</w:t>
      </w:r>
    </w:p>
    <w:p>
      <w:pPr>
        <w:spacing w:after="0" w:line="21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and Section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3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Third Quarter 2022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November 1, 2022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platform, today reported financial results for the third quarter ended September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56" w:lineRule="exact"/>
        <w:rPr>
          <w:sz w:val="20"/>
          <w:szCs w:val="20"/>
          <w:color w:val="auto"/>
        </w:rPr>
      </w:pPr>
    </w:p>
    <w:p>
      <w:pPr>
        <w:ind w:left="660" w:right="6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Reported total operating expenses for the third quarter of 2022 of $15.8 million, modestly higher compared to the same quarter last year reflecting increased investment in the development of our platform moderated by an ongoing focus on expense management.</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Continued progress against core scientific and engineering goals in the third quarter of 2022 while increasing experimental scale and continuing to advance the quality and customer readiness of our consumables.</w:t>
      </w:r>
    </w:p>
    <w:p>
      <w:pPr>
        <w:ind w:left="660" w:right="36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progress on advancing commercial instrument development and transitioning to a manufacturing posture across all elements of the platform as we build towards full commercial availability.</w:t>
      </w:r>
    </w:p>
    <w:p>
      <w:pPr>
        <w:spacing w:after="0" w:line="19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“I’m very excited about the emerging opportunity I see for proteomics and am pleased with the progress we’re making as a business”, said Sujal Patel, CEO of Nautilus. “We – more than ever – envision powerful research uses for our platform and continue to receive enthusiastic feedback from the researchers around the world with whom we’re engaged. Their feedback reinforces our vision that Nautilus is building a game-changing platform that will make a meaningful difference for researchers and patients alike in the years and decades to 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were $15.8 million for the third quarter of 2022, a 9% increase from $14.6 million for the three months ended September 30, 2021. The increase in operating expenses was driven primarily by an increase in headcount to support ongoing development of our products as well as the costs associated with being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loss was $14.1 million for the third quarter of 2022, as compared to a net loss of $14.5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$323.6 million as of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Nautilus will host a conference call to discuss the third quarter 2022 financial results, business developments and outlook before market open on Tuesday, November 1, 2022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1" w:name="page32"/>
    <w:bookmarkEnd w:id="31"/>
    <w:p>
      <w:pPr>
        <w:jc w:val="both"/>
        <w:spacing w:after="0" w:line="287" w:lineRule="auto"/>
        <w:rPr>
          <w:sz w:val="20"/>
          <w:szCs w:val="20"/>
          <w:color w:val="auto"/>
        </w:rPr>
      </w:pPr>
      <w:r>
        <w:rPr>
          <w:rFonts w:ascii="Arial" w:cs="Arial" w:eastAsia="Arial" w:hAnsi="Arial"/>
          <w:sz w:val="16"/>
          <w:szCs w:val="16"/>
          <w:color w:val="auto"/>
        </w:rPr>
        <w:t>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September 30, 2022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September 30, 2022 and December 31, 2021 (Unaudited)</w:t>
      </w: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188,932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65,676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359,307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33,969</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(125,155)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325,338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340" w:top="140" w:right="81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and Nine Months Ended September 30, 2022 and 2021 (Unaudited)</w:t>
      </w:r>
    </w:p>
    <w:p>
      <w:pPr>
        <w:spacing w:after="0" w:line="335"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42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9,571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8,244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28,085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c>
          <w:tcPr>
            <w:tcW w:w="0" w:type="dxa"/>
            <w:vAlign w:val="bottom"/>
          </w:tcPr>
          <w:p>
            <w:pPr>
              <w:spacing w:after="0"/>
              <w:rPr>
                <w:sz w:val="1"/>
                <w:szCs w:val="1"/>
                <w:color w:val="auto"/>
              </w:rPr>
            </w:pP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33,682</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(33,626)</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used in computing net loss per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180"/>
              <w:spacing w:after="0" w:line="176" w:lineRule="exact"/>
              <w:rPr>
                <w:sz w:val="20"/>
                <w:szCs w:val="20"/>
                <w:color w:val="auto"/>
              </w:rPr>
            </w:pPr>
            <w:r>
              <w:rPr>
                <w:rFonts w:ascii="Arial" w:cs="Arial" w:eastAsia="Arial" w:hAnsi="Arial"/>
                <w:sz w:val="18"/>
                <w:szCs w:val="18"/>
                <w:color w:val="auto"/>
                <w:w w:val="94"/>
              </w:rPr>
              <w:t>share attributable to common stockholders, basic and</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124,651,318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124,114,893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124,522,164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71,062,172</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80" w:hanging="6"/>
        <w:spacing w:after="0" w:line="293" w:lineRule="auto"/>
        <w:tabs>
          <w:tab w:leader="none" w:pos="715"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40" w:top="140" w:right="35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Nine Months Ended September 30, 2022 and 2021 (Unaudited)</w:t>
      </w:r>
    </w:p>
    <w:p>
      <w:pPr>
        <w:spacing w:after="0" w:line="200" w:lineRule="exact"/>
        <w:rPr>
          <w:sz w:val="20"/>
          <w:szCs w:val="20"/>
          <w:color w:val="auto"/>
        </w:rPr>
      </w:pPr>
    </w:p>
    <w:p>
      <w:pPr>
        <w:spacing w:after="0" w:line="37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(33,626)</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(accretion) of premium (discount) on securities,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(28,722)</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(183,745)</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(145,028)</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23"/>
        </w:trPr>
        <w:tc>
          <w:tcPr>
            <w:tcW w:w="7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327,384</w:t>
            </w:r>
          </w:p>
        </w:tc>
        <w:tc>
          <w:tcPr>
            <w:tcW w:w="0" w:type="dxa"/>
            <w:vAlign w:val="bottom"/>
          </w:tcPr>
          <w:p>
            <w:pPr>
              <w:spacing w:after="0"/>
              <w:rPr>
                <w:sz w:val="1"/>
                <w:szCs w:val="1"/>
                <w:color w:val="auto"/>
              </w:rPr>
            </w:pPr>
          </w:p>
        </w:tc>
      </w:tr>
      <w:tr>
        <w:trPr>
          <w:trHeight w:val="223"/>
        </w:trPr>
        <w:tc>
          <w:tcPr>
            <w:tcW w:w="7280" w:type="dxa"/>
            <w:vAlign w:val="bottom"/>
          </w:tcPr>
          <w:p>
            <w:pPr>
              <w:ind w:left="3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153,634</w:t>
            </w:r>
          </w:p>
        </w:tc>
        <w:tc>
          <w:tcPr>
            <w:tcW w:w="0" w:type="dxa"/>
            <w:vAlign w:val="bottom"/>
          </w:tcPr>
          <w:p>
            <w:pPr>
              <w:spacing w:after="0"/>
              <w:rPr>
                <w:sz w:val="1"/>
                <w:szCs w:val="1"/>
                <w:color w:val="auto"/>
              </w:rPr>
            </w:pPr>
          </w:p>
        </w:tc>
      </w:tr>
      <w:tr>
        <w:trPr>
          <w:trHeight w:val="256"/>
        </w:trPr>
        <w:tc>
          <w:tcPr>
            <w:tcW w:w="7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sectPr>
      <w:pgSz w:w="11900" w:h="16838" w:orient="portrait"/>
      <w:cols w:equalWidth="0" w:num="1">
        <w:col w:w="10740"/>
      </w:cols>
      <w:pgMar w:left="34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o"/>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04"/>
    </w:lvl>
  </w:abstractNum>
  <w:abstractNum w:abstractNumId="3">
    <w:nsid w:val="1BEFD79F"/>
    <w:multiLevelType w:val="hybridMultilevel"/>
    <w:lvl w:ilvl="0">
      <w:lvlJc w:val="left"/>
      <w:lvlText w:val="%1"/>
      <w:numFmt w:val="lowerRoman"/>
      <w:start w:val="1"/>
    </w:lvl>
    <w:lvl w:ilvl="1">
      <w:lvlJc w:val="left"/>
      <w:lvlText w:val="(%2)"/>
      <w:numFmt w:val="lowerLetter"/>
      <w:start w:val="1"/>
    </w:lvl>
  </w:abstractNum>
  <w:abstractNum w:abstractNumId="4">
    <w:nsid w:val="41A7C4C9"/>
    <w:multiLevelType w:val="hybridMultilevel"/>
    <w:lvl w:ilvl="0">
      <w:lvlJc w:val="left"/>
      <w:lvlText w:val="(%1)"/>
      <w:numFmt w:val="lowerRoman"/>
      <w:start w:val="4"/>
    </w:lvl>
    <w:lvl w:ilvl="1">
      <w:lvlJc w:val="left"/>
      <w:lvlText w:val="(%2)"/>
      <w:numFmt w:val="lowerLetter"/>
      <w:start w:val="2"/>
    </w:lvl>
  </w:abstractNum>
  <w:abstractNum w:abstractNumId="5">
    <w:nsid w:val="6B68079A"/>
    <w:multiLevelType w:val="hybridMultilevel"/>
    <w:lvl w:ilvl="0">
      <w:lvlJc w:val="left"/>
      <w:lvlText w:val="(%1)"/>
      <w:numFmt w:val="lowerLetter"/>
      <w:start w:val="1"/>
    </w:lvl>
    <w:lvl w:ilvl="1">
      <w:lvlJc w:val="left"/>
      <w:lvlText w:val="(%2)"/>
      <w:numFmt w:val="lowerRoman"/>
      <w:start w:val="1"/>
    </w:lvl>
  </w:abstractNum>
  <w:abstractNum w:abstractNumId="6">
    <w:nsid w:val="4E6AFB66"/>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7">
    <w:nsid w:val="25E45D32"/>
    <w:multiLevelType w:val="hybridMultilevel"/>
    <w:lvl w:ilvl="0">
      <w:lvlJc w:val="left"/>
      <w:lvlText w:val="%1"/>
      <w:numFmt w:val="decimal"/>
      <w:start w:val="1"/>
    </w:lvl>
    <w:lvl w:ilvl="1">
      <w:lvlJc w:val="left"/>
      <w:lvlText w:val="(%2)"/>
      <w:numFmt w:val="upperLetter"/>
      <w:start w:val="2"/>
    </w:lvl>
  </w:abstractNum>
  <w:abstractNum w:abstractNumId="8">
    <w:nsid w:val="519B500D"/>
    <w:multiLevelType w:val="hybridMultilevel"/>
    <w:lvl w:ilvl="0">
      <w:lvlJc w:val="left"/>
      <w:lvlText w:val="(%1)"/>
      <w:numFmt w:val="decimal"/>
      <w:start w:val="1"/>
    </w:lvl>
    <w:lvl w:ilvl="1">
      <w:lvlJc w:val="left"/>
      <w:lvlText w:val="(%2)"/>
      <w:numFmt w:val="upperLetter"/>
      <w:start w:val="7"/>
    </w:lvl>
  </w:abstractNum>
  <w:abstractNum w:abstractNumId="9">
    <w:nsid w:val="431BD7B7"/>
    <w:multiLevelType w:val="hybridMultilevel"/>
    <w:lvl w:ilvl="0">
      <w:lvlJc w:val="left"/>
      <w:lvlText w:val="%1"/>
      <w:numFmt w:val="decimal"/>
      <w:start w:val="1"/>
    </w:lvl>
    <w:lvl w:ilvl="1">
      <w:lvlJc w:val="left"/>
      <w:lvlText w:val="(%2)"/>
      <w:numFmt w:val="upperLetter"/>
      <w:start w:val="10"/>
    </w:lvl>
  </w:abstractNum>
  <w:abstractNum w:abstractNumId="10">
    <w:nsid w:val="3F2DBA31"/>
    <w:multiLevelType w:val="hybridMultilevel"/>
    <w:lvl w:ilvl="0">
      <w:lvlJc w:val="left"/>
      <w:lvlText w:val="(%1)"/>
      <w:numFmt w:val="decimal"/>
      <w:start w:val="2"/>
    </w:lvl>
    <w:lvl w:ilvl="1">
      <w:lvlJc w:val="left"/>
      <w:lvlText w:val="(%2)"/>
      <w:numFmt w:val="upperLetter"/>
      <w:start w:val="12"/>
    </w:lvl>
  </w:abstractNum>
  <w:abstractNum w:abstractNumId="11">
    <w:nsid w:val="7C83E458"/>
    <w:multiLevelType w:val="hybridMultilevel"/>
    <w:lvl w:ilvl="0">
      <w:lvlJc w:val="left"/>
      <w:lvlText w:val="(%1)"/>
      <w:numFmt w:val="upperLetter"/>
      <w:start w:val="19"/>
    </w:lvl>
  </w:abstractNum>
  <w:abstractNum w:abstractNumId="12">
    <w:nsid w:val="257130A3"/>
    <w:multiLevelType w:val="hybridMultilevel"/>
    <w:lvl w:ilvl="0">
      <w:lvlJc w:val="left"/>
      <w:lvlText w:val="%1"/>
      <w:numFmt w:val="lowerRoman"/>
      <w:start w:val="1"/>
    </w:lvl>
    <w:lvl w:ilvl="1">
      <w:lvlJc w:val="left"/>
      <w:lvlText w:val="(%2)"/>
      <w:numFmt w:val="upperLetter"/>
      <w:start w:val="27"/>
    </w:lvl>
  </w:abstractNum>
  <w:abstractNum w:abstractNumId="13">
    <w:nsid w:val="62BBD95A"/>
    <w:multiLevelType w:val="hybridMultilevel"/>
    <w:lvl w:ilvl="0">
      <w:lvlJc w:val="left"/>
      <w:lvlText w:val="(%1)"/>
      <w:numFmt w:val="lowerRoman"/>
      <w:start w:val="1"/>
    </w:lvl>
    <w:lvl w:ilvl="1">
      <w:lvlJc w:val="left"/>
      <w:lvlText w:val="%2"/>
      <w:numFmt w:val="upp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lowerRoman"/>
      <w:start w:val="4"/>
    </w:lvl>
  </w:abstractNum>
  <w:abstractNum w:abstractNumId="18">
    <w:nsid w:val="2443A858"/>
    <w:multiLevelType w:val="hybridMultilevel"/>
    <w:lvl w:ilvl="0">
      <w:lvlJc w:val="left"/>
      <w:lvlText w:val="(%1)"/>
      <w:numFmt w:val="lowerLetter"/>
      <w:start w:val="3"/>
    </w:lvl>
  </w:abstractNum>
  <w:abstractNum w:abstractNumId="19">
    <w:nsid w:val="2D1D5AE9"/>
    <w:multiLevelType w:val="hybridMultilevel"/>
    <w:lvl w:ilvl="0">
      <w:lvlJc w:val="left"/>
      <w:lvlText w:val="(%1)"/>
      <w:numFmt w:val="lowerLetter"/>
      <w:start w:val="7"/>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2022-11-01T05:20:32Z</dcterms:created>
  <dcterms:modified xsi:type="dcterms:W3CDTF">2022-11-01T05:20:32Z</dcterms:modified>
</cp:coreProperties>
</file>