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20, 2025</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80" w:lineRule="exact"/>
        <w:rPr>
          <w:sz w:val="24"/>
          <w:szCs w:val="24"/>
          <w:color w:val="auto"/>
        </w:rPr>
      </w:pPr>
    </w:p>
    <w:tbl>
      <w:tblPr>
        <w:tblLayout w:type="fixed"/>
        <w:tblInd w:w="980" w:type="dxa"/>
        <w:tblCellMar>
          <w:top w:w="0" w:type="dxa"/>
          <w:left w:w="0" w:type="dxa"/>
          <w:bottom w:w="0" w:type="dxa"/>
          <w:right w:w="0" w:type="dxa"/>
        </w:tblCellMar>
      </w:tblPr>
      <w:tr>
        <w:trPr>
          <w:trHeight w:val="238"/>
        </w:trPr>
        <w:tc>
          <w:tcPr>
            <w:tcW w:w="3460" w:type="dxa"/>
            <w:vAlign w:val="bottom"/>
          </w:tcPr>
          <w:p>
            <w:pPr>
              <w:jc w:val="center"/>
              <w:ind w:right="165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155"/>
              <w:spacing w:after="0"/>
              <w:rPr>
                <w:sz w:val="20"/>
                <w:szCs w:val="20"/>
                <w:color w:val="auto"/>
              </w:rPr>
            </w:pPr>
            <w:r>
              <w:rPr>
                <w:rFonts w:ascii="Times New Roman" w:cs="Times New Roman" w:eastAsia="Times New Roman" w:hAnsi="Times New Roman"/>
                <w:sz w:val="18"/>
                <w:szCs w:val="18"/>
                <w:b w:val="1"/>
                <w:bCs w:val="1"/>
                <w:color w:val="auto"/>
              </w:rPr>
              <w:t>001-39434</w:t>
            </w:r>
          </w:p>
        </w:tc>
        <w:tc>
          <w:tcPr>
            <w:tcW w:w="2760" w:type="dxa"/>
            <w:vAlign w:val="bottom"/>
          </w:tcPr>
          <w:p>
            <w:pPr>
              <w:jc w:val="center"/>
              <w:ind w:left="1475"/>
              <w:spacing w:after="0"/>
              <w:rPr>
                <w:sz w:val="20"/>
                <w:szCs w:val="20"/>
                <w:color w:val="auto"/>
              </w:rPr>
            </w:pPr>
            <w:r>
              <w:rPr>
                <w:rFonts w:ascii="Times New Roman" w:cs="Times New Roman" w:eastAsia="Times New Roman" w:hAnsi="Times New Roman"/>
                <w:sz w:val="18"/>
                <w:szCs w:val="18"/>
                <w:b w:val="1"/>
                <w:bCs w:val="1"/>
                <w:color w:val="auto"/>
              </w:rPr>
              <w:t>98-1541723</w:t>
            </w:r>
          </w:p>
        </w:tc>
      </w:tr>
      <w:tr>
        <w:trPr>
          <w:trHeight w:val="291"/>
        </w:trPr>
        <w:tc>
          <w:tcPr>
            <w:tcW w:w="3460" w:type="dxa"/>
            <w:vAlign w:val="bottom"/>
          </w:tcPr>
          <w:p>
            <w:pPr>
              <w:jc w:val="center"/>
              <w:ind w:right="1653"/>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2800" w:type="dxa"/>
            <w:vAlign w:val="bottom"/>
          </w:tcPr>
          <w:p>
            <w:pPr>
              <w:jc w:val="center"/>
              <w:ind w:right="375"/>
              <w:spacing w:after="0"/>
              <w:rPr>
                <w:sz w:val="20"/>
                <w:szCs w:val="20"/>
                <w:color w:val="auto"/>
              </w:rPr>
            </w:pPr>
            <w:r>
              <w:rPr>
                <w:rFonts w:ascii="Times New Roman" w:cs="Times New Roman" w:eastAsia="Times New Roman" w:hAnsi="Times New Roman"/>
                <w:sz w:val="16"/>
                <w:szCs w:val="16"/>
                <w:color w:val="auto"/>
              </w:rPr>
              <w:t>(Commission File Number)</w:t>
            </w:r>
          </w:p>
        </w:tc>
        <w:tc>
          <w:tcPr>
            <w:tcW w:w="2760" w:type="dxa"/>
            <w:vAlign w:val="bottom"/>
          </w:tcPr>
          <w:p>
            <w:pPr>
              <w:jc w:val="center"/>
              <w:ind w:left="1475"/>
              <w:spacing w:after="0"/>
              <w:rPr>
                <w:sz w:val="20"/>
                <w:szCs w:val="20"/>
                <w:color w:val="auto"/>
              </w:rPr>
            </w:pPr>
            <w:r>
              <w:rPr>
                <w:rFonts w:ascii="Times New Roman" w:cs="Times New Roman" w:eastAsia="Times New Roman" w:hAnsi="Times New Roman"/>
                <w:sz w:val="16"/>
                <w:szCs w:val="16"/>
                <w:color w:val="auto"/>
              </w:rPr>
              <w:t>(I.R.S. Employer</w:t>
            </w:r>
          </w:p>
        </w:tc>
      </w:tr>
      <w:tr>
        <w:trPr>
          <w:trHeight w:val="216"/>
        </w:trPr>
        <w:tc>
          <w:tcPr>
            <w:tcW w:w="3460" w:type="dxa"/>
            <w:vAlign w:val="bottom"/>
          </w:tcPr>
          <w:p>
            <w:pPr>
              <w:jc w:val="center"/>
              <w:ind w:right="1673"/>
              <w:spacing w:after="0"/>
              <w:rPr>
                <w:sz w:val="20"/>
                <w:szCs w:val="20"/>
                <w:color w:val="auto"/>
              </w:rPr>
            </w:pPr>
            <w:r>
              <w:rPr>
                <w:rFonts w:ascii="Times New Roman" w:cs="Times New Roman" w:eastAsia="Times New Roman" w:hAnsi="Times New Roman"/>
                <w:sz w:val="16"/>
                <w:szCs w:val="16"/>
                <w:color w:val="auto"/>
              </w:rPr>
              <w:t>of incorporation)</w:t>
            </w:r>
          </w:p>
        </w:tc>
        <w:tc>
          <w:tcPr>
            <w:tcW w:w="2800" w:type="dxa"/>
            <w:vAlign w:val="bottom"/>
          </w:tcPr>
          <w:p>
            <w:pPr>
              <w:spacing w:after="0"/>
              <w:rPr>
                <w:sz w:val="18"/>
                <w:szCs w:val="18"/>
                <w:color w:val="auto"/>
              </w:rPr>
            </w:pPr>
          </w:p>
        </w:tc>
        <w:tc>
          <w:tcPr>
            <w:tcW w:w="2760" w:type="dxa"/>
            <w:vAlign w:val="bottom"/>
          </w:tcPr>
          <w:p>
            <w:pPr>
              <w:jc w:val="center"/>
              <w:ind w:left="147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861"/>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2701 Eastlake Avenue East</w:t>
            </w:r>
          </w:p>
        </w:tc>
        <w:tc>
          <w:tcPr>
            <w:tcW w:w="28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00"/>
        </w:trPr>
        <w:tc>
          <w:tcPr>
            <w:tcW w:w="34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Seattle</w:t>
            </w:r>
            <w:r>
              <w:rPr>
                <w:rFonts w:ascii="Arial" w:cs="Arial" w:eastAsia="Arial" w:hAnsi="Arial"/>
                <w:sz w:val="18"/>
                <w:szCs w:val="18"/>
                <w:color w:val="auto"/>
                <w:w w:val="99"/>
              </w:rPr>
              <w:t>,</w:t>
            </w:r>
            <w:r>
              <w:rPr>
                <w:rFonts w:ascii="Times New Roman" w:cs="Times New Roman" w:eastAsia="Times New Roman" w:hAnsi="Times New Roman"/>
                <w:sz w:val="18"/>
                <w:szCs w:val="18"/>
                <w:b w:val="1"/>
                <w:bCs w:val="1"/>
                <w:color w:val="auto"/>
                <w:w w:val="99"/>
              </w:rPr>
              <w:t xml:space="preserve"> Washington</w:t>
            </w:r>
          </w:p>
        </w:tc>
        <w:tc>
          <w:tcPr>
            <w:tcW w:w="2800" w:type="dxa"/>
            <w:vAlign w:val="bottom"/>
          </w:tcPr>
          <w:p>
            <w:pPr>
              <w:spacing w:after="0"/>
              <w:rPr>
                <w:sz w:val="17"/>
                <w:szCs w:val="17"/>
                <w:color w:val="auto"/>
              </w:rPr>
            </w:pPr>
          </w:p>
        </w:tc>
        <w:tc>
          <w:tcPr>
            <w:tcW w:w="2760" w:type="dxa"/>
            <w:vAlign w:val="bottom"/>
          </w:tcPr>
          <w:p>
            <w:pPr>
              <w:jc w:val="right"/>
              <w:ind w:right="1355"/>
              <w:spacing w:after="0" w:line="200" w:lineRule="exact"/>
              <w:rPr>
                <w:sz w:val="20"/>
                <w:szCs w:val="20"/>
                <w:color w:val="auto"/>
              </w:rPr>
            </w:pPr>
            <w:r>
              <w:rPr>
                <w:rFonts w:ascii="Times New Roman" w:cs="Times New Roman" w:eastAsia="Times New Roman" w:hAnsi="Times New Roman"/>
                <w:sz w:val="18"/>
                <w:szCs w:val="18"/>
                <w:b w:val="1"/>
                <w:bCs w:val="1"/>
                <w:color w:val="auto"/>
              </w:rPr>
              <w:t>98102</w:t>
            </w:r>
          </w:p>
        </w:tc>
      </w:tr>
      <w:tr>
        <w:trPr>
          <w:trHeight w:val="234"/>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0" w:type="dxa"/>
            <w:vAlign w:val="bottom"/>
          </w:tcPr>
          <w:p>
            <w:pPr>
              <w:spacing w:after="0"/>
              <w:rPr>
                <w:sz w:val="20"/>
                <w:szCs w:val="20"/>
                <w:color w:val="auto"/>
              </w:rPr>
            </w:pPr>
          </w:p>
        </w:tc>
        <w:tc>
          <w:tcPr>
            <w:tcW w:w="2760" w:type="dxa"/>
            <w:vAlign w:val="bottom"/>
          </w:tcPr>
          <w:p>
            <w:pPr>
              <w:jc w:val="center"/>
              <w:ind w:right="475"/>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76" w:lineRule="exact"/>
        <w:rPr>
          <w:sz w:val="24"/>
          <w:szCs w:val="24"/>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18"/>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00" w:type="dxa"/>
            <w:vAlign w:val="bottom"/>
          </w:tcPr>
          <w:p>
            <w:pPr>
              <w:spacing w:after="0"/>
              <w:rPr>
                <w:sz w:val="20"/>
                <w:szCs w:val="20"/>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NAUT</w:t>
            </w:r>
          </w:p>
        </w:tc>
        <w:tc>
          <w:tcPr>
            <w:tcW w:w="100" w:type="dxa"/>
            <w:vAlign w:val="bottom"/>
          </w:tcPr>
          <w:p>
            <w:pPr>
              <w:spacing w:after="0"/>
              <w:rPr>
                <w:sz w:val="20"/>
                <w:szCs w:val="20"/>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6" w:lineRule="exact"/>
        <w:rPr>
          <w:sz w:val="24"/>
          <w:szCs w:val="24"/>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907415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Nautilus Biotechnology, Inc. (the “Company”) held its 2025 annual meeting of stockholders on June 20, 2025 (the “Annual Meeting”). Of the 126,148,469 shares of the Company’s common stock outstanding as of the record date of April 22, 2025, 99,716,163 shares were represented at the Annual Meeting, either by proxy or by attending the meeting. The matters voted on at the Annual Meeting and the votes cast with respect to each such matter are set forth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61" w:lineRule="exact"/>
        <w:rPr>
          <w:sz w:val="20"/>
          <w:szCs w:val="20"/>
          <w:color w:val="auto"/>
        </w:rPr>
      </w:pPr>
    </w:p>
    <w:p>
      <w:pPr>
        <w:jc w:val="both"/>
        <w:ind w:left="380" w:hanging="388"/>
        <w:spacing w:after="0" w:line="239" w:lineRule="auto"/>
        <w:tabs>
          <w:tab w:leader="none" w:pos="360" w:val="left"/>
        </w:tabs>
        <w:rPr>
          <w:sz w:val="20"/>
          <w:szCs w:val="20"/>
          <w:color w:val="auto"/>
        </w:rPr>
      </w:pPr>
      <w:r>
        <w:rPr>
          <w:rFonts w:ascii="Times New Roman" w:cs="Times New Roman" w:eastAsia="Times New Roman" w:hAnsi="Times New Roman"/>
          <w:sz w:val="18"/>
          <w:szCs w:val="18"/>
          <w:b w:val="1"/>
          <w:bCs w:val="1"/>
          <w:color w:val="auto"/>
        </w:rPr>
        <w:t>1.</w:t>
        <w:tab/>
        <w:t xml:space="preserve">Election of Class I Directors. </w:t>
      </w:r>
      <w:r>
        <w:rPr>
          <w:rFonts w:ascii="Times New Roman" w:cs="Times New Roman" w:eastAsia="Times New Roman" w:hAnsi="Times New Roman"/>
          <w:sz w:val="18"/>
          <w:szCs w:val="18"/>
          <w:color w:val="auto"/>
        </w:rPr>
        <w:t>The following nominees were elected to serve as Class I directors, each to hold office until the Company’s 2028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stockholders or until his or her respective successor has been duly elected and qualified:</w:t>
      </w:r>
    </w:p>
    <w:p>
      <w:pPr>
        <w:spacing w:after="0" w:line="238" w:lineRule="exact"/>
        <w:rPr>
          <w:sz w:val="20"/>
          <w:szCs w:val="20"/>
          <w:color w:val="auto"/>
        </w:rPr>
      </w:pPr>
    </w:p>
    <w:tbl>
      <w:tblPr>
        <w:tblLayout w:type="fixed"/>
        <w:tblInd w:w="470" w:type="dxa"/>
        <w:tblCellMar>
          <w:top w:w="0" w:type="dxa"/>
          <w:left w:w="0" w:type="dxa"/>
          <w:bottom w:w="0" w:type="dxa"/>
          <w:right w:w="0" w:type="dxa"/>
        </w:tblCellMar>
      </w:tblPr>
      <w:tr>
        <w:trPr>
          <w:trHeight w:val="230"/>
        </w:trPr>
        <w:tc>
          <w:tcPr>
            <w:tcW w:w="3320" w:type="dxa"/>
            <w:vAlign w:val="bottom"/>
            <w:tcBorders>
              <w:top w:val="single" w:sz="8" w:color="auto"/>
              <w:left w:val="single" w:sz="8" w:color="auto"/>
            </w:tcBorders>
            <w:gridSpan w:val="2"/>
            <w:shd w:val="clear" w:color="auto" w:fill="CFF0FC"/>
          </w:tcPr>
          <w:p>
            <w:pPr>
              <w:ind w:left="1220"/>
              <w:spacing w:after="0"/>
              <w:rPr>
                <w:sz w:val="20"/>
                <w:szCs w:val="20"/>
                <w:color w:val="auto"/>
              </w:rPr>
            </w:pPr>
            <w:r>
              <w:rPr>
                <w:rFonts w:ascii="Times New Roman" w:cs="Times New Roman" w:eastAsia="Times New Roman" w:hAnsi="Times New Roman"/>
                <w:sz w:val="16"/>
                <w:szCs w:val="16"/>
                <w:b w:val="1"/>
                <w:bCs w:val="1"/>
                <w:color w:val="auto"/>
              </w:rPr>
              <w:t>Nominee</w:t>
            </w:r>
          </w:p>
        </w:tc>
        <w:tc>
          <w:tcPr>
            <w:tcW w:w="2240" w:type="dxa"/>
            <w:vAlign w:val="bottom"/>
            <w:tcBorders>
              <w:top w:val="single" w:sz="8" w:color="auto"/>
            </w:tcBorders>
            <w:gridSpan w:val="2"/>
            <w:shd w:val="clear" w:color="auto" w:fill="CFF0FC"/>
          </w:tcPr>
          <w:p>
            <w:pPr>
              <w:ind w:left="60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280" w:type="dxa"/>
            <w:vAlign w:val="bottom"/>
            <w:tcBorders>
              <w:top w:val="single" w:sz="8" w:color="auto"/>
            </w:tcBorders>
            <w:gridSpan w:val="2"/>
            <w:shd w:val="clear" w:color="auto" w:fill="CFF0FC"/>
          </w:tcPr>
          <w:p>
            <w:pPr>
              <w:ind w:left="400"/>
              <w:spacing w:after="0"/>
              <w:rPr>
                <w:sz w:val="20"/>
                <w:szCs w:val="20"/>
                <w:color w:val="auto"/>
              </w:rPr>
            </w:pPr>
            <w:r>
              <w:rPr>
                <w:rFonts w:ascii="Times New Roman" w:cs="Times New Roman" w:eastAsia="Times New Roman" w:hAnsi="Times New Roman"/>
                <w:sz w:val="16"/>
                <w:szCs w:val="16"/>
                <w:b w:val="1"/>
                <w:bCs w:val="1"/>
                <w:color w:val="auto"/>
              </w:rPr>
              <w:t>Votes Withheld</w:t>
            </w:r>
          </w:p>
        </w:tc>
        <w:tc>
          <w:tcPr>
            <w:tcW w:w="2020" w:type="dxa"/>
            <w:vAlign w:val="bottom"/>
            <w:tcBorders>
              <w:top w:val="single" w:sz="8" w:color="auto"/>
              <w:right w:val="single" w:sz="8" w:color="auto"/>
            </w:tcBorders>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Broker Non-Votes</w:t>
            </w:r>
          </w:p>
        </w:tc>
      </w:tr>
      <w:tr>
        <w:trPr>
          <w:trHeight w:val="207"/>
        </w:trPr>
        <w:tc>
          <w:tcPr>
            <w:tcW w:w="3060" w:type="dxa"/>
            <w:vAlign w:val="bottom"/>
            <w:tcBorders>
              <w:top w:val="single" w:sz="8" w:color="auto"/>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Sujal Patel</w:t>
            </w:r>
          </w:p>
        </w:tc>
        <w:tc>
          <w:tcPr>
            <w:tcW w:w="260" w:type="dxa"/>
            <w:vAlign w:val="bottom"/>
          </w:tcPr>
          <w:p>
            <w:pPr>
              <w:spacing w:after="0"/>
              <w:rPr>
                <w:sz w:val="17"/>
                <w:szCs w:val="17"/>
                <w:color w:val="auto"/>
              </w:rPr>
            </w:pPr>
          </w:p>
        </w:tc>
        <w:tc>
          <w:tcPr>
            <w:tcW w:w="18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84,321,482</w:t>
            </w:r>
          </w:p>
        </w:tc>
        <w:tc>
          <w:tcPr>
            <w:tcW w:w="400" w:type="dxa"/>
            <w:vAlign w:val="bottom"/>
          </w:tcPr>
          <w:p>
            <w:pPr>
              <w:spacing w:after="0"/>
              <w:rPr>
                <w:sz w:val="17"/>
                <w:szCs w:val="17"/>
                <w:color w:val="auto"/>
              </w:rPr>
            </w:pPr>
          </w:p>
        </w:tc>
        <w:tc>
          <w:tcPr>
            <w:tcW w:w="18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828,529</w:t>
            </w:r>
          </w:p>
        </w:tc>
        <w:tc>
          <w:tcPr>
            <w:tcW w:w="400" w:type="dxa"/>
            <w:vAlign w:val="bottom"/>
          </w:tcPr>
          <w:p>
            <w:pPr>
              <w:spacing w:after="0"/>
              <w:rPr>
                <w:sz w:val="17"/>
                <w:szCs w:val="17"/>
                <w:color w:val="auto"/>
              </w:rPr>
            </w:pPr>
          </w:p>
        </w:tc>
        <w:tc>
          <w:tcPr>
            <w:tcW w:w="18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14,566,152</w:t>
            </w:r>
          </w:p>
        </w:tc>
        <w:tc>
          <w:tcPr>
            <w:tcW w:w="140" w:type="dxa"/>
            <w:vAlign w:val="bottom"/>
            <w:tcBorders>
              <w:right w:val="single" w:sz="8" w:color="auto"/>
            </w:tcBorders>
          </w:tcPr>
          <w:p>
            <w:pPr>
              <w:spacing w:after="0"/>
              <w:rPr>
                <w:sz w:val="17"/>
                <w:szCs w:val="17"/>
                <w:color w:val="auto"/>
              </w:rPr>
            </w:pPr>
          </w:p>
        </w:tc>
      </w:tr>
      <w:tr>
        <w:trPr>
          <w:trHeight w:val="209"/>
        </w:trPr>
        <w:tc>
          <w:tcPr>
            <w:tcW w:w="30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Matthew McIlwain</w:t>
            </w: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82,211,113</w:t>
            </w:r>
          </w:p>
        </w:tc>
        <w:tc>
          <w:tcPr>
            <w:tcW w:w="4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2,938,898</w:t>
            </w:r>
          </w:p>
        </w:tc>
        <w:tc>
          <w:tcPr>
            <w:tcW w:w="4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14,566,152</w:t>
            </w:r>
          </w:p>
        </w:tc>
        <w:tc>
          <w:tcPr>
            <w:tcW w:w="140" w:type="dxa"/>
            <w:vAlign w:val="bottom"/>
            <w:tcBorders>
              <w:bottom w:val="single" w:sz="8" w:color="auto"/>
              <w:right w:val="single" w:sz="8" w:color="auto"/>
            </w:tcBorders>
          </w:tcPr>
          <w:p>
            <w:pPr>
              <w:spacing w:after="0"/>
              <w:rPr>
                <w:sz w:val="18"/>
                <w:szCs w:val="18"/>
                <w:color w:val="auto"/>
              </w:rPr>
            </w:pPr>
          </w:p>
        </w:tc>
      </w:tr>
    </w:tbl>
    <w:p>
      <w:pPr>
        <w:spacing w:after="0" w:line="27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w:t>
        <w:tab/>
        <w:t xml:space="preserve">Ratification of Appointment of Independent Registered Public Accounting Firm. </w:t>
      </w:r>
      <w:r>
        <w:rPr>
          <w:rFonts w:ascii="Times New Roman" w:cs="Times New Roman" w:eastAsia="Times New Roman" w:hAnsi="Times New Roman"/>
          <w:sz w:val="18"/>
          <w:szCs w:val="18"/>
          <w:color w:val="auto"/>
        </w:rPr>
        <w:t>The appointment of PricewaterhouseCoopers LLP as the</w:t>
      </w:r>
    </w:p>
    <w:p>
      <w:pPr>
        <w:spacing w:after="0" w:line="6" w:lineRule="exact"/>
        <w:rPr>
          <w:sz w:val="20"/>
          <w:szCs w:val="20"/>
          <w:color w:val="auto"/>
        </w:rPr>
      </w:pPr>
    </w:p>
    <w:p>
      <w:pPr>
        <w:ind w:left="400"/>
        <w:spacing w:after="0" w:line="226" w:lineRule="auto"/>
        <w:rPr>
          <w:sz w:val="20"/>
          <w:szCs w:val="20"/>
          <w:color w:val="auto"/>
        </w:rPr>
      </w:pPr>
      <w:r>
        <w:rPr>
          <w:rFonts w:ascii="Times New Roman" w:cs="Times New Roman" w:eastAsia="Times New Roman" w:hAnsi="Times New Roman"/>
          <w:sz w:val="18"/>
          <w:szCs w:val="18"/>
          <w:color w:val="auto"/>
        </w:rPr>
        <w:t>Company’s independent registered public accounting firm for the fiscal year ending December 31, 2025 was ratified based on the following results of voting:</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2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22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222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Abstentions</w:t>
            </w:r>
          </w:p>
        </w:tc>
      </w:tr>
      <w:tr>
        <w:trPr>
          <w:trHeight w:val="204"/>
        </w:trPr>
        <w:tc>
          <w:tcPr>
            <w:tcW w:w="158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99,504,636</w:t>
            </w:r>
          </w:p>
        </w:tc>
        <w:tc>
          <w:tcPr>
            <w:tcW w:w="440" w:type="dxa"/>
            <w:vAlign w:val="bottom"/>
          </w:tcPr>
          <w:p>
            <w:pPr>
              <w:spacing w:after="0"/>
              <w:rPr>
                <w:sz w:val="17"/>
                <w:szCs w:val="17"/>
                <w:color w:val="auto"/>
              </w:rPr>
            </w:pPr>
          </w:p>
        </w:tc>
        <w:tc>
          <w:tcPr>
            <w:tcW w:w="178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137,708</w:t>
            </w:r>
          </w:p>
        </w:tc>
        <w:tc>
          <w:tcPr>
            <w:tcW w:w="440" w:type="dxa"/>
            <w:vAlign w:val="bottom"/>
          </w:tcPr>
          <w:p>
            <w:pPr>
              <w:spacing w:after="0"/>
              <w:rPr>
                <w:sz w:val="17"/>
                <w:szCs w:val="17"/>
                <w:color w:val="auto"/>
              </w:rPr>
            </w:pPr>
          </w:p>
        </w:tc>
        <w:tc>
          <w:tcPr>
            <w:tcW w:w="222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rPr>
              <w:t>73,819</w:t>
            </w:r>
          </w:p>
        </w:tc>
      </w:tr>
    </w:tbl>
    <w:p>
      <w:pPr>
        <w:spacing w:after="0" w:line="28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As previously disclosed, former directors Vijay Pande and Michael Altman each previously informed the Company that he would not stand for re-election to the Company’s board of directors (the “Board”) at the Annual Meeting and resigned from the Board, effective upon the Annual Meeting. In connection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therewith, also as previously disclosed, director Matthew McIlwain agreed to resign as a Class II director, effective upon the Annual Meeting, and to stand for election to the Board as a Class I director at the Annual Meeting (pursuant to which he was elected as described above) and the Board approved decreasing the authorized number of directors to seven (7) directorships, effective upon the Annual Meeting, consisting of two Class I directorships, two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 directorships and three Class III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23, 2025</w:t>
      </w:r>
    </w:p>
    <w:p>
      <w:pPr>
        <w:spacing w:after="0" w:line="28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2025-06-23T15:39:29Z</dcterms:created>
  <dcterms:modified xsi:type="dcterms:W3CDTF">2025-06-23T15:39:29Z</dcterms:modified>
</cp:coreProperties>
</file>