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Godwin Mary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09/17/2024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Senior VP, Operations</w:t>
      </w:r>
    </w:p>
    <w:p>
      <w:pPr>
        <w:spacing w:after="0" w:line="395"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4"/>
          </w:tcPr>
          <w:p>
            <w:pPr>
              <w:jc w:val="center"/>
              <w:ind w:left="1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09/17/2024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0.46</w:t>
            </w:r>
          </w:p>
        </w:tc>
        <w:tc>
          <w:tcPr>
            <w:tcW w:w="60" w:type="dxa"/>
            <w:vAlign w:val="bottom"/>
          </w:tcPr>
          <w:p>
            <w:pPr>
              <w:spacing w:after="0"/>
              <w:rPr>
                <w:sz w:val="22"/>
                <w:szCs w:val="22"/>
                <w:color w:val="auto"/>
              </w:rPr>
            </w:pPr>
          </w:p>
        </w:tc>
        <w:tc>
          <w:tcPr>
            <w:tcW w:w="128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35,000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09/17/2024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2.8534</w:t>
            </w:r>
            <w:r>
              <w:rPr>
                <w:rFonts w:ascii="Times New Roman" w:cs="Times New Roman" w:eastAsia="Times New Roman" w:hAnsi="Times New Roman"/>
                <w:sz w:val="21"/>
                <w:szCs w:val="21"/>
                <w:color w:val="008000"/>
                <w:w w:val="96"/>
                <w:vertAlign w:val="superscript"/>
              </w:rPr>
              <w:t>(1)</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0.46</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09/17/2024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01/30/2030</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0" w:type="dxa"/>
            <w:vAlign w:val="bottom"/>
          </w:tcPr>
          <w:p>
            <w:pPr>
              <w:spacing w:after="0"/>
              <w:rPr>
                <w:sz w:val="16"/>
                <w:szCs w:val="16"/>
                <w:color w:val="auto"/>
              </w:rPr>
            </w:pPr>
          </w:p>
        </w:tc>
        <w:tc>
          <w:tcPr>
            <w:tcW w:w="5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400,368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share price of an aggregate total of 35,000 shares purchased in the price range of $2.80 to $2.99 by the reporting person. The reporting person undertakes to provide upon request by the Commission staff, the issuer or a security holder of the issuer, full information regarding the number of shares purchased at each separate price.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Nautilus Subsidiary, Inc. 2017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21, 2020.</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Murphy,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09/18/2024</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9716"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2024-09-18T17:35:28Z</dcterms:created>
  <dcterms:modified xsi:type="dcterms:W3CDTF">2024-09-18T17:35:28Z</dcterms:modified>
</cp:coreProperties>
</file>