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III</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86" w:lineRule="exact"/>
        <w:rPr>
          <w:sz w:val="24"/>
          <w:szCs w:val="24"/>
          <w:color w:val="auto"/>
        </w:rPr>
      </w:pPr>
    </w:p>
    <w:p>
      <w:pPr>
        <w:sectPr>
          <w:pgSz w:w="11900" w:h="16838" w:orient="portrait"/>
          <w:cols w:equalWidth="0" w:num="3">
            <w:col w:w="4560" w:space="720"/>
            <w:col w:w="2740" w:space="720"/>
            <w:col w:w="2500"/>
          </w:cols>
          <w:pgMar w:left="320" w:top="1197" w:right="339" w:bottom="1440" w:gutter="0" w:footer="0" w:header="0"/>
          <w:type w:val="continuous"/>
        </w:sectPr>
      </w:pPr>
    </w:p>
    <w:p>
      <w:pPr>
        <w:ind w:left="4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460" w:space="720"/>
            <w:col w:w="3440"/>
          </w:cols>
          <w:pgMar w:left="320" w:top="1197" w:right="339" w:bottom="1440" w:gutter="0" w:footer="0" w:header="0"/>
          <w:type w:val="continuous"/>
        </w:sectPr>
      </w:pPr>
    </w:p>
    <w:p>
      <w:pPr>
        <w:spacing w:after="0" w:line="62"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51 Astor Place, 10th Floor</w:t>
      </w:r>
    </w:p>
    <w:p>
      <w:pPr>
        <w:spacing w:after="0" w:line="50"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10003</w:t>
      </w:r>
    </w:p>
    <w:p>
      <w:pPr>
        <w:spacing w:after="0" w:line="97" w:lineRule="exact"/>
        <w:rPr>
          <w:sz w:val="24"/>
          <w:szCs w:val="24"/>
          <w:color w:val="auto"/>
        </w:rPr>
      </w:pPr>
    </w:p>
    <w:p>
      <w:pPr>
        <w:sectPr>
          <w:pgSz w:w="11900" w:h="16838" w:orient="portrait"/>
          <w:cols w:equalWidth="0" w:num="2">
            <w:col w:w="6980" w:space="720"/>
            <w:col w:w="3540"/>
          </w:cols>
          <w:pgMar w:left="320" w:top="1197" w:right="339" w:bottom="1440" w:gutter="0" w:footer="0" w:header="0"/>
          <w:type w:val="continuous"/>
        </w:sectPr>
      </w:pPr>
    </w:p>
    <w:p>
      <w:pPr>
        <w:ind w:left="8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194" w:lineRule="exact"/>
        <w:rPr>
          <w:sz w:val="24"/>
          <w:szCs w:val="24"/>
          <w:color w:val="auto"/>
        </w:rPr>
      </w:pPr>
    </w:p>
    <w:p>
      <w:pPr>
        <w:sectPr>
          <w:pgSz w:w="11900" w:h="16838" w:orient="portrait"/>
          <w:cols w:equalWidth="0" w:num="2">
            <w:col w:w="6780" w:space="720"/>
            <w:col w:w="3740"/>
          </w:cols>
          <w:pgMar w:left="320" w:top="119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(212) 284-2300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5"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80" w:firstLine="26"/>
        <w:spacing w:after="0" w:line="451" w:lineRule="auto"/>
        <w:tabs>
          <w:tab w:leader="none" w:pos="5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tcPr>
          <w:p>
            <w:pPr>
              <w:ind w:left="1200"/>
              <w:spacing w:after="0"/>
              <w:rPr>
                <w:sz w:val="20"/>
                <w:szCs w:val="20"/>
                <w:color w:val="auto"/>
              </w:rPr>
            </w:pPr>
            <w:r>
              <w:rPr>
                <w:rFonts w:ascii="Arial" w:cs="Arial" w:eastAsia="Arial" w:hAnsi="Arial"/>
                <w:sz w:val="18"/>
                <w:szCs w:val="18"/>
                <w:b w:val="1"/>
                <w:bCs w:val="1"/>
                <w:color w:val="auto"/>
              </w:rPr>
              <w:t>Title of each class</w:t>
            </w:r>
          </w:p>
        </w:tc>
        <w:tc>
          <w:tcPr>
            <w:tcW w:w="32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Trading Symbol(s)</w:t>
            </w:r>
          </w:p>
        </w:tc>
        <w:tc>
          <w:tcPr>
            <w:tcW w:w="38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41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2"/>
        </w:trPr>
        <w:tc>
          <w:tcPr>
            <w:tcW w:w="4180" w:type="dxa"/>
            <w:vAlign w:val="bottom"/>
          </w:tcPr>
          <w:p>
            <w:pPr>
              <w:ind w:left="20"/>
              <w:spacing w:after="0"/>
              <w:rPr>
                <w:sz w:val="20"/>
                <w:szCs w:val="20"/>
                <w:color w:val="auto"/>
              </w:rPr>
            </w:pPr>
            <w:r>
              <w:rPr>
                <w:rFonts w:ascii="Arial" w:cs="Arial" w:eastAsia="Arial" w:hAnsi="Arial"/>
                <w:sz w:val="18"/>
                <w:szCs w:val="18"/>
                <w:color w:val="auto"/>
              </w:rPr>
              <w:t>Class A Ordinary Shares, par value $0.0001 per</w:t>
            </w:r>
          </w:p>
        </w:tc>
        <w:tc>
          <w:tcPr>
            <w:tcW w:w="3220" w:type="dxa"/>
            <w:vAlign w:val="bottom"/>
          </w:tcPr>
          <w:p>
            <w:pPr>
              <w:jc w:val="center"/>
              <w:ind w:right="250"/>
              <w:spacing w:after="0"/>
              <w:rPr>
                <w:sz w:val="20"/>
                <w:szCs w:val="20"/>
                <w:color w:val="auto"/>
              </w:rPr>
            </w:pPr>
            <w:r>
              <w:rPr>
                <w:rFonts w:ascii="Arial" w:cs="Arial" w:eastAsia="Arial" w:hAnsi="Arial"/>
                <w:sz w:val="18"/>
                <w:szCs w:val="18"/>
                <w:color w:val="auto"/>
                <w:w w:val="97"/>
              </w:rPr>
              <w:t>ARYA</w:t>
            </w:r>
          </w:p>
        </w:tc>
        <w:tc>
          <w:tcPr>
            <w:tcW w:w="3840" w:type="dxa"/>
            <w:vAlign w:val="bottom"/>
          </w:tcPr>
          <w:p>
            <w:pPr>
              <w:jc w:val="center"/>
              <w:spacing w:after="0"/>
              <w:rPr>
                <w:sz w:val="20"/>
                <w:szCs w:val="20"/>
                <w:color w:val="auto"/>
              </w:rPr>
            </w:pPr>
            <w:r>
              <w:rPr>
                <w:rFonts w:ascii="Arial" w:cs="Arial" w:eastAsia="Arial" w:hAnsi="Arial"/>
                <w:sz w:val="18"/>
                <w:szCs w:val="18"/>
                <w:color w:val="auto"/>
                <w:w w:val="90"/>
              </w:rPr>
              <w:t>The Nasdaq Capital</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Share</w:t>
            </w:r>
          </w:p>
        </w:tc>
        <w:tc>
          <w:tcPr>
            <w:tcW w:w="3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4"/>
              </w:rPr>
              <w:t>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7" w:lineRule="exact"/>
        <w:rPr>
          <w:sz w:val="24"/>
          <w:szCs w:val="24"/>
          <w:color w:val="auto"/>
        </w:rPr>
      </w:pPr>
    </w:p>
    <w:p>
      <w:pPr>
        <w:ind w:right="2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8, 2021, ARYA Sciences Acquisition Corp III (“</w:t>
      </w:r>
      <w:r>
        <w:rPr>
          <w:rFonts w:ascii="Arial" w:cs="Arial" w:eastAsia="Arial" w:hAnsi="Arial"/>
          <w:sz w:val="16"/>
          <w:szCs w:val="16"/>
          <w:i w:val="1"/>
          <w:iCs w:val="1"/>
          <w:color w:val="auto"/>
        </w:rPr>
        <w:t>ARYA</w:t>
      </w:r>
      <w:r>
        <w:rPr>
          <w:rFonts w:ascii="Arial" w:cs="Arial" w:eastAsia="Arial" w:hAnsi="Arial"/>
          <w:sz w:val="16"/>
          <w:szCs w:val="16"/>
          <w:color w:val="auto"/>
        </w:rPr>
        <w:t>”) held an extraordinary general meeting of its shareholders (the “</w:t>
      </w:r>
      <w:r>
        <w:rPr>
          <w:rFonts w:ascii="Arial" w:cs="Arial" w:eastAsia="Arial" w:hAnsi="Arial"/>
          <w:sz w:val="16"/>
          <w:szCs w:val="16"/>
          <w:i w:val="1"/>
          <w:iCs w:val="1"/>
          <w:color w:val="auto"/>
        </w:rPr>
        <w:t>General Meeting</w:t>
      </w:r>
      <w:r>
        <w:rPr>
          <w:rFonts w:ascii="Arial" w:cs="Arial" w:eastAsia="Arial" w:hAnsi="Arial"/>
          <w:sz w:val="16"/>
          <w:szCs w:val="16"/>
          <w:color w:val="auto"/>
        </w:rPr>
        <w:t>”), at which holders of 14,520,657 ordinary shares (consisting of 10,783,157 Class A ordinary shares and 3,737,500 Class B ordinary shares) held of record as of April 1, 2021, the record date for the General Meeting, were present in person or by proxy, representing 75.68% of the voting power of ARYA’s ordinary shares as of the record date for the General Meeting, and constituting a quorum for the transaction of business. The proposals listed below are described in more detail in the definitive proxy statement/prospectus of ARYA, which was filed with the U.S.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May 14, 2021 (the “</w:t>
      </w:r>
      <w:r>
        <w:rPr>
          <w:rFonts w:ascii="Arial" w:cs="Arial" w:eastAsia="Arial" w:hAnsi="Arial"/>
          <w:sz w:val="16"/>
          <w:szCs w:val="16"/>
          <w:i w:val="1"/>
          <w:iCs w:val="1"/>
          <w:color w:val="auto"/>
        </w:rPr>
        <w:t>Proxy Statement</w:t>
      </w:r>
      <w:r>
        <w:rPr>
          <w:rFonts w:ascii="Arial" w:cs="Arial" w:eastAsia="Arial" w:hAnsi="Arial"/>
          <w:sz w:val="16"/>
          <w:szCs w:val="16"/>
          <w:color w:val="auto"/>
        </w:rPr>
        <w:t>”). A summary of the voting results at the General Meeting is set forth below:</w:t>
      </w:r>
    </w:p>
    <w:p>
      <w:pPr>
        <w:spacing w:after="0" w:line="16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shareholders approved the Business Combination Proposal, the Domestication Proposal, the Charter Proposal, each of the Advisory Governing Documents Proposals, the Nasdaq Proposal, the Incentive Award Plan Proposal and the Employee Stock Purchase Plan Proposal (each as defined in the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for each proposal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Business Combination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7"/>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14,260,138</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259,510</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1,009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Domestication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14,258,975</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259,863</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1,819</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Charter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14,259,527</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259,386</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1,744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A</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13,023,998</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1,490,878</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5,781</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B</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12,332,550</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2,185,433</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2,674</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C</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12,335,448</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2,180,745</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4,464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D</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13,034,002</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1,484,156</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2,499</w:t>
            </w:r>
          </w:p>
        </w:tc>
      </w:tr>
    </w:tbl>
    <w:p>
      <w:pPr>
        <w:sectPr>
          <w:pgSz w:w="11900" w:h="16838" w:orient="portrait"/>
          <w:cols w:equalWidth="0" w:num="1">
            <w:col w:w="11180"/>
          </w:cols>
          <w:pgMar w:left="320" w:top="1417" w:right="399" w:bottom="1440" w:gutter="0" w:footer="0" w:header="0"/>
        </w:sectPr>
      </w:pPr>
    </w:p>
    <w:bookmarkStart w:id="2" w:name="page3"/>
    <w:bookmarkEnd w:id="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Nasdaq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7"/>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14,257,947</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260,356</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2,354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Incentive Award Proposal</w:t>
      </w:r>
    </w:p>
    <w:p>
      <w:pPr>
        <w:spacing w:after="0" w:line="68"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13,036,549</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1,480,441</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3,667</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Employee Stock Purchase Plan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14,251,808</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265,454</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3,395</w:t>
            </w:r>
          </w:p>
        </w:tc>
      </w:tr>
    </w:tbl>
    <w:p>
      <w:pPr>
        <w:spacing w:after="0" w:line="322"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As there were sufficient votes to approve the above proposals, the “Adjournment Proposal” described in the Proxy Statement was not presented to shareholders.</w:t>
      </w:r>
    </w:p>
    <w:p>
      <w:pPr>
        <w:spacing w:after="0" w:line="170"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Based on the results of the General Meeting, and subject to the satisfaction or waiver of certain other closing conditions as described in the Proxy Statement, the transactions (the “</w:t>
      </w:r>
      <w:r>
        <w:rPr>
          <w:rFonts w:ascii="Arial" w:cs="Arial" w:eastAsia="Arial" w:hAnsi="Arial"/>
          <w:sz w:val="18"/>
          <w:szCs w:val="18"/>
          <w:i w:val="1"/>
          <w:iCs w:val="1"/>
          <w:color w:val="auto"/>
        </w:rPr>
        <w:t>Transactions</w:t>
      </w:r>
      <w:r>
        <w:rPr>
          <w:rFonts w:ascii="Arial" w:cs="Arial" w:eastAsia="Arial" w:hAnsi="Arial"/>
          <w:sz w:val="18"/>
          <w:szCs w:val="18"/>
          <w:color w:val="auto"/>
        </w:rPr>
        <w:t>”) contemplated by that certain Business Combination Agreement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dated as of February 7, 2021, by and among ARYA, Mako Merger Sub, Inc. and Nautilus Biotechnology, Inc. (“</w:t>
      </w:r>
      <w:r>
        <w:rPr>
          <w:rFonts w:ascii="Arial" w:cs="Arial" w:eastAsia="Arial" w:hAnsi="Arial"/>
          <w:sz w:val="18"/>
          <w:szCs w:val="18"/>
          <w:i w:val="1"/>
          <w:iCs w:val="1"/>
          <w:color w:val="auto"/>
        </w:rPr>
        <w:t>Nautilus</w:t>
      </w:r>
      <w:r>
        <w:rPr>
          <w:rFonts w:ascii="Arial" w:cs="Arial" w:eastAsia="Arial" w:hAnsi="Arial"/>
          <w:sz w:val="18"/>
          <w:szCs w:val="18"/>
          <w:color w:val="auto"/>
        </w:rPr>
        <w:t>”), including the Domestication and the Business Combination (as such terms are defined in the Proxy Statement), are expected to be consummated on June 9, 2021. Following the consummation of the Transactions, the common stock of New Nautilus (as such term is defined in the Proxy Statement) is expected to begin trading on the Nasdaq Capital Market under the symbol “NAUT” on June 10,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ARYA has filed, and the SEC has declared effective, a Registration Statement on Form S-4, containing the Proxy Statement relating to the proposed Business Combination. ARYA has mailed the Proxy Statement and other relevant documents to its shareholders of record. This communication is not a substitute for the Proxy Statement or any other document that ARYA sent or will send to its shareholders in connection with the Business Combination. </w:t>
      </w:r>
      <w:r>
        <w:rPr>
          <w:rFonts w:ascii="Arial" w:cs="Arial" w:eastAsia="Arial" w:hAnsi="Arial"/>
          <w:sz w:val="18"/>
          <w:szCs w:val="18"/>
          <w:b w:val="1"/>
          <w:bCs w:val="1"/>
          <w:color w:val="auto"/>
        </w:rPr>
        <w:t>Investors and security holders of ARYA are advised to read the Proxy Statement in connection with ARYA’s solicitation of proxies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for its extraordinary general meeting of shareholders to be held to approve the Business Combination (and related matters) because the Proxy Statement contains important information about the Business Combination and the parties to the Business Combination. </w:t>
      </w:r>
      <w:r>
        <w:rPr>
          <w:rFonts w:ascii="Arial" w:cs="Arial" w:eastAsia="Arial" w:hAnsi="Arial"/>
          <w:sz w:val="18"/>
          <w:szCs w:val="18"/>
          <w:color w:val="auto"/>
        </w:rPr>
        <w:t>Shareholders are also</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obtain copies of the Proxy Statement, without charge, at the SEC’s website at www.sec.gov or by directing a request to: 51 Astor Place, 10th Floor, New York, New York 10003.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6"/>
          <w:szCs w:val="16"/>
          <w:color w:val="auto"/>
        </w:rPr>
        <w:t>A list of the names</w:t>
      </w:r>
      <w:r>
        <w:rPr>
          <w:rFonts w:ascii="Arial" w:cs="Arial" w:eastAsia="Arial" w:hAnsi="Arial"/>
          <w:sz w:val="16"/>
          <w:szCs w:val="16"/>
          <w:b w:val="1"/>
          <w:bCs w:val="1"/>
          <w:color w:val="auto"/>
        </w:rPr>
        <w:t xml:space="preserve"> </w:t>
      </w:r>
      <w:r>
        <w:rPr>
          <w:rFonts w:ascii="Arial" w:cs="Arial" w:eastAsia="Arial" w:hAnsi="Arial"/>
          <w:sz w:val="16"/>
          <w:szCs w:val="16"/>
          <w:color w:val="auto"/>
        </w:rPr>
        <w:t>of those directors and executive officers and a description of their interests in ARYA is contained in the Proxy Statement, which was filed with the SEC and is available free of charge at the SEC's website at www.sec.gov, or by directing a request to: 51 Astor Place, 10th Floor, New York, New York 10003.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statements made herein are not historical facts but are forward-looking statements for purposes of the safe harbor provisions under The Private Securities Litigation Reform Act of 1995. Forward-looking statements</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generally are accompanied by words such as “</w:t>
      </w:r>
      <w:r>
        <w:rPr>
          <w:rFonts w:ascii="Arial" w:cs="Arial" w:eastAsia="Arial" w:hAnsi="Arial"/>
          <w:sz w:val="18"/>
          <w:szCs w:val="18"/>
          <w:i w:val="1"/>
          <w:iCs w:val="1"/>
          <w:color w:val="auto"/>
        </w:rPr>
        <w:t>believe</w:t>
      </w:r>
      <w:r>
        <w:rPr>
          <w:rFonts w:ascii="Arial" w:cs="Arial" w:eastAsia="Arial" w:hAnsi="Arial"/>
          <w:sz w:val="18"/>
          <w:szCs w:val="18"/>
          <w:color w:val="auto"/>
        </w:rPr>
        <w:t>,” “</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estimate</w:t>
      </w:r>
      <w:r>
        <w:rPr>
          <w:rFonts w:ascii="Arial" w:cs="Arial" w:eastAsia="Arial" w:hAnsi="Arial"/>
          <w:sz w:val="18"/>
          <w:szCs w:val="18"/>
          <w:color w:val="auto"/>
        </w:rPr>
        <w:t>,” “</w:t>
      </w:r>
      <w:r>
        <w:rPr>
          <w:rFonts w:ascii="Arial" w:cs="Arial" w:eastAsia="Arial" w:hAnsi="Arial"/>
          <w:sz w:val="18"/>
          <w:szCs w:val="18"/>
          <w:i w:val="1"/>
          <w:iCs w:val="1"/>
          <w:color w:val="auto"/>
        </w:rPr>
        <w:t>continue</w:t>
      </w:r>
      <w:r>
        <w:rPr>
          <w:rFonts w:ascii="Arial" w:cs="Arial" w:eastAsia="Arial" w:hAnsi="Arial"/>
          <w:sz w:val="18"/>
          <w:szCs w:val="18"/>
          <w:color w:val="auto"/>
        </w:rPr>
        <w:t>,” “</w:t>
      </w:r>
      <w:r>
        <w:rPr>
          <w:rFonts w:ascii="Arial" w:cs="Arial" w:eastAsia="Arial" w:hAnsi="Arial"/>
          <w:sz w:val="18"/>
          <w:szCs w:val="18"/>
          <w:i w:val="1"/>
          <w:iCs w:val="1"/>
          <w:color w:val="auto"/>
        </w:rPr>
        <w:t>anticipate</w:t>
      </w:r>
      <w:r>
        <w:rPr>
          <w:rFonts w:ascii="Arial" w:cs="Arial" w:eastAsia="Arial" w:hAnsi="Arial"/>
          <w:sz w:val="18"/>
          <w:szCs w:val="18"/>
          <w:color w:val="auto"/>
        </w:rPr>
        <w:t>,” “</w:t>
      </w:r>
      <w:r>
        <w:rPr>
          <w:rFonts w:ascii="Arial" w:cs="Arial" w:eastAsia="Arial" w:hAnsi="Arial"/>
          <w:sz w:val="18"/>
          <w:szCs w:val="18"/>
          <w:i w:val="1"/>
          <w:iCs w:val="1"/>
          <w:color w:val="auto"/>
        </w:rPr>
        <w:t>intend</w:t>
      </w:r>
      <w:r>
        <w:rPr>
          <w:rFonts w:ascii="Arial" w:cs="Arial" w:eastAsia="Arial" w:hAnsi="Arial"/>
          <w:sz w:val="18"/>
          <w:szCs w:val="18"/>
          <w:color w:val="auto"/>
        </w:rPr>
        <w:t>,” “</w:t>
      </w:r>
      <w:r>
        <w:rPr>
          <w:rFonts w:ascii="Arial" w:cs="Arial" w:eastAsia="Arial" w:hAnsi="Arial"/>
          <w:sz w:val="18"/>
          <w:szCs w:val="18"/>
          <w:i w:val="1"/>
          <w:iCs w:val="1"/>
          <w:color w:val="auto"/>
        </w:rPr>
        <w:t>expect</w:t>
      </w:r>
      <w:r>
        <w:rPr>
          <w:rFonts w:ascii="Arial" w:cs="Arial" w:eastAsia="Arial" w:hAnsi="Arial"/>
          <w:sz w:val="18"/>
          <w:szCs w:val="18"/>
          <w:color w:val="auto"/>
        </w:rPr>
        <w:t>,” “</w:t>
      </w:r>
      <w:r>
        <w:rPr>
          <w:rFonts w:ascii="Arial" w:cs="Arial" w:eastAsia="Arial" w:hAnsi="Arial"/>
          <w:sz w:val="18"/>
          <w:szCs w:val="18"/>
          <w:i w:val="1"/>
          <w:iCs w:val="1"/>
          <w:color w:val="auto"/>
        </w:rPr>
        <w:t>should</w:t>
      </w:r>
      <w:r>
        <w:rPr>
          <w:rFonts w:ascii="Arial" w:cs="Arial" w:eastAsia="Arial" w:hAnsi="Arial"/>
          <w:sz w:val="18"/>
          <w:szCs w:val="18"/>
          <w:color w:val="auto"/>
        </w:rPr>
        <w:t>,” “</w:t>
      </w:r>
      <w:r>
        <w:rPr>
          <w:rFonts w:ascii="Arial" w:cs="Arial" w:eastAsia="Arial" w:hAnsi="Arial"/>
          <w:sz w:val="18"/>
          <w:szCs w:val="18"/>
          <w:i w:val="1"/>
          <w:iCs w:val="1"/>
          <w:color w:val="auto"/>
        </w:rPr>
        <w:t>would</w:t>
      </w:r>
      <w:r>
        <w:rPr>
          <w:rFonts w:ascii="Arial" w:cs="Arial" w:eastAsia="Arial" w:hAnsi="Arial"/>
          <w:sz w:val="18"/>
          <w:szCs w:val="18"/>
          <w:color w:val="auto"/>
        </w:rPr>
        <w:t>,” “</w:t>
      </w:r>
      <w:r>
        <w:rPr>
          <w:rFonts w:ascii="Arial" w:cs="Arial" w:eastAsia="Arial" w:hAnsi="Arial"/>
          <w:sz w:val="18"/>
          <w:szCs w:val="18"/>
          <w:i w:val="1"/>
          <w:iCs w:val="1"/>
          <w:color w:val="auto"/>
        </w:rPr>
        <w:t>plan</w:t>
      </w:r>
      <w:r>
        <w:rPr>
          <w:rFonts w:ascii="Arial" w:cs="Arial" w:eastAsia="Arial" w:hAnsi="Arial"/>
          <w:sz w:val="18"/>
          <w:szCs w:val="18"/>
          <w:color w:val="auto"/>
        </w:rPr>
        <w:t>,” “</w:t>
      </w:r>
      <w:r>
        <w:rPr>
          <w:rFonts w:ascii="Arial" w:cs="Arial" w:eastAsia="Arial" w:hAnsi="Arial"/>
          <w:sz w:val="18"/>
          <w:szCs w:val="18"/>
          <w:i w:val="1"/>
          <w:iCs w:val="1"/>
          <w:color w:val="auto"/>
        </w:rPr>
        <w:t>predict</w:t>
      </w:r>
      <w:r>
        <w:rPr>
          <w:rFonts w:ascii="Arial" w:cs="Arial" w:eastAsia="Arial" w:hAnsi="Arial"/>
          <w:sz w:val="18"/>
          <w:szCs w:val="18"/>
          <w:color w:val="auto"/>
        </w:rPr>
        <w:t>,” “</w:t>
      </w:r>
      <w:r>
        <w:rPr>
          <w:rFonts w:ascii="Arial" w:cs="Arial" w:eastAsia="Arial" w:hAnsi="Arial"/>
          <w:sz w:val="18"/>
          <w:szCs w:val="18"/>
          <w:i w:val="1"/>
          <w:iCs w:val="1"/>
          <w:color w:val="auto"/>
        </w:rPr>
        <w:t>potential</w:t>
      </w:r>
      <w:r>
        <w:rPr>
          <w:rFonts w:ascii="Arial" w:cs="Arial" w:eastAsia="Arial" w:hAnsi="Arial"/>
          <w:sz w:val="18"/>
          <w:szCs w:val="18"/>
          <w:color w:val="auto"/>
        </w:rPr>
        <w:t>,” “</w:t>
      </w:r>
      <w:r>
        <w:rPr>
          <w:rFonts w:ascii="Arial" w:cs="Arial" w:eastAsia="Arial" w:hAnsi="Arial"/>
          <w:sz w:val="18"/>
          <w:szCs w:val="18"/>
          <w:i w:val="1"/>
          <w:iCs w:val="1"/>
          <w:color w:val="auto"/>
        </w:rPr>
        <w:t>seem</w:t>
      </w:r>
      <w:r>
        <w:rPr>
          <w:rFonts w:ascii="Arial" w:cs="Arial" w:eastAsia="Arial" w:hAnsi="Arial"/>
          <w:sz w:val="18"/>
          <w:szCs w:val="18"/>
          <w:color w:val="auto"/>
        </w:rPr>
        <w:t>,” “</w:t>
      </w:r>
      <w:r>
        <w:rPr>
          <w:rFonts w:ascii="Arial" w:cs="Arial" w:eastAsia="Arial" w:hAnsi="Arial"/>
          <w:sz w:val="18"/>
          <w:szCs w:val="18"/>
          <w:i w:val="1"/>
          <w:iCs w:val="1"/>
          <w:color w:val="auto"/>
        </w:rPr>
        <w:t>seek</w:t>
      </w:r>
      <w:r>
        <w:rPr>
          <w:rFonts w:ascii="Arial" w:cs="Arial" w:eastAsia="Arial" w:hAnsi="Arial"/>
          <w:sz w:val="18"/>
          <w:szCs w:val="18"/>
          <w:color w:val="auto"/>
        </w:rPr>
        <w:t>,” “</w:t>
      </w:r>
      <w:r>
        <w:rPr>
          <w:rFonts w:ascii="Arial" w:cs="Arial" w:eastAsia="Arial" w:hAnsi="Arial"/>
          <w:sz w:val="18"/>
          <w:szCs w:val="18"/>
          <w:i w:val="1"/>
          <w:iCs w:val="1"/>
          <w:color w:val="auto"/>
        </w:rPr>
        <w:t>future</w:t>
      </w:r>
      <w:r>
        <w:rPr>
          <w:rFonts w:ascii="Arial" w:cs="Arial" w:eastAsia="Arial" w:hAnsi="Arial"/>
          <w:sz w:val="18"/>
          <w:szCs w:val="18"/>
          <w:color w:val="auto"/>
        </w:rPr>
        <w:t>,” “</w:t>
      </w:r>
      <w:r>
        <w:rPr>
          <w:rFonts w:ascii="Arial" w:cs="Arial" w:eastAsia="Arial" w:hAnsi="Arial"/>
          <w:sz w:val="18"/>
          <w:szCs w:val="18"/>
          <w:i w:val="1"/>
          <w:iCs w:val="1"/>
          <w:color w:val="auto"/>
        </w:rPr>
        <w:t>outlook</w:t>
      </w:r>
      <w:r>
        <w:rPr>
          <w:rFonts w:ascii="Arial" w:cs="Arial" w:eastAsia="Arial" w:hAnsi="Arial"/>
          <w:sz w:val="18"/>
          <w:szCs w:val="18"/>
          <w:color w:val="auto"/>
        </w:rPr>
        <w:t>” and similar expressions that predict or indicate future events or trends or that are not statements of historical matters.</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Proxy Statement relating to the Business Combination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ectPr>
          <w:pgSz w:w="11900" w:h="16838" w:orient="portrait"/>
          <w:cols w:equalWidth="0" w:num="1">
            <w:col w:w="11240"/>
          </w:cols>
          <w:pgMar w:left="320" w:top="14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June 8, 2021</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ARYA SCIENCES ACQUISITION CORP III</w:t>
            </w:r>
          </w:p>
        </w:tc>
        <w:tc>
          <w:tcPr>
            <w:tcW w:w="0" w:type="dxa"/>
            <w:vAlign w:val="bottom"/>
          </w:tcPr>
          <w:p>
            <w:pPr>
              <w:spacing w:after="0"/>
              <w:rPr>
                <w:sz w:val="1"/>
                <w:szCs w:val="1"/>
                <w:color w:val="auto"/>
              </w:rPr>
            </w:pPr>
          </w:p>
        </w:tc>
      </w:tr>
      <w:tr>
        <w:trPr>
          <w:trHeight w:val="540"/>
        </w:trPr>
        <w:tc>
          <w:tcPr>
            <w:tcW w:w="3560" w:type="dxa"/>
            <w:vAlign w:val="bottom"/>
          </w:tcPr>
          <w:p>
            <w:pPr>
              <w:spacing w:after="0"/>
              <w:rPr>
                <w:sz w:val="24"/>
                <w:szCs w:val="24"/>
                <w:color w:val="auto"/>
              </w:rPr>
            </w:pPr>
          </w:p>
        </w:tc>
        <w:tc>
          <w:tcPr>
            <w:tcW w:w="3140" w:type="dxa"/>
            <w:vAlign w:val="bottom"/>
          </w:tcPr>
          <w:p>
            <w:pPr>
              <w:ind w:left="2200"/>
              <w:spacing w:after="0"/>
              <w:rPr>
                <w:sz w:val="20"/>
                <w:szCs w:val="20"/>
                <w:color w:val="auto"/>
              </w:rPr>
            </w:pPr>
            <w:r>
              <w:rPr>
                <w:rFonts w:ascii="Arial" w:cs="Arial" w:eastAsia="Arial" w:hAnsi="Arial"/>
                <w:sz w:val="18"/>
                <w:szCs w:val="18"/>
                <w:color w:val="auto"/>
              </w:rPr>
              <w:t>By:</w:t>
            </w:r>
          </w:p>
        </w:tc>
        <w:tc>
          <w:tcPr>
            <w:tcW w:w="4520" w:type="dxa"/>
            <w:vAlign w:val="bottom"/>
          </w:tcPr>
          <w:p>
            <w:pPr>
              <w:ind w:left="20"/>
              <w:spacing w:after="0"/>
              <w:rPr>
                <w:sz w:val="20"/>
                <w:szCs w:val="20"/>
                <w:color w:val="auto"/>
              </w:rPr>
            </w:pPr>
            <w:r>
              <w:rPr>
                <w:rFonts w:ascii="Arial" w:cs="Arial" w:eastAsia="Arial" w:hAnsi="Arial"/>
                <w:sz w:val="18"/>
                <w:szCs w:val="18"/>
                <w:color w:val="auto"/>
              </w:rPr>
              <w:t>/s/ Adam Stone</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140" w:type="dxa"/>
            <w:vAlign w:val="bottom"/>
            <w:vMerge w:val="restart"/>
          </w:tcPr>
          <w:p>
            <w:pPr>
              <w:ind w:left="22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140" w:type="dxa"/>
            <w:vAlign w:val="bottom"/>
            <w:vMerge w:val="continue"/>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Adam Stone</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3140" w:type="dxa"/>
            <w:vAlign w:val="bottom"/>
          </w:tcPr>
          <w:p>
            <w:pPr>
              <w:ind w:left="2200"/>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2021-06-08T16:12:34Z</dcterms:created>
  <dcterms:modified xsi:type="dcterms:W3CDTF">2021-06-08T16:12:34Z</dcterms:modified>
</cp:coreProperties>
</file>