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August 4, 2020</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United States Securities and Exchange Commission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231" w:lineRule="auto"/>
        <w:rPr>
          <w:sz w:val="20"/>
          <w:szCs w:val="20"/>
          <w:color w:val="auto"/>
        </w:rPr>
      </w:pPr>
      <w:r>
        <w:rPr>
          <w:rFonts w:ascii="Times New Roman" w:cs="Times New Roman" w:eastAsia="Times New Roman" w:hAnsi="Times New Roman"/>
          <w:sz w:val="22"/>
          <w:szCs w:val="22"/>
          <w:color w:val="auto"/>
        </w:rPr>
        <w:t>Washington, D.C. 20549</w:t>
      </w:r>
    </w:p>
    <w:p>
      <w:pPr>
        <w:spacing w:after="0"/>
        <w:rPr>
          <w:sz w:val="20"/>
          <w:szCs w:val="20"/>
          <w:color w:val="auto"/>
        </w:rPr>
      </w:pPr>
      <w:r>
        <w:rPr>
          <w:rFonts w:ascii="Times New Roman" w:cs="Times New Roman" w:eastAsia="Times New Roman" w:hAnsi="Times New Roman"/>
          <w:sz w:val="22"/>
          <w:szCs w:val="22"/>
          <w:color w:val="auto"/>
        </w:rPr>
        <w:t>Attention: Michael Killoy</w:t>
      </w:r>
    </w:p>
    <w:p>
      <w:pPr>
        <w:sectPr>
          <w:pgSz w:w="11900" w:h="16838" w:orient="portrait"/>
          <w:cols w:equalWidth="0" w:num="1">
            <w:col w:w="11240"/>
          </w:cols>
          <w:pgMar w:left="320" w:top="220" w:right="339" w:bottom="1440" w:gutter="0" w:footer="0" w:header="0"/>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ARYA Sciences Acquisition Corp III</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July 21, 2020, as amended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333-239986</w:t>
      </w:r>
    </w:p>
    <w:p>
      <w:pPr>
        <w:spacing w:after="0" w:line="200" w:lineRule="exact"/>
        <w:rPr>
          <w:sz w:val="24"/>
          <w:szCs w:val="24"/>
          <w:color w:val="auto"/>
        </w:rPr>
      </w:pPr>
    </w:p>
    <w:p>
      <w:pPr>
        <w:sectPr>
          <w:pgSz w:w="11900" w:h="16838" w:orient="portrait"/>
          <w:cols w:equalWidth="0" w:num="2">
            <w:col w:w="260" w:space="420"/>
            <w:col w:w="10560"/>
          </w:cols>
          <w:pgMar w:left="320" w:top="22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Killoy:</w:t>
      </w:r>
    </w:p>
    <w:p>
      <w:pPr>
        <w:spacing w:after="0" w:line="233"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Pursuant to Rule 461 of the General Rules and Regulations under the Securities Act of 1933, as amended (the “Act”), the undersigned, for themselves and the several underwriters, hereby join in the request of ARYA Sciences Acquisition Corp III that the effective date of the above-referenced Registration Statement be accelerated so as to permit it to become effective at 4:00 p.m. Washington D.C. time on August 6, 2020, or as soon thereafter as practicable.</w:t>
      </w:r>
    </w:p>
    <w:p>
      <w:pPr>
        <w:spacing w:after="0" w:line="207" w:lineRule="exact"/>
        <w:rPr>
          <w:sz w:val="24"/>
          <w:szCs w:val="24"/>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Pursuant to Rule 460 of the General Rules and Regulations under the Act, the undersigned advises that approximately 2400 copies of the Preliminary Prospectus dated July 29, 2020 are expected to be distributed to prospective underwriters and dealers, institutional investors, retail investors and others.</w:t>
      </w:r>
    </w:p>
    <w:p>
      <w:pPr>
        <w:spacing w:after="0" w:line="200" w:lineRule="exact"/>
        <w:rPr>
          <w:sz w:val="24"/>
          <w:szCs w:val="24"/>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undersigned advise that they have complied and will continue to comply with the requirements of Rule 15c2-8 under the Securities Exchange Act of 1934, as amended.</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as Representatives of the Several Underwriters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Tina Pappas</w:t>
            </w:r>
          </w:p>
        </w:tc>
      </w:tr>
      <w:tr>
        <w:trPr>
          <w:trHeight w:val="198"/>
        </w:trPr>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Tina Pappas</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 Young</w:t>
            </w:r>
          </w:p>
        </w:tc>
      </w:tr>
      <w:tr>
        <w:trPr>
          <w:trHeight w:val="198"/>
        </w:trPr>
        <w:tc>
          <w:tcPr>
            <w:tcW w:w="63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M. Young</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358"/>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2020-09-03T23:07:26Z</dcterms:created>
  <dcterms:modified xsi:type="dcterms:W3CDTF">2020-09-03T23:07:26Z</dcterms:modified>
</cp:coreProperties>
</file>