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Nautilus Biotechnology,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63909J 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Alexander Rakitin</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Perceptive Advisors LLC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51 Astor Place, 10th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10003</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14,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4"/>
          <w:szCs w:val="24"/>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5"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171" w:lineRule="exact"/>
        <w:rPr>
          <w:sz w:val="20"/>
          <w:szCs w:val="20"/>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0" w:hanging="71"/>
        <w:spacing w:after="0"/>
        <w:tabs>
          <w:tab w:leader="none" w:pos="6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40" w:hanging="91"/>
        <w:spacing w:after="0" w:line="207" w:lineRule="exact"/>
        <w:tabs>
          <w:tab w:leader="none" w:pos="6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300" w:hanging="89"/>
        <w:spacing w:after="0"/>
        <w:tabs>
          <w:tab w:leader="none" w:pos="130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9"/>
                <w:szCs w:val="19"/>
                <w:color w:val="auto"/>
              </w:rPr>
            </w:pP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40" w:type="dxa"/>
            <w:vAlign w:val="bottom"/>
            <w:vMerge w:val="continue"/>
          </w:tcPr>
          <w:p>
            <w:pPr>
              <w:spacing w:after="0"/>
              <w:rPr>
                <w:sz w:val="10"/>
                <w:szCs w:val="10"/>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9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12,594,211</w:t>
            </w:r>
          </w:p>
        </w:tc>
        <w:tc>
          <w:tcPr>
            <w:tcW w:w="0" w:type="dxa"/>
            <w:vAlign w:val="bottom"/>
          </w:tcPr>
          <w:p>
            <w:pPr>
              <w:spacing w:after="0"/>
              <w:rPr>
                <w:sz w:val="1"/>
                <w:szCs w:val="1"/>
                <w:color w:val="auto"/>
              </w:rPr>
            </w:pPr>
          </w:p>
        </w:tc>
      </w:tr>
      <w:tr>
        <w:trPr>
          <w:trHeight w:val="1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4"/>
              </w:rPr>
              <w:t>With</w:t>
            </w:r>
          </w:p>
        </w:tc>
        <w:tc>
          <w:tcPr>
            <w:tcW w:w="44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12,594,211</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12,594,211</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0" w:hanging="91"/>
        <w:spacing w:after="0" w:line="207" w:lineRule="exact"/>
        <w:tabs>
          <w:tab w:leader="none" w:pos="6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63909J 108</w:t>
      </w:r>
    </w:p>
    <w:p>
      <w:pPr>
        <w:spacing w:after="0" w:line="171"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0" w:hanging="71"/>
        <w:spacing w:after="0"/>
        <w:tabs>
          <w:tab w:leader="none" w:pos="6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40" w:hanging="91"/>
        <w:spacing w:after="0" w:line="207" w:lineRule="exact"/>
        <w:tabs>
          <w:tab w:leader="none" w:pos="6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300" w:hanging="89"/>
        <w:spacing w:after="0"/>
        <w:tabs>
          <w:tab w:leader="none" w:pos="130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9"/>
                <w:szCs w:val="19"/>
                <w:color w:val="auto"/>
              </w:rPr>
            </w:pP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40" w:type="dxa"/>
            <w:vAlign w:val="bottom"/>
            <w:vMerge w:val="continue"/>
          </w:tcPr>
          <w:p>
            <w:pPr>
              <w:spacing w:after="0"/>
              <w:rPr>
                <w:sz w:val="10"/>
                <w:szCs w:val="10"/>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9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12,594,211</w:t>
            </w:r>
          </w:p>
        </w:tc>
        <w:tc>
          <w:tcPr>
            <w:tcW w:w="0" w:type="dxa"/>
            <w:vAlign w:val="bottom"/>
          </w:tcPr>
          <w:p>
            <w:pPr>
              <w:spacing w:after="0"/>
              <w:rPr>
                <w:sz w:val="1"/>
                <w:szCs w:val="1"/>
                <w:color w:val="auto"/>
              </w:rPr>
            </w:pPr>
          </w:p>
        </w:tc>
      </w:tr>
      <w:tr>
        <w:trPr>
          <w:trHeight w:val="1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4"/>
              </w:rPr>
              <w:t>With</w:t>
            </w:r>
          </w:p>
        </w:tc>
        <w:tc>
          <w:tcPr>
            <w:tcW w:w="44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12,594,211</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12,594,211</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0" w:hanging="91"/>
        <w:spacing w:after="0" w:line="207" w:lineRule="exact"/>
        <w:tabs>
          <w:tab w:leader="none" w:pos="64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17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40" w:hanging="91"/>
        <w:spacing w:after="0" w:line="207" w:lineRule="exact"/>
        <w:tabs>
          <w:tab w:leader="none" w:pos="6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300" w:hanging="89"/>
        <w:spacing w:after="0"/>
        <w:tabs>
          <w:tab w:leader="none" w:pos="130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9"/>
                <w:szCs w:val="19"/>
                <w:color w:val="auto"/>
              </w:rPr>
            </w:pP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40" w:type="dxa"/>
            <w:vAlign w:val="bottom"/>
            <w:vMerge w:val="continue"/>
          </w:tcPr>
          <w:p>
            <w:pPr>
              <w:spacing w:after="0"/>
              <w:rPr>
                <w:sz w:val="10"/>
                <w:szCs w:val="10"/>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9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12,428,351</w:t>
            </w:r>
          </w:p>
        </w:tc>
        <w:tc>
          <w:tcPr>
            <w:tcW w:w="0" w:type="dxa"/>
            <w:vAlign w:val="bottom"/>
          </w:tcPr>
          <w:p>
            <w:pPr>
              <w:spacing w:after="0"/>
              <w:rPr>
                <w:sz w:val="1"/>
                <w:szCs w:val="1"/>
                <w:color w:val="auto"/>
              </w:rPr>
            </w:pPr>
          </w:p>
        </w:tc>
      </w:tr>
      <w:tr>
        <w:trPr>
          <w:trHeight w:val="12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9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Pr>
          <w:p>
            <w:pPr>
              <w:spacing w:after="0"/>
              <w:rPr>
                <w:sz w:val="18"/>
                <w:szCs w:val="18"/>
                <w:color w:val="auto"/>
              </w:rPr>
            </w:pPr>
          </w:p>
        </w:tc>
        <w:tc>
          <w:tcPr>
            <w:tcW w:w="9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4"/>
              </w:rPr>
              <w:t>With</w:t>
            </w:r>
          </w:p>
        </w:tc>
        <w:tc>
          <w:tcPr>
            <w:tcW w:w="44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12,428,351</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12,428,351</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0" w:hanging="91"/>
        <w:spacing w:after="0" w:line="207" w:lineRule="exact"/>
        <w:tabs>
          <w:tab w:leader="none" w:pos="6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70" w:right="559" w:bottom="1440" w:gutter="0" w:footer="0" w:header="0"/>
        </w:sectPr>
      </w:pPr>
    </w:p>
    <w:bookmarkStart w:id="4" w:name="page5"/>
    <w:bookmarkEnd w:id="4"/>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 of the Schedule 13D is amended and restated as follows:</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shares of common stock, $0.0001 par value per share (“Common Stock”), of Nautilus Biotechnology, Inc., a Delaware corporation (the “Issuer”), which has its principal executive offices at 2701 Eastlake Avenue, East Seattle, Washington 98102.</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2 of the Schedule 13D is amended and restated as follows:</w:t>
      </w:r>
    </w:p>
    <w:p>
      <w:pPr>
        <w:spacing w:after="0" w:line="13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to the Schedule 13D is being filed by Perceptive Advisors LLC (“Perceptive Advisors”), Joseph Edelman</w:t>
      </w:r>
    </w:p>
    <w:p>
      <w:pPr>
        <w:spacing w:after="0" w:line="27" w:lineRule="exact"/>
        <w:rPr>
          <w:rFonts w:ascii="Times New Roman" w:cs="Times New Roman" w:eastAsia="Times New Roman" w:hAnsi="Times New Roman"/>
          <w:sz w:val="18"/>
          <w:szCs w:val="18"/>
          <w:color w:val="auto"/>
        </w:rPr>
      </w:pPr>
    </w:p>
    <w:p>
      <w:pPr>
        <w:ind w:left="42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Edelman”) and Perceptive Life Sciences Master Fund, Ltd. (the “Master Fund,” and together with Perceptive Advisors and Mr. Edelman, each of the foregoing, a “Reporting Person,” and collectively, the “Reporting Persons”). Perceptive Advisors serves as the investment advisor to the Master Fund and Mr. Edelman is the managing member of Perceptive Advisors. The agreement among the Reporting Persons to file this Schedule 13D jointly in accordance with Rule 13d-1(k) of the Securities Exchange Act of 1934, as amended, is attached as Exhibit 1 to the initial Schedule 13D filed June 21, 2021.</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the Reporting Persons is 51 Astor Place 10th Floor, New York, NY 10003.</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Perceptive Advisors is managing funds in connection with purchasing, holding and selling securities for investment purposes. The principal business of the Master Fund is to invest in securities. The principal occupation of Mr. Edelman is as the managing member of Perceptive Advisors and other related entities.</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nor to the Reporting Persons’ knowledge, any of the persons listed on Schedule A to this Amendment No. 2 to Schedule 13D, has been convicted in a criminal proceeding (excluding traffic violations or similar misdemeanors).</w:t>
      </w:r>
    </w:p>
    <w:p>
      <w:pPr>
        <w:spacing w:after="0" w:line="67"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nor to the Reporting Persons’ knowledge, any of the persons listed on Schedule A to this Amendment No. 2 to Schedule 13D,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other than the previously announced settlement order entered into by Perceptive Advisors with the Securities and Exchange Commission dated September 6, 2022 (File No. 3-21031).</w:t>
      </w:r>
    </w:p>
    <w:p>
      <w:pPr>
        <w:spacing w:after="0" w:line="88"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is a Delaware limited liability company. Mr. Edelman is a United States citizen. The Master Fund is a Cayman Islands corporation.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A to this Amendment No. 2 to Schedule 13D sets forth information regarding the Master Fund.</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Schedule 13D is amended and supplemented as follows:</w:t>
      </w:r>
    </w:p>
    <w:p>
      <w:pPr>
        <w:spacing w:after="0" w:line="252" w:lineRule="exact"/>
        <w:rPr>
          <w:sz w:val="20"/>
          <w:szCs w:val="20"/>
          <w:color w:val="auto"/>
        </w:rPr>
      </w:pPr>
    </w:p>
    <w:p>
      <w:pPr>
        <w:ind w:left="424" w:right="14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125,563,965 outstanding shares of Common Stock as reported by the Issuer in its Quarterly Report on Form 10-Q filed with the Securities and Exchange Commission on October 29, 2024.</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w:t>
      </w:r>
    </w:p>
    <w:p>
      <w:pPr>
        <w:sectPr>
          <w:pgSz w:w="11900" w:h="16838" w:orient="portrait"/>
          <w:cols w:equalWidth="0" w:num="1">
            <w:col w:w="11024"/>
          </w:cols>
          <w:pgMar w:left="436" w:top="266" w:right="4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900"/>
          </w:cols>
          <w:pgMar w:left="440" w:top="266" w:right="5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 address, principal occupation, citizenship and beneficial ownership of Common Stock of each director of the Master Fund.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Master Fund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1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Citizenship</w:t>
            </w:r>
          </w:p>
        </w:tc>
        <w:tc>
          <w:tcPr>
            <w:tcW w:w="27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7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23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Beneficial Ownership of</w:t>
            </w:r>
          </w:p>
        </w:tc>
        <w:tc>
          <w:tcPr>
            <w:tcW w:w="0" w:type="dxa"/>
            <w:vAlign w:val="bottom"/>
          </w:tcPr>
          <w:p>
            <w:pPr>
              <w:spacing w:after="0"/>
              <w:rPr>
                <w:sz w:val="1"/>
                <w:szCs w:val="1"/>
                <w:color w:val="auto"/>
              </w:rPr>
            </w:pPr>
          </w:p>
        </w:tc>
      </w:tr>
      <w:tr>
        <w:trPr>
          <w:trHeight w:val="193"/>
        </w:trPr>
        <w:tc>
          <w:tcPr>
            <w:tcW w:w="31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13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Scott Dakers</w:t>
            </w:r>
          </w:p>
        </w:tc>
        <w:tc>
          <w:tcPr>
            <w:tcW w:w="1820" w:type="dxa"/>
            <w:vAlign w:val="bottom"/>
          </w:tcPr>
          <w:p>
            <w:pPr>
              <w:spacing w:after="0"/>
              <w:rPr>
                <w:sz w:val="14"/>
                <w:szCs w:val="14"/>
                <w:color w:val="auto"/>
              </w:rPr>
            </w:pPr>
          </w:p>
        </w:tc>
        <w:tc>
          <w:tcPr>
            <w:tcW w:w="264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14"/>
                <w:szCs w:val="14"/>
                <w:color w:val="auto"/>
              </w:rPr>
            </w:pPr>
          </w:p>
        </w:tc>
        <w:tc>
          <w:tcPr>
            <w:tcW w:w="264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rPr>
              <w:t>c/o Elian Fiduciary Services</w:t>
            </w:r>
          </w:p>
        </w:tc>
        <w:tc>
          <w:tcPr>
            <w:tcW w:w="140" w:type="dxa"/>
            <w:vAlign w:val="bottom"/>
          </w:tcPr>
          <w:p>
            <w:pPr>
              <w:spacing w:after="0"/>
              <w:rPr>
                <w:sz w:val="14"/>
                <w:szCs w:val="14"/>
                <w:color w:val="auto"/>
              </w:rPr>
            </w:pPr>
          </w:p>
        </w:tc>
        <w:tc>
          <w:tcPr>
            <w:tcW w:w="23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(Cayman) Limited</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190 Elgin Avenue, George Town</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Grand Cayman KY1-9007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Cayman Islands</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Ernest A. Morrison</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Cox Hallett Wilkinson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Milner House</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18 Parliament Street</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P.O. Box HM 1561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Hamilton HM FX</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Bermuda</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Nicholas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 GenesisPoint LLC</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30 Old Kings Highway S</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Darien, CT 06820</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
      <w:numFmt w:val="bullet"/>
      <w:start w:val="1"/>
    </w:lvl>
    <w:lvl w:ilvl="1">
      <w:lvlJc w:val="left"/>
      <w:lvlText w:val=" "/>
      <w:numFmt w:val="bullet"/>
      <w:start w:val="1"/>
    </w:lvl>
  </w:abstractNum>
  <w:abstractNum w:abstractNumId="2">
    <w:nsid w:val="79E2A9E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7545E146"/>
    <w:multiLevelType w:val="hybridMultilevel"/>
    <w:lvl w:ilvl="0">
      <w:lvlJc w:val="left"/>
      <w:lvlText w:val="%1."/>
      <w:numFmt w:val="decimal"/>
      <w:start w:val="11"/>
    </w:lvl>
    <w:lvl w:ilvl="1">
      <w:lvlJc w:val="left"/>
      <w:lvlText w:val=" "/>
      <w:numFmt w:val="bullet"/>
      <w:start w:val="1"/>
    </w:lvl>
  </w:abstractNum>
  <w:abstractNum w:abstractNumId="4">
    <w:nsid w:val="515F007C"/>
    <w:multiLevelType w:val="hybridMultilevel"/>
    <w:lvl w:ilvl="0">
      <w:lvlJc w:val="left"/>
      <w:lvlText w:val=" "/>
      <w:numFmt w:val="bullet"/>
      <w:start w:val="1"/>
    </w:lvl>
    <w:lvl w:ilvl="1">
      <w:lvlJc w:val="left"/>
      <w:lvlText w:val=" "/>
      <w:numFmt w:val="bullet"/>
      <w:start w:val="1"/>
    </w:lvl>
  </w:abstractNum>
  <w:abstractNum w:abstractNumId="5">
    <w:nsid w:val="5BD062C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12200854"/>
    <w:multiLevelType w:val="hybridMultilevel"/>
    <w:lvl w:ilvl="0">
      <w:lvlJc w:val="left"/>
      <w:lvlText w:val="%1."/>
      <w:numFmt w:val="decimal"/>
      <w:start w:val="11"/>
    </w:lvl>
    <w:lvl w:ilvl="1">
      <w:lvlJc w:val="left"/>
      <w:lvlText w:val=" "/>
      <w:numFmt w:val="bullet"/>
      <w:start w:val="1"/>
    </w:lvl>
  </w:abstractNum>
  <w:abstractNum w:abstractNumId="7">
    <w:nsid w:val="4DB127F8"/>
    <w:multiLevelType w:val="hybridMultilevel"/>
    <w:lvl w:ilvl="0">
      <w:lvlJc w:val="left"/>
      <w:lvlText w:val=" "/>
      <w:numFmt w:val="bullet"/>
      <w:start w:val="1"/>
    </w:lvl>
    <w:lvl w:ilvl="1">
      <w:lvlJc w:val="left"/>
      <w:lvlText w:val=" "/>
      <w:numFmt w:val="bullet"/>
      <w:start w:val="1"/>
    </w:lvl>
  </w:abstractNum>
  <w:abstractNum w:abstractNumId="8">
    <w:nsid w:val="216231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1F16E9E8"/>
    <w:multiLevelType w:val="hybridMultilevel"/>
    <w:lvl w:ilvl="0">
      <w:lvlJc w:val="left"/>
      <w:lvlText w:val="%1."/>
      <w:numFmt w:val="decimal"/>
      <w:start w:val="11"/>
    </w:lvl>
    <w:lvl w:ilvl="1">
      <w:lvlJc w:val="left"/>
      <w:lvlText w:val=" "/>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2024-11-14T15:55:18Z</dcterms:created>
  <dcterms:modified xsi:type="dcterms:W3CDTF">2024-11-14T15:55:18Z</dcterms:modified>
</cp:coreProperties>
</file>