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8-K</w:t>
      </w:r>
    </w:p>
    <w:p>
      <w:pPr>
        <w:spacing w:after="0" w:line="158"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5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August 10, 2021</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NAUTILUS BIOTECHNOLOGY,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5"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jc w:val="center"/>
        <w:ind w:right="2240"/>
        <w:spacing w:after="0"/>
        <w:rPr>
          <w:sz w:val="20"/>
          <w:szCs w:val="20"/>
          <w:color w:val="auto"/>
        </w:rPr>
      </w:pPr>
      <w:r>
        <w:rPr>
          <w:rFonts w:ascii="Arial" w:cs="Arial" w:eastAsia="Arial" w:hAnsi="Arial"/>
          <w:sz w:val="16"/>
          <w:szCs w:val="16"/>
          <w:b w:val="1"/>
          <w:bCs w:val="1"/>
          <w:color w:val="auto"/>
        </w:rPr>
        <w:t>001-39434</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98-1541723</w:t>
      </w:r>
    </w:p>
    <w:p>
      <w:pPr>
        <w:spacing w:after="0" w:line="50" w:lineRule="exact"/>
        <w:rPr>
          <w:sz w:val="24"/>
          <w:szCs w:val="24"/>
          <w:color w:val="auto"/>
        </w:rPr>
      </w:pPr>
    </w:p>
    <w:p>
      <w:pPr>
        <w:sectPr>
          <w:pgSz w:w="11900" w:h="16838" w:orient="portrait"/>
          <w:cols w:equalWidth="0" w:num="3">
            <w:col w:w="4500" w:space="720"/>
            <w:col w:w="3020" w:space="720"/>
            <w:col w:w="2280"/>
          </w:cols>
          <w:pgMar w:left="320" w:top="1440" w:right="339" w:bottom="1440" w:gutter="0" w:footer="0" w:header="0"/>
          <w:type w:val="continuous"/>
        </w:sectPr>
      </w:pPr>
    </w:p>
    <w:p>
      <w:pPr>
        <w:jc w:val="center"/>
        <w:ind w:right="320"/>
        <w:spacing w:after="0"/>
        <w:rPr>
          <w:sz w:val="20"/>
          <w:szCs w:val="20"/>
          <w:color w:val="auto"/>
        </w:rPr>
      </w:pPr>
      <w:r>
        <w:rPr>
          <w:rFonts w:ascii="Arial" w:cs="Arial" w:eastAsia="Arial" w:hAnsi="Arial"/>
          <w:sz w:val="15"/>
          <w:szCs w:val="15"/>
          <w:color w:val="auto"/>
        </w:rPr>
        <w:t>(State or other jurisdiction</w:t>
      </w:r>
    </w:p>
    <w:p>
      <w:pPr>
        <w:spacing w:after="0" w:line="21" w:lineRule="exact"/>
        <w:rPr>
          <w:sz w:val="24"/>
          <w:szCs w:val="24"/>
          <w:color w:val="auto"/>
        </w:rPr>
      </w:pPr>
    </w:p>
    <w:p>
      <w:pPr>
        <w:jc w:val="center"/>
        <w:ind w:right="32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6"/>
          <w:szCs w:val="16"/>
          <w:color w:val="auto"/>
        </w:rPr>
        <w:t>(I.R.S. Employer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Identification No.)</w:t>
      </w:r>
    </w:p>
    <w:p>
      <w:pPr>
        <w:spacing w:after="0" w:line="202" w:lineRule="exact"/>
        <w:rPr>
          <w:sz w:val="24"/>
          <w:szCs w:val="24"/>
          <w:color w:val="auto"/>
        </w:rPr>
      </w:pPr>
    </w:p>
    <w:p>
      <w:pPr>
        <w:sectPr>
          <w:pgSz w:w="11900" w:h="16838" w:orient="portrait"/>
          <w:cols w:equalWidth="0" w:num="3">
            <w:col w:w="4000" w:space="720"/>
            <w:col w:w="3320" w:space="720"/>
            <w:col w:w="2480"/>
          </w:cols>
          <w:pgMar w:left="320" w:top="1440" w:right="339" w:bottom="1440" w:gutter="0" w:footer="0" w:header="0"/>
          <w:type w:val="continuous"/>
        </w:sectPr>
      </w:pPr>
    </w:p>
    <w:p>
      <w:pPr>
        <w:spacing w:after="0" w:line="93"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425 Pontius Ave N, Ste 202</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Seattle, Washington</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jc w:val="center"/>
        <w:ind w:right="2540"/>
        <w:spacing w:after="0"/>
        <w:rPr>
          <w:sz w:val="20"/>
          <w:szCs w:val="20"/>
          <w:color w:val="auto"/>
        </w:rPr>
      </w:pPr>
      <w:r>
        <w:rPr>
          <w:rFonts w:ascii="Arial" w:cs="Arial" w:eastAsia="Arial" w:hAnsi="Arial"/>
          <w:sz w:val="18"/>
          <w:szCs w:val="18"/>
          <w:b w:val="1"/>
          <w:bCs w:val="1"/>
          <w:color w:val="auto"/>
        </w:rPr>
        <w:t>98109</w:t>
      </w:r>
    </w:p>
    <w:p>
      <w:pPr>
        <w:spacing w:after="0" w:line="27" w:lineRule="exact"/>
        <w:rPr>
          <w:sz w:val="24"/>
          <w:szCs w:val="24"/>
          <w:color w:val="auto"/>
        </w:rPr>
      </w:pPr>
    </w:p>
    <w:p>
      <w:pPr>
        <w:jc w:val="center"/>
        <w:ind w:right="25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20" w:space="720"/>
            <w:col w:w="3300"/>
          </w:cols>
          <w:pgMar w:left="320" w:top="1440" w:right="339" w:bottom="1440" w:gutter="0" w:footer="0" w:header="0"/>
          <w:type w:val="continuous"/>
        </w:sectPr>
      </w:pP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(206) 333-2001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49"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391"/>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0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100" w:type="dxa"/>
            <w:vAlign w:val="bottom"/>
          </w:tcPr>
          <w:p>
            <w:pPr>
              <w:spacing w:after="0"/>
              <w:rPr>
                <w:sz w:val="24"/>
                <w:szCs w:val="24"/>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64"/>
        </w:trPr>
        <w:tc>
          <w:tcPr>
            <w:tcW w:w="4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NAUT</w:t>
            </w: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1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15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On August 10, 2021, Nautilus Biotechnology, Inc. issued a press release reporting its financial results for the quarter ended June 30, 2021. A copy of the press release is furnished herewith as Exhibit 99.1 to this Current Report on Form 8-K.</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8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Exhibits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7"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34" w:lineRule="exact"/>
        <w:rPr>
          <w:sz w:val="20"/>
          <w:szCs w:val="20"/>
          <w:color w:val="auto"/>
        </w:rPr>
      </w:pPr>
    </w:p>
    <w:p>
      <w:pPr>
        <w:ind w:left="20"/>
        <w:spacing w:after="0"/>
        <w:tabs>
          <w:tab w:leader="none" w:pos="960" w:val="left"/>
        </w:tabs>
        <w:rPr>
          <w:rFonts w:ascii="Arial" w:cs="Arial" w:eastAsia="Arial" w:hAnsi="Arial"/>
          <w:sz w:val="15"/>
          <w:szCs w:val="15"/>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5"/>
            <w:szCs w:val="15"/>
            <w:u w:val="single" w:color="auto"/>
            <w:color w:val="0000FF"/>
          </w:rPr>
          <w:t>Press Release dated August 10, 2021.</w:t>
        </w:r>
      </w:hyperlink>
    </w:p>
    <w:p>
      <w:pPr>
        <w:spacing w:after="0" w:line="23" w:lineRule="exact"/>
        <w:rPr>
          <w:sz w:val="20"/>
          <w:szCs w:val="20"/>
          <w:color w:val="auto"/>
        </w:rPr>
      </w:pPr>
    </w:p>
    <w:p>
      <w:pPr>
        <w:ind w:left="980" w:hanging="95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10, 2021</w:t>
      </w:r>
    </w:p>
    <w:p>
      <w:pPr>
        <w:spacing w:after="0" w:line="262"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Sujal Patel</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4060" w:type="dxa"/>
            <w:vAlign w:val="bottom"/>
          </w:tcPr>
          <w:p>
            <w:pPr>
              <w:ind w:left="20"/>
              <w:spacing w:after="0"/>
              <w:rPr>
                <w:sz w:val="20"/>
                <w:szCs w:val="20"/>
                <w:color w:val="auto"/>
              </w:rPr>
            </w:pPr>
            <w:r>
              <w:rPr>
                <w:rFonts w:ascii="Arial" w:cs="Arial" w:eastAsia="Arial" w:hAnsi="Arial"/>
                <w:sz w:val="18"/>
                <w:szCs w:val="18"/>
                <w:color w:val="auto"/>
              </w:rPr>
              <w:t>Sujal Patel</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93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Nautilus Biotechnology Reports Second Quarter 2021 Financial Results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7"/>
          <w:szCs w:val="17"/>
          <w:b w:val="1"/>
          <w:bCs w:val="1"/>
          <w:color w:val="auto"/>
        </w:rPr>
        <w:t xml:space="preserve">SEATTLE, WA, August 10, 2021 </w:t>
      </w:r>
      <w:r>
        <w:rPr>
          <w:rFonts w:ascii="Arial" w:cs="Arial" w:eastAsia="Arial" w:hAnsi="Arial"/>
          <w:sz w:val="17"/>
          <w:szCs w:val="17"/>
          <w:color w:val="auto"/>
        </w:rPr>
        <w:t>– Nautilus Biotechnology, Inc. (NASDAQ: NAUT; or “Nautilus”), a life sciences company creating a platform</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technology for quantifying and unlocking the complexity of the proteome, today reported financial results for the second quarter ended June 30, 2021.</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229" w:lineRule="exact"/>
        <w:rPr>
          <w:sz w:val="20"/>
          <w:szCs w:val="20"/>
          <w:color w:val="auto"/>
        </w:rPr>
      </w:pPr>
    </w:p>
    <w:p>
      <w:pPr>
        <w:ind w:left="66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Completed business combination transaction with ARYA Sciences Acquisition Corp III (the “Business Combination”) and became a publicly traded company on June 10, 2021, with gross proceeds from this transaction totaling approximately $345.5 million.</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Continued to meet key internal milestones across a range of platform design and science activities in support of a planned late-2023 platform commercialization.</w:t>
      </w: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Appointed Emma Lundberg, Ph.D. to the Scientific Advisory Board. Dr. Lundberg, currently a professor in cell biology proteomics at KTH Royal Institute of Technology in Sweden.</w:t>
      </w:r>
    </w:p>
    <w:p>
      <w:pPr>
        <w:ind w:left="66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Appointed Karl Voss as Vice President of Life Sciences. Karl joins Nautilus from Pacific Biosciences and will lead the team focused on delivering Nautilus’ first-generation product.</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has been an incredibly exciting year for Nautilus as a company, and for the field of proteomics in general,” said Sujal Patel, CEO of Nautilus Biotechnology. “Our vision at Nautilus is to bring to market a complete, end-to-end, massive-scale protein analysis platform that we believe has the potential to deliver unique biological data and insight in an easy-to-use, cost-effective way. Much as democratizing access to the genome was a catalyst for the development of a broad, vibrant, and healthy genomics ecosystem, we believe that Nautilus’ proteomics innovation has the potential to unlock high-value applications in precision and personalized medicine, in drug discovery, and in diagnostics.”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2021 Financial Results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expenses were $10.7 million for the second quarter of 2021, a 215% increase from $3.4 million for the three months ended June 30, 2020. The increase in operating expenses was driven primarily by an increase in headcount to support ongoing development of our products as well as the costs associated with being a public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Net loss was $10.7 million for the second quarter of 2021, as compared to a net loss of $3.4 million for the corresponding prior 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investments were $388.4 million as of June 30,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Nautilus will host a conference call to discuss the second quarter 2021 financial results, business developments and outlook before market open on Tuesday, August 10, 2021 at 5:00 AM Pacific Time / 8:00 AM Eastern Time. Live audio of the webcast will be available on the “Investors” section of the company website at: </w:t>
      </w:r>
      <w:r>
        <w:rPr>
          <w:rFonts w:ascii="Arial" w:cs="Arial" w:eastAsia="Arial" w:hAnsi="Arial"/>
          <w:sz w:val="18"/>
          <w:szCs w:val="18"/>
          <w:u w:val="single" w:color="auto"/>
          <w:color w:val="0563C1"/>
        </w:rPr>
        <w:t>www.nautilus.bio</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Nautilus Biotechnology, Inc.</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in Seattle, Washington, Nautilus is a development stage life sciences company creating a platform technology for quantifying and unlocking the complexity of the proteome. Nautilus’ mission is to transform the field of proteomics by democratizing access to the proteome and enabling fundamental advancements across human health and medicine. To learn more about Nautilus, visit www.nautilus.bio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press release contains forward-looking statements within the meaning of federal securities laws. Forward-looking statements in this press release include, but are not limited to, statements regarding Nautilus’ expectations regarding the company’s business operations, financial performance and results of operations, as well as the potential functionality and performance of Nautilus’ product platform, its potential impact on pharmaceutical development and drug discovery, and market opportunities available to Nautilus generally. These statements are based on numerous assumptions concerning the development of Nautilus’ products and target markets and involve substantial risks, uncertainties and other factors that may cause actual results to be materially different from the information expressed or implied by these forward-looking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4" w:name="page5"/>
    <w:bookmarkEnd w:id="4"/>
    <w:p>
      <w:pPr>
        <w:jc w:val="both"/>
        <w:spacing w:after="0" w:line="269" w:lineRule="auto"/>
        <w:rPr>
          <w:sz w:val="20"/>
          <w:szCs w:val="20"/>
          <w:color w:val="auto"/>
        </w:rPr>
      </w:pPr>
      <w:r>
        <w:rPr>
          <w:rFonts w:ascii="Arial" w:cs="Arial" w:eastAsia="Arial" w:hAnsi="Arial"/>
          <w:sz w:val="17"/>
          <w:szCs w:val="17"/>
          <w:color w:val="auto"/>
        </w:rPr>
        <w:t>Risks and uncertainties that could materially affect the accuracy of Nautilus’ assumptions and its ability to achieve the forward-looking statements set forth in this press release include (without limitation) the following: Nautilus’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material delays as a result of unanticipated events. We cannot provide any guarantee or assurance with respect to the outcome of our development and commercialization initiatives or with respect to their associated timelines. For a more detailed description of additional risks and uncertainties facing Nautilus and its development efforts, investors should refer to the information under the caption “Risk Factors” in the Registration Statement on Form S-1 filed with the SEC as well as in our Quarterly Report on Form 10-Q to be filed for the quarter ended June 30, 2021. The forward-looking statements in this press release are as of the date of this press release. Except as otherwise required by applicable law, Nautilus disclaims any duty to update any forward-looking statements. You should, therefore, not rely on these forward-looking statements as representing our views as of any date subsequent to the date of this press release.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Information</w:t>
      </w:r>
    </w:p>
    <w:p>
      <w:pPr>
        <w:spacing w:after="0" w:line="256"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Nautilus uses filings with the Securities and Exchange Commission, its website (www.nautilus.bio), press releases, public conference calls, public webcasts, and its social media accounts as means of disclosing material non-public information and for complying with Regulation FD.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Thermal for Nautilus Biotechnology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Kaustuva Das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press@nautilus.bio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investorrelations@nautilus.bio</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51"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22"/>
          <w:szCs w:val="22"/>
          <w:b w:val="1"/>
          <w:bCs w:val="1"/>
          <w:color w:val="auto"/>
        </w:rPr>
        <w:t>Nautilus Biotechnology, Inc.</w:t>
      </w:r>
    </w:p>
    <w:p>
      <w:pPr>
        <w:ind w:left="20"/>
        <w:spacing w:after="0" w:line="204" w:lineRule="auto"/>
        <w:rPr>
          <w:sz w:val="20"/>
          <w:szCs w:val="20"/>
          <w:color w:val="auto"/>
        </w:rPr>
      </w:pPr>
      <w:r>
        <w:rPr>
          <w:rFonts w:ascii="Arial" w:cs="Arial" w:eastAsia="Arial" w:hAnsi="Arial"/>
          <w:sz w:val="22"/>
          <w:szCs w:val="22"/>
          <w:b w:val="1"/>
          <w:bCs w:val="1"/>
          <w:color w:val="auto"/>
        </w:rPr>
        <w:t>Condensed Consolidated Balance Sheets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As of June 30, 2021 and December 31, 2020 (Unaudited)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728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2"/>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288,387</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36,607</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77,659</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15,266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 term assets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393,275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85,011</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7"/>
              </w:rPr>
              <w:t>Liabilities, Redeemable Convertible Preferred Stock, and Stockholders’ Equity (Deficit)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operating lease liability</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23"/>
        </w:trPr>
        <w:tc>
          <w:tcPr>
            <w:tcW w:w="728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liability, net of current portion</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23"/>
        </w:trPr>
        <w:tc>
          <w:tcPr>
            <w:tcW w:w="728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2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Redeemable convertible preferred stock:</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Series Seed redeemable convertible preferred stock</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A redeemable convertible preferred stock</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Series B redeemable convertible preferred stock</w:t>
            </w:r>
          </w:p>
        </w:tc>
        <w:tc>
          <w:tcPr>
            <w:tcW w:w="28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75,857</w:t>
            </w:r>
          </w:p>
        </w:tc>
        <w:tc>
          <w:tcPr>
            <w:tcW w:w="0" w:type="dxa"/>
            <w:vAlign w:val="bottom"/>
          </w:tcPr>
          <w:p>
            <w:pPr>
              <w:spacing w:after="0"/>
              <w:rPr>
                <w:sz w:val="1"/>
                <w:szCs w:val="1"/>
                <w:color w:val="auto"/>
              </w:rPr>
            </w:pPr>
          </w:p>
        </w:tc>
      </w:tr>
      <w:tr>
        <w:trPr>
          <w:trHeight w:val="148"/>
        </w:trPr>
        <w:tc>
          <w:tcPr>
            <w:tcW w:w="7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Preferred stock</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8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(49,447)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(30,325)</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equity (deficit)</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390,044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(29,721)</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393,275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60"/>
          </w:cols>
          <w:pgMar w:left="320" w:top="140" w:right="1319" w:bottom="1440" w:gutter="0" w:footer="0" w:header="0"/>
        </w:sectPr>
      </w:pPr>
    </w:p>
    <w:bookmarkStart w:id="6" w:name="page7"/>
    <w:bookmarkEnd w:id="6"/>
    <w:p>
      <w:pPr>
        <w:ind w:left="20"/>
        <w:spacing w:after="0"/>
        <w:rPr>
          <w:sz w:val="20"/>
          <w:szCs w:val="20"/>
          <w:color w:val="auto"/>
        </w:rPr>
      </w:pPr>
      <w:r>
        <w:rPr>
          <w:rFonts w:ascii="Arial" w:cs="Arial" w:eastAsia="Arial" w:hAnsi="Arial"/>
          <w:sz w:val="22"/>
          <w:szCs w:val="22"/>
          <w:b w:val="1"/>
          <w:bCs w:val="1"/>
          <w:color w:val="auto"/>
        </w:rPr>
        <w:t>Nautilus Biotechnology, Inc.</w:t>
      </w:r>
    </w:p>
    <w:p>
      <w:pPr>
        <w:ind w:left="20"/>
        <w:spacing w:after="0" w:line="204" w:lineRule="auto"/>
        <w:rPr>
          <w:sz w:val="20"/>
          <w:szCs w:val="20"/>
          <w:color w:val="auto"/>
        </w:rPr>
      </w:pPr>
      <w:r>
        <w:rPr>
          <w:rFonts w:ascii="Arial" w:cs="Arial" w:eastAsia="Arial" w:hAnsi="Arial"/>
          <w:sz w:val="22"/>
          <w:szCs w:val="22"/>
          <w:b w:val="1"/>
          <w:bCs w:val="1"/>
          <w:color w:val="auto"/>
        </w:rPr>
        <w:t>Condensed Consolidated Statements of Operations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Three and Six Months Ended June 30, 2021 and 2020 (Unaudited)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68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8"/>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6,380</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11,215</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5,221</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23"/>
        </w:trPr>
        <w:tc>
          <w:tcPr>
            <w:tcW w:w="508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10,697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6,397</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(19,122)</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(6,289)</w:t>
            </w:r>
          </w:p>
        </w:tc>
        <w:tc>
          <w:tcPr>
            <w:tcW w:w="0" w:type="dxa"/>
            <w:vAlign w:val="bottom"/>
          </w:tcPr>
          <w:p>
            <w:pPr>
              <w:spacing w:after="0"/>
              <w:rPr>
                <w:sz w:val="1"/>
                <w:szCs w:val="1"/>
                <w:color w:val="auto"/>
              </w:rPr>
            </w:pPr>
          </w:p>
        </w:tc>
      </w:tr>
      <w:tr>
        <w:trPr>
          <w:trHeight w:val="20"/>
        </w:trPr>
        <w:tc>
          <w:tcPr>
            <w:tcW w:w="5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per share attributable to common stockholders, basic and</w:t>
            </w: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8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9"/>
              </w:rPr>
              <w:t>Weighted-average shares used in computing net loss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0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55,070,480</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28,184,532</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44,096,149</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27,321,614</w:t>
            </w:r>
          </w:p>
        </w:tc>
        <w:tc>
          <w:tcPr>
            <w:tcW w:w="0" w:type="dxa"/>
            <w:vAlign w:val="bottom"/>
          </w:tcPr>
          <w:p>
            <w:pPr>
              <w:spacing w:after="0"/>
              <w:rPr>
                <w:sz w:val="1"/>
                <w:szCs w:val="1"/>
                <w:color w:val="auto"/>
              </w:rPr>
            </w:pPr>
          </w:p>
        </w:tc>
      </w:tr>
      <w:tr>
        <w:trPr>
          <w:trHeight w:val="203"/>
        </w:trPr>
        <w:tc>
          <w:tcPr>
            <w:tcW w:w="508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attributable to common stockholders, basic and diluted </w:t>
            </w:r>
            <w:r>
              <w:rPr>
                <w:rFonts w:ascii="Arial" w:cs="Arial" w:eastAsia="Arial" w:hAnsi="Arial"/>
                <w:sz w:val="23"/>
                <w:szCs w:val="23"/>
                <w:color w:val="auto"/>
                <w:vertAlign w:val="superscript"/>
              </w:rPr>
              <w:t>(1)</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firstLine="8"/>
        <w:spacing w:after="0" w:line="277" w:lineRule="auto"/>
        <w:tabs>
          <w:tab w:leader="none" w:pos="25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weighted-average number of shares of Common Stock outstanding prior to the Business Combination have been retroactively restated to reflect the exchange ratio of approximately 3.6281 established in the Business Combination.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0" w:right="339" w:bottom="1440" w:gutter="0" w:footer="0" w:header="0"/>
        </w:sectPr>
      </w:pPr>
    </w:p>
    <w:bookmarkStart w:id="7" w:name="page8"/>
    <w:bookmarkEnd w:id="7"/>
    <w:p>
      <w:pPr>
        <w:ind w:left="20"/>
        <w:spacing w:after="0"/>
        <w:rPr>
          <w:sz w:val="20"/>
          <w:szCs w:val="20"/>
          <w:color w:val="auto"/>
        </w:rPr>
      </w:pPr>
      <w:r>
        <w:rPr>
          <w:rFonts w:ascii="Arial" w:cs="Arial" w:eastAsia="Arial" w:hAnsi="Arial"/>
          <w:sz w:val="22"/>
          <w:szCs w:val="22"/>
          <w:b w:val="1"/>
          <w:bCs w:val="1"/>
          <w:color w:val="auto"/>
        </w:rPr>
        <w:t>Nautilus Biotechnology, Inc.</w:t>
      </w:r>
    </w:p>
    <w:p>
      <w:pPr>
        <w:ind w:left="20"/>
        <w:spacing w:after="0" w:line="204" w:lineRule="auto"/>
        <w:rPr>
          <w:sz w:val="20"/>
          <w:szCs w:val="20"/>
          <w:color w:val="auto"/>
        </w:rPr>
      </w:pPr>
      <w:r>
        <w:rPr>
          <w:rFonts w:ascii="Arial" w:cs="Arial" w:eastAsia="Arial" w:hAnsi="Arial"/>
          <w:sz w:val="22"/>
          <w:szCs w:val="22"/>
          <w:b w:val="1"/>
          <w:bCs w:val="1"/>
          <w:color w:val="auto"/>
        </w:rPr>
        <w:t>Condensed Consolidated Statements of Cash Flows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Six Months Ended June 30, 2021 and 2020 (Unaudited)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June 30,</w:t>
            </w:r>
          </w:p>
        </w:tc>
      </w:tr>
      <w:tr>
        <w:trPr>
          <w:trHeight w:val="186"/>
        </w:trPr>
        <w:tc>
          <w:tcPr>
            <w:tcW w:w="72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12"/>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amortization of premiums on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Amortization of operating lease right-of-use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836</w:t>
            </w: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7280" w:type="dxa"/>
            <w:vAlign w:val="bottom"/>
          </w:tcPr>
          <w:p>
            <w:pPr>
              <w:ind w:left="24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w:t>
            </w:r>
          </w:p>
        </w:tc>
      </w:tr>
      <w:tr>
        <w:trPr>
          <w:trHeight w:val="229"/>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7280" w:type="dxa"/>
            <w:vAlign w:val="bottom"/>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29"/>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liability</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r>
      <w:tr>
        <w:trPr>
          <w:trHeight w:val="223"/>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(5,898)</w:t>
            </w:r>
          </w:p>
        </w:tc>
      </w:tr>
      <w:tr>
        <w:trPr>
          <w:trHeight w:val="20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Proceeds from sale and maturities of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11,001</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(48,333)</w:t>
            </w:r>
          </w:p>
        </w:tc>
      </w:tr>
      <w:tr>
        <w:trPr>
          <w:trHeight w:val="22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r>
      <w:tr>
        <w:trPr>
          <w:trHeight w:val="223"/>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(37,687)</w:t>
            </w:r>
          </w:p>
        </w:tc>
      </w:tr>
      <w:tr>
        <w:trPr>
          <w:trHeight w:val="209"/>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from reverse recapitalization and PIPE financing</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Payments of deferred offering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(8,082)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75,857</w:t>
            </w:r>
          </w:p>
        </w:tc>
      </w:tr>
      <w:tr>
        <w:trPr>
          <w:trHeight w:val="223"/>
        </w:trPr>
        <w:tc>
          <w:tcPr>
            <w:tcW w:w="72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327,373</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75,861</w:t>
            </w:r>
          </w:p>
        </w:tc>
      </w:tr>
      <w:tr>
        <w:trPr>
          <w:trHeight w:val="223"/>
        </w:trPr>
        <w:tc>
          <w:tcPr>
            <w:tcW w:w="7280" w:type="dxa"/>
            <w:vAlign w:val="bottom"/>
          </w:tcPr>
          <w:p>
            <w:pPr>
              <w:ind w:left="360"/>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251,780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32,276</w:t>
            </w:r>
          </w:p>
        </w:tc>
      </w:tr>
      <w:tr>
        <w:trPr>
          <w:trHeight w:val="257"/>
        </w:trPr>
        <w:tc>
          <w:tcPr>
            <w:tcW w:w="7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288,999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32,871</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sectPr>
      <w:pgSz w:w="11900" w:h="16838" w:orient="portrait"/>
      <w:cols w:equalWidth="0" w:num="1">
        <w:col w:w="10260"/>
      </w:cols>
      <w:pgMar w:left="320" w:top="140" w:right="1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2021-08-10T05:24:33Z</dcterms:created>
  <dcterms:modified xsi:type="dcterms:W3CDTF">2021-08-10T05:24:33Z</dcterms:modified>
</cp:coreProperties>
</file>