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00"/>
        <w:spacing w:after="0" w:line="281" w:lineRule="auto"/>
        <w:rPr>
          <w:sz w:val="20"/>
          <w:szCs w:val="20"/>
          <w:color w:val="auto"/>
        </w:rPr>
      </w:pPr>
      <w:r>
        <w:rPr>
          <w:rFonts w:ascii="Times New Roman" w:cs="Times New Roman" w:eastAsia="Times New Roman" w:hAnsi="Times New Roman"/>
          <w:sz w:val="22"/>
          <w:szCs w:val="22"/>
          <w:color w:val="auto"/>
        </w:rPr>
        <w:t>NAUTILUS BIOTECHNOLOGY INC 001-39434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333-2001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 GODWIN</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98884.00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11/11/2024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98884.00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11/08/2024 31078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78158.06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28922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79642.51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Sales that were executed on November 11, 2024 are being reported on this Form 144 filed on November 12, 2024 given the EDGAR system was not accepting filings November 11, 2024 in observance of the federal holiday.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Mary Elizabeth Godwin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2024-11-12T10:42:42Z</dcterms:created>
  <dcterms:modified xsi:type="dcterms:W3CDTF">2024-11-12T10:42:42Z</dcterms:modified>
</cp:coreProperties>
</file>