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43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4388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2"/>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Nelson Nicholas A.</w:t>
              </w:r>
            </w:hyperlink>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Nautilus Biotechnology,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NAUT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Borders>
              <w:bottom w:val="single" w:sz="8" w:color="0000EE"/>
            </w:tcBorders>
            <w:gridSpan w:val="2"/>
            <w:vMerge w:val="continue"/>
          </w:tcPr>
          <w:p>
            <w:pPr>
              <w:spacing w:after="0"/>
              <w:rPr>
                <w:sz w:val="3"/>
                <w:szCs w:val="3"/>
                <w:color w:val="auto"/>
              </w:rPr>
            </w:pPr>
          </w:p>
        </w:tc>
        <w:tc>
          <w:tcPr>
            <w:tcW w:w="42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ind w:left="20"/>
              <w:spacing w:after="0" w:line="113" w:lineRule="exact"/>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top w:val="single" w:sz="8" w:color="EEEEEE"/>
            </w:tcBorders>
          </w:tcPr>
          <w:p>
            <w:pPr>
              <w:spacing w:after="0"/>
              <w:rPr>
                <w:sz w:val="6"/>
                <w:szCs w:val="6"/>
                <w:color w:val="auto"/>
              </w:rPr>
            </w:pPr>
          </w:p>
        </w:tc>
        <w:tc>
          <w:tcPr>
            <w:tcW w:w="280" w:type="dxa"/>
            <w:vAlign w:val="bottom"/>
            <w:tcBorders>
              <w:top w:val="single" w:sz="8" w:color="EEEEEE"/>
            </w:tcBorders>
          </w:tcPr>
          <w:p>
            <w:pPr>
              <w:spacing w:after="0"/>
              <w:rPr>
                <w:sz w:val="6"/>
                <w:szCs w:val="6"/>
                <w:color w:val="auto"/>
              </w:rPr>
            </w:pPr>
          </w:p>
        </w:tc>
        <w:tc>
          <w:tcPr>
            <w:tcW w:w="420" w:type="dxa"/>
            <w:vAlign w:val="bottom"/>
            <w:tcBorders>
              <w:top w:val="single" w:sz="8" w:color="EEEEEE"/>
            </w:tcBorders>
          </w:tcPr>
          <w:p>
            <w:pPr>
              <w:spacing w:after="0"/>
              <w:rPr>
                <w:sz w:val="6"/>
                <w:szCs w:val="6"/>
                <w:color w:val="auto"/>
              </w:rPr>
            </w:pPr>
          </w:p>
        </w:tc>
        <w:tc>
          <w:tcPr>
            <w:tcW w:w="740" w:type="dxa"/>
            <w:vAlign w:val="bottom"/>
            <w:tcBorders>
              <w:top w:val="single" w:sz="8" w:color="EEEEEE"/>
            </w:tcBorders>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22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0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740" w:type="dxa"/>
            <w:vAlign w:val="bottom"/>
          </w:tcPr>
          <w:p>
            <w:pPr>
              <w:spacing w:after="0"/>
              <w:rPr>
                <w:sz w:val="2"/>
                <w:szCs w:val="2"/>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0" w:type="dxa"/>
            <w:vAlign w:val="bottom"/>
            <w:gridSpan w:val="4"/>
            <w:vMerge w:val="restart"/>
          </w:tcPr>
          <w:p>
            <w:pPr>
              <w:ind w:left="300"/>
              <w:spacing w:after="0"/>
              <w:rPr>
                <w:sz w:val="20"/>
                <w:szCs w:val="20"/>
                <w:color w:val="auto"/>
              </w:rPr>
            </w:pPr>
            <w:r>
              <w:rPr>
                <w:rFonts w:ascii="Times New Roman" w:cs="Times New Roman" w:eastAsia="Times New Roman" w:hAnsi="Times New Roman"/>
                <w:sz w:val="13"/>
                <w:szCs w:val="13"/>
                <w:color w:val="0000FF"/>
              </w:rPr>
              <w:t>CBO &amp; Senior VP, Bus. Dev.</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C/O NAUTILUS BIOTECHNOLOGY, INC.</w:t>
            </w: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700" w:type="dxa"/>
            <w:vAlign w:val="bottom"/>
            <w:gridSpan w:val="6"/>
            <w:vMerge w:val="continue"/>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4"/>
            <w:vMerge w:val="continue"/>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0000FF"/>
              </w:rPr>
              <w:t>03/03/2025</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2701 EASTLAKE AVENUE EAST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700" w:type="dxa"/>
            <w:vAlign w:val="bottom"/>
            <w:tcBorders>
              <w:bottom w:val="single" w:sz="8" w:color="808080"/>
            </w:tcBorders>
            <w:gridSpan w:val="6"/>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gridSpan w:val="2"/>
          </w:tcPr>
          <w:p>
            <w:pPr>
              <w:spacing w:after="0"/>
              <w:rPr>
                <w:sz w:val="15"/>
                <w:szCs w:val="15"/>
                <w:color w:val="auto"/>
              </w:rPr>
            </w:pPr>
          </w:p>
        </w:tc>
        <w:tc>
          <w:tcPr>
            <w:tcW w:w="2740" w:type="dxa"/>
            <w:vAlign w:val="bottom"/>
            <w:tcBorders>
              <w:bottom w:val="single" w:sz="8" w:color="808080"/>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2C2C2C"/>
            </w:tcBorders>
          </w:tcPr>
          <w:p>
            <w:pPr>
              <w:spacing w:after="0"/>
              <w:rPr>
                <w:sz w:val="12"/>
                <w:szCs w:val="12"/>
                <w:color w:val="auto"/>
              </w:rPr>
            </w:pPr>
          </w:p>
        </w:tc>
        <w:tc>
          <w:tcPr>
            <w:tcW w:w="2700" w:type="dxa"/>
            <w:vAlign w:val="bottom"/>
            <w:tcBorders>
              <w:top w:val="single" w:sz="8" w:color="2C2C2C"/>
            </w:tcBorders>
            <w:gridSpan w:val="6"/>
          </w:tcPr>
          <w:p>
            <w:pPr>
              <w:spacing w:after="0"/>
              <w:rPr>
                <w:sz w:val="20"/>
                <w:szCs w:val="20"/>
                <w:color w:val="auto"/>
              </w:rPr>
            </w:pPr>
            <w:r>
              <w:rPr>
                <w:rFonts w:ascii="Arial" w:cs="Arial" w:eastAsia="Arial" w:hAnsi="Arial"/>
                <w:sz w:val="10"/>
                <w:szCs w:val="10"/>
                <w:color w:val="auto"/>
              </w:rPr>
              <w:t>4. If Amendment, Date of Original Filed (Month/Day/Year)</w:t>
            </w:r>
          </w:p>
        </w:tc>
        <w:tc>
          <w:tcPr>
            <w:tcW w:w="880" w:type="dxa"/>
            <w:vAlign w:val="bottom"/>
            <w:tcBorders>
              <w:top w:val="single" w:sz="8" w:color="2C2C2C"/>
            </w:tcBorders>
          </w:tcPr>
          <w:p>
            <w:pPr>
              <w:spacing w:after="0"/>
              <w:rPr>
                <w:sz w:val="12"/>
                <w:szCs w:val="12"/>
                <w:color w:val="auto"/>
              </w:rPr>
            </w:pPr>
          </w:p>
        </w:tc>
        <w:tc>
          <w:tcPr>
            <w:tcW w:w="220" w:type="dxa"/>
            <w:vAlign w:val="bottom"/>
            <w:tcBorders>
              <w:top w:val="single" w:sz="8" w:color="2C2C2C"/>
            </w:tcBorders>
          </w:tcPr>
          <w:p>
            <w:pPr>
              <w:spacing w:after="0"/>
              <w:rPr>
                <w:sz w:val="12"/>
                <w:szCs w:val="12"/>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SEATTLE</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WA</w:t>
            </w:r>
          </w:p>
        </w:tc>
        <w:tc>
          <w:tcPr>
            <w:tcW w:w="740" w:type="dxa"/>
            <w:vAlign w:val="bottom"/>
          </w:tcPr>
          <w:p>
            <w:pPr>
              <w:spacing w:after="0"/>
              <w:rPr>
                <w:sz w:val="16"/>
                <w:szCs w:val="16"/>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98102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00" w:type="dxa"/>
            <w:vAlign w:val="bottom"/>
            <w:gridSpan w:val="2"/>
          </w:tcPr>
          <w:p>
            <w:pPr>
              <w:ind w:left="200"/>
              <w:spacing w:after="0"/>
              <w:rPr>
                <w:sz w:val="20"/>
                <w:szCs w:val="20"/>
                <w:color w:val="auto"/>
              </w:rPr>
            </w:pPr>
            <w:r>
              <w:rPr>
                <w:rFonts w:ascii="Arial" w:cs="Arial" w:eastAsia="Arial" w:hAnsi="Arial"/>
                <w:sz w:val="10"/>
                <w:szCs w:val="10"/>
                <w:color w:val="auto"/>
              </w:rPr>
              <w:t>(State)</w:t>
            </w:r>
          </w:p>
        </w:tc>
        <w:tc>
          <w:tcPr>
            <w:tcW w:w="74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8"/>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5560" w:type="dxa"/>
            <w:vAlign w:val="bottom"/>
            <w:tcBorders>
              <w:top w:val="single" w:sz="8" w:color="2C2C2C"/>
            </w:tcBorders>
            <w:gridSpan w:val="13"/>
          </w:tcPr>
          <w:p>
            <w:pPr>
              <w:jc w:val="right"/>
              <w:ind w:right="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1020" w:type="dxa"/>
            <w:vAlign w:val="bottom"/>
            <w:gridSpan w:val="2"/>
          </w:tcPr>
          <w:p>
            <w:pPr>
              <w:ind w:left="2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1020" w:type="dxa"/>
            <w:vAlign w:val="bottom"/>
            <w:gridSpan w:val="2"/>
          </w:tcPr>
          <w:p>
            <w:pPr>
              <w:ind w:left="2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gridSpan w:val="5"/>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6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gridSpan w:val="2"/>
          </w:tcPr>
          <w:p>
            <w:pPr>
              <w:ind w:left="20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880" w:type="dxa"/>
            <w:vAlign w:val="bottom"/>
            <w:vMerge w:val="restart"/>
          </w:tcPr>
          <w:p>
            <w:pPr>
              <w:ind w:left="420"/>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jc w:val="right"/>
              <w:ind w:right="288"/>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4"/>
          </w:tcPr>
          <w:p>
            <w:pPr>
              <w:spacing w:after="0"/>
              <w:rPr>
                <w:sz w:val="5"/>
                <w:szCs w:val="5"/>
                <w:color w:val="auto"/>
              </w:rPr>
            </w:pPr>
          </w:p>
        </w:tc>
        <w:tc>
          <w:tcPr>
            <w:tcW w:w="4220" w:type="dxa"/>
            <w:vAlign w:val="bottom"/>
            <w:tcBorders>
              <w:bottom w:val="single" w:sz="8" w:color="2C2C2C"/>
            </w:tcBorders>
            <w:gridSpan w:val="9"/>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5560" w:type="dxa"/>
            <w:vAlign w:val="bottom"/>
            <w:tcBorders>
              <w:top w:val="single" w:sz="8" w:color="2C2C2C"/>
            </w:tcBorders>
            <w:gridSpan w:val="13"/>
          </w:tcPr>
          <w:p>
            <w:pPr>
              <w:ind w:left="52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46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20" w:type="dxa"/>
            <w:vAlign w:val="bottom"/>
            <w:gridSpan w:val="10"/>
          </w:tcPr>
          <w:p>
            <w:pPr>
              <w:ind w:left="1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28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4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00" w:type="dxa"/>
            <w:vAlign w:val="bottom"/>
          </w:tcPr>
          <w:p>
            <w:pPr>
              <w:ind w:left="180"/>
              <w:spacing w:after="0"/>
              <w:rPr>
                <w:sz w:val="20"/>
                <w:szCs w:val="20"/>
                <w:color w:val="auto"/>
              </w:rPr>
            </w:pPr>
            <w:r>
              <w:rPr>
                <w:rFonts w:ascii="Arial" w:cs="Arial" w:eastAsia="Arial" w:hAnsi="Arial"/>
                <w:sz w:val="9"/>
                <w:szCs w:val="9"/>
                <w:b w:val="1"/>
                <w:bCs w:val="1"/>
                <w:color w:val="auto"/>
              </w:rPr>
              <w:t>3A. Deemed</w:t>
            </w:r>
          </w:p>
        </w:tc>
        <w:tc>
          <w:tcPr>
            <w:tcW w:w="80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Conversion</w:t>
            </w:r>
          </w:p>
        </w:tc>
        <w:tc>
          <w:tcPr>
            <w:tcW w:w="7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00" w:type="dxa"/>
            <w:vAlign w:val="bottom"/>
          </w:tcPr>
          <w:p>
            <w:pPr>
              <w:ind w:left="180"/>
              <w:spacing w:after="0"/>
              <w:rPr>
                <w:sz w:val="20"/>
                <w:szCs w:val="20"/>
                <w:color w:val="auto"/>
              </w:rPr>
            </w:pPr>
            <w:r>
              <w:rPr>
                <w:rFonts w:ascii="Arial" w:cs="Arial" w:eastAsia="Arial" w:hAnsi="Arial"/>
                <w:sz w:val="9"/>
                <w:szCs w:val="9"/>
                <w:b w:val="1"/>
                <w:bCs w:val="1"/>
                <w:color w:val="auto"/>
              </w:rPr>
              <w:t>Execution Date,</w:t>
            </w:r>
          </w:p>
        </w:tc>
        <w:tc>
          <w:tcPr>
            <w:tcW w:w="8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5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Price of</w:t>
            </w:r>
          </w:p>
        </w:tc>
        <w:tc>
          <w:tcPr>
            <w:tcW w:w="740" w:type="dxa"/>
            <w:vAlign w:val="bottom"/>
          </w:tcPr>
          <w:p>
            <w:pPr>
              <w:spacing w:after="0"/>
              <w:rPr>
                <w:sz w:val="9"/>
                <w:szCs w:val="9"/>
                <w:color w:val="auto"/>
              </w:rPr>
            </w:pPr>
          </w:p>
        </w:tc>
        <w:tc>
          <w:tcPr>
            <w:tcW w:w="1000" w:type="dxa"/>
            <w:vAlign w:val="bottom"/>
          </w:tcPr>
          <w:p>
            <w:pPr>
              <w:ind w:left="18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Derivative</w:t>
            </w: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(D) (Instr. 3, 4 and 5)</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ind w:left="8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9"/>
                <w:szCs w:val="9"/>
                <w:b w:val="1"/>
                <w:bCs w:val="1"/>
                <w:color w:val="auto"/>
              </w:rPr>
              <w:t>Security</w:t>
            </w:r>
          </w:p>
        </w:tc>
        <w:tc>
          <w:tcPr>
            <w:tcW w:w="7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9"/>
                <w:szCs w:val="9"/>
                <w:color w:val="auto"/>
              </w:rPr>
            </w:pPr>
          </w:p>
        </w:tc>
        <w:tc>
          <w:tcPr>
            <w:tcW w:w="540" w:type="dxa"/>
            <w:vAlign w:val="bottom"/>
          </w:tcPr>
          <w:p>
            <w:pPr>
              <w:spacing w:after="0"/>
              <w:rPr>
                <w:sz w:val="20"/>
                <w:szCs w:val="20"/>
                <w:color w:val="auto"/>
              </w:rPr>
            </w:pPr>
            <w:r>
              <w:rPr>
                <w:rFonts w:ascii="Arial" w:cs="Arial" w:eastAsia="Arial" w:hAnsi="Arial"/>
                <w:sz w:val="9"/>
                <w:szCs w:val="9"/>
                <w:b w:val="1"/>
                <w:bCs w:val="1"/>
                <w:color w:val="auto"/>
              </w:rPr>
              <w:t>Expiration</w:t>
            </w:r>
          </w:p>
        </w:tc>
        <w:tc>
          <w:tcPr>
            <w:tcW w:w="88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560" w:type="dxa"/>
            <w:vAlign w:val="bottom"/>
          </w:tcPr>
          <w:p>
            <w:pPr>
              <w:ind w:left="60"/>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8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Stock Option (Right to</w:t>
            </w:r>
          </w:p>
        </w:tc>
        <w:tc>
          <w:tcPr>
            <w:tcW w:w="70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1.24</w:t>
            </w:r>
          </w:p>
        </w:tc>
        <w:tc>
          <w:tcPr>
            <w:tcW w:w="74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0000FF"/>
              </w:rPr>
              <w:t>03/03/2025</w:t>
            </w:r>
          </w:p>
        </w:tc>
        <w:tc>
          <w:tcPr>
            <w:tcW w:w="1000" w:type="dxa"/>
            <w:vAlign w:val="bottom"/>
          </w:tcPr>
          <w:p>
            <w:pPr>
              <w:spacing w:after="0"/>
              <w:rPr>
                <w:sz w:val="12"/>
                <w:szCs w:val="12"/>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00FF"/>
              </w:rPr>
              <w:t>160,000</w:t>
            </w:r>
          </w:p>
        </w:tc>
        <w:tc>
          <w:tcPr>
            <w:tcW w:w="460" w:type="dxa"/>
            <w:vAlign w:val="bottom"/>
          </w:tcPr>
          <w:p>
            <w:pPr>
              <w:spacing w:after="0"/>
              <w:rPr>
                <w:sz w:val="12"/>
                <w:szCs w:val="12"/>
                <w:color w:val="auto"/>
              </w:rPr>
            </w:pPr>
          </w:p>
        </w:tc>
        <w:tc>
          <w:tcPr>
            <w:tcW w:w="440" w:type="dxa"/>
            <w:vAlign w:val="bottom"/>
            <w:vMerge w:val="restart"/>
          </w:tcPr>
          <w:p>
            <w:pPr>
              <w:ind w:left="260"/>
              <w:spacing w:after="0"/>
              <w:rPr>
                <w:sz w:val="20"/>
                <w:szCs w:val="20"/>
                <w:color w:val="auto"/>
              </w:rPr>
            </w:pPr>
            <w:r>
              <w:rPr>
                <w:rFonts w:ascii="Times New Roman" w:cs="Times New Roman" w:eastAsia="Times New Roman" w:hAnsi="Times New Roman"/>
                <w:sz w:val="9"/>
                <w:szCs w:val="9"/>
                <w:color w:val="008000"/>
              </w:rPr>
              <w:t>(1)</w:t>
            </w:r>
          </w:p>
        </w:tc>
        <w:tc>
          <w:tcPr>
            <w:tcW w:w="240" w:type="dxa"/>
            <w:vAlign w:val="bottom"/>
          </w:tcPr>
          <w:p>
            <w:pPr>
              <w:spacing w:after="0"/>
              <w:rPr>
                <w:sz w:val="12"/>
                <w:szCs w:val="12"/>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0"/>
                <w:szCs w:val="10"/>
                <w:color w:val="0000FF"/>
              </w:rPr>
              <w:t>03/03/2035</w:t>
            </w: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160,000</w:t>
            </w:r>
          </w:p>
        </w:tc>
        <w:tc>
          <w:tcPr>
            <w:tcW w:w="74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00FF"/>
              </w:rPr>
              <w:t>160,000</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0000FF"/>
              </w:rPr>
              <w:t>Buy)</w:t>
            </w:r>
          </w:p>
        </w:tc>
        <w:tc>
          <w:tcPr>
            <w:tcW w:w="7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25% of the shares subject to the Option shall vest and become exercisable on the first anniversary of the Vesting Commencement Date, as defined below, and the balance of the shares subject to the Option shall vest and become exercisable on a ratable, monthly basis over the 36 months succeeding such first anniversary so long as the Reporting Person remains a Service Provider as provided in the Issuer's 2021 Equity Incentive Plan. Vesting Commencement Date shall mean January 1, 2025.</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Mathew B. Murphy,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366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667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14732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7320"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720" w:space="10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7944"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2025-03-04T16:04:45Z</dcterms:created>
  <dcterms:modified xsi:type="dcterms:W3CDTF">2025-03-04T16:04:45Z</dcterms:modified>
</cp:coreProperties>
</file>