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color w:val="000000"/>
        </w:rPr>
      </w:pP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20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0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_________ to _________ </w:t>
      </w:r>
    </w:p>
    <w:p>
      <w:pPr>
        <w:pStyle w:val="TextBody"/>
        <w:bidi w:val="0"/>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001-39434</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p>
      <w:pPr>
        <w:pStyle w:val="TextBody"/>
        <w:bidi w:val="0"/>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p>
      <w:pPr>
        <w:pStyle w:val="TextBody"/>
        <w:bidi w:val="0"/>
        <w:spacing w:before="0" w:after="0"/>
        <w:jc w:val="center"/>
        <w:rPr/>
      </w:pPr>
      <w:r>
        <w:rPr/>
      </w:r>
    </w:p>
    <w:tbl>
      <w:tblPr>
        <w:tblW w:w="8834" w:type="dxa"/>
        <w:jc w:val="center"/>
        <w:tblInd w:w="0" w:type="dxa"/>
        <w:tblLayout w:type="fixed"/>
        <w:tblCellMar>
          <w:top w:w="28" w:type="dxa"/>
          <w:left w:w="28" w:type="dxa"/>
          <w:bottom w:w="28" w:type="dxa"/>
          <w:right w:w="28" w:type="dxa"/>
        </w:tblCellMar>
      </w:tblPr>
      <w:tblGrid>
        <w:gridCol w:w="1314"/>
        <w:gridCol w:w="1155"/>
        <w:gridCol w:w="1161"/>
        <w:gridCol w:w="1252"/>
        <w:gridCol w:w="1252"/>
        <w:gridCol w:w="1261"/>
        <w:gridCol w:w="419"/>
        <w:gridCol w:w="419"/>
        <w:gridCol w:w="60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98-1541723</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2701 Eastlake Avenue East Seattle, Washington </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180"/>
              <w:jc w:val="center"/>
              <w:rPr/>
            </w:pPr>
            <w:r>
              <w:rPr/>
            </w:r>
          </w:p>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98102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(206) 333-2001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58" w:type="dxa"/>
        <w:jc w:val="center"/>
        <w:tblInd w:w="0" w:type="dxa"/>
        <w:tblLayout w:type="fixed"/>
        <w:tblCellMar>
          <w:top w:w="28" w:type="dxa"/>
          <w:left w:w="28" w:type="dxa"/>
          <w:bottom w:w="28" w:type="dxa"/>
          <w:right w:w="28" w:type="dxa"/>
        </w:tblCellMar>
      </w:tblPr>
      <w:tblGrid>
        <w:gridCol w:w="1171"/>
        <w:gridCol w:w="1028"/>
        <w:gridCol w:w="1040"/>
        <w:gridCol w:w="564"/>
        <w:gridCol w:w="564"/>
        <w:gridCol w:w="566"/>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NAUT</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9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the registrant had 124,930,899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00"/>
        <w:gridCol w:w="440"/>
        <w:gridCol w:w="440"/>
        <w:gridCol w:w="2842"/>
        <w:gridCol w:w="2724"/>
        <w:gridCol w:w="2715"/>
        <w:gridCol w:w="158"/>
        <w:gridCol w:w="158"/>
        <w:gridCol w:w="228"/>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3">
              <w:r>
                <w:rPr>
                  <w:rStyle w:val="InternetLink"/>
                  <w:rFonts w:ascii="Times New Roman;sans-serif" w:hAnsi="Times New Roman;sans-serif"/>
                  <w:b w:val="false"/>
                  <w:color w:val="0000FF"/>
                  <w:sz w:val="20"/>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3">
              <w:r>
                <w:rPr>
                  <w:rStyle w:val="InternetLink"/>
                  <w:rFonts w:ascii="Times New Roman;sans-serif" w:hAnsi="Times New Roman;sans-serif"/>
                  <w:b w:val="false"/>
                  <w:color w:val="0000FF"/>
                  <w:sz w:val="20"/>
                  <w:u w:val="single"/>
                </w:rPr>
                <w:t>iii</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6">
              <w:r>
                <w:rPr>
                  <w:rStyle w:val="InternetLink"/>
                  <w:rFonts w:ascii="Times New Roman;sans-serif" w:hAnsi="Times New Roman;sans-serif"/>
                  <w:b w:val="false"/>
                  <w:color w:val="0000FF"/>
                  <w:sz w:val="20"/>
                  <w:u w:val="single"/>
                </w:rPr>
                <w:t>Financial Statements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6">
              <w:r>
                <w:rPr>
                  <w:rStyle w:val="InternetLink"/>
                  <w:rFonts w:ascii="Times New Roman;sans-serif" w:hAnsi="Times New Roman;sans-serif"/>
                  <w:b w:val="false"/>
                  <w:color w:val="0000FF"/>
                  <w:sz w:val="20"/>
                  <w:u w:val="single"/>
                </w:rPr>
                <w:t>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6">
              <w:r>
                <w:rPr>
                  <w:rStyle w:val="InternetLink"/>
                  <w:rFonts w:ascii="Times New Roman;sans-serif" w:hAnsi="Times New Roman;sans-serif"/>
                  <w:b w:val="false"/>
                  <w:color w:val="0000FF"/>
                  <w:sz w:val="20"/>
                  <w:u w:val="single"/>
                </w:rPr>
                <w:t>iii</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22">
              <w:r>
                <w:rPr>
                  <w:rStyle w:val="InternetLink"/>
                  <w:rFonts w:ascii="Times New Roman;sans-serif" w:hAnsi="Times New Roman;sans-serif"/>
                  <w:b w:val="false"/>
                  <w:color w:val="000080"/>
                  <w:sz w:val="20"/>
                  <w:u w:val="single"/>
                </w:rPr>
                <w:t xml:space="preserve">Condensed Consolidated Balance Sheets as of </w:t>
              </w:r>
            </w:hyperlink>
            <w:hyperlink w:anchor="i5f9f3f4fed7d49a09e6f087f11779447_22">
              <w:r>
                <w:rPr>
                  <w:rStyle w:val="InternetLink"/>
                  <w:rFonts w:ascii="Times New Roman;sans-serif" w:hAnsi="Times New Roman;sans-serif"/>
                  <w:b w:val="false"/>
                  <w:color w:val="000080"/>
                  <w:sz w:val="20"/>
                  <w:u w:val="single"/>
                </w:rPr>
                <w:t>June 30</w:t>
              </w:r>
            </w:hyperlink>
            <w:hyperlink w:anchor="i5f9f3f4fed7d49a09e6f087f11779447_22">
              <w:r>
                <w:rPr>
                  <w:rStyle w:val="InternetLink"/>
                  <w:rFonts w:ascii="Times New Roman;sans-serif" w:hAnsi="Times New Roman;sans-serif"/>
                  <w:b w:val="false"/>
                  <w:color w:val="000080"/>
                  <w:sz w:val="20"/>
                  <w:u w:val="single"/>
                </w:rPr>
                <w:t>, 2023 and December 31,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22">
              <w:r>
                <w:rPr>
                  <w:rStyle w:val="InternetLink"/>
                  <w:rFonts w:ascii="Times New Roman;sans-serif" w:hAnsi="Times New Roman;sans-serif"/>
                  <w:b w:val="false"/>
                  <w:color w:val="0000FF"/>
                  <w:sz w:val="20"/>
                  <w:u w:val="single"/>
                </w:rPr>
                <w:t>1</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28">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5f9f3f4fed7d49a09e6f087f11779447_28">
              <w:r>
                <w:rPr>
                  <w:rStyle w:val="InternetLink"/>
                  <w:rFonts w:ascii="Times New Roman;sans-serif" w:hAnsi="Times New Roman;sans-serif"/>
                  <w:b w:val="false"/>
                  <w:color w:val="000080"/>
                  <w:sz w:val="20"/>
                  <w:u w:val="single"/>
                </w:rPr>
                <w:t xml:space="preserve">and Six </w:t>
              </w:r>
            </w:hyperlink>
            <w:hyperlink w:anchor="i5f9f3f4fed7d49a09e6f087f11779447_28">
              <w:r>
                <w:rPr>
                  <w:rStyle w:val="InternetLink"/>
                  <w:rFonts w:ascii="Times New Roman;sans-serif" w:hAnsi="Times New Roman;sans-serif"/>
                  <w:b w:val="false"/>
                  <w:color w:val="000080"/>
                  <w:sz w:val="20"/>
                  <w:u w:val="single"/>
                </w:rPr>
                <w:t xml:space="preserve">Months Ended </w:t>
              </w:r>
            </w:hyperlink>
            <w:hyperlink w:anchor="i5f9f3f4fed7d49a09e6f087f11779447_28">
              <w:r>
                <w:rPr>
                  <w:rStyle w:val="InternetLink"/>
                  <w:rFonts w:ascii="Times New Roman;sans-serif" w:hAnsi="Times New Roman;sans-serif"/>
                  <w:b w:val="false"/>
                  <w:color w:val="000080"/>
                  <w:sz w:val="20"/>
                  <w:u w:val="single"/>
                </w:rPr>
                <w:t>June 30</w:t>
              </w:r>
            </w:hyperlink>
            <w:hyperlink w:anchor="i5f9f3f4fed7d49a09e6f087f11779447_28">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28">
              <w:r>
                <w:rPr>
                  <w:rStyle w:val="InternetLink"/>
                  <w:rFonts w:ascii="Times New Roman;sans-serif" w:hAnsi="Times New Roman;sans-serif"/>
                  <w:b w:val="false"/>
                  <w:color w:val="0000FF"/>
                  <w:sz w:val="20"/>
                  <w:u w:val="single"/>
                </w:rPr>
                <w:t>2</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31">
              <w:r>
                <w:rPr>
                  <w:rStyle w:val="InternetLink"/>
                  <w:rFonts w:ascii="Times New Roman;sans-serif" w:hAnsi="Times New Roman;sans-serif"/>
                  <w:b w:val="false"/>
                  <w:color w:val="000080"/>
                  <w:sz w:val="20"/>
                  <w:u w:val="single"/>
                </w:rPr>
                <w:t>Condensed Consolidated Statements of Comprehensive Loss for the Three</w:t>
              </w:r>
            </w:hyperlink>
            <w:hyperlink w:anchor="i5f9f3f4fed7d49a09e6f087f11779447_31">
              <w:r>
                <w:rPr>
                  <w:rStyle w:val="InternetLink"/>
                  <w:rFonts w:ascii="Times New Roman;sans-serif" w:hAnsi="Times New Roman;sans-serif"/>
                  <w:b w:val="false"/>
                  <w:color w:val="000080"/>
                  <w:sz w:val="20"/>
                  <w:u w:val="single"/>
                </w:rPr>
                <w:t xml:space="preserve"> and Six</w:t>
              </w:r>
            </w:hyperlink>
            <w:hyperlink w:anchor="i5f9f3f4fed7d49a09e6f087f11779447_31">
              <w:r>
                <w:rPr>
                  <w:rStyle w:val="InternetLink"/>
                  <w:rFonts w:ascii="Times New Roman;sans-serif" w:hAnsi="Times New Roman;sans-serif"/>
                  <w:b w:val="false"/>
                  <w:color w:val="000080"/>
                  <w:sz w:val="20"/>
                  <w:u w:val="single"/>
                </w:rPr>
                <w:t xml:space="preserve"> Months Ended </w:t>
              </w:r>
            </w:hyperlink>
            <w:hyperlink w:anchor="i5f9f3f4fed7d49a09e6f087f11779447_31">
              <w:r>
                <w:rPr>
                  <w:rStyle w:val="InternetLink"/>
                  <w:rFonts w:ascii="Times New Roman;sans-serif" w:hAnsi="Times New Roman;sans-serif"/>
                  <w:b w:val="false"/>
                  <w:color w:val="000080"/>
                  <w:sz w:val="20"/>
                  <w:u w:val="single"/>
                </w:rPr>
                <w:t>June 30</w:t>
              </w:r>
            </w:hyperlink>
            <w:hyperlink w:anchor="i5f9f3f4fed7d49a09e6f087f11779447_31">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31">
              <w:r>
                <w:rPr>
                  <w:rStyle w:val="InternetLink"/>
                  <w:rFonts w:ascii="Times New Roman;sans-serif" w:hAnsi="Times New Roman;sans-serif"/>
                  <w:b w:val="false"/>
                  <w:color w:val="0000FF"/>
                  <w:sz w:val="20"/>
                  <w:u w:val="single"/>
                </w:rPr>
                <w:t>3</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34">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5f9f3f4fed7d49a09e6f087f11779447_34">
              <w:r>
                <w:rPr>
                  <w:rStyle w:val="InternetLink"/>
                  <w:rFonts w:ascii="Times New Roman;sans-serif" w:hAnsi="Times New Roman;sans-serif"/>
                  <w:b w:val="false"/>
                  <w:color w:val="000080"/>
                  <w:sz w:val="20"/>
                  <w:u w:val="single"/>
                </w:rPr>
                <w:t xml:space="preserve">and Six </w:t>
              </w:r>
            </w:hyperlink>
            <w:hyperlink w:anchor="i5f9f3f4fed7d49a09e6f087f11779447_34">
              <w:r>
                <w:rPr>
                  <w:rStyle w:val="InternetLink"/>
                  <w:rFonts w:ascii="Times New Roman;sans-serif" w:hAnsi="Times New Roman;sans-serif"/>
                  <w:b w:val="false"/>
                  <w:color w:val="000080"/>
                  <w:sz w:val="20"/>
                  <w:u w:val="single"/>
                </w:rPr>
                <w:t xml:space="preserve">Months Ended </w:t>
              </w:r>
            </w:hyperlink>
            <w:hyperlink w:anchor="i5f9f3f4fed7d49a09e6f087f11779447_34">
              <w:r>
                <w:rPr>
                  <w:rStyle w:val="InternetLink"/>
                  <w:rFonts w:ascii="Times New Roman;sans-serif" w:hAnsi="Times New Roman;sans-serif"/>
                  <w:b w:val="false"/>
                  <w:color w:val="000080"/>
                  <w:sz w:val="20"/>
                  <w:u w:val="single"/>
                </w:rPr>
                <w:t>June 30</w:t>
              </w:r>
            </w:hyperlink>
            <w:hyperlink w:anchor="i5f9f3f4fed7d49a09e6f087f11779447_34">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34">
              <w:r>
                <w:rPr>
                  <w:rStyle w:val="InternetLink"/>
                  <w:rFonts w:ascii="Times New Roman;sans-serif" w:hAnsi="Times New Roman;sans-serif"/>
                  <w:b w:val="false"/>
                  <w:color w:val="0000FF"/>
                  <w:sz w:val="20"/>
                  <w:u w:val="single"/>
                </w:rPr>
                <w:t>4</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37">
              <w:r>
                <w:rPr>
                  <w:rStyle w:val="InternetLink"/>
                  <w:rFonts w:ascii="Times New Roman;sans-serif" w:hAnsi="Times New Roman;sans-serif"/>
                  <w:b w:val="false"/>
                  <w:color w:val="000080"/>
                  <w:sz w:val="20"/>
                  <w:u w:val="single"/>
                </w:rPr>
                <w:t xml:space="preserve">Condensed Consolidated Statements of Cash Flows for the </w:t>
              </w:r>
            </w:hyperlink>
            <w:hyperlink w:anchor="i5f9f3f4fed7d49a09e6f087f11779447_37">
              <w:r>
                <w:rPr>
                  <w:rStyle w:val="InternetLink"/>
                  <w:rFonts w:ascii="Times New Roman;sans-serif" w:hAnsi="Times New Roman;sans-serif"/>
                  <w:b w:val="false"/>
                  <w:color w:val="000080"/>
                  <w:sz w:val="20"/>
                  <w:u w:val="single"/>
                </w:rPr>
                <w:t>Six</w:t>
              </w:r>
            </w:hyperlink>
            <w:hyperlink w:anchor="i5f9f3f4fed7d49a09e6f087f11779447_37">
              <w:r>
                <w:rPr>
                  <w:rStyle w:val="InternetLink"/>
                  <w:rFonts w:ascii="Times New Roman;sans-serif" w:hAnsi="Times New Roman;sans-serif"/>
                  <w:b w:val="false"/>
                  <w:color w:val="000080"/>
                  <w:sz w:val="20"/>
                  <w:u w:val="single"/>
                </w:rPr>
                <w:t xml:space="preserve"> Months Ended </w:t>
              </w:r>
            </w:hyperlink>
            <w:hyperlink w:anchor="i5f9f3f4fed7d49a09e6f087f11779447_37">
              <w:r>
                <w:rPr>
                  <w:rStyle w:val="InternetLink"/>
                  <w:rFonts w:ascii="Times New Roman;sans-serif" w:hAnsi="Times New Roman;sans-serif"/>
                  <w:b w:val="false"/>
                  <w:color w:val="000080"/>
                  <w:sz w:val="20"/>
                  <w:u w:val="single"/>
                </w:rPr>
                <w:t>June 30</w:t>
              </w:r>
            </w:hyperlink>
            <w:hyperlink w:anchor="i5f9f3f4fed7d49a09e6f087f11779447_37">
              <w:r>
                <w:rPr>
                  <w:rStyle w:val="InternetLink"/>
                  <w:rFonts w:ascii="Times New Roman;sans-serif" w:hAnsi="Times New Roman;sans-serif"/>
                  <w:b w:val="false"/>
                  <w:color w:val="000080"/>
                  <w:sz w:val="20"/>
                  <w:u w:val="single"/>
                </w:rPr>
                <w:t>, 2023 and 2022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37">
              <w:r>
                <w:rPr>
                  <w:rStyle w:val="InternetLink"/>
                  <w:rFonts w:ascii="Times New Roman;sans-serif" w:hAnsi="Times New Roman;sans-serif"/>
                  <w:b w:val="false"/>
                  <w:color w:val="0000FF"/>
                  <w:sz w:val="20"/>
                  <w:u w:val="single"/>
                </w:rPr>
                <w:t>6</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40">
              <w:r>
                <w:rPr>
                  <w:rStyle w:val="InternetLink"/>
                  <w:rFonts w:ascii="Times New Roman;sans-serif" w:hAnsi="Times New Roman;sans-serif"/>
                  <w:b w:val="false"/>
                  <w:color w:val="0000FF"/>
                  <w:sz w:val="20"/>
                  <w:u w:val="single"/>
                </w:rPr>
                <w:t>Notes to Condensed Consolidated 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40">
              <w:r>
                <w:rPr>
                  <w:rStyle w:val="InternetLink"/>
                  <w:rFonts w:ascii="Times New Roman;sans-serif" w:hAnsi="Times New Roman;sans-serif"/>
                  <w:b w:val="false"/>
                  <w:color w:val="0000FF"/>
                  <w:sz w:val="20"/>
                  <w:u w:val="single"/>
                </w:rPr>
                <w:t>7</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79">
              <w:r>
                <w:rPr>
                  <w:rStyle w:val="InternetLink"/>
                  <w:rFonts w:ascii="Times New Roman;sans-serif" w:hAnsi="Times New Roman;sans-serif"/>
                  <w:b w:val="false"/>
                  <w:color w:val="0000FF"/>
                  <w:sz w:val="20"/>
                  <w:u w:val="single"/>
                </w:rPr>
                <w:t>20</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09">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09">
              <w:r>
                <w:rPr>
                  <w:rStyle w:val="InternetLink"/>
                  <w:rFonts w:ascii="Times New Roman;sans-serif" w:hAnsi="Times New Roman;sans-serif"/>
                  <w:b w:val="false"/>
                  <w:color w:val="0000FF"/>
                  <w:sz w:val="20"/>
                  <w:u w:val="single"/>
                </w:rPr>
                <w:t>30</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12">
              <w:r>
                <w:rPr>
                  <w:rStyle w:val="InternetLink"/>
                  <w:rFonts w:ascii="Times New Roman;sans-serif" w:hAnsi="Times New Roman;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12">
              <w:r>
                <w:rPr>
                  <w:rStyle w:val="InternetLink"/>
                  <w:rFonts w:ascii="Times New Roman;sans-serif" w:hAnsi="Times New Roman;sans-serif"/>
                  <w:b w:val="false"/>
                  <w:color w:val="0000FF"/>
                  <w:sz w:val="20"/>
                  <w:u w:val="single"/>
                </w:rPr>
                <w:t>31</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15">
              <w:r>
                <w:rPr>
                  <w:rStyle w:val="InternetLink"/>
                  <w:rFonts w:ascii="Times New Roman;sans-serif" w:hAnsi="Times New Roman;sans-serif"/>
                  <w:b w:val="false"/>
                  <w:color w:val="0000FF"/>
                  <w:sz w:val="20"/>
                  <w:u w:val="single"/>
                </w:rPr>
                <w:t>PART II -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18">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18">
              <w:r>
                <w:rPr>
                  <w:rStyle w:val="InternetLink"/>
                  <w:rFonts w:ascii="Times New Roman;sans-serif" w:hAnsi="Times New Roman;sans-serif"/>
                  <w:b w:val="false"/>
                  <w:color w:val="0000FF"/>
                  <w:sz w:val="20"/>
                  <w:u w:val="single"/>
                </w:rPr>
                <w:t>32</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21">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21">
              <w:r>
                <w:rPr>
                  <w:rStyle w:val="InternetLink"/>
                  <w:rFonts w:ascii="Times New Roman;sans-serif" w:hAnsi="Times New Roman;sans-serif"/>
                  <w:b w:val="false"/>
                  <w:color w:val="0000FF"/>
                  <w:sz w:val="20"/>
                  <w:u w:val="single"/>
                </w:rPr>
                <w:t>32</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24">
              <w:r>
                <w:rPr>
                  <w:rStyle w:val="InternetLink"/>
                  <w:rFonts w:ascii="Times New Roman;sans-serif" w:hAnsi="Times New Roman;sans-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24">
              <w:r>
                <w:rPr>
                  <w:rStyle w:val="InternetLink"/>
                  <w:rFonts w:ascii="Times New Roman;sans-serif" w:hAnsi="Times New Roman;sans-serif"/>
                  <w:b w:val="false"/>
                  <w:color w:val="0000FF"/>
                  <w:sz w:val="20"/>
                  <w:u w:val="single"/>
                </w:rPr>
                <w:t>74</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27">
              <w:r>
                <w:rPr>
                  <w:rStyle w:val="InternetLink"/>
                  <w:rFonts w:ascii="Times New Roman;sans-serif" w:hAnsi="Times New Roman;sans-serif"/>
                  <w:b w:val="false"/>
                  <w:color w:val="0000FF"/>
                  <w:sz w:val="20"/>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27">
              <w:r>
                <w:rPr>
                  <w:rStyle w:val="InternetLink"/>
                  <w:rFonts w:ascii="Times New Roman;sans-serif" w:hAnsi="Times New Roman;sans-serif"/>
                  <w:b w:val="false"/>
                  <w:color w:val="0000FF"/>
                  <w:sz w:val="20"/>
                  <w:u w:val="single"/>
                </w:rPr>
                <w:t>74</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30">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30">
              <w:r>
                <w:rPr>
                  <w:rStyle w:val="InternetLink"/>
                  <w:rFonts w:ascii="Times New Roman;sans-serif" w:hAnsi="Times New Roman;sans-serif"/>
                  <w:b w:val="false"/>
                  <w:color w:val="0000FF"/>
                  <w:sz w:val="20"/>
                  <w:u w:val="single"/>
                </w:rPr>
                <w:t>74</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33">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33">
              <w:r>
                <w:rPr>
                  <w:rStyle w:val="InternetLink"/>
                  <w:rFonts w:ascii="Times New Roman;sans-serif" w:hAnsi="Times New Roman;sans-serif"/>
                  <w:b w:val="false"/>
                  <w:color w:val="0000FF"/>
                  <w:sz w:val="20"/>
                  <w:u w:val="single"/>
                </w:rPr>
                <w:t>74</w:t>
              </w:r>
            </w:hyperlink>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36">
              <w:r>
                <w:rPr>
                  <w:rStyle w:val="InternetLink"/>
                  <w:rFonts w:ascii="Times New Roman;sans-serif" w:hAnsi="Times New Roman;sans-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36">
              <w:r>
                <w:rPr>
                  <w:rStyle w:val="InternetLink"/>
                  <w:rFonts w:ascii="Times New Roman;sans-serif" w:hAnsi="Times New Roman;sans-serif"/>
                  <w:b w:val="false"/>
                  <w:color w:val="0000FF"/>
                  <w:sz w:val="20"/>
                  <w:u w:val="single"/>
                </w:rPr>
                <w:t>75</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f9f3f4fed7d49a09e6f087f11779447_139">
              <w:r>
                <w:rPr>
                  <w:rStyle w:val="InternetLink"/>
                  <w:rFonts w:ascii="Times New Roman;sans-serif" w:hAnsi="Times New Roman;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f9f3f4fed7d49a09e6f087f11779447_139">
              <w:r>
                <w:rPr>
                  <w:rStyle w:val="InternetLink"/>
                  <w:rFonts w:ascii="Times New Roman;sans-serif" w:hAnsi="Times New Roman;sans-serif"/>
                  <w:b w:val="false"/>
                  <w:color w:val="0000FF"/>
                  <w:sz w:val="20"/>
                  <w:u w:val="single"/>
                </w:rPr>
                <w:t>77</w:t>
              </w:r>
            </w:hyperlink>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SPECIAL NOTE REGARDING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our dependence on the success of our proteomics platform (the “Nautilus platform”), which remains in the development stage and subject to scientific and technical validation;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timing and progress of the development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functionality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rate and degree of market acceptance of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manage and grow our business and commercialize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successfully implement our three phase commercial launch plan;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implementation of our business model and strategic plans for the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regarding the use of proceeds from the Business Combination;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performance of third-party partners, manufacturers and suppliers;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volatility of the trading price of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develop and commercialize new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expectations about market trends;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the impact of local, regional, national and international economic conditions and events, including the COVID-19 pandemic, the conflict in Eastern Europe, increasing interest rates, instability in the global financial markets, and general economic downturns, on the foregoing;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tbl>
      <w:tblPr>
        <w:tblW w:w="5879" w:type="dxa"/>
        <w:jc w:val="left"/>
        <w:tblInd w:w="0" w:type="dxa"/>
        <w:tblLayout w:type="fixed"/>
        <w:tblCellMar>
          <w:top w:w="28" w:type="dxa"/>
          <w:left w:w="28" w:type="dxa"/>
          <w:bottom w:w="28" w:type="dxa"/>
          <w:right w:w="28" w:type="dxa"/>
        </w:tblCellMar>
      </w:tblPr>
      <w:tblGrid>
        <w:gridCol w:w="1881"/>
        <w:gridCol w:w="1655"/>
        <w:gridCol w:w="2343"/>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Balance Sheets</w:t>
              <w:br/>
              <w:t>As of June 30, 2023 and December 31, 2022 (Unaudited)</w:t>
            </w:r>
          </w:p>
        </w:tc>
      </w:tr>
    </w:tbl>
    <w:tbl>
      <w:tblPr>
        <w:tblW w:w="10205" w:type="dxa"/>
        <w:jc w:val="left"/>
        <w:tblInd w:w="0" w:type="dxa"/>
        <w:tblLayout w:type="fixed"/>
        <w:tblCellMar>
          <w:top w:w="28" w:type="dxa"/>
          <w:left w:w="28" w:type="dxa"/>
          <w:bottom w:w="28" w:type="dxa"/>
          <w:right w:w="28" w:type="dxa"/>
        </w:tblCellMar>
      </w:tblPr>
      <w:tblGrid>
        <w:gridCol w:w="2883"/>
        <w:gridCol w:w="2259"/>
        <w:gridCol w:w="2275"/>
        <w:gridCol w:w="211"/>
        <w:gridCol w:w="826"/>
        <w:gridCol w:w="109"/>
        <w:gridCol w:w="109"/>
        <w:gridCol w:w="109"/>
        <w:gridCol w:w="109"/>
        <w:gridCol w:w="232"/>
        <w:gridCol w:w="911"/>
        <w:gridCol w:w="172"/>
      </w:tblGrid>
      <w:tr>
        <w:trPr/>
        <w:tc>
          <w:tcPr>
            <w:tcW w:w="2883"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187,209 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200,000,000 authorized as of June 30, 2023 and December 31, 2022; 0 shares issued and outstanding as of June 30, 2023 and December 31,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as of June 30, 2023 and December 31, 2022; 124,930,899 and 124,865,485 shares issued and outstanding as of June 30,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2"/>
        <w:gridCol w:w="1946"/>
        <w:gridCol w:w="2756"/>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Operations</w:t>
              <w:br/>
              <w:t>Three and Six Months Ended June 30, 2023 and 2022 (Unaudited)</w:t>
            </w:r>
          </w:p>
        </w:tc>
      </w:tr>
    </w:tbl>
    <w:tbl>
      <w:tblPr>
        <w:tblW w:w="10205" w:type="dxa"/>
        <w:jc w:val="left"/>
        <w:tblInd w:w="0" w:type="dxa"/>
        <w:tblLayout w:type="fixed"/>
        <w:tblCellMar>
          <w:top w:w="28" w:type="dxa"/>
          <w:left w:w="28" w:type="dxa"/>
          <w:bottom w:w="28" w:type="dxa"/>
          <w:right w:w="28" w:type="dxa"/>
        </w:tblCellMar>
      </w:tblPr>
      <w:tblGrid>
        <w:gridCol w:w="1775"/>
        <w:gridCol w:w="1107"/>
        <w:gridCol w:w="1115"/>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124,603,181 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124,494,036 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124,601,762 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124,456,518 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3"/>
        <w:gridCol w:w="1945"/>
        <w:gridCol w:w="2756"/>
      </w:tblGrid>
      <w:tr>
        <w:trPr/>
        <w:tc>
          <w:tcPr>
            <w:tcW w:w="221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Condensed Consolidated Statements of Comprehensive Loss</w:t>
              <w:br/>
              <w:t>Three and Six Months Ended June 30, 2023 and 2022 (Unaudited)</w:t>
            </w:r>
          </w:p>
        </w:tc>
      </w:tr>
    </w:tbl>
    <w:tbl>
      <w:tblPr>
        <w:tblW w:w="9375" w:type="dxa"/>
        <w:jc w:val="left"/>
        <w:tblInd w:w="0" w:type="dxa"/>
        <w:tblLayout w:type="fixed"/>
        <w:tblCellMar>
          <w:top w:w="28" w:type="dxa"/>
          <w:left w:w="28" w:type="dxa"/>
          <w:bottom w:w="28" w:type="dxa"/>
          <w:right w:w="28" w:type="dxa"/>
        </w:tblCellMar>
      </w:tblPr>
      <w:tblGrid>
        <w:gridCol w:w="1406"/>
        <w:gridCol w:w="1237"/>
        <w:gridCol w:w="124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2"/>
        <w:gridCol w:w="1946"/>
        <w:gridCol w:w="2756"/>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Stockholders’ Equity</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and Six Months Ended June 30, 2023 and 2022 (Unaudited)</w:t>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92"/>
        <w:gridCol w:w="285"/>
        <w:gridCol w:w="288"/>
        <w:gridCol w:w="593"/>
        <w:gridCol w:w="593"/>
        <w:gridCol w:w="196"/>
        <w:gridCol w:w="109"/>
        <w:gridCol w:w="109"/>
        <w:gridCol w:w="109"/>
        <w:gridCol w:w="214"/>
        <w:gridCol w:w="366"/>
        <w:gridCol w:w="111"/>
        <w:gridCol w:w="109"/>
        <w:gridCol w:w="109"/>
        <w:gridCol w:w="109"/>
        <w:gridCol w:w="219"/>
        <w:gridCol w:w="860"/>
        <w:gridCol w:w="113"/>
        <w:gridCol w:w="109"/>
        <w:gridCol w:w="109"/>
        <w:gridCol w:w="109"/>
        <w:gridCol w:w="290"/>
        <w:gridCol w:w="871"/>
        <w:gridCol w:w="152"/>
        <w:gridCol w:w="109"/>
        <w:gridCol w:w="109"/>
        <w:gridCol w:w="109"/>
        <w:gridCol w:w="214"/>
        <w:gridCol w:w="858"/>
        <w:gridCol w:w="110"/>
        <w:gridCol w:w="109"/>
        <w:gridCol w:w="109"/>
        <w:gridCol w:w="109"/>
        <w:gridCol w:w="219"/>
        <w:gridCol w:w="860"/>
        <w:gridCol w:w="166"/>
      </w:tblGrid>
      <w:tr>
        <w:trPr/>
        <w:tc>
          <w:tcPr>
            <w:tcW w:w="9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June 30, 2023</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124,866,392 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303,715 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124,930,899 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289,673 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92"/>
        <w:gridCol w:w="285"/>
        <w:gridCol w:w="288"/>
        <w:gridCol w:w="593"/>
        <w:gridCol w:w="593"/>
        <w:gridCol w:w="196"/>
        <w:gridCol w:w="109"/>
        <w:gridCol w:w="109"/>
        <w:gridCol w:w="109"/>
        <w:gridCol w:w="214"/>
        <w:gridCol w:w="366"/>
        <w:gridCol w:w="111"/>
        <w:gridCol w:w="109"/>
        <w:gridCol w:w="109"/>
        <w:gridCol w:w="109"/>
        <w:gridCol w:w="219"/>
        <w:gridCol w:w="860"/>
        <w:gridCol w:w="113"/>
        <w:gridCol w:w="109"/>
        <w:gridCol w:w="109"/>
        <w:gridCol w:w="109"/>
        <w:gridCol w:w="345"/>
        <w:gridCol w:w="789"/>
        <w:gridCol w:w="179"/>
        <w:gridCol w:w="109"/>
        <w:gridCol w:w="109"/>
        <w:gridCol w:w="109"/>
        <w:gridCol w:w="214"/>
        <w:gridCol w:w="858"/>
        <w:gridCol w:w="110"/>
        <w:gridCol w:w="109"/>
        <w:gridCol w:w="109"/>
        <w:gridCol w:w="109"/>
        <w:gridCol w:w="219"/>
        <w:gridCol w:w="860"/>
        <w:gridCol w:w="166"/>
      </w:tblGrid>
      <w:tr>
        <w:trPr/>
        <w:tc>
          <w:tcPr>
            <w:tcW w:w="9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Three Months Ended June 30, 2022</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124,456,653 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124,562,745 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449,406 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337,558 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6914" w:type="dxa"/>
        <w:jc w:val="left"/>
        <w:tblInd w:w="0" w:type="dxa"/>
        <w:tblLayout w:type="fixed"/>
        <w:tblCellMar>
          <w:top w:w="28" w:type="dxa"/>
          <w:left w:w="28" w:type="dxa"/>
          <w:bottom w:w="28" w:type="dxa"/>
          <w:right w:w="28" w:type="dxa"/>
        </w:tblCellMar>
      </w:tblPr>
      <w:tblGrid>
        <w:gridCol w:w="2212"/>
        <w:gridCol w:w="1946"/>
        <w:gridCol w:w="2756"/>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Stockholders’ Equity</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Three and Six Months Ended June 30, 2023 and 2022 (Unaudited)</w:t>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92"/>
        <w:gridCol w:w="285"/>
        <w:gridCol w:w="287"/>
        <w:gridCol w:w="593"/>
        <w:gridCol w:w="593"/>
        <w:gridCol w:w="196"/>
        <w:gridCol w:w="109"/>
        <w:gridCol w:w="109"/>
        <w:gridCol w:w="109"/>
        <w:gridCol w:w="214"/>
        <w:gridCol w:w="366"/>
        <w:gridCol w:w="111"/>
        <w:gridCol w:w="109"/>
        <w:gridCol w:w="109"/>
        <w:gridCol w:w="109"/>
        <w:gridCol w:w="219"/>
        <w:gridCol w:w="860"/>
        <w:gridCol w:w="113"/>
        <w:gridCol w:w="109"/>
        <w:gridCol w:w="109"/>
        <w:gridCol w:w="109"/>
        <w:gridCol w:w="290"/>
        <w:gridCol w:w="871"/>
        <w:gridCol w:w="152"/>
        <w:gridCol w:w="109"/>
        <w:gridCol w:w="109"/>
        <w:gridCol w:w="109"/>
        <w:gridCol w:w="214"/>
        <w:gridCol w:w="858"/>
        <w:gridCol w:w="110"/>
        <w:gridCol w:w="109"/>
        <w:gridCol w:w="109"/>
        <w:gridCol w:w="109"/>
        <w:gridCol w:w="219"/>
        <w:gridCol w:w="859"/>
        <w:gridCol w:w="168"/>
      </w:tblGrid>
      <w:tr>
        <w:trPr/>
        <w:tc>
          <w:tcPr>
            <w:tcW w:w="9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Six Months Ended June 30, 2023</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124,865,485 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124,930,899 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289,673 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427" w:type="dxa"/>
        <w:jc w:val="left"/>
        <w:tblInd w:w="0" w:type="dxa"/>
        <w:tblLayout w:type="fixed"/>
        <w:tblCellMar>
          <w:top w:w="28" w:type="dxa"/>
          <w:left w:w="28" w:type="dxa"/>
          <w:bottom w:w="28" w:type="dxa"/>
          <w:right w:w="28" w:type="dxa"/>
        </w:tblCellMar>
      </w:tblPr>
      <w:tblGrid>
        <w:gridCol w:w="939"/>
        <w:gridCol w:w="205"/>
        <w:gridCol w:w="207"/>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320"/>
        <w:gridCol w:w="730"/>
        <w:gridCol w:w="166"/>
        <w:gridCol w:w="109"/>
        <w:gridCol w:w="109"/>
        <w:gridCol w:w="109"/>
        <w:gridCol w:w="211"/>
        <w:gridCol w:w="841"/>
        <w:gridCol w:w="109"/>
        <w:gridCol w:w="109"/>
        <w:gridCol w:w="109"/>
        <w:gridCol w:w="109"/>
        <w:gridCol w:w="211"/>
        <w:gridCol w:w="826"/>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Six Months Ended June 30, 2022</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124,303,083 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124,562,745 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5790" w:type="dxa"/>
        <w:jc w:val="left"/>
        <w:tblInd w:w="0" w:type="dxa"/>
        <w:tblLayout w:type="fixed"/>
        <w:tblCellMar>
          <w:top w:w="28" w:type="dxa"/>
          <w:left w:w="28" w:type="dxa"/>
          <w:bottom w:w="28" w:type="dxa"/>
          <w:right w:w="28" w:type="dxa"/>
        </w:tblCellMar>
      </w:tblPr>
      <w:tblGrid>
        <w:gridCol w:w="1852"/>
        <w:gridCol w:w="1630"/>
        <w:gridCol w:w="2308"/>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Six Months Ended June 30, 2023 and 2022 (Unaudited)</w:t>
            </w:r>
          </w:p>
        </w:tc>
      </w:tr>
    </w:tbl>
    <w:tbl>
      <w:tblPr>
        <w:tblW w:w="9068" w:type="dxa"/>
        <w:jc w:val="left"/>
        <w:tblInd w:w="0" w:type="dxa"/>
        <w:tblLayout w:type="fixed"/>
        <w:tblCellMar>
          <w:top w:w="28" w:type="dxa"/>
          <w:left w:w="28" w:type="dxa"/>
          <w:bottom w:w="28" w:type="dxa"/>
          <w:right w:w="28" w:type="dxa"/>
        </w:tblCellMar>
      </w:tblPr>
      <w:tblGrid>
        <w:gridCol w:w="2330"/>
        <w:gridCol w:w="2049"/>
        <w:gridCol w:w="2055"/>
        <w:gridCol w:w="211"/>
        <w:gridCol w:w="796"/>
        <w:gridCol w:w="109"/>
        <w:gridCol w:w="109"/>
        <w:gridCol w:w="109"/>
        <w:gridCol w:w="109"/>
        <w:gridCol w:w="211"/>
        <w:gridCol w:w="82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(accretion) of premium (discount) on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cash flow information on non-cash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operating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5760" w:type="dxa"/>
        <w:jc w:val="left"/>
        <w:tblInd w:w="0" w:type="dxa"/>
        <w:tblLayout w:type="fixed"/>
        <w:tblCellMar>
          <w:top w:w="28" w:type="dxa"/>
          <w:left w:w="28" w:type="dxa"/>
          <w:bottom w:w="28" w:type="dxa"/>
          <w:right w:w="28" w:type="dxa"/>
        </w:tblCellMar>
      </w:tblPr>
      <w:tblGrid>
        <w:gridCol w:w="1843"/>
        <w:gridCol w:w="1621"/>
        <w:gridCol w:w="2296"/>
      </w:tblGrid>
      <w:tr>
        <w:trPr/>
        <w:tc>
          <w:tcPr>
            <w:tcW w:w="18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June 30, 2023, the results of its operations for the three and six months ended June 30, 2023 and its cash flows for the six months ended June 30, 2023 and 2022. The results of operations for the three and six months ended June 30, 2023 are not necessarily indicative of the results that may be expected for the year ending December 31, 2023. These financial statements and accompanying notes should be read in conjunction with the consolidated financial statements and notes thereto in the Company’s Annual Report on Form 10-K for the fiscal year ended December 31, 2022 on file with the SEC. The Company’s reporting currency is the U.S. dollar.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inception and expects this to continue for the foreseeable future. As of June 30, 2023, the Company had an accumulated deficit of $169.3 million.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$163.3 million as of June 30, 2023. As of the date on which these condensed consolidated financial statements were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Impact of the COVID-19 Coronavirus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already had an adverse effect on the global economy. Additionally, concerns over the economic impact of COVID-19 have caused extreme volatility in financial and other capital markets, which may adversely affect the Company’s ability to access capital markets in the future. The level and nature of the disruption caused by COVID-19 is unpredictable, may be cyclical and long-lasting, and may again in the future adversely affect the Company's operating results.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Significant Accounting Policies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to perform as contracted.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 Company is subject to risks similar to those of</w:t>
      </w:r>
      <w:r>
        <w:rPr>
          <w:color w:val="000000"/>
          <w:shd w:fill="FFFFFF" w:val="clear"/>
        </w:rPr>
        <w:t> </w:t>
      </w:r>
      <w:r>
        <w:rPr>
          <w:rFonts w:ascii="Times New Roman;sans-serif" w:hAnsi="Times New Roman;sans-serif"/>
          <w:b w:val="false"/>
          <w:color w:val="000000"/>
          <w:sz w:val="20"/>
          <w:shd w:fill="FFFFFF" w:val="clear"/>
        </w:rPr>
        <w:t>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Operating segments are defined as components of an entity where discrete financial information is evaluated regularly by the chief operating decision m</w:t>
      </w:r>
      <w:r>
        <w:rPr>
          <w:rFonts w:ascii="Times New Roman;sans-serif" w:hAnsi="Times New Roman;sans-serif"/>
          <w:b w:val="false"/>
          <w:color w:val="000000"/>
          <w:sz w:val="20"/>
          <w:shd w:fill="FFFFFF" w:val="clear"/>
        </w:rPr>
        <w:t>aker (“CODM”) in deciding how to allocate resources and in assessing performance. The Company’s Chief Executive Officer is its CODM. The Company’s CODM re</w:t>
      </w:r>
      <w:r>
        <w:rPr>
          <w:rFonts w:ascii="Times New Roman;sans-serif" w:hAnsi="Times New Roman;sans-serif"/>
          <w:b w:val="false"/>
          <w:color w:val="000000"/>
          <w:sz w:val="20"/>
        </w:rPr>
        <w:t xml:space="preserv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No credit-related losses or allowance for credit losses were necessary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1, defined as observable inputs such as quoted prices for identical instruments in active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w:t>
      </w:r>
      <w:r>
        <w:rPr>
          <w:rFonts w:ascii="Times New Roman;sans-serif" w:hAnsi="Times New Roman;sans-serif"/>
          <w:b w:val="false"/>
          <w:color w:val="000000"/>
          <w:sz w:val="20"/>
          <w:shd w:fill="FFFFFF" w:val="clear"/>
        </w:rPr>
        <w:t>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equity that, under U.S. GAAP are excluded from net loss. For the three and six months ended June 30, 2023, net unrealized gains and losses on marketable debt securities were included as a component of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w:t>
      </w:r>
      <w:r>
        <w:rPr>
          <w:rFonts w:ascii="Times New Roman;sans-serif" w:hAnsi="Times New Roman;sans-serif"/>
          <w:b w:val="false"/>
          <w:color w:val="000000"/>
          <w:sz w:val="20"/>
          <w:shd w:fill="FFFFFF" w:val="clear"/>
        </w:rPr>
        <w:t xml:space="preserve">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bidi w:val="0"/>
        <w:spacing w:lineRule="auto" w:line="288" w:before="0" w:after="180"/>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Adopted Accounting Standards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June 2016, the FASB issued ASU No.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adopted this ASU on January 1, 2023 and the adoption did not have a material impact on its consolidated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June 30, 2023 and December 31, 2022:</w:t>
      </w:r>
    </w:p>
    <w:tbl>
      <w:tblPr>
        <w:tblW w:w="10642"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06"/>
        <w:gridCol w:w="109"/>
        <w:gridCol w:w="109"/>
        <w:gridCol w:w="109"/>
        <w:gridCol w:w="109"/>
        <w:gridCol w:w="211"/>
        <w:gridCol w:w="63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tbl>
      <w:tblPr>
        <w:tblW w:w="10747"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06"/>
        <w:gridCol w:w="109"/>
        <w:gridCol w:w="109"/>
        <w:gridCol w:w="109"/>
        <w:gridCol w:w="109"/>
        <w:gridCol w:w="211"/>
        <w:gridCol w:w="63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maturities of short-term investments as of June 30, 2023 and December 31, 2022 are due in one year or less. Contractual maturities of long-term investments as of June 30, 2023 and December 31, 2022 are due after 1 year through 2 years.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unrealized losses and fair values of available-for-sale securities that have been in an unrealized loss position for a period of less than and greater than 12 months as of June 30, 2023 and December 31, 2022 are as follows:</w:t>
      </w:r>
    </w:p>
    <w:tbl>
      <w:tblPr>
        <w:tblW w:w="10205" w:type="dxa"/>
        <w:jc w:val="left"/>
        <w:tblInd w:w="0" w:type="dxa"/>
        <w:tblLayout w:type="fixed"/>
        <w:tblCellMar>
          <w:top w:w="28" w:type="dxa"/>
          <w:left w:w="28" w:type="dxa"/>
          <w:bottom w:w="28" w:type="dxa"/>
          <w:right w:w="28" w:type="dxa"/>
        </w:tblCellMar>
      </w:tblPr>
      <w:tblGrid>
        <w:gridCol w:w="612"/>
        <w:gridCol w:w="324"/>
        <w:gridCol w:w="325"/>
        <w:gridCol w:w="109"/>
        <w:gridCol w:w="109"/>
        <w:gridCol w:w="109"/>
        <w:gridCol w:w="240"/>
        <w:gridCol w:w="703"/>
        <w:gridCol w:w="124"/>
        <w:gridCol w:w="121"/>
        <w:gridCol w:w="121"/>
        <w:gridCol w:w="121"/>
        <w:gridCol w:w="235"/>
        <w:gridCol w:w="920"/>
        <w:gridCol w:w="121"/>
        <w:gridCol w:w="109"/>
        <w:gridCol w:w="109"/>
        <w:gridCol w:w="109"/>
        <w:gridCol w:w="337"/>
        <w:gridCol w:w="557"/>
        <w:gridCol w:w="130"/>
        <w:gridCol w:w="126"/>
        <w:gridCol w:w="126"/>
        <w:gridCol w:w="126"/>
        <w:gridCol w:w="245"/>
        <w:gridCol w:w="839"/>
        <w:gridCol w:w="126"/>
        <w:gridCol w:w="109"/>
        <w:gridCol w:w="109"/>
        <w:gridCol w:w="109"/>
        <w:gridCol w:w="240"/>
        <w:gridCol w:w="703"/>
        <w:gridCol w:w="124"/>
        <w:gridCol w:w="109"/>
        <w:gridCol w:w="109"/>
        <w:gridCol w:w="109"/>
        <w:gridCol w:w="219"/>
        <w:gridCol w:w="858"/>
        <w:gridCol w:w="174"/>
      </w:tblGrid>
      <w:tr>
        <w:trPr/>
        <w:tc>
          <w:tcPr>
            <w:tcW w:w="6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285,264 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
        <w:gridCol w:w="324"/>
        <w:gridCol w:w="325"/>
        <w:gridCol w:w="109"/>
        <w:gridCol w:w="109"/>
        <w:gridCol w:w="109"/>
        <w:gridCol w:w="240"/>
        <w:gridCol w:w="703"/>
        <w:gridCol w:w="124"/>
        <w:gridCol w:w="121"/>
        <w:gridCol w:w="121"/>
        <w:gridCol w:w="121"/>
        <w:gridCol w:w="235"/>
        <w:gridCol w:w="920"/>
        <w:gridCol w:w="121"/>
        <w:gridCol w:w="109"/>
        <w:gridCol w:w="109"/>
        <w:gridCol w:w="109"/>
        <w:gridCol w:w="337"/>
        <w:gridCol w:w="557"/>
        <w:gridCol w:w="130"/>
        <w:gridCol w:w="126"/>
        <w:gridCol w:w="126"/>
        <w:gridCol w:w="126"/>
        <w:gridCol w:w="245"/>
        <w:gridCol w:w="839"/>
        <w:gridCol w:w="126"/>
        <w:gridCol w:w="109"/>
        <w:gridCol w:w="109"/>
        <w:gridCol w:w="109"/>
        <w:gridCol w:w="240"/>
        <w:gridCol w:w="703"/>
        <w:gridCol w:w="124"/>
        <w:gridCol w:w="109"/>
        <w:gridCol w:w="109"/>
        <w:gridCol w:w="109"/>
        <w:gridCol w:w="219"/>
        <w:gridCol w:w="858"/>
        <w:gridCol w:w="175"/>
      </w:tblGrid>
      <w:tr>
        <w:trPr/>
        <w:tc>
          <w:tcPr>
            <w:tcW w:w="6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 Value</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273,969 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review our investment portfolio based on the underlying risk profile of the securities and have a no loss expectation for these investments. We also regularly review the securities in an unrealized loss position and evaluate the current expected credit loss by considering factors such as historical experience, market data, issuer-specific factors, and current economic conditions. We recognized no credit losses on our investments during the three and six months ended June 30, 2023 and 2022, and had no allowance for credit losses as of June 30, 2023.</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Composition of Certain Condensed Consolidated Financial Statement Line Items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5747" w:type="dxa"/>
        <w:jc w:val="left"/>
        <w:tblInd w:w="0" w:type="dxa"/>
        <w:tblLayout w:type="fixed"/>
        <w:tblCellMar>
          <w:top w:w="28" w:type="dxa"/>
          <w:left w:w="28" w:type="dxa"/>
          <w:bottom w:w="28" w:type="dxa"/>
          <w:right w:w="28" w:type="dxa"/>
        </w:tblCellMar>
      </w:tblPr>
      <w:tblGrid>
        <w:gridCol w:w="1211"/>
        <w:gridCol w:w="1064"/>
        <w:gridCol w:w="1069"/>
        <w:gridCol w:w="211"/>
        <w:gridCol w:w="616"/>
        <w:gridCol w:w="109"/>
        <w:gridCol w:w="109"/>
        <w:gridCol w:w="109"/>
        <w:gridCol w:w="109"/>
        <w:gridCol w:w="245"/>
        <w:gridCol w:w="716"/>
        <w:gridCol w:w="179"/>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Prototype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depreciation expense of $0.4 million and $0.8 million for the three and six months ended June 30, 2023 and $0.3 million and $0.6 million for the three and six months ended June 30, 2022, respectively, which was primarily allocated to research and development expense.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5852" w:type="dxa"/>
        <w:jc w:val="left"/>
        <w:tblInd w:w="0" w:type="dxa"/>
        <w:tblLayout w:type="fixed"/>
        <w:tblCellMar>
          <w:top w:w="28" w:type="dxa"/>
          <w:left w:w="28" w:type="dxa"/>
          <w:bottom w:w="28" w:type="dxa"/>
          <w:right w:w="28" w:type="dxa"/>
        </w:tblCellMar>
      </w:tblPr>
      <w:tblGrid>
        <w:gridCol w:w="1248"/>
        <w:gridCol w:w="1096"/>
        <w:gridCol w:w="1105"/>
        <w:gridCol w:w="211"/>
        <w:gridCol w:w="616"/>
        <w:gridCol w:w="109"/>
        <w:gridCol w:w="109"/>
        <w:gridCol w:w="109"/>
        <w:gridCol w:w="109"/>
        <w:gridCol w:w="245"/>
        <w:gridCol w:w="716"/>
        <w:gridCol w:w="179"/>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w:t>
      </w:r>
    </w:p>
    <w:tbl>
      <w:tblPr>
        <w:tblW w:w="7404" w:type="dxa"/>
        <w:jc w:val="left"/>
        <w:tblInd w:w="0" w:type="dxa"/>
        <w:tblLayout w:type="fixed"/>
        <w:tblCellMar>
          <w:top w:w="28" w:type="dxa"/>
          <w:left w:w="28" w:type="dxa"/>
          <w:bottom w:w="28" w:type="dxa"/>
          <w:right w:w="28" w:type="dxa"/>
        </w:tblCellMar>
      </w:tblPr>
      <w:tblGrid>
        <w:gridCol w:w="1755"/>
        <w:gridCol w:w="1543"/>
        <w:gridCol w:w="1547"/>
        <w:gridCol w:w="211"/>
        <w:gridCol w:w="721"/>
        <w:gridCol w:w="109"/>
        <w:gridCol w:w="109"/>
        <w:gridCol w:w="109"/>
        <w:gridCol w:w="109"/>
        <w:gridCol w:w="211"/>
        <w:gridCol w:w="82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long-term assets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consisted of $1.6 million of restricted cash and $0.2 million of deposits as of June 30, 2023, and $0.9 million of restricted cash and $0.2 million of deposits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124,930,899 shares issued and outstanding as of June 30, 2023.</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8902" w:type="dxa"/>
        <w:jc w:val="left"/>
        <w:tblInd w:w="0" w:type="dxa"/>
        <w:tblLayout w:type="fixed"/>
        <w:tblCellMar>
          <w:top w:w="28" w:type="dxa"/>
          <w:left w:w="28" w:type="dxa"/>
          <w:bottom w:w="28" w:type="dxa"/>
          <w:right w:w="28" w:type="dxa"/>
        </w:tblCellMar>
      </w:tblPr>
      <w:tblGrid>
        <w:gridCol w:w="2065"/>
        <w:gridCol w:w="1814"/>
        <w:gridCol w:w="1821"/>
        <w:gridCol w:w="540"/>
        <w:gridCol w:w="541"/>
        <w:gridCol w:w="241"/>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20,321,798 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17,298,043 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11,485,443 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3,577,882 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2,388,735 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38,598,735 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31,172,221 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2023 and 2022, no income tax expense or benefit was recognized, primarily due to a full valuation allowance recorded against its deferred tax assets.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Equity Incentive Plans and Stock-based Compensation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On June 8, 2021, the stockholders of the Company approved the 2021 Equity Incentive Plan (“2021 Plan”) and the 2021 Employee Stock Purchase Plan (</w:t>
      </w:r>
      <w:r>
        <w:rPr>
          <w:color w:val="000000"/>
          <w:shd w:fill="FFFFFF" w:val="clear"/>
        </w:rPr>
        <w:t>“</w:t>
      </w:r>
      <w:r>
        <w:rPr>
          <w:rFonts w:ascii="Times New Roman;sans-serif" w:hAnsi="Times New Roman;sans-serif"/>
          <w:b w:val="false"/>
          <w:color w:val="000000"/>
          <w:sz w:val="20"/>
          <w:shd w:fill="FFFFFF" w:val="clear"/>
        </w:rPr>
        <w:t xml:space="preserve">2021 ESPP”). As of </w:t>
      </w:r>
      <w:r>
        <w:rPr>
          <w:rFonts w:ascii="Times New Roman;sans-serif" w:hAnsi="Times New Roman;sans-serif"/>
          <w:b w:val="false"/>
          <w:color w:val="000000"/>
          <w:sz w:val="20"/>
        </w:rPr>
        <w:t xml:space="preserve">June 30, 2023, 20,321,798 and 3,577,882 shares were available for grant under the 2021 Plan and 2021 ESPP, respectively.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Under the 2021 ESPP, the Company can grant stock options to employees to purchase shares of Common Stock at a purchase price which is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w:t>
      </w:r>
      <w:r>
        <w:rPr>
          <w:rFonts w:ascii="Times New Roman;sans-serif" w:hAnsi="Times New Roman;sans-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2023, the number of shares available under the 2021 ESPP increased by 1,248,654 shares pursuant to this feature.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was from October 1, 2021 through June 1, 2022. For subsequent offering periods, the Company will be offering a six month purchase period. As of June 30, 2023, 158,702 shares of common stock were purchased under the 2021 ESPP.</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Under the 2021 Plan, the Company can grant incentive stock options, nonstatutory stock options, stock appreciation rig</w:t>
      </w:r>
      <w:r>
        <w:rPr>
          <w:rFonts w:ascii="Times New Roman;sans-serif" w:hAnsi="Times New Roman;sans-serif"/>
          <w:b w:val="false"/>
          <w:color w:val="000000"/>
          <w:sz w:val="20"/>
          <w:shd w:fill="FFFFFF" w:val="clear"/>
        </w:rPr>
        <w:t xml:space="preserve">hts, restricted stock, restricted stock units and performance awards to employees, directors and consultants. </w:t>
      </w:r>
      <w:r>
        <w:rPr>
          <w:rFonts w:ascii="Times New Roman;sans-serif" w:hAnsi="Times New Roman;sans-serif"/>
          <w:b w:val="false"/>
          <w:color w:val="000000"/>
          <w:sz w:val="20"/>
        </w:rPr>
        <w:t xml:space="preserve">Options generally expire ten years after the date of grant. </w:t>
      </w:r>
      <w:r>
        <w:rPr>
          <w:rFonts w:ascii="Times New Roman;sans-serif" w:hAnsi="Times New Roman;sans-serif"/>
          <w:b w:val="false"/>
          <w:color w:val="000000"/>
          <w:sz w:val="20"/>
          <w:shd w:fill="FFFFFF" w:val="clear"/>
        </w:rPr>
        <w:t>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r>
        <w:rPr>
          <w:rFonts w:ascii="Times New Roman;sans-serif" w:hAnsi="Times New Roman;sans-serif"/>
          <w:b w:val="false"/>
          <w:color w:val="000000"/>
          <w:sz w:val="20"/>
        </w:rPr>
        <w:t>. On January 1, 2023, the number of shares available under the 2021 Plan increased by 6,243,274 shares pursuant to this feature.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the time of adoption of the 2021 Plan and the 2021 ESPP, no further awards will be granted under the 2017 Equity Incentive Plan (“2017 Plan”) and 7,106,767 shares of common stock were initially reserved for outstanding awards issued under the 2017 Plan.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determining the compensation cost of the option awards, the fair value for each option award has been estimated using the</w:t>
      </w:r>
      <w:r>
        <w:rPr>
          <w:color w:val="000000"/>
          <w:shd w:fill="FFFFFF" w:val="clear"/>
        </w:rPr>
        <w:t xml:space="preserve"> </w:t>
      </w:r>
      <w:r>
        <w:rPr>
          <w:rFonts w:ascii="Times New Roman;sans-serif" w:hAnsi="Times New Roman;sans-serif"/>
          <w:b w:val="false"/>
          <w:color w:val="000000"/>
          <w:sz w:val="20"/>
          <w:shd w:fill="FFFFFF" w:val="clear"/>
        </w:rPr>
        <w:t>Black Scholes model</w:t>
      </w:r>
      <w:r>
        <w:rPr>
          <w:rFonts w:ascii="Times New Roman;sans-serif" w:hAnsi="Times New Roman;sans-serif"/>
          <w:b w:val="false"/>
          <w:color w:val="000000"/>
          <w:sz w:val="20"/>
        </w:rPr>
        <w:t>. The significant assumptions used in these calculations are summarized as follows:</w:t>
      </w:r>
    </w:p>
    <w:tbl>
      <w:tblPr>
        <w:tblW w:w="9589" w:type="dxa"/>
        <w:jc w:val="left"/>
        <w:tblInd w:w="0" w:type="dxa"/>
        <w:tblLayout w:type="fixed"/>
        <w:tblCellMar>
          <w:top w:w="28" w:type="dxa"/>
          <w:left w:w="28" w:type="dxa"/>
          <w:bottom w:w="28" w:type="dxa"/>
          <w:right w:w="28" w:type="dxa"/>
        </w:tblCellMar>
      </w:tblPr>
      <w:tblGrid>
        <w:gridCol w:w="755"/>
        <w:gridCol w:w="663"/>
        <w:gridCol w:w="666"/>
        <w:gridCol w:w="337"/>
        <w:gridCol w:w="337"/>
        <w:gridCol w:w="840"/>
        <w:gridCol w:w="189"/>
        <w:gridCol w:w="189"/>
        <w:gridCol w:w="189"/>
        <w:gridCol w:w="337"/>
        <w:gridCol w:w="337"/>
        <w:gridCol w:w="840"/>
        <w:gridCol w:w="109"/>
        <w:gridCol w:w="109"/>
        <w:gridCol w:w="109"/>
        <w:gridCol w:w="336"/>
        <w:gridCol w:w="336"/>
        <w:gridCol w:w="842"/>
        <w:gridCol w:w="170"/>
        <w:gridCol w:w="170"/>
        <w:gridCol w:w="170"/>
        <w:gridCol w:w="317"/>
        <w:gridCol w:w="317"/>
        <w:gridCol w:w="925"/>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5.3 - 6.1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103.1% - 106.5%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105.2% - 109.1%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102.7% - 107.5%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105.2% - 110.0%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3.58% - 3.87%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2.80% - 3.36%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- 4.08%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1.73% - 3.36%</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Historically, the Company has been a private company and lacked company</w:t>
        <w:noBreakHyphen/>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has no history or expectation of declaring dividends on its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during the six months ended June 30, 2023:</w:t>
      </w:r>
    </w:p>
    <w:tbl>
      <w:tblPr>
        <w:tblW w:w="10205" w:type="dxa"/>
        <w:jc w:val="left"/>
        <w:tblInd w:w="0" w:type="dxa"/>
        <w:tblLayout w:type="fixed"/>
        <w:tblCellMar>
          <w:top w:w="28" w:type="dxa"/>
          <w:left w:w="28" w:type="dxa"/>
          <w:bottom w:w="28" w:type="dxa"/>
          <w:right w:w="28" w:type="dxa"/>
        </w:tblCellMar>
      </w:tblPr>
      <w:tblGrid>
        <w:gridCol w:w="855"/>
        <w:gridCol w:w="751"/>
        <w:gridCol w:w="753"/>
        <w:gridCol w:w="829"/>
        <w:gridCol w:w="442"/>
        <w:gridCol w:w="429"/>
        <w:gridCol w:w="109"/>
        <w:gridCol w:w="109"/>
        <w:gridCol w:w="109"/>
        <w:gridCol w:w="352"/>
        <w:gridCol w:w="854"/>
        <w:gridCol w:w="181"/>
        <w:gridCol w:w="109"/>
        <w:gridCol w:w="109"/>
        <w:gridCol w:w="109"/>
        <w:gridCol w:w="674"/>
        <w:gridCol w:w="674"/>
        <w:gridCol w:w="676"/>
        <w:gridCol w:w="109"/>
        <w:gridCol w:w="109"/>
        <w:gridCol w:w="109"/>
        <w:gridCol w:w="339"/>
        <w:gridCol w:w="1160"/>
        <w:gridCol w:w="255"/>
      </w:tblGrid>
      <w:tr>
        <w:trPr/>
        <w:tc>
          <w:tcPr>
            <w:tcW w:w="8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11,485,443 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3,513,875 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(294,356)</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14,699,055 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June 30, 2023</w:t>
            </w:r>
          </w:p>
        </w:tc>
        <w:tc>
          <w:tcPr>
            <w:tcW w:w="12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14,699,055 </w:t>
            </w:r>
          </w:p>
        </w:tc>
        <w:tc>
          <w:tcPr>
            <w:tcW w:w="4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June 30, 2023</w:t>
            </w:r>
          </w:p>
        </w:tc>
        <w:tc>
          <w:tcPr>
            <w:tcW w:w="12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6,171,783 </w:t>
            </w:r>
          </w:p>
        </w:tc>
        <w:tc>
          <w:tcPr>
            <w:tcW w:w="4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there was $24.9 million of total unrecognized compensation expense expected to be recognized over a weighted average-period of 2.4 years. Aggregate intrinsic value represents the difference between the fair market value of the common stock and the exercise price of outstanding, in-the-money options.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included in the Company’s condensed consolidated statement of operations:</w:t>
      </w:r>
    </w:p>
    <w:tbl>
      <w:tblPr>
        <w:tblW w:w="8282" w:type="dxa"/>
        <w:jc w:val="left"/>
        <w:tblInd w:w="0" w:type="dxa"/>
        <w:tblLayout w:type="fixed"/>
        <w:tblCellMar>
          <w:top w:w="28" w:type="dxa"/>
          <w:left w:w="28" w:type="dxa"/>
          <w:bottom w:w="28" w:type="dxa"/>
          <w:right w:w="28" w:type="dxa"/>
        </w:tblCellMar>
      </w:tblPr>
      <w:tblGrid>
        <w:gridCol w:w="1247"/>
        <w:gridCol w:w="1097"/>
        <w:gridCol w:w="110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June 30, 2023 as the Company had not yet received the related goods or services. As of June 30, 2023, the Company had open purchase commitments for goods and services of $1.3 million, which are expected to be received through the next 12 months.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under certain non-cancellable operating leases for office space and laboratory space. This space includes operating leases in Seattle, Washington, San Carlos, California, and San Diego, California.</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Seattle Lease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July 2021, the </w:t>
      </w:r>
      <w:r>
        <w:rPr>
          <w:rFonts w:ascii="Times New Roman;sans-serif" w:hAnsi="Times New Roman;sans-serif"/>
          <w:b w:val="false"/>
          <w:color w:val="000000"/>
          <w:sz w:val="20"/>
        </w:rPr>
        <w:t xml:space="preserve">Company entered into a 7-year non-cancellable operating lease, which commenced in August 2021, for an additional office space in Seattle, Washington. Total non-cancellable payments under this lease aggregate $4.5 million through June 2028.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San Carlos Leases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entered into a new lease in San Carlos, California for ten years which commenced in October 2021 and expiring in October 2031 with total minimum lease payments of $40.7 million.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San Diego Lease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entered into a lease in San Diego, California for 39 months commencing in December 2022. Total non-cancellable payments under this lease aggregate $2.1 million through March 2026.</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which were included in operating expenses in condensed consolidated statements of operations, were as follows:</w:t>
      </w:r>
    </w:p>
    <w:tbl>
      <w:tblPr>
        <w:tblW w:w="7368" w:type="dxa"/>
        <w:jc w:val="left"/>
        <w:tblInd w:w="0" w:type="dxa"/>
        <w:tblLayout w:type="fixed"/>
        <w:tblCellMar>
          <w:top w:w="28" w:type="dxa"/>
          <w:left w:w="28" w:type="dxa"/>
          <w:bottom w:w="28" w:type="dxa"/>
          <w:right w:w="28" w:type="dxa"/>
        </w:tblCellMar>
      </w:tblPr>
      <w:tblGrid>
        <w:gridCol w:w="917"/>
        <w:gridCol w:w="808"/>
        <w:gridCol w:w="81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operating lease costs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operating lease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cash paid for amounts included in the measurement of operating lease liabilities included in cash flows used in operating activities was $2.8 million and $1.7 million, respectively.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weighted-average remaining lease term and weighted-average discount rate for operating leases was 7.1 years and 9.1% respectively.</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future principal contractual obligations for operating lease commitments as of June 30, 2023:</w:t>
      </w:r>
    </w:p>
    <w:tbl>
      <w:tblPr>
        <w:tblW w:w="4708" w:type="dxa"/>
        <w:jc w:val="left"/>
        <w:tblInd w:w="0" w:type="dxa"/>
        <w:tblLayout w:type="fixed"/>
        <w:tblCellMar>
          <w:top w:w="28" w:type="dxa"/>
          <w:left w:w="28" w:type="dxa"/>
          <w:bottom w:w="28" w:type="dxa"/>
          <w:right w:w="28" w:type="dxa"/>
        </w:tblCellMar>
      </w:tblPr>
      <w:tblGrid>
        <w:gridCol w:w="1184"/>
        <w:gridCol w:w="1041"/>
        <w:gridCol w:w="1044"/>
        <w:gridCol w:w="279"/>
        <w:gridCol w:w="956"/>
        <w:gridCol w:w="20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ending December 31, 2023</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San Carlos lease agreement entered in December 2020, the Company issued a cash-collateralized letter of credit in lieu of security deposit of $0.6 million. In conjunction with the San Carlos lease agreement entered in December 2021, the Company issued a cash-collateralized letter of credit in lieu of security deposit of $0.2 million. In conjunction with the San Diego lease agreement entered in November 2022, the Company issued a cash-collateralized letter of credit in lieu of a security deposit of $0.1 million. During the three months ended June 30, 2023, the Company established letters of credit for these leases with a new financial institution which required an additional 5 percent collateral of $0.1 million. As of June 30, 2023, $0.6 million of funds from the previous financial institution were not released for the San Carlos lease agreement entered in December 2020, and therefore remained in restricted cash. These funds were released in July 2023. The cash amount is recorded as restricted cash under Other long-term assets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Statements—(Continued)</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(Unaudited)</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Basic and Diluted Net Loss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606"/>
        <w:gridCol w:w="1191"/>
        <w:gridCol w:w="1200"/>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60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124,603,181 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124,494,036 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124,456,518 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7078" w:type="dxa"/>
        <w:jc w:val="left"/>
        <w:tblInd w:w="0" w:type="dxa"/>
        <w:tblLayout w:type="fixed"/>
        <w:tblCellMar>
          <w:top w:w="28" w:type="dxa"/>
          <w:left w:w="28" w:type="dxa"/>
          <w:bottom w:w="28" w:type="dxa"/>
          <w:right w:w="28" w:type="dxa"/>
        </w:tblCellMar>
      </w:tblPr>
      <w:tblGrid>
        <w:gridCol w:w="1588"/>
        <w:gridCol w:w="1400"/>
        <w:gridCol w:w="1406"/>
        <w:gridCol w:w="420"/>
        <w:gridCol w:w="373"/>
        <w:gridCol w:w="243"/>
        <w:gridCol w:w="189"/>
        <w:gridCol w:w="189"/>
        <w:gridCol w:w="189"/>
        <w:gridCol w:w="399"/>
        <w:gridCol w:w="355"/>
        <w:gridCol w:w="327"/>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and Six Months </w:t>
              <w:br/>
              <w:t>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14,699,055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11,650,794</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78,003</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61,411</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14,777,058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11,712,205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2022 and the related notes included in the Company’s Annual Report on Form 10-K filed with the SEC on February 23, 2023.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consumable production capacity internally or find one or more suitable manufacturing or production partners, or both, to meet the volume and quality requirements necessary to be successful in the proteomics market.</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During this phase, we plan to provide early access program partners with broad-scale analysis and profiling of samples analyzed in our facility and shared via a cloud platform. We anticipate early access engagements and associated revenue in 2024. We expect this second phase to lead into the third phase of broad commercialization and launch of our proteome analysis platform in 2024.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2021,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of approximately $345.5 million from PIPE Investors and the Business Combination, offset by approximately $18.2 million of transaction costs and underwriters’ fees relating to the closing of the Business Combination. As of June 30, 2023, we had cash, cash equivalents and short-term investments of $163.3 million. Based on this, we believe that our existing cash, cash equivalents, and short-term investments will enable us to fund our planned operating expenses and capital expenditures through at least the next 12 months.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 was $30.8 million during the six months ended June 30, 2023, and we expect to continue to incur significant losses for the foreseeable future as we continue our research and development activities and planned commercialization of our proteomics platform. As of June 30, 2023, we had an accumulated deficit of $169.3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operate as a public company.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 xml:space="preserve">19 pandemic, </w:t>
      </w:r>
      <w:r>
        <w:rPr>
          <w:rFonts w:ascii="Times New Roman;sans-serif" w:hAnsi="Times New Roman;sans-serif"/>
          <w:b w:val="false"/>
          <w:color w:val="000000"/>
          <w:sz w:val="20"/>
          <w:shd w:fill="FFFFFF" w:val="clear"/>
        </w:rPr>
        <w:t>recent and any potential future financial institution failures,</w:t>
      </w:r>
      <w:r>
        <w:rPr>
          <w:color w:val="000000"/>
        </w:rPr>
        <w:t xml:space="preserve"> </w:t>
      </w:r>
      <w:r>
        <w:rPr>
          <w:rFonts w:ascii="Times New Roman;sans-serif" w:hAnsi="Times New Roman;sans-serif"/>
          <w:b w:val="false"/>
          <w:color w:val="000000"/>
          <w:sz w:val="20"/>
        </w:rPr>
        <w:t>the conflicts in Eastern Europe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Impact of Negative Global or National Events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COVID-19 pandemic, extreme weather conditions, increased economic uncertainty, inflation, rising interest rates, </w:t>
      </w:r>
      <w:r>
        <w:rPr>
          <w:rFonts w:ascii="Times New Roman;sans-serif" w:hAnsi="Times New Roman;sans-serif"/>
          <w:b w:val="false"/>
          <w:color w:val="000000"/>
          <w:sz w:val="20"/>
          <w:shd w:fill="FFFFFF" w:val="clear"/>
        </w:rPr>
        <w:t>recent and any potential future financial institution failures,</w:t>
      </w:r>
      <w:r>
        <w:rPr>
          <w:color w:val="000000"/>
        </w:rPr>
        <w:t xml:space="preserve"> </w:t>
      </w:r>
      <w:r>
        <w:rPr>
          <w:rFonts w:ascii="Times New Roman;sans-serif" w:hAnsi="Times New Roman;sans-serif"/>
          <w:b w:val="false"/>
          <w:color w:val="000000"/>
          <w:sz w:val="20"/>
        </w:rPr>
        <w:t xml:space="preserve">and conflicts in Eastern Europe and in other countries. The extent of the impact of these events and circumstances on our business, operations and development timelines and plans remains uncertain, and will depend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has developed, we have taken numerous steps to help ensure the health and safety of our employees. We continue to employ hygiene protocols; controls for social distancing; enhanced cleaning, disinfecting, decontamination, and ventilation protocols; health policies; and usage of personal protective equipment, in all cases where appropriate. While we have resumed normal operations, any resurgence or worsening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in light of these challenging global and national events and circumstances, including our third-party materials suppliers. To date,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For example, during the COVID-19 pandemic, we made certain modifications to employee travel, with masking and vaccination requirements in our offices, and with our employees working remotely fully or intermittently as able from March 2020 until August 2022.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our research and development efforts and to increase our investment in research and development efforts related to our product development. As a result, we expect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income on our cash, cash equivalents and investments (including accretion and amortization of discounts and premiums on marketable debt securities), gains and losses on foreign currency transactions, and other miscellaneous nonrecurring expenses such as gains or losses on disposal of property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June 30, 2023 to the Three Months Ended June 30, 2022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condensed consolidated statements of operations for the periods indicated:</w:t>
      </w:r>
    </w:p>
    <w:tbl>
      <w:tblPr>
        <w:tblW w:w="7518" w:type="dxa"/>
        <w:jc w:val="left"/>
        <w:tblInd w:w="0" w:type="dxa"/>
        <w:tblLayout w:type="fixed"/>
        <w:tblCellMar>
          <w:top w:w="28" w:type="dxa"/>
          <w:left w:w="28" w:type="dxa"/>
          <w:bottom w:w="28" w:type="dxa"/>
          <w:right w:w="28" w:type="dxa"/>
        </w:tblCellMar>
      </w:tblPr>
      <w:tblGrid>
        <w:gridCol w:w="837"/>
        <w:gridCol w:w="734"/>
        <w:gridCol w:w="73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68"/>
        <w:gridCol w:w="272"/>
        <w:gridCol w:w="4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$11.9 million for the three months ended June 30, 2023, compared to $8.9 million for the three months ended June 30, 2022, an increase of $3.1 million, or 35%. The increase was primarily due to a $1.4 million increase in salaries, related benefits, and stock-based compensation, a $1.3 million increase in laboratory supplies and equipment expense, and a $1.1 million increase in facilities costs. These increases were partially offset by a decrease of $0.9 million in costs for external development services as more development efforts were performed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i/>
          <w:color w:val="000000"/>
          <w:sz w:val="20"/>
        </w:rPr>
        <w:t>General and Administrative Expense</w:t>
      </w:r>
      <w:r>
        <w:rPr>
          <w:rFonts w:ascii="Times New Roman;sans-serif" w:hAnsi="Times New Roman;sans-serif"/>
          <w:b w:val="false"/>
          <w:i/>
          <w:color w:val="000000"/>
          <w:sz w:val="20"/>
          <w:shd w:fill="FFFFFF" w:val="clear"/>
        </w:rPr>
        <w: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$7.1 million for the three months ended June 30, 2023, compared to $6.6 million for the three months ended June 30, 2022, an increase of $0.5 million, or 7%. The increase was primarily due to a $1.1 million increase in salaries, related benefits, and stock-based compensation. These increases were partially offset by a $0.4 million decrease in insurance costs and a $0.3 million decrease in professional services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for the three months ended June 30, 2023 as compared to the three months ended June 30, 2022 increased primarily due to higher interest income from marketable debt securities driven by higher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Six Months Ended June 30, 2023 to the Six Months Ended June 30, 2022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condensed consolidated statements of operations for the periods indicated:</w:t>
      </w:r>
    </w:p>
    <w:tbl>
      <w:tblPr>
        <w:tblW w:w="7443" w:type="dxa"/>
        <w:jc w:val="left"/>
        <w:tblInd w:w="0" w:type="dxa"/>
        <w:tblLayout w:type="fixed"/>
        <w:tblCellMar>
          <w:top w:w="28" w:type="dxa"/>
          <w:left w:w="28" w:type="dxa"/>
          <w:bottom w:w="28" w:type="dxa"/>
          <w:right w:w="28" w:type="dxa"/>
        </w:tblCellMar>
      </w:tblPr>
      <w:tblGrid>
        <w:gridCol w:w="837"/>
        <w:gridCol w:w="734"/>
        <w:gridCol w:w="739"/>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268"/>
        <w:gridCol w:w="272"/>
        <w:gridCol w:w="4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b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$22.8 million for the six months ended June 30, 2023, compared to $18.5 million for the six months ended June 30, 2022, an increase of $4.3 million, or 23%. The increase was primarily due to a $2.7 million increase in salaries, related benefits, and stock-based compensation, a $1.5 million increase in facilities costs, a $0.9 million increase in laboratory supplies and equipment expense, a $0.4 million increase for professional services, and a $0.2 million increase in depreciation. These increases were partially offset by decreases of $1.3 million in costs for external development services as more development efforts were performed by the Company. </w:t>
      </w:r>
    </w:p>
    <w:p>
      <w:pPr>
        <w:pStyle w:val="TextBody"/>
        <w:bidi w:val="0"/>
        <w:spacing w:lineRule="auto" w:line="288" w:before="0" w:after="180"/>
        <w:ind w:left="0" w:right="0" w:firstLine="360"/>
        <w:jc w:val="left"/>
        <w:rPr/>
      </w:pPr>
      <w:r>
        <w:rPr>
          <w:rFonts w:ascii="Times New Roman;sans-serif" w:hAnsi="Times New Roman;sans-serif"/>
          <w:b w:val="false"/>
          <w:i/>
          <w:color w:val="000000"/>
          <w:sz w:val="20"/>
        </w:rPr>
        <w:t>General and Administrative Expense</w:t>
      </w:r>
      <w:r>
        <w:rPr>
          <w:rFonts w:ascii="Times New Roman;sans-serif" w:hAnsi="Times New Roman;sans-serif"/>
          <w:b w:val="false"/>
          <w:i/>
          <w:color w:val="000000"/>
          <w:sz w:val="20"/>
          <w:shd w:fill="FFFFFF" w:val="clear"/>
        </w:rPr>
        <w: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$14.3 million for the six months ended June 30, 2023, compared to $13.0 million for the six months ended June 30, 2022, an increase of $1.3 million, or 10%. The increase was primarily due to a $2.5 million increase in salaries, related benefits, and stock-based compensation, and a $0.1 million increase in marketing costs. These increases were partially offset by a $0.8 million decrease in insurance costs and a $0.8 million decrease in professional services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for the six months ended June 30, 2023 as compared to the six months ended June 30, 2022 increased primarily due to higher interest income from marketable debt securities driven by higher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Our net loss was $30.8 million for the six months ended June 30, 2023. As of June 30, 2023, we had an accumulated deficit of $169.3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June 30, 2023, we had cash, cash equivalents and investments of $286.7 million.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our research and development activities, including with respect to our proteomics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undertake activities to establish sales, marketing and distribution capabilities for our proteomics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operate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 xml:space="preserve">19 pandemic, </w:t>
      </w:r>
      <w:r>
        <w:rPr>
          <w:rFonts w:ascii="Times New Roman;sans-serif" w:hAnsi="Times New Roman;sans-serif"/>
          <w:b w:val="false"/>
          <w:color w:val="000000"/>
          <w:sz w:val="20"/>
          <w:shd w:fill="FFFFFF" w:val="clear"/>
        </w:rPr>
        <w:t xml:space="preserve">recent and any potential future financial institution failures, </w:t>
      </w:r>
      <w:r>
        <w:rPr>
          <w:rFonts w:ascii="Times New Roman;sans-serif" w:hAnsi="Times New Roman;sans-serif"/>
          <w:b w:val="false"/>
          <w:color w:val="000000"/>
          <w:sz w:val="20"/>
        </w:rPr>
        <w:t>the conflicts in Eastern Europe and in other countries, and otherwise. Our failure to raise additional capital, if needed, would have a negative impact on our financial condition and our ability to execute our business plan.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For the Six Months Ended June 30, 2023 and 2022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six months ended June 30, 2023 and 2022:</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net cash used in operating activities was $26.1 million, primarily resulting from our net loss of $30.8 million and decrease in net changes in assets and liabilities aggregating $2.5 million. Net cash used in operating activities was partially offset by non-cash charges aggregating $7.2 million, which primarily included $6.0 million of stock-based compensation, $1.8 million of amortization of operating lease right-of-use assets, and $0.8 million of depreciation. These non-cash charges were partially offset by $1.4 million of net accretion of discounts on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net cash used in operating activities was $25.9 million, primarily resulting from our operating loss of $30.5 million and decrease in net changes in assets and liabilities aggregating $1.6 million, primarily driven by $0.6 million decrease in accounts payable and a $0.5 million increase in prepaid expenses and other assets. Net cash used in operating activities was partially offset by non-cash charges aggregating $6.2 million, which primarily included $4.7 million of stock-based compensation and $1.1 million amortization of operating lease right-of-use assets.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net cash used in investing activities was $15.8 million, primarily resulting from $46.8 million in purchases of securities, and $1.2 million in purchases of property and equipment, partially offset by $32.2 million in proceeds from the maturity of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net cash provided by investing activities was $50.3 million, primarily resulting from $105.6 million in proceeds from maturities of securities, partially offset by $54.2 million in purchases of securities and $1.1 million in purchases of property and equipment.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cash provided by financing activities was comprised of $0.1 million of proceeds from exercise of stock options and issuance of common stock under the employee stock purchase plan.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net cash provided by financing activities was $0.3 million of proceeds from exercise of stock options and issuance of common stock under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contractual obligations and commitments, refer to Part I, Item 1, Note 8, “Commitments and Contingencies,” in our notes to condensed consolidated financial statements in this Quarterly Report on Form 10-Q.</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Qualitative and Quantitative Disclosures About Market Risk</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 risk exposure is primarily a result of fluctuations in interest rates and inflation. We do not hold or issue financial instruments for trading purposes.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investments of $286.7 million as of June 30, 2023.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June 30, 2023, the effect of a hypothetical 1.00% (100 basis point) change in interest rates would have changed the fair value of our marketable debt securities by $2.2 million. Such change would only be realized if we sold the marketable debt securities prior to maturity.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noBreakHyphen/>
        <w:t>15(e) and 15d</w:t>
        <w:noBreakHyphen/>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2023.</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no change in our internal control over financial reporting during the quarter ended June 30, 2023 that has materially affected, or is reasonably likely to materially affect, our internal control over financial reporting.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Inherent Limitations on the Effectiveness of Controls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are a development stage company that has incurred net losses in every period to date, has not yet commercialized any products, and expects to continue to incur significant losses as we develop our business.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Our business is entirely dependent on the successful development and commercialization of our proteomics platform (the “Nautilus platform”), which remains in the development stage and could be subject to delays, technical challenges and market acceptance challenges.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not compete successfully with our initial or future products in the highly competitive life sciences technology market.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dependent upon third parties for certain aspects of the development and commercialization of the Nautilus platform.</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operating results may fluctuate significantly in the future, which makes our future operating results difficult to predict and could cause our operating results to fall below expectations or our guidance.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We may not be able to protect our intellectual property and proprietary rights throughout the world. </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become involved in litigation to enforce or defend our intellectual property rights, or to defend ourselves from claims that we infringe the intellectual property rights of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may face liability and/or negative publicity for any unknown defects or errors in our products.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Our products may, in the future, be subject to regulation by the FDA or other regulatory authorities.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Environmental and health safety laws, including any failure to comply with such laws, may result in liabilities, expenses and restrictions on our operations.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We may experience a significant disruption in our information technology systems or breaches of data security.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are highly dependent on our key personnel, and if we are unable to recruit and retain key executives and scientists, we may not be able to achieve our goals.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operations and financial results could be adversely impacted by global and national events, such as the COVID-19 pandemic, conflicts in Eastern Europe, and general economic downturns.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Global supply chain interruptions may negatively impact the development and commercialization of our products.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 of and market for our Common Stock may be volatile, which could result in substantial losses for investors and/or an inability to readily trade in our Common Stock.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$15.8 million and $30.8 million during the three and six months ended June 30, 2023 and $14.7 million and $30.5 million during the three and six months ended June 30, 2022, respectively. As of June 30, 2023, we had an accumulated deficit of $169.3 million. These losses and accumulated deficit were primarily due to the substantial investments we made in the scientific and technological development of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platform. We expect to incur substantial losses and negative cash flows for the foreseeable future. In addition, as a public company, we will continue to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future success is entirely dependent on our ability to successfully develop and commercialize our </w:t>
      </w:r>
      <w:r>
        <w:rPr>
          <w:rFonts w:ascii="Times New Roman;sans-serif" w:hAnsi="Times New Roman;sans-serif"/>
          <w:b w:val="false"/>
          <w:color w:val="000000"/>
          <w:sz w:val="20"/>
          <w:shd w:fill="FFFFFF" w:val="clear"/>
        </w:rPr>
        <w:t xml:space="preserve">Nautilus </w:t>
      </w:r>
      <w:r>
        <w:rPr>
          <w:rFonts w:ascii="Times New Roman;sans-serif" w:hAnsi="Times New Roman;sans-serif"/>
          <w:b w:val="false"/>
          <w:color w:val="000000"/>
          <w:sz w:val="20"/>
        </w:rPr>
        <w:t xml:space="preserve">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not yet commercially launched our Nautilus platform. We may not be able to launch our Nautilus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anticipate commercializing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in three phases involving first collaboration with biopharmaceutical companies and key opinion leaders to validate the performance and utility of our product,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During this phase, we plan to provide early access program partners with broad-scale analysis and profiling of samples analyzed in our facility and shared via a cloud platform. We anticipate early access engagements and associated revenue in 2024. We expect this second phase to lead into the third phase of broad commercialization and launch of our proteome analysis platform in 2024.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entering into collaborations, the success of such collaborations will depend heavily on the efforts and activities of our collaborators.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Scientific collaborations of the nature we propose to pursue are subject to numerous risks, including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have significant discretion in determining the efforts and resources that they will apply to a specific project;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own intellectual property covering products that result from our collaboration with them, and in such cases, we would not have the right to develop or commercialize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could independently develop, or develop with third parties, products that compete directly or indirectly with product candidates that are being developed under the collaboration with us;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could grant exclusive rights to our collaborators that would prevent us from collaborating with others;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collaborations may be terminated, and, if terminated, in addition to reducing our revenue, may reduce exposure to research and clinical trials that facilitate the collection and incorporation of new information into our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collaborator’s sales and marketing activities or other operations may not be in compliance with applicable laws resulting in civil or criminal proceedings.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we are able to complete development of our Nautilus platform, we may not achieve or maintain significant commercial market acceptance.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Even if we are able to complete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w:t>
      </w:r>
      <w:r>
        <w:rPr>
          <w:color w:val="000000"/>
          <w:shd w:fill="FFFFFF" w:val="clear"/>
        </w:rPr>
        <w:t xml:space="preserve">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relative to existing technologies and to validate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platform’s ability to meet customer requirements. In that regard, we anticipate that our initial market focus will be pharmaceutical development and associated research, which are characterized by demanding and exacting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requirements for product performance and accuracy. If widespread adoption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takes longer than anticipated or does not occur, our business will be materially and adversely affected.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our ability to achieve market acceptance include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marketing and engagement initiatives to increase awareness of the capabilities of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ability of our Nautilus platform to demonstrate reliable performance in intended use applications, in particular, when the platform is used by customers in their own research;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demonstrate that the functionality and performance of our Nautilus platform relative to alternative products and technologies justifies the substantial anticipated cost of the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willingness of prospective customers to adopt new products and workflows;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ease of use of our Nautilus platform and whether it reliably provides significant advantages over alternative products and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rate of adoption of our Nautilus platform by biopharmaceutical companies, laboratories, academic institutions and others;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the prices at which we will be able to sell our Nautilus platform instruments and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develop new products, workflows, and solutions that meet customer requirements;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introduction or development and commercialization by competitors of new products or enhancements to existing products with functionality and/or performance similar to our Nautilus platform;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our investments in product innovation and commercial growth.</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cannot assure you that we will be successful in addressing any of these criteria or any additional criteria that might affect the market acceptance of our products. If we are unsuccessful in achieving and maintaining market acceptance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our business, financial condition and results of operations would be adversely affected.</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order for us to commercialize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including our proteome analysis system and related consumables. Among other factors, we will need to develop reliable supply chains for the various components in our platform instruments and consumables to support large-scale commercial production. In connection with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 xml:space="preserve">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establish an effective commercial organization, including effective distribution channels and sales and marketing functions, we may not be successful in commercializing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only beginning to establish an internal organization focused specifically on the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Accordingly, these initiatives will adversely affect our operating expenses prior to us having material off-setting revenue, if 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we will face a number of additional risks,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time and cost of establishing a specialized sales, marketing and customer service and support force.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third-party partners, are not successful, our </w:t>
      </w:r>
      <w:r>
        <w:rPr>
          <w:rFonts w:ascii="Times New Roman;sans-serif" w:hAnsi="Times New Roman;sans-serif"/>
          <w:b w:val="false"/>
          <w:color w:val="000000"/>
          <w:sz w:val="20"/>
          <w:shd w:fill="FFFFFF" w:val="clear"/>
        </w:rPr>
        <w:t>Nautilus p</w:t>
      </w:r>
      <w:r>
        <w:rPr>
          <w:rFonts w:ascii="Times New Roman;sans-serif" w:hAnsi="Times New Roman;sans-serif"/>
          <w:b w:val="false"/>
          <w:color w:val="000000"/>
          <w:sz w:val="20"/>
        </w:rPr>
        <w:t>latform may not gain market acceptance, which could materially impact our business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size of the markets for our Nautilus platform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market for proteomics technologies and products is evolving, making it difficult to predict with any accuracy the size of the markets for our current and future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lineRule="auto" w:line="288" w:before="0" w:after="180"/>
        <w:ind w:left="0" w:right="0" w:firstLine="360"/>
        <w:jc w:val="left"/>
        <w:rPr/>
      </w:pPr>
      <w:r>
        <w:rPr>
          <w:rFonts w:ascii="Times New Roman;sans-serif" w:hAnsi="Times New Roman;sans-serif"/>
          <w:b/>
          <w:i/>
          <w:color w:val="000000"/>
          <w:sz w:val="20"/>
        </w:rPr>
        <w:t>We are dependent on single source suppliers for some of the components and materials used in our</w:t>
      </w:r>
      <w:r>
        <w:rPr>
          <w:color w:val="000000"/>
          <w:shd w:fill="FFFFFF" w:val="clear"/>
        </w:rPr>
        <w:t xml:space="preserve"> </w:t>
      </w:r>
      <w:r>
        <w:rPr>
          <w:rFonts w:ascii="Times New Roman;sans-serif" w:hAnsi="Times New Roman;sans-serif"/>
          <w:b/>
          <w:i/>
          <w:color w:val="000000"/>
          <w:sz w:val="20"/>
        </w:rPr>
        <w:t>Nautilus platform, and the loss of any of these suppliers could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on single source suppliers for certain components and materials used in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including our click-reagent </w:t>
      </w:r>
      <w:r>
        <w:rPr>
          <w:rFonts w:ascii="Times New Roman;sans-serif" w:hAnsi="Times New Roman;sans-serif"/>
          <w:b w:val="false"/>
          <w:color w:val="000000"/>
          <w:sz w:val="20"/>
          <w:shd w:fill="FFFFFF" w:val="clear"/>
        </w:rPr>
        <w:t>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w:t>
      </w:r>
      <w:r>
        <w:rPr>
          <w:rFonts w:ascii="Times New Roman;sans-serif" w:hAnsi="Times New Roman;sans-serif"/>
          <w:b w:val="false"/>
          <w:color w:val="000000"/>
          <w:sz w:val="20"/>
        </w:rPr>
        <w:t xml:space="preserve">urrently have contracts for third parties to provide manufacturing capabilities for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and expect to continue to rely, on third-party manufacturers and, in many cases, single third-party manufacturers for the production of certain reagents and antibodies needed to generate the deep proteomic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information at the speed and scale which we expect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we fail to compete effectively, our business and results of operation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face significant competition in the life sciences technology market. We currently compete with technology and diagnostic companies tha</w:t>
      </w:r>
      <w:r>
        <w:rPr>
          <w:rFonts w:ascii="Times New Roman;sans-serif" w:hAnsi="Times New Roman;sans-serif"/>
          <w:b w:val="false"/>
          <w:color w:val="000000"/>
          <w:sz w:val="20"/>
          <w:shd w:fill="FFFFFF" w:val="clear"/>
        </w:rPr>
        <w:t>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w:t>
      </w:r>
      <w:r>
        <w:rPr>
          <w:rFonts w:ascii="Times New Roman;sans-serif" w:hAnsi="Times New Roman;sans-serif"/>
          <w:b w:val="false"/>
          <w:color w:val="000000"/>
          <w:sz w:val="20"/>
        </w:rPr>
        <w: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current competitors are large publicly-traded companies, or are divisions of large publicly-traded companies, and enjoy a number of competitive advantages over us,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name and brand recognition;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greater financial and human resources;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broader product lines;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sales forces and more established distributor networks;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substantial intellectual property portfolios;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larger and more established customer bases and relationships;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better established, larger scale and lower cost manufacturing capabilities.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Even if our Nautilus platform is commercialized and achieves broad scientific and market acceptance, if we fail to improve it or introduce compelling new products, our revenue and our prospects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life sciences industry is characterized by rapid and significant technological changes, frequent new product introductions and enhancements and evolving industry standards. Even if we are able to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achieve broad scientific and market acceptance, our ability to attract new customers and increase revenue from existing customers will depend in large part on our ability to enhance and improve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to introduce compelling new products. The success of any 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enhancement to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that we develop may not be introduced in a timely or cost-effective manner, may contain defects, errors, vulnerabilities or bugs, or may not achieve the market acceptance necessary to generate significant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expect that our revenue in the foreseeable future will be derived primarily from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These reductions and delays may result from factors that are not within our control, such as: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rPr>
        <w:t>decreases in government funding of research and development;</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 xml:space="preserve">changes in economic conditions, including recessionary effects, inflationary pressures </w:t>
      </w:r>
      <w:r>
        <w:rPr>
          <w:rFonts w:ascii="Times New Roman;sans-serif" w:hAnsi="Times New Roman;sans-serif"/>
          <w:b w:val="false"/>
          <w:color w:val="000000"/>
          <w:sz w:val="20"/>
        </w:rPr>
        <w:t xml:space="preserve">and instability in the global financial markets, including with respect to </w:t>
      </w:r>
      <w:r>
        <w:rPr>
          <w:rFonts w:ascii="Times New Roman;sans-serif" w:hAnsi="Times New Roman;sans-serif"/>
          <w:b w:val="false"/>
          <w:color w:val="000000"/>
          <w:sz w:val="20"/>
          <w:shd w:fill="FFFFFF" w:val="clear"/>
        </w:rPr>
        <w:t>any</w:t>
      </w:r>
      <w:r>
        <w:rPr>
          <w:color w:val="000000"/>
        </w:rPr>
        <w:t xml:space="preserve"> </w:t>
      </w:r>
      <w:r>
        <w:rPr>
          <w:rFonts w:ascii="Times New Roman;sans-serif" w:hAnsi="Times New Roman;sans-serif"/>
          <w:b w:val="false"/>
          <w:color w:val="000000"/>
          <w:sz w:val="20"/>
        </w:rPr>
        <w:t>future financial institution failures</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regulatory environment affecting life science and Ag-Bio companies engaged in research and commercial activities;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differences in budget cycles across various geographies and industries;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market-driven pressures on companies to consolidate operations and reduce costs;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mergers and acquisitions in the life science and Ag-Bio industries;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factors affecting research and development spending.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specific factors that may result in fluctuations include, without limitation: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cost of, and level of investment in, research and development and commercialization activities relating to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successfully establish and successfully maintain appropriate collaborations and derive revenue from those collaborations;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successfully develop and commercialize our Nautilus platform on our anticipated timeline.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demand for any products we are able to commercialize, particularly our Nautilus platform, which may vary significantly from period to period;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ability to drive adoption of our Nautilus platform in our target markets and our ability to expand into any future target markets;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prices at which we will be able to sell our Nautilus platform;</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volume and mix of our sales between consumables, instruments and software, or changes in the manufacturing or sales costs related to our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governmental funding of life sciences research and development or changes that impact budgets and budget cycles;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seasonal spending patterns of our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when we recognize any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future accounting pronouncements or changes in our accounting policies;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outcome of any future litigation or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higher than anticipated service, replacement and warranty costs;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the impact of the COVID-19 pandemic, the conflicts in Eastern Europe, recent and any potential future financial institution failures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and other national and global events on the economy, investment in life sciences and research industries, our business operations, and resources and operations of our customers, suppliers, and distributors;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are a life sciences technology company with a limited operating history. We have not completed development of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 xml:space="preserve">platform or any other products and have not generated any revenue to date. Our operations to date have been limited to developing our </w:t>
      </w:r>
      <w:r>
        <w:rPr>
          <w:rFonts w:ascii="Times New Roman;sans-serif" w:hAnsi="Times New Roman;sans-serif"/>
          <w:b w:val="false"/>
          <w:color w:val="000000"/>
          <w:sz w:val="20"/>
          <w:shd w:fill="FFFFFF" w:val="clear"/>
        </w:rPr>
        <w:t>Nautilus</w:t>
      </w:r>
      <w:r>
        <w:rPr>
          <w:color w:val="000000"/>
        </w:rPr>
        <w:t xml:space="preserve"> </w:t>
      </w:r>
      <w:r>
        <w:rPr>
          <w:rFonts w:ascii="Times New Roman;sans-serif" w:hAnsi="Times New Roman;sans-serif"/>
          <w:b w:val="false"/>
          <w:color w:val="000000"/>
          <w:sz w:val="20"/>
        </w:rPr>
        <w:t>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development and commercialization plans.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consider raising additional capital in the future to expand our business, to pursue strategic investments, to take advantage of financing or acquisition opportunities or for other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funding development and marketing efforts of our Nautilus platform or any other future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increasing our sales and marketing and other commercialization efforts to drive market adoption of our Nautilus platform, once commercialized;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expanding our technologies into additional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preparing,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licensing or defending against third party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acquiring or investing in complementary technologies, businesses or assets;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financing capital expenditures and general and administrative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delays in execution of our development plans;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scope and timing of our investment in our sales, marketing, and distribution capabilities;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to our business that affect ongoing operating expenses;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costs of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business or commercialization strategy;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we may make in our research and development spending plans;</w:t>
      </w:r>
    </w:p>
    <w:p>
      <w:pPr>
        <w:pStyle w:val="TextBody"/>
        <w:bidi w:val="0"/>
        <w:spacing w:lineRule="auto" w:line="288" w:before="0" w:after="180"/>
        <w:ind w:left="0" w:right="0" w:firstLine="360"/>
        <w:jc w:val="left"/>
        <w:rPr/>
      </w:pPr>
      <w:r>
        <w:rPr>
          <w:color w:val="000000"/>
          <w:shd w:fill="FFFFFF" w:val="clear"/>
        </w:rPr>
        <w:t>•</w:t>
      </w:r>
      <w:r>
        <w:rPr>
          <w:rFonts w:ascii="Times New Roman;sans-serif" w:hAnsi="Times New Roman;sans-serif"/>
          <w:b w:val="false"/>
          <w:color w:val="000000"/>
          <w:sz w:val="20"/>
          <w:shd w:fill="FFFFFF" w:val="clear"/>
        </w:rPr>
        <w:t>the effect of competing technological and market developments;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need to implement additional infrastructure and internal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impact of the COVID-19 pandemic;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noBreakHyphen/>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past and may in the future lead to market-wide liquidity problems. For example, the collapse of Silicon Valley Bank and other financial institutions in March 2023 has caused and could continue to cause instability in the global financial markets.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expect to incur higher banking related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licensing arrangements with third parties, these patents and applications may not be prosecuted and enforced by such third parties in a manner consistent with the best interests of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w:t>
      </w:r>
      <w:r>
        <w:rPr>
          <w:rFonts w:ascii="Times New Roman;sans-serif" w:hAnsi="Times New Roman;sans-serif"/>
          <w:b w:val="false"/>
          <w:color w:val="000000"/>
          <w:sz w:val="20"/>
          <w:shd w:fill="FFFFFF" w:val="clear"/>
        </w:rPr>
        <w:t>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ans-serif" w:hAnsi="Times New Roman;sans-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ans-serif" w:hAnsi="Times New Roman;sans-serif"/>
          <w:b w:val="false"/>
          <w:color w:val="000000"/>
          <w:sz w:val="20"/>
          <w:shd w:fill="FFFFFF" w:val="clear"/>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Many companies have enc</w:t>
      </w:r>
      <w:r>
        <w:rPr>
          <w:rFonts w:ascii="Times New Roman;sans-serif" w:hAnsi="Times New Roman;sans-serif"/>
          <w:b w:val="false"/>
          <w:color w:val="000000"/>
          <w:sz w:val="20"/>
        </w:rPr>
        <w:t>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owned and any future licensed patents and</w:t>
      </w:r>
      <w:r>
        <w:rPr>
          <w:color w:val="000000"/>
          <w:shd w:fill="FFFFFF" w:val="clear"/>
        </w:rPr>
        <w:t xml:space="preserve"> </w:t>
      </w:r>
      <w:r>
        <w:rPr>
          <w:rFonts w:ascii="Times New Roman;sans-serif" w:hAnsi="Times New Roman;sans-serif"/>
          <w:b w:val="false"/>
          <w:color w:val="000000"/>
          <w:sz w:val="20"/>
          <w:shd w:fill="FFFFFF" w:val="clear"/>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ans-serif" w:hAnsi="Times New Roman;sans-serif"/>
          <w:b w:val="false"/>
          <w:color w:val="000000"/>
          <w:sz w:val="20"/>
        </w:rPr>
        <w:t xml:space="preserv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ans-serif" w:hAnsi="Times New Roman;sans-serif"/>
          <w:b w:val="false"/>
          <w:color w:val="000000"/>
          <w:sz w:val="20"/>
          <w:shd w:fill="FFFFFF" w:val="clear"/>
        </w:rPr>
        <w:t xml:space="preserve">isleading statement, during prosecution. Third parties may also raise similar claims before administrative bodies in the United States or abroad, even outside the context of litigation. Such mechanisms include ex parte re-examination, </w:t>
      </w:r>
      <w:r>
        <w:rPr>
          <w:rFonts w:ascii="Times New Roman;sans-serif" w:hAnsi="Times New Roman;sans-serif"/>
          <w:b w:val="false"/>
          <w:i/>
          <w:color w:val="000000"/>
          <w:sz w:val="20"/>
        </w:rPr>
        <w:t>inter partes</w:t>
      </w:r>
      <w:r>
        <w:rPr>
          <w:color w:val="000000"/>
          <w:shd w:fill="FFFFFF" w:val="clear"/>
        </w:rPr>
        <w:t xml:space="preserve"> </w:t>
      </w:r>
      <w:r>
        <w:rPr>
          <w:rFonts w:ascii="Times New Roman;sans-serif" w:hAnsi="Times New Roman;sans-serif"/>
          <w:b w:val="false"/>
          <w:color w:val="000000"/>
          <w:sz w:val="20"/>
          <w:shd w:fill="FFFFFF" w:val="clear"/>
        </w:rPr>
        <w:t>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may not be aware of all third-party intel</w:t>
      </w:r>
      <w:r>
        <w:rPr>
          <w:rFonts w:ascii="Times New Roman;sans-serif" w:hAnsi="Times New Roman;sans-serif"/>
          <w:b w:val="false"/>
          <w:color w:val="000000"/>
          <w:sz w:val="20"/>
        </w:rPr>
        <w:t>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rely heavily on trade secrets and confidentiality agreements to protect our unpatented know-how, technology and other proprietary information, including parts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w:t>
      </w:r>
      <w:r>
        <w:rPr>
          <w:rFonts w:ascii="Times New Roman;sans-serif" w:hAnsi="Times New Roman;sans-serif"/>
          <w:b w:val="false"/>
          <w:color w:val="000000"/>
          <w:sz w:val="20"/>
          <w:shd w:fill="FFFFFF" w:val="clear"/>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claims challenging the inventorship of our patents and other intellectual property.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ans-serif" w:hAnsi="Times New Roman;sans-serif"/>
          <w:b w:val="false"/>
          <w:color w:val="000000"/>
          <w:sz w:val="20"/>
        </w:rPr>
        <w:t xml:space="preserve">portant to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Nautilus platform for an adequate amount of time.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ans-serif" w:hAnsi="Times New Roman;sans-serif"/>
          <w:b w:val="false"/>
          <w:color w:val="000000"/>
          <w:sz w:val="20"/>
          <w:shd w:fill="FFFFFF" w:val="clear"/>
        </w:rPr>
        <w:t>ensates a patentee for administrative delays by the USPTO in examining and granting a patent, or may be shortened</w:t>
      </w:r>
      <w:r>
        <w:rPr>
          <w:color w:val="000000"/>
        </w:rPr>
        <w:t xml:space="preserve"> </w:t>
      </w:r>
      <w:r>
        <w:rPr>
          <w:rFonts w:ascii="Times New Roman;sans-serif" w:hAnsi="Times New Roman;sans-serif"/>
          <w:b w:val="false"/>
          <w:color w:val="000000"/>
          <w:sz w:val="20"/>
        </w:rPr>
        <w:t>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Furthermore, we or any future licensor may in the futur</w:t>
      </w:r>
      <w:r>
        <w:rPr>
          <w:rFonts w:ascii="Times New Roman;sans-serif" w:hAnsi="Times New Roman;sans-serif"/>
          <w:b w:val="false"/>
          <w:color w:val="000000"/>
          <w:sz w:val="20"/>
          <w:shd w:fill="FFFFFF" w:val="clear"/>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ans-serif" w:hAnsi="Times New Roman;sans-serif"/>
          <w:b w:val="false"/>
          <w:color w:val="000000"/>
          <w:sz w:val="20"/>
        </w:rPr>
        <w:t>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or any future licensor(s), might not have been the first to file patent applications covering certain of our or their inventions;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others may independently develop similar or alternative technologies or duplicate any of our technologies without infringing, misappropriating or otherwise violating our owned or future licensed intellectual property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it is possible that our pending patent applications or those that we may license or own in the future will not lead to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not develop additional proprietary technologies that are patentable;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patents of others may harm our business;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we may choose not to file a patent for certain trade secrets or know-how, and a third party may independently derive, use, commercialize, publish or patent such intellectual property.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Litigation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products could have unknown defects or errors, which may give rise to claims against us and adversely affect market adoption of our Nautilus platform.</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xml:space="preserve">, these risks may increase. We expect to provide warranties that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will meet performance expectations or be free from defects. The costs incurred in correcting any defects or errors may be substantial and could adversely affect our operating margins.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manufacturing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products contain defects, we may experience: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 failure to achieve market acceptance or expansion of our product sales;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loss of customer orders and delay in order fulfillment;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damage to our brand reputation;</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increased cost of our warranty program due to product repair or replacement;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product recalls or replacements;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inability to attract new customers;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diversion of resources from our manufacturing and research and development departments into our service department;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legal claims against us, including product liability claims, which could be costly and time consuming to defend and result in substantial damages.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sued for product liability, we could face substantial liabilities that exceed our resources.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products are currently labeled and promoted, and are, and in the n</w:t>
      </w:r>
      <w:r>
        <w:rPr>
          <w:rFonts w:ascii="Times New Roman;sans-serif" w:hAnsi="Times New Roman;sans-serif"/>
          <w:b w:val="false"/>
          <w:color w:val="000000"/>
          <w:sz w:val="20"/>
          <w:shd w:fill="FFFFFF" w:val="clear"/>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ans-serif" w:hAnsi="Times New Roman;sans-serif"/>
          <w:b w:val="false"/>
          <w:color w:val="000000"/>
          <w:sz w:val="20"/>
        </w:rPr>
        <w:t>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w:t>
      </w:r>
      <w:r>
        <w:rPr>
          <w:rFonts w:ascii="Times New Roman;sans-serif" w:hAnsi="Times New Roman;sans-serif"/>
          <w:b w:val="false"/>
          <w:color w:val="000000"/>
          <w:sz w:val="20"/>
          <w:shd w:fill="FFFFFF" w:val="clear"/>
        </w:rPr>
        <w:t>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ans-serif" w:hAnsi="Times New Roman;sans-serif"/>
          <w:b w:val="false"/>
          <w:color w:val="000000"/>
          <w:sz w:val="20"/>
        </w:rPr>
        <w:t>nts or obtain and maintain required approvals, clearances or certifications could impair our ability to commercialize our products for diagnostic use outside of the United States.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do not currentl</w:t>
      </w:r>
      <w:r>
        <w:rPr>
          <w:rFonts w:ascii="Times New Roman;sans-serif" w:hAnsi="Times New Roman;sans-serif"/>
          <w:b w:val="false"/>
          <w:color w:val="000000"/>
          <w:sz w:val="20"/>
          <w:shd w:fill="FFFFFF" w:val="clear"/>
        </w:rPr>
        <w:t>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w:t>
      </w:r>
      <w:r>
        <w:rPr>
          <w:rFonts w:ascii="Times New Roman;sans-serif" w:hAnsi="Times New Roman;sans-serif"/>
          <w:b w:val="false"/>
          <w:color w:val="000000"/>
          <w:sz w:val="20"/>
        </w:rPr>
        <w:t xml:space="preserve">In November 2021, HHS under the Biden administration issued a statement that withdrew the August 2020 policy announcement stating that HHS does not have a policy on LDTs that is separate from FDA’s longstanding approach. </w:t>
      </w:r>
      <w:r>
        <w:rPr>
          <w:rFonts w:ascii="Times New Roman;sans-serif" w:hAnsi="Times New Roman;sans-serif"/>
          <w:b w:val="false"/>
          <w:color w:val="000000"/>
          <w:sz w:val="20"/>
          <w:shd w:fill="FFFFFF" w:val="clear"/>
        </w:rPr>
        <w:t>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the substantive FDA policy riders, including the VALID Act, but Congress may revisit the policy riders and enact other FDA programmatic reforms in the future. FDA recently announced in the Unified Agenda of its intent to issue a proposed rule to make explicit that LDTs are devices under the Federal Food, Drug, and Cosmetic Act. The Notice of Proposed Rulemaking for LDTs is anticipated to be published in the Federal Register later this year.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w:t>
      </w:r>
      <w:r>
        <w:rPr>
          <w:rFonts w:ascii="Times New Roman;sans-serif" w:hAnsi="Times New Roman;sans-serif"/>
          <w:b w:val="false"/>
          <w:color w:val="000000"/>
          <w:sz w:val="20"/>
          <w:shd w:fill="FFFFFF" w:val="clear"/>
        </w:rPr>
        <w:t xml:space="preserve">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ans-serif" w:hAnsi="Times New Roman;sans-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w:t>
      </w:r>
      <w:r>
        <w:rPr>
          <w:rFonts w:ascii="Times New Roman;sans-serif" w:hAnsi="Times New Roman;sans-serif"/>
          <w:b w:val="false"/>
          <w:color w:val="000000"/>
          <w:sz w:val="20"/>
          <w:shd w:fill="FFFFFF" w:val="clear"/>
        </w:rPr>
        <w:t xml:space="preserve">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Most substantive provisions in CPRA are effective as of January 1, 2023. Although the CCPA includes exemptions for certain clinical trial data, the law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Utah, Connecticut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w:t>
      </w:r>
      <w:r>
        <w:rPr>
          <w:rFonts w:ascii="Times New Roman;sans-serif" w:hAnsi="Times New Roman;sans-serif"/>
          <w:b w:val="false"/>
          <w:color w:val="000000"/>
          <w:sz w:val="20"/>
        </w:rPr>
        <w:t>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commercialize our Nautilus platform outside of the United States, our international business could expose us to business, tax, regulatory, political, operational, financial, and economic risks associated with doing business outside of the United States.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If we commercialize our</w:t>
      </w:r>
      <w:r>
        <w:rPr>
          <w:color w:val="000000"/>
          <w:shd w:fill="FFFFFF" w:val="clear"/>
        </w:rPr>
        <w:t xml:space="preserve">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outside of the United States, our international business may be adversely affected by changing economic, political and regulatory conditions in foreign countries. Engaging in international business inherently involves a number of difficulties and risks,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existing and changing foreign regulatory requirements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required compliance with U.S. laws such as the Foreign Corrupt Practices Act, and other U.S. federal laws and regulations established by the office of Foreign Asset Control;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export or import restrictions;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laws and business practices favoring local companies;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political and economic instability;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and costs of staffing and managing foreign operations, including compliance with diverse and complex local employment laws and practices;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difficulties protecting, maintaining, enforcing or procuring intellectual property rights.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In addition, if we commercialize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outside of the United States, we may rely on distributors for sales of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bidi w:val="0"/>
        <w:spacing w:lineRule="auto" w:line="288" w:before="0" w:after="180"/>
        <w:ind w:left="0" w:right="0" w:firstLine="360"/>
        <w:jc w:val="left"/>
        <w:rPr/>
      </w:pPr>
      <w:r>
        <w:rPr>
          <w:rFonts w:ascii="Times New Roman;sans-serif" w:hAnsi="Times New Roman;sans-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ans-serif" w:hAnsi="Times New Roman;sans-serif"/>
          <w:b/>
          <w:i/>
          <w:color w:val="000000"/>
          <w:sz w:val="20"/>
          <w:shd w:fill="FFFFFF" w:val="clear"/>
        </w:rPr>
        <w:t>we may be subject to civil or criminal penalties and other adverse consequences which could have a material adverse effect on our business, financial condition, results of operations and growth prospects.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ans-serif" w:hAnsi="Times New Roman;sans-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Demand for our technology could be reduced by legal, social and ethical concerns surrounding the use of genetic information and biological materials.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ransomware or other malicious software,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may be unable to manage our anticipated growth effectively.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2023, we had 153 employees. To execute our anticipated growth successfully, we must continue to attract and retain qualified personnel and manage and train them effectively. Developing and commercializing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are unable to recruit and retain key executives and scientists, we may be unable to achieve our goals.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Our performance is substan</w:t>
      </w:r>
      <w:r>
        <w:rPr>
          <w:rFonts w:ascii="Times New Roman;sans-serif" w:hAnsi="Times New Roman;sans-serif"/>
          <w:b w:val="false"/>
          <w:color w:val="000000"/>
          <w:sz w:val="20"/>
          <w:shd w:fill="FFFFFF" w:val="clear"/>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t>
      </w:r>
      <w:r>
        <w:rPr>
          <w:rFonts w:ascii="Times New Roman;sans-serif" w:hAnsi="Times New Roman;sans-serif"/>
          <w:b w:val="false"/>
          <w:color w:val="000000"/>
          <w:sz w:val="20"/>
        </w:rPr>
        <w:t>This competition has become exacerbated by the increase in employee resignations in 2022 reported by employers nationwide and continued high rates of employee turnover in 2023.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bidi w:val="0"/>
        <w:spacing w:lineRule="auto" w:line="288" w:before="0" w:after="18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multiple global events, including the COVID-19 pandemic, the conflict in Eastern Europe, increasing interest rates, instability in the global financial markets, and general economic downturns, could adversely affect our ability to raise capital and our business, results of operations and financial condition.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While the potential economic impact brought by multiple adverse global circumstances, such as the COVID-19 pandemic, conflicts in Eastern Europe, potential uncertainty related to Taiwan and its relationship with China, increasing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 xml:space="preserve">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2023, we had cash, cash equivalents and investments of $286.7 million, consisting of U.S. treasury securities, mutual funds, commercial paper, corporate debt securities, and agency securities. Any default by the U.S. government or credit downgrade of the securities we hold could impact the liquidity or valuation of our investments.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bidi w:val="0"/>
        <w:spacing w:lineRule="auto" w:line="288" w:before="0" w:after="180"/>
        <w:ind w:left="0" w:right="0" w:firstLine="360"/>
        <w:jc w:val="left"/>
        <w:rPr/>
      </w:pPr>
      <w:r>
        <w:rPr>
          <w:rFonts w:ascii="Times New Roman;sans-serif" w:hAnsi="Times New Roman;sans-serif"/>
          <w:b/>
          <w:i/>
          <w:color w:val="000000"/>
          <w:sz w:val="20"/>
        </w:rPr>
        <w:t>Global supply chain interruptions could adversely affect our ability to develop and commercialize our products</w:t>
      </w:r>
      <w:r>
        <w:rPr>
          <w:rFonts w:ascii="Times New Roman;sans-serif" w:hAnsi="Times New Roman;sans-serif"/>
          <w:b/>
          <w:color w:val="000000"/>
          <w:sz w:val="20"/>
        </w:rPr>
        <w:t>.</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We may be subject to supply chain interruptions. Current or future supply chain interruptions that could be exacerbated by global political tensions, such as the situation in Eastern Europe and uncertainty related to Taiwan and its relationship with China, could negatively impact our ability to further develop our products or to manufacture and deliver our products or services, which could negatively impact our timelines and business results. For example, as discussed in the risk factor above entitled “</w:t>
      </w:r>
      <w:r>
        <w:rPr>
          <w:rFonts w:ascii="Times New Roman;sans-serif" w:hAnsi="Times New Roman;sans-serif"/>
          <w:b w:val="false"/>
          <w:i/>
          <w:color w:val="000000"/>
          <w:sz w:val="20"/>
          <w:shd w:fill="FFFFFF" w:val="clear"/>
        </w:rPr>
        <w:t>The COVID-19 pandemic and efforts to reduce its spread have adversely impacted and are expected to continue to materially and adversely impact, our business and operations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 in Eastern Europe.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Seattle, Washington, facility houses our corporate executive team and our software development operations, while our San Carlos, California facility houses our research and development team.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in Seattle and San Carlos are vulnerable to natural disasters, public health crises, including the impact of the COVID-19 pandemic, and other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If our research and development program or planned commercialization program were disrupted by a disaster or catastrophe, the launch of new products, including our </w:t>
      </w:r>
      <w:r>
        <w:rPr>
          <w:rFonts w:ascii="Times New Roman;sans-serif" w:hAnsi="Times New Roman;sans-serif"/>
          <w:b w:val="false"/>
          <w:color w:val="000000"/>
          <w:sz w:val="20"/>
          <w:shd w:fill="FFFFFF" w:val="clear"/>
        </w:rPr>
        <w:t>Nautilus platform</w:t>
      </w:r>
      <w:r>
        <w:rPr>
          <w:rFonts w:ascii="Times New Roman;sans-serif" w:hAnsi="Times New Roman;sans-serif"/>
          <w:b w:val="false"/>
          <w:color w:val="000000"/>
          <w:sz w:val="20"/>
        </w:rPr>
        <w:t>,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use hazardous chemicals and biological materials in our business. Any claims relating to improper handling, storage or disposal of these materials could be time consuming and costly.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w:t>
      </w:r>
      <w:r>
        <w:rPr>
          <w:rFonts w:ascii="Times New Roman;sans-serif" w:hAnsi="Times New Roman;sans-serif"/>
          <w:b w:val="false"/>
          <w:color w:val="000000"/>
          <w:sz w:val="20"/>
          <w:shd w:fill="FFFFFF" w:val="clear"/>
        </w:rPr>
        <w:t>Nautilus platform</w:t>
      </w:r>
      <w:r>
        <w:rPr>
          <w:color w:val="000000"/>
        </w:rPr>
        <w:t xml:space="preserve"> </w:t>
      </w:r>
      <w:r>
        <w:rPr>
          <w:rFonts w:ascii="Times New Roman;sans-serif" w:hAnsi="Times New Roman;sans-serif"/>
          <w:b w:val="false"/>
          <w:color w:val="000000"/>
          <w:sz w:val="20"/>
        </w:rPr>
        <w:t>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never develop or be sustained.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has been and may continue to be volatile, which could result in substantial losses for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due to a variety of factors, including: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timing of the launch and commercialization of our products and degree to which such launch and commercialization meets the expectations of securities analysts and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fluctuations in our operating results, including fluctuations in our quarterly and annual results;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operating expenses being more than anticipated;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failure or discontinuation of any of our product development and research programs;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success of existing or new competitive businesses or technologies;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announcements about new research programs or products of our competitors;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developments or disputes concerning patent applications, issued patents or other proprietary rights;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recruitment or departure of key personnel;</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litigation and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regulatory or legal developments in the United States and other countries;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volatility and variations in market conditions in the life sciences technology sector generally, or the proteomics or genomics sectors specifically;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investor perceptions of us or our industry;</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level of expenses related to any of our research and development programs or products;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whether our financial results meet the expectations of securities analysts or investors;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announcement or expectation of additional financing efforts;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sales of our Common Stock by us or by our insiders or other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general economic, industry and market conditions;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the COVID-19 pandemic, natural disasters or major catastrophic events.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availability of market quotations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reduced liquidity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limited amount of new and analyst coverage; and </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 xml:space="preserve">a decreased ability to issue additional securities or obtain additional financing in the future.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our directors, executive officers, holders of more than 5% of our outstanding shares of Common Stock and their respective affiliates beneficially owned, collectively, approximately 68.9%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do not expect to pay any dividends for the foreseeable future. Investors may never obtain a return on their investment.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amendments to our certificate of incorporation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any stockholder-proposed amendment to certain provisions of our bylaws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stockholders are only able to take action at a meeting of stockholders and are not able to take action by written consent for any matter;</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vacancies on our board of directors are able to be filled only by our board of directors and not by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only the chair of our board of directors, our chief executive officer, our president or a majority of our board of directors are authorized to call a special meeting of stockholders;</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certain litigation against us can only be brought in Delaware;</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our certificate of incorporation authorizes undesignated preferred stock, the terms of which may be established by our Board and shares of which may be issued, without the approval of the holders of our capital stock; and</w:t>
      </w:r>
    </w:p>
    <w:p>
      <w:pPr>
        <w:pStyle w:val="TextBody"/>
        <w:bidi w:val="0"/>
        <w:spacing w:lineRule="auto" w:line="288" w:before="0" w:after="180"/>
        <w:ind w:left="0" w:right="0" w:firstLine="360"/>
        <w:jc w:val="left"/>
        <w:rPr/>
      </w:pPr>
      <w:r>
        <w:rPr>
          <w:color w:val="000000"/>
        </w:rPr>
        <w:t>•</w:t>
      </w:r>
      <w:r>
        <w:rPr>
          <w:rFonts w:ascii="Times New Roman;sans-serif" w:hAnsi="Times New Roman;sans-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have broad discretion in the use of the net proceeds from the Business Combination and the PIPE Financing and may not use them effectively.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As of December 31, 2022, we had U.S</w:t>
      </w:r>
      <w:r>
        <w:rPr>
          <w:rFonts w:ascii="Times New Roman;sans-serif" w:hAnsi="Times New Roman;sans-serif"/>
          <w:b w:val="false"/>
          <w:color w:val="000000"/>
          <w:sz w:val="20"/>
          <w:shd w:fill="FFFFFF" w:val="clear"/>
        </w:rPr>
        <w:t>. federal and state net operating loss carryforw</w:t>
      </w:r>
      <w:r>
        <w:rPr>
          <w:rFonts w:ascii="Times New Roman;sans-serif" w:hAnsi="Times New Roman;sans-serif"/>
          <w:b w:val="false"/>
          <w:color w:val="000000"/>
          <w:sz w:val="20"/>
        </w:rPr>
        <w:t>ards, or NOLs, of $0.5 million for federal purposes and $21.1 million for state purposes, which if not utilized will expire in 2037. Federal NOLs of $51.5 million that arose after the 2017 tax year will carry forward indefinitely and will be subject to the 80% of taxable income limitation. We ma</w:t>
      </w:r>
      <w:r>
        <w:rPr>
          <w:rFonts w:ascii="Times New Roman;sans-serif" w:hAnsi="Times New Roman;sans-serif"/>
          <w:b w:val="false"/>
          <w:color w:val="000000"/>
          <w:sz w:val="20"/>
          <w:shd w:fill="FFFFFF" w:val="clear"/>
        </w:rPr>
        <w:t>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w:t>
      </w:r>
      <w:r>
        <w:rPr>
          <w:rFonts w:ascii="Times New Roman;sans-serif" w:hAnsi="Times New Roman;sans-serif"/>
          <w:b w:val="false"/>
          <w:color w:val="000000"/>
          <w:sz w:val="20"/>
        </w:rPr>
        <w:t>d adversely impact our operating results.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tax laws could have a material adverse effect on our future business, cash flows, results of operations or financial condition.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excise tax on certain stock buybacks effective January 1, 2023. Further, on January 1, 2022, a provision of the Tax Cuts and Jobs Act of 2017 went into effect that eliminates the option to deduct domestic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costs in the year incurred and instead requires taxpayers to amortize such costs over five years. Such changes, among others, may adversely affect our future effective tax rate, business, cash flows, results of operations and financial condition.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ans-serif" w:hAnsi="Times New Roman;sans-serif"/>
          <w:b w:val="false"/>
          <w:color w:val="000000"/>
          <w:sz w:val="20"/>
          <w:shd w:fill="FFFFFF" w:val="clear"/>
        </w:rPr>
        <w:t>ligations in a timely manner, or at all. In addition, any testing by us conducted in connection with Section 404(a) of the Sarbanes-Oxley Act of 2002 (“SOX”) or any subsequent testing by our independent registered public accounting firm in connection with Sectio</w:t>
      </w:r>
      <w:r>
        <w:rPr>
          <w:rFonts w:ascii="Times New Roman;sans-serif" w:hAnsi="Times New Roman;sans-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amended confirmatory employment agreement and amended change in in control and severance agreement with each of its executive officers to reflect the Company's corporate structure, each of which is filed as an exhibit to this Quarterly Report on Form 10-Q. No material changes to any officer's compensation or terms of employment were made in connection with such amended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2662"/>
        <w:gridCol w:w="2662"/>
        <w:gridCol w:w="380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Incorporation of Nautilus Biotechnology, Inc. (incorporated by reference to Exhibit 3.1 to the Company’s Current Report on Form 8-K filed with the SEC on June 10, 2021)</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nautilusbiotechn.htm">
              <w:r>
                <w:rPr>
                  <w:rStyle w:val="InternetLink"/>
                  <w:rFonts w:ascii="Times New Roman;sans-serif" w:hAnsi="Times New Roman;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nautilusbiotechn.htm">
              <w:r>
                <w:rPr>
                  <w:rStyle w:val="InternetLink"/>
                  <w:rFonts w:ascii="Times New Roman;sans-serif" w:hAnsi="Times New Roman;sans-serif"/>
                  <w:b w:val="false"/>
                  <w:color w:val="0000FF"/>
                  <w:sz w:val="20"/>
                  <w:u w:val="single"/>
                </w:rPr>
                <w:t xml:space="preserve">Amended and Restated Bylaws of Nautilus Biotechnology, Inc. </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patelconfirmato.htm">
              <w:r>
                <w:rPr>
                  <w:rStyle w:val="InternetLink"/>
                  <w:rFonts w:ascii="Times New Roman;sans-serif" w:hAnsi="Times New Roman;sans-serif"/>
                  <w:b w:val="false"/>
                  <w:color w:val="000080"/>
                  <w:sz w:val="18"/>
                  <w:u w:val="single"/>
                </w:rPr>
                <w:t>10.1</w:t>
              </w:r>
            </w:hyperlink>
            <w:hyperlink w:anchor="exhibit101-patelconfirmato.htm">
              <w:r>
                <w:rPr>
                  <w:rStyle w:val="InternetLink"/>
                  <w:rFonts w:ascii="Times New Roman;sans-serif" w:hAnsi="Times New Roman;sans-serif"/>
                  <w:b w:val="false"/>
                  <w:color w:val="000080"/>
                  <w:sz w:val="18"/>
                  <w:u w:val="single"/>
                </w:rPr>
                <w:t>*</w:t>
              </w:r>
            </w:hyperlink>
            <w:hyperlink w:anchor="exhibit101-patelconfirmato.htm">
              <w:r>
                <w:rPr>
                  <w:rStyle w:val="InternetLink"/>
                  <w:rFonts w:ascii="Times New Roman;sans-serif" w:hAnsi="Times New Roman;sans-serif"/>
                  <w:b w:val="false"/>
                  <w:color w:val="000080"/>
                  <w:sz w:val="16"/>
                  <w:u w:val="single"/>
                </w:rPr>
                <w:t>+</w:t>
              </w:r>
            </w:hyperlink>
            <w:hyperlink w:anchor="exhibit101-patelconfirmato.htm">
              <w:r>
                <w:rPr>
                  <w:rStyle w:val="InternetLink"/>
                  <w:rFonts w:ascii="Times New Roman;sans-serif" w:hAnsi="Times New Roman;sans-serif"/>
                  <w:b w:val="false"/>
                  <w:color w:val="000080"/>
                  <w:sz w:val="16"/>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patelconfirmato.htm">
              <w:r>
                <w:rPr>
                  <w:rStyle w:val="InternetLink"/>
                  <w:rFonts w:ascii="Times New Roman;sans-serif" w:hAnsi="Times New Roman;sans-serif"/>
                  <w:b w:val="false"/>
                  <w:color w:val="000080"/>
                  <w:sz w:val="20"/>
                  <w:u w:val="single"/>
                </w:rPr>
                <w:t xml:space="preserve">Amended and Restated Confirmatory Employment Letter between Nautilus Biotechnology, Inc. and Sujal Patel, dated as of </w:t>
              </w:r>
            </w:hyperlink>
            <w:hyperlink w:anchor="exhibit101-patelconfirmato.htm">
              <w:r>
                <w:rPr>
                  <w:rStyle w:val="InternetLink"/>
                  <w:rFonts w:ascii="Times New Roman;sans-serif" w:hAnsi="Times New Roman;sans-serif"/>
                  <w:b w:val="false"/>
                  <w:color w:val="000080"/>
                  <w:sz w:val="20"/>
                  <w:u w:val="single"/>
                </w:rPr>
                <w:t>July 31</w:t>
              </w:r>
            </w:hyperlink>
            <w:hyperlink w:anchor="exhibit101-patelconfirmato.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mallickconfirma.htm">
              <w:r>
                <w:rPr>
                  <w:rStyle w:val="InternetLink"/>
                  <w:rFonts w:ascii="Times New Roman;sans-serif" w:hAnsi="Times New Roman;sans-serif"/>
                  <w:b w:val="false"/>
                  <w:color w:val="000080"/>
                  <w:sz w:val="18"/>
                  <w:u w:val="single"/>
                </w:rPr>
                <w:t>10.2</w:t>
              </w:r>
            </w:hyperlink>
            <w:hyperlink w:anchor="exhibit102-mallickconfirma.htm">
              <w:r>
                <w:rPr>
                  <w:rStyle w:val="InternetLink"/>
                  <w:rFonts w:ascii="Times New Roman;sans-serif" w:hAnsi="Times New Roman;sans-serif"/>
                  <w:b w:val="false"/>
                  <w:color w:val="000080"/>
                  <w:sz w:val="18"/>
                  <w:u w:val="single"/>
                </w:rPr>
                <w:t>*</w:t>
              </w:r>
            </w:hyperlink>
            <w:hyperlink w:anchor="exhibit102-mallickconfirma.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mallickconfirma.htm">
              <w:r>
                <w:rPr>
                  <w:rStyle w:val="InternetLink"/>
                  <w:rFonts w:ascii="Times New Roman;sans-serif" w:hAnsi="Times New Roman;sans-serif"/>
                  <w:b w:val="false"/>
                  <w:color w:val="000080"/>
                  <w:sz w:val="20"/>
                  <w:u w:val="single"/>
                </w:rPr>
                <w:t xml:space="preserve">Amended and Restated Confirmatory Employment Letter between Nautilus Biotechnology, Inc. and Parag Mallick, dated as of </w:t>
              </w:r>
            </w:hyperlink>
            <w:hyperlink w:anchor="exhibit102-mallickconfirma.htm">
              <w:r>
                <w:rPr>
                  <w:rStyle w:val="InternetLink"/>
                  <w:rFonts w:ascii="Times New Roman;sans-serif" w:hAnsi="Times New Roman;sans-serif"/>
                  <w:b w:val="false"/>
                  <w:color w:val="000080"/>
                  <w:sz w:val="20"/>
                  <w:u w:val="single"/>
                </w:rPr>
                <w:t>July 31</w:t>
              </w:r>
            </w:hyperlink>
            <w:hyperlink w:anchor="exhibit102-mallickconfirma.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3-mowryconfirmato.htm">
              <w:r>
                <w:rPr>
                  <w:rStyle w:val="InternetLink"/>
                  <w:rFonts w:ascii="Times New Roman;sans-serif" w:hAnsi="Times New Roman;sans-serif"/>
                  <w:b w:val="false"/>
                  <w:color w:val="000080"/>
                  <w:sz w:val="18"/>
                  <w:u w:val="single"/>
                </w:rPr>
                <w:t>10.3</w:t>
              </w:r>
            </w:hyperlink>
            <w:hyperlink w:anchor="exhibit103-mowryconfirmato.htm">
              <w:r>
                <w:rPr>
                  <w:rStyle w:val="InternetLink"/>
                  <w:rFonts w:ascii="Times New Roman;sans-serif" w:hAnsi="Times New Roman;sans-serif"/>
                  <w:b w:val="false"/>
                  <w:color w:val="000080"/>
                  <w:sz w:val="18"/>
                  <w:u w:val="single"/>
                </w:rPr>
                <w:t>*</w:t>
              </w:r>
            </w:hyperlink>
            <w:hyperlink w:anchor="exhibit103-mowryconfirmato.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mowryconfirmato.htm">
              <w:r>
                <w:rPr>
                  <w:rStyle w:val="InternetLink"/>
                  <w:rFonts w:ascii="Times New Roman;sans-serif" w:hAnsi="Times New Roman;sans-serif"/>
                  <w:b w:val="false"/>
                  <w:color w:val="000080"/>
                  <w:sz w:val="20"/>
                  <w:u w:val="single"/>
                </w:rPr>
                <w:t xml:space="preserve">Amended and Restated Confirmatory Employment Letter between Nautilus Biotechnology, Inc. and Anna Mowry, dated as of </w:t>
              </w:r>
            </w:hyperlink>
            <w:hyperlink w:anchor="exhibit103-mowryconfirmato.htm">
              <w:r>
                <w:rPr>
                  <w:rStyle w:val="InternetLink"/>
                  <w:rFonts w:ascii="Times New Roman;sans-serif" w:hAnsi="Times New Roman;sans-serif"/>
                  <w:b w:val="false"/>
                  <w:color w:val="000080"/>
                  <w:sz w:val="20"/>
                  <w:u w:val="single"/>
                </w:rPr>
                <w:t>July 31</w:t>
              </w:r>
            </w:hyperlink>
            <w:hyperlink w:anchor="exhibit103-mowryconfirmato.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4-nelsonconfirmat.htm">
              <w:r>
                <w:rPr>
                  <w:rStyle w:val="InternetLink"/>
                  <w:rFonts w:ascii="Times New Roman;sans-serif" w:hAnsi="Times New Roman;sans-serif"/>
                  <w:b w:val="false"/>
                  <w:color w:val="000080"/>
                  <w:sz w:val="18"/>
                  <w:u w:val="single"/>
                </w:rPr>
                <w:t>10.4</w:t>
              </w:r>
            </w:hyperlink>
            <w:hyperlink w:anchor="exhibit104-nelsonconfirmat.htm">
              <w:r>
                <w:rPr>
                  <w:rStyle w:val="InternetLink"/>
                  <w:rFonts w:ascii="Times New Roman;sans-serif" w:hAnsi="Times New Roman;sans-serif"/>
                  <w:b w:val="false"/>
                  <w:color w:val="000080"/>
                  <w:sz w:val="18"/>
                  <w:u w:val="single"/>
                </w:rPr>
                <w:t>*</w:t>
              </w:r>
            </w:hyperlink>
            <w:hyperlink w:anchor="exhibit104-nelsonconfirma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nelsonconfirmat.htm">
              <w:r>
                <w:rPr>
                  <w:rStyle w:val="InternetLink"/>
                  <w:rFonts w:ascii="Times New Roman;sans-serif" w:hAnsi="Times New Roman;sans-serif"/>
                  <w:b w:val="false"/>
                  <w:color w:val="000080"/>
                  <w:sz w:val="20"/>
                  <w:u w:val="single"/>
                </w:rPr>
                <w:t xml:space="preserve">Amended and Restated Confirmatory Employment Letter between Nautilus Biotechnology, Inc. and Nick Nelson, dated of as </w:t>
              </w:r>
            </w:hyperlink>
            <w:hyperlink w:anchor="exhibit104-nelsonconfirmat.htm">
              <w:r>
                <w:rPr>
                  <w:rStyle w:val="InternetLink"/>
                  <w:rFonts w:ascii="Times New Roman;sans-serif" w:hAnsi="Times New Roman;sans-serif"/>
                  <w:b w:val="false"/>
                  <w:color w:val="000080"/>
                  <w:sz w:val="20"/>
                  <w:u w:val="single"/>
                </w:rPr>
                <w:t>July 31</w:t>
              </w:r>
            </w:hyperlink>
            <w:hyperlink w:anchor="exhibit104-nelsonconfirmat.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weldconfirmator.htm">
              <w:r>
                <w:rPr>
                  <w:rStyle w:val="InternetLink"/>
                  <w:rFonts w:ascii="Times New Roman;sans-serif" w:hAnsi="Times New Roman;sans-serif"/>
                  <w:b w:val="false"/>
                  <w:color w:val="000080"/>
                  <w:sz w:val="18"/>
                  <w:u w:val="single"/>
                </w:rPr>
                <w:t>10.5</w:t>
              </w:r>
            </w:hyperlink>
            <w:hyperlink w:anchor="exhibit105-weldconfirmator.htm">
              <w:r>
                <w:rPr>
                  <w:rStyle w:val="InternetLink"/>
                  <w:rFonts w:ascii="Times New Roman;sans-serif" w:hAnsi="Times New Roman;sans-serif"/>
                  <w:b w:val="false"/>
                  <w:color w:val="000080"/>
                  <w:sz w:val="18"/>
                  <w:u w:val="single"/>
                </w:rPr>
                <w:t>*</w:t>
              </w:r>
            </w:hyperlink>
            <w:hyperlink w:anchor="exhibit105-weldconfirmator.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weldconfirmator.htm">
              <w:r>
                <w:rPr>
                  <w:rStyle w:val="InternetLink"/>
                  <w:rFonts w:ascii="Times New Roman;sans-serif" w:hAnsi="Times New Roman;sans-serif"/>
                  <w:b w:val="false"/>
                  <w:color w:val="000080"/>
                  <w:sz w:val="20"/>
                  <w:u w:val="single"/>
                </w:rPr>
                <w:t xml:space="preserve">Amended and Restated Confirmatory Employment Letter between Nautilus Biotechnology, Inc. and Gwen Weld, dated as of </w:t>
              </w:r>
            </w:hyperlink>
            <w:hyperlink w:anchor="exhibit105-weldconfirmator.htm">
              <w:r>
                <w:rPr>
                  <w:rStyle w:val="InternetLink"/>
                  <w:rFonts w:ascii="Times New Roman;sans-serif" w:hAnsi="Times New Roman;sans-serif"/>
                  <w:b w:val="false"/>
                  <w:color w:val="000080"/>
                  <w:sz w:val="20"/>
                  <w:u w:val="single"/>
                </w:rPr>
                <w:t>July 31</w:t>
              </w:r>
            </w:hyperlink>
            <w:hyperlink w:anchor="exhibit105-weldconfirmator.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godwinconfirmat.htm">
              <w:r>
                <w:rPr>
                  <w:rStyle w:val="InternetLink"/>
                  <w:rFonts w:ascii="Times New Roman;sans-serif" w:hAnsi="Times New Roman;sans-serif"/>
                  <w:b w:val="false"/>
                  <w:color w:val="000080"/>
                  <w:sz w:val="18"/>
                  <w:u w:val="single"/>
                </w:rPr>
                <w:t>10.6</w:t>
              </w:r>
            </w:hyperlink>
            <w:hyperlink w:anchor="exhibit106-godwinconfirmat.htm">
              <w:r>
                <w:rPr>
                  <w:rStyle w:val="InternetLink"/>
                  <w:rFonts w:ascii="Times New Roman;sans-serif" w:hAnsi="Times New Roman;sans-serif"/>
                  <w:b w:val="false"/>
                  <w:color w:val="000080"/>
                  <w:sz w:val="18"/>
                  <w:u w:val="single"/>
                </w:rPr>
                <w:t>*</w:t>
              </w:r>
            </w:hyperlink>
            <w:hyperlink w:anchor="exhibit106-godwinconfirma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godwinconfirmat.htm">
              <w:r>
                <w:rPr>
                  <w:rStyle w:val="InternetLink"/>
                  <w:rFonts w:ascii="Times New Roman;sans-serif" w:hAnsi="Times New Roman;sans-serif"/>
                  <w:b w:val="false"/>
                  <w:color w:val="000080"/>
                  <w:sz w:val="20"/>
                  <w:u w:val="single"/>
                </w:rPr>
                <w:t xml:space="preserve">Amended and Restated Confirmatory Employment Letter between Nautilus Biotechnology, Inc. and Mary Godwin, dated as of </w:t>
              </w:r>
            </w:hyperlink>
            <w:hyperlink w:anchor="exhibit106-godwinconfirmat.htm">
              <w:r>
                <w:rPr>
                  <w:rStyle w:val="InternetLink"/>
                  <w:rFonts w:ascii="Times New Roman;sans-serif" w:hAnsi="Times New Roman;sans-serif"/>
                  <w:b w:val="false"/>
                  <w:color w:val="000080"/>
                  <w:sz w:val="20"/>
                  <w:u w:val="single"/>
                </w:rPr>
                <w:t>July 31</w:t>
              </w:r>
            </w:hyperlink>
            <w:hyperlink w:anchor="exhibit106-godwinconfirmat.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7-sankarconfirmat.htm">
              <w:r>
                <w:rPr>
                  <w:rStyle w:val="InternetLink"/>
                  <w:rFonts w:ascii="Times New Roman;sans-serif" w:hAnsi="Times New Roman;sans-serif"/>
                  <w:b w:val="false"/>
                  <w:color w:val="000080"/>
                  <w:sz w:val="18"/>
                  <w:u w:val="single"/>
                </w:rPr>
                <w:t>10.7</w:t>
              </w:r>
            </w:hyperlink>
            <w:hyperlink w:anchor="exhibit107-sankarconfirmat.htm">
              <w:r>
                <w:rPr>
                  <w:rStyle w:val="InternetLink"/>
                  <w:rFonts w:ascii="Times New Roman;sans-serif" w:hAnsi="Times New Roman;sans-serif"/>
                  <w:b w:val="false"/>
                  <w:color w:val="000080"/>
                  <w:sz w:val="18"/>
                  <w:u w:val="single"/>
                </w:rPr>
                <w:t>*</w:t>
              </w:r>
            </w:hyperlink>
            <w:hyperlink w:anchor="exhibit107-sankarconfirma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sankarconfirmat.htm">
              <w:r>
                <w:rPr>
                  <w:rStyle w:val="InternetLink"/>
                  <w:rFonts w:ascii="Times New Roman;sans-serif" w:hAnsi="Times New Roman;sans-serif"/>
                  <w:b w:val="false"/>
                  <w:color w:val="000080"/>
                  <w:sz w:val="20"/>
                  <w:u w:val="single"/>
                </w:rPr>
                <w:t xml:space="preserve">Amended and Restated Confirmatory Employment Letter between Nautilus Biotechnology, Inc. and Subra Sankar, dated as of </w:t>
              </w:r>
            </w:hyperlink>
            <w:hyperlink w:anchor="exhibit107-sankarconfirmat.htm">
              <w:r>
                <w:rPr>
                  <w:rStyle w:val="InternetLink"/>
                  <w:rFonts w:ascii="Times New Roman;sans-serif" w:hAnsi="Times New Roman;sans-serif"/>
                  <w:b w:val="false"/>
                  <w:color w:val="000080"/>
                  <w:sz w:val="20"/>
                  <w:u w:val="single"/>
                </w:rPr>
                <w:t>July 31</w:t>
              </w:r>
            </w:hyperlink>
            <w:hyperlink w:anchor="exhibit107-sankarconfirmat.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8-murphyconfirmat.htm">
              <w:r>
                <w:rPr>
                  <w:rStyle w:val="InternetLink"/>
                  <w:rFonts w:ascii="Times New Roman;sans-serif" w:hAnsi="Times New Roman;sans-serif"/>
                  <w:b w:val="false"/>
                  <w:color w:val="000080"/>
                  <w:sz w:val="18"/>
                  <w:u w:val="single"/>
                </w:rPr>
                <w:t>10.8</w:t>
              </w:r>
            </w:hyperlink>
            <w:hyperlink w:anchor="exhibit108-murphyconfirmat.htm">
              <w:r>
                <w:rPr>
                  <w:rStyle w:val="InternetLink"/>
                  <w:rFonts w:ascii="Times New Roman;sans-serif" w:hAnsi="Times New Roman;sans-serif"/>
                  <w:b w:val="false"/>
                  <w:color w:val="000080"/>
                  <w:sz w:val="18"/>
                  <w:u w:val="single"/>
                </w:rPr>
                <w:t>*</w:t>
              </w:r>
            </w:hyperlink>
            <w:hyperlink w:anchor="exhibit108-murphyconfirma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8-murphyconfirmat.htm">
              <w:r>
                <w:rPr>
                  <w:rStyle w:val="InternetLink"/>
                  <w:rFonts w:ascii="Times New Roman;sans-serif" w:hAnsi="Times New Roman;sans-serif"/>
                  <w:b w:val="false"/>
                  <w:color w:val="000080"/>
                  <w:sz w:val="20"/>
                  <w:u w:val="single"/>
                </w:rPr>
                <w:t xml:space="preserve">Amended and Restated Confirmatory Employment Letter between Nautilus Biotechnology, Inc. and Matthew Murphy, dated as of </w:t>
              </w:r>
            </w:hyperlink>
            <w:hyperlink w:anchor="exhibit108-murphyconfirmat.htm">
              <w:r>
                <w:rPr>
                  <w:rStyle w:val="InternetLink"/>
                  <w:rFonts w:ascii="Times New Roman;sans-serif" w:hAnsi="Times New Roman;sans-serif"/>
                  <w:b w:val="false"/>
                  <w:color w:val="000080"/>
                  <w:sz w:val="20"/>
                  <w:u w:val="single"/>
                </w:rPr>
                <w:t>July 31</w:t>
              </w:r>
            </w:hyperlink>
            <w:hyperlink w:anchor="exhibit108-murphyconfirmat.htm">
              <w:r>
                <w:rPr>
                  <w:rStyle w:val="InternetLink"/>
                  <w:rFonts w:ascii="Times New Roman;sans-serif" w:hAnsi="Times New Roman;sans-serif"/>
                  <w:b w:val="false"/>
                  <w:color w:val="000080"/>
                  <w:sz w:val="20"/>
                  <w:u w:val="single"/>
                </w:rPr>
                <w:t>,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patelcicagmnt.htm">
              <w:r>
                <w:rPr>
                  <w:rStyle w:val="InternetLink"/>
                  <w:rFonts w:ascii="Times New Roman;sans-serif" w:hAnsi="Times New Roman;sans-serif"/>
                  <w:b w:val="false"/>
                  <w:color w:val="000080"/>
                  <w:sz w:val="18"/>
                  <w:u w:val="single"/>
                </w:rPr>
                <w:t>10.9</w:t>
              </w:r>
            </w:hyperlink>
            <w:hyperlink w:anchor="exhibit109-patelcicagmnt.htm">
              <w:r>
                <w:rPr>
                  <w:rStyle w:val="InternetLink"/>
                  <w:rFonts w:ascii="Times New Roman;sans-serif" w:hAnsi="Times New Roman;sans-serif"/>
                  <w:b w:val="false"/>
                  <w:color w:val="000080"/>
                  <w:sz w:val="18"/>
                  <w:u w:val="single"/>
                </w:rPr>
                <w:t>*</w:t>
              </w:r>
            </w:hyperlink>
            <w:hyperlink w:anchor="exhibit109-patel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patel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Sujal Patel,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mallickcicagmnt.htm">
              <w:r>
                <w:rPr>
                  <w:rStyle w:val="InternetLink"/>
                  <w:rFonts w:ascii="Times New Roman;sans-serif" w:hAnsi="Times New Roman;sans-serif"/>
                  <w:b w:val="false"/>
                  <w:color w:val="000080"/>
                  <w:sz w:val="18"/>
                  <w:u w:val="single"/>
                </w:rPr>
                <w:t>10.10</w:t>
              </w:r>
            </w:hyperlink>
            <w:hyperlink w:anchor="exhibit1010-mallickcicagmnt.htm">
              <w:r>
                <w:rPr>
                  <w:rStyle w:val="InternetLink"/>
                  <w:rFonts w:ascii="Times New Roman;sans-serif" w:hAnsi="Times New Roman;sans-serif"/>
                  <w:b w:val="false"/>
                  <w:color w:val="000080"/>
                  <w:sz w:val="18"/>
                  <w:u w:val="single"/>
                </w:rPr>
                <w:t>*</w:t>
              </w:r>
            </w:hyperlink>
            <w:hyperlink w:anchor="exhibit1010-mallick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mallick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Parag Mallick,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mowrycicagmnt.htm">
              <w:r>
                <w:rPr>
                  <w:rStyle w:val="InternetLink"/>
                  <w:rFonts w:ascii="Times New Roman;sans-serif" w:hAnsi="Times New Roman;sans-serif"/>
                  <w:b w:val="false"/>
                  <w:color w:val="000080"/>
                  <w:sz w:val="18"/>
                  <w:u w:val="single"/>
                </w:rPr>
                <w:t>10.11</w:t>
              </w:r>
            </w:hyperlink>
            <w:hyperlink w:anchor="exhibit1011-mowrycicagmnt.htm">
              <w:r>
                <w:rPr>
                  <w:rStyle w:val="InternetLink"/>
                  <w:rFonts w:ascii="Times New Roman;sans-serif" w:hAnsi="Times New Roman;sans-serif"/>
                  <w:b w:val="false"/>
                  <w:color w:val="000080"/>
                  <w:sz w:val="18"/>
                  <w:u w:val="single"/>
                </w:rPr>
                <w:t>*</w:t>
              </w:r>
            </w:hyperlink>
            <w:hyperlink w:anchor="exhibit1011-mowry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1-mowry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Anna Mowry,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nelsoncicagmnt.htm">
              <w:r>
                <w:rPr>
                  <w:rStyle w:val="InternetLink"/>
                  <w:rFonts w:ascii="Times New Roman;sans-serif" w:hAnsi="Times New Roman;sans-serif"/>
                  <w:b w:val="false"/>
                  <w:color w:val="000080"/>
                  <w:sz w:val="18"/>
                  <w:u w:val="single"/>
                </w:rPr>
                <w:t>10.12</w:t>
              </w:r>
            </w:hyperlink>
            <w:hyperlink w:anchor="exhibit1012-nelsoncicagmnt.htm">
              <w:r>
                <w:rPr>
                  <w:rStyle w:val="InternetLink"/>
                  <w:rFonts w:ascii="Times New Roman;sans-serif" w:hAnsi="Times New Roman;sans-serif"/>
                  <w:b w:val="false"/>
                  <w:color w:val="000080"/>
                  <w:sz w:val="18"/>
                  <w:u w:val="single"/>
                </w:rPr>
                <w:t>*</w:t>
              </w:r>
            </w:hyperlink>
            <w:hyperlink w:anchor="exhibit1012-nelson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nelson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Nick Nelson,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13-weldcicagmnt.htm">
              <w:r>
                <w:rPr>
                  <w:rStyle w:val="InternetLink"/>
                  <w:rFonts w:ascii="Times New Roman;sans-serif" w:hAnsi="Times New Roman;sans-serif"/>
                  <w:b w:val="false"/>
                  <w:color w:val="000080"/>
                  <w:sz w:val="18"/>
                  <w:u w:val="single"/>
                </w:rPr>
                <w:t>10.13</w:t>
              </w:r>
            </w:hyperlink>
            <w:hyperlink w:anchor="exhibit1013-weldcicagmnt.htm">
              <w:r>
                <w:rPr>
                  <w:rStyle w:val="InternetLink"/>
                  <w:rFonts w:ascii="Times New Roman;sans-serif" w:hAnsi="Times New Roman;sans-serif"/>
                  <w:b w:val="false"/>
                  <w:color w:val="000080"/>
                  <w:sz w:val="18"/>
                  <w:u w:val="single"/>
                </w:rPr>
                <w:t>*</w:t>
              </w:r>
            </w:hyperlink>
            <w:hyperlink w:anchor="exhibit1013-weld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3-weld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Gwen Weld,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4-godwincicagmnt.htm">
              <w:r>
                <w:rPr>
                  <w:rStyle w:val="InternetLink"/>
                  <w:rFonts w:ascii="Times New Roman;sans-serif" w:hAnsi="Times New Roman;sans-serif"/>
                  <w:b w:val="false"/>
                  <w:color w:val="000080"/>
                  <w:sz w:val="20"/>
                  <w:u w:val="single"/>
                </w:rPr>
                <w:t>10.14</w:t>
              </w:r>
            </w:hyperlink>
            <w:hyperlink w:anchor="exhibit1014-godwincicagmnt.htm">
              <w:r>
                <w:rPr>
                  <w:rStyle w:val="InternetLink"/>
                  <w:rFonts w:ascii="Times New Roman;sans-serif" w:hAnsi="Times New Roman;sans-serif"/>
                  <w:b w:val="false"/>
                  <w:color w:val="000080"/>
                  <w:sz w:val="20"/>
                  <w:u w:val="single"/>
                </w:rPr>
                <w:t>*</w:t>
              </w:r>
            </w:hyperlink>
            <w:hyperlink w:anchor="exhibit1014-godwin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4-godwin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Mary Godwin,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15-sankarcicagmnt.htm">
              <w:r>
                <w:rPr>
                  <w:rStyle w:val="InternetLink"/>
                  <w:rFonts w:ascii="Times New Roman;sans-serif" w:hAnsi="Times New Roman;sans-serif"/>
                  <w:b w:val="false"/>
                  <w:color w:val="000080"/>
                  <w:sz w:val="18"/>
                  <w:u w:val="single"/>
                </w:rPr>
                <w:t>10.15</w:t>
              </w:r>
            </w:hyperlink>
            <w:hyperlink w:anchor="exhibit1015-sankarcicagmnt.htm">
              <w:r>
                <w:rPr>
                  <w:rStyle w:val="InternetLink"/>
                  <w:rFonts w:ascii="Times New Roman;sans-serif" w:hAnsi="Times New Roman;sans-serif"/>
                  <w:b w:val="false"/>
                  <w:color w:val="000080"/>
                  <w:sz w:val="18"/>
                  <w:u w:val="single"/>
                </w:rPr>
                <w:t>*</w:t>
              </w:r>
            </w:hyperlink>
            <w:hyperlink w:anchor="exhibit1015-sankar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5-sankar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Subra Sankar,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exhibit1016-murphycicagmnt.htm">
              <w:r>
                <w:rPr>
                  <w:rStyle w:val="InternetLink"/>
                  <w:rFonts w:ascii="Times New Roman;sans-serif" w:hAnsi="Times New Roman;sans-serif"/>
                  <w:b w:val="false"/>
                  <w:color w:val="000080"/>
                  <w:sz w:val="18"/>
                  <w:u w:val="single"/>
                </w:rPr>
                <w:t>10.16</w:t>
              </w:r>
            </w:hyperlink>
            <w:hyperlink w:anchor="exhibit1016-murphycicagmnt.htm">
              <w:r>
                <w:rPr>
                  <w:rStyle w:val="InternetLink"/>
                  <w:rFonts w:ascii="Times New Roman;sans-serif" w:hAnsi="Times New Roman;sans-serif"/>
                  <w:b w:val="false"/>
                  <w:color w:val="000080"/>
                  <w:sz w:val="18"/>
                  <w:u w:val="single"/>
                </w:rPr>
                <w:t>*</w:t>
              </w:r>
            </w:hyperlink>
            <w:hyperlink w:anchor="exhibit1016-murphycicagmnt.htm">
              <w:r>
                <w:rPr>
                  <w:rStyle w:val="InternetLink"/>
                  <w:rFonts w:ascii="Times New Roman;sans-serif" w:hAnsi="Times New Roman;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6-murphycicagmnt.htm">
              <w:r>
                <w:rPr>
                  <w:rStyle w:val="InternetLink"/>
                  <w:rFonts w:ascii="Times New Roman;sans-serif" w:hAnsi="Times New Roman;sans-serif"/>
                  <w:b w:val="false"/>
                  <w:color w:val="0000FF"/>
                  <w:sz w:val="20"/>
                  <w:u w:val="single"/>
                </w:rPr>
                <w:t>Amended and Restated Change in Control and Severance Agreement between Nautilus Biotechnology, Inc. and Matthew Murphy, dated as of July 31,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3q2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3q2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3q210x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3q210x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tbl>
      <w:tblPr>
        <w:tblW w:w="7525" w:type="dxa"/>
        <w:jc w:val="left"/>
        <w:tblInd w:w="0" w:type="dxa"/>
        <w:tblLayout w:type="fixed"/>
        <w:tblCellMar>
          <w:top w:w="28" w:type="dxa"/>
          <w:left w:w="28" w:type="dxa"/>
          <w:bottom w:w="28" w:type="dxa"/>
          <w:right w:w="28" w:type="dxa"/>
        </w:tblCellMar>
      </w:tblPr>
      <w:tblGrid>
        <w:gridCol w:w="276"/>
        <w:gridCol w:w="242"/>
        <w:gridCol w:w="246"/>
        <w:gridCol w:w="109"/>
        <w:gridCol w:w="109"/>
        <w:gridCol w:w="109"/>
        <w:gridCol w:w="1881"/>
        <w:gridCol w:w="1881"/>
        <w:gridCol w:w="2672"/>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bidi w:val="0"/>
        <w:spacing w:lineRule="auto" w:line="288" w:before="0" w:after="0"/>
        <w:ind w:left="0" w:right="0" w:hanging="360"/>
        <w:jc w:val="left"/>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116" w:type="dxa"/>
        <w:jc w:val="center"/>
        <w:tblInd w:w="0" w:type="dxa"/>
        <w:tblLayout w:type="fixed"/>
        <w:tblCellMar>
          <w:top w:w="28" w:type="dxa"/>
          <w:left w:w="28" w:type="dxa"/>
          <w:bottom w:w="28" w:type="dxa"/>
          <w:right w:w="28" w:type="dxa"/>
        </w:tblCellMar>
      </w:tblPr>
      <w:tblGrid>
        <w:gridCol w:w="667"/>
        <w:gridCol w:w="587"/>
        <w:gridCol w:w="590"/>
        <w:gridCol w:w="534"/>
        <w:gridCol w:w="534"/>
        <w:gridCol w:w="534"/>
        <w:gridCol w:w="1654"/>
        <w:gridCol w:w="1654"/>
        <w:gridCol w:w="23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lineRule="auto" w:line="333" w:before="180" w:after="180"/>
        <w:jc w:val="center"/>
        <w:rPr>
          <w:rFonts w:ascii="Times New Roman;sans-serif" w:hAnsi="Times New Roman;sans-serif"/>
          <w:b/>
          <w:color w:val="000000"/>
          <w:sz w:val="20"/>
        </w:rPr>
      </w:pPr>
      <w:r>
        <w:rPr>
          <w:rFonts w:ascii="Times New Roman;sans-serif" w:hAnsi="Times New Roman;sans-serif"/>
          <w:b/>
          <w:color w:val="000000"/>
          <w:sz w:val="20"/>
        </w:rPr>
        <w:t>AMENDED AND RESTATED BYLAWS OF</w:t>
      </w:r>
    </w:p>
    <w:p>
      <w:pPr>
        <w:pStyle w:val="TextBody"/>
        <w:bidi w:val="0"/>
        <w:spacing w:lineRule="auto" w:line="333"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(initially adopted on June 9, 2021)</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amended and restated on October 27,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53" w:after="30"/>
        <w:jc w:val="left"/>
        <w:rPr/>
      </w:pPr>
      <w:r>
        <w:rPr>
          <w:color w:val="000000"/>
        </w:rPr>
        <w:t>            </w:t>
      </w:r>
      <w:r>
        <w:rPr>
          <w:rFonts w:ascii="Times New Roman;sans-serif" w:hAnsi="Times New Roman;sans-serif"/>
          <w:b/>
          <w:i/>
          <w:color w:val="000000"/>
          <w:sz w:val="20"/>
        </w:rPr>
        <w:t>Page</w:t>
      </w:r>
    </w:p>
    <w:tbl>
      <w:tblPr>
        <w:tblW w:w="9330" w:type="dxa"/>
        <w:jc w:val="left"/>
        <w:tblInd w:w="0" w:type="dxa"/>
        <w:tblLayout w:type="fixed"/>
        <w:tblCellMar>
          <w:top w:w="28" w:type="dxa"/>
          <w:left w:w="28" w:type="dxa"/>
          <w:bottom w:w="28" w:type="dxa"/>
          <w:right w:w="28" w:type="dxa"/>
        </w:tblCellMar>
      </w:tblPr>
      <w:tblGrid>
        <w:gridCol w:w="3238"/>
        <w:gridCol w:w="2847"/>
        <w:gridCol w:w="2854"/>
        <w:gridCol w:w="114"/>
        <w:gridCol w:w="114"/>
        <w:gridCol w:w="163"/>
      </w:tblGrid>
      <w:tr>
        <w:trPr/>
        <w:tc>
          <w:tcPr>
            <w:tcW w:w="3238"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I - CORPORATE OFFICES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1.1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REGISTERED OFFICE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1.2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OTHER OFFICES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II - MEETINGS OF STOCKHOLDERS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PLACE OF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ANNUAL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SPECIAL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ADVANCE NOTICE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NOTICE OF STOCKHOLDERS’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7</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2.6</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QUORUM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7</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2.7</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ADJOURNED MEETING; NOTICE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8</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2.8</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CONDUCT OF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8</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2.9</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VOTING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8</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2.10</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STOCKHOLDER ACTION BY WRITTEN CONSENT WITHOUT A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9</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RECORD DATES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9</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PROXIES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9</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LIST OF STOCKHOLDERS ENTITLED TO VOTE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2.14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INSPECTORS OF ELECTION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III -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POWERS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NUMBER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ELECTION, QUALIFICATION AND TERM OF OFFICE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RESIGNATION AND VACANCIES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PLACE OF MEETINGS; MEETINGS BY TELEPHONE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3.6</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REGULAR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3.7</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SPECIAL MEETINGS; NOTICE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3.8</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QUORUM; VOTING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3.9</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BOARD ACTION BY WRITTEN CONSENT WITHOUT A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3.10</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FEES AND COMPENSATION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3.11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REMOVAL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IV - 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4.1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COMMITTEES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4.2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COMMITTEE MINUTES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4.3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MEETINGS AND ACTION OF 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4.4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SUBCOMMITTEES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V -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APPOINTMENT OF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SUBORDINATE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bl>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3743"/>
        <w:gridCol w:w="3030"/>
        <w:gridCol w:w="3039"/>
        <w:gridCol w:w="114"/>
        <w:gridCol w:w="114"/>
        <w:gridCol w:w="165"/>
      </w:tblGrid>
      <w:tr>
        <w:trPr/>
        <w:tc>
          <w:tcPr>
            <w:tcW w:w="3743"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REMOVAL AND RESIGNATION OF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VACANCIES IN OFFICES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5.6</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REPRESENTATION OF SECURITIES OF OTHER ENTITIES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5.7</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AUTHORITY AND DUTIES OF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VI -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STOCK CERTIFICATES; PARTLY PAID SHARES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SPECIAL DESIGNATION ON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LOST CERTIFICATES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DIVIDENDS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TRANSFER OF STOCK</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6.6</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STOCK TRANSFER AGREEMENTS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6.7</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REGISTERED STOCKHOLDERS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VII - MANNER OF GIVING NOTICE AND WAIVER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7.1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NOTICE OF STOCKHOLDERS’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7.2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NOTICE TO STOCKHOLDERS SHARING AN ADDRESS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7.3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NOTICE TO PERSON WITH WHOM COMMUNICATION IS UNLAWFUL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7.4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WAIVER OF NOTICE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VIII - INDEMNIFICATION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INDEMNIFICATION OF DIRECTORS AND OFFICERS IN THIRD PARTY PROCEEDINGS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INDEMNIFICATION OF DIRECTORS AND OFFICERS IN ACTIONS BY OR IN THE RIGHT OF THE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SUCCESSFUL DEFENSE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INDEMNIFICATION OF OTHERS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ADVANCED PAYMENT OF EXPENSES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8.6</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LIMITATION OF INDEMNIFICATION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8.7</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DETERMINATION; CLAIM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8.8</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NON-EXCLUSIVITY OF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8.9</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INSURANCE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8.10</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SURVIVAL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8.11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EFFECT OF REPEAL OR MODIFICATION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8.12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CERTAIN DEFINITIONS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IX - GENERAL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9.1</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EXECUTION OF CORPORATE CONTRACTS AND INSTRUMENTS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9.2</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FISCAL YEAR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9.3</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SEAL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9.4</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CONSTRUCTION; DEFINITIONS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color w:val="0000FF"/>
                  <w:sz w:val="24"/>
                  <w:u w:val="single"/>
                </w:rPr>
                <w:t>9.5</w:t>
              </w:r>
            </w:hyperlink>
            <w:hyperlink w:anchor="ifeb95118ff4b44d2a79a5c09a0daada4_7">
              <w:r>
                <w:rPr>
                  <w:rStyle w:val="InternetLink"/>
                  <w:strike w:val="false"/>
                  <w:dstrike w:val="false"/>
                  <w:color w:val="000000"/>
                  <w:u w:val="none"/>
                  <w:effect w:val="none"/>
                </w:rPr>
                <w:t>    </w:t>
              </w:r>
            </w:hyperlink>
            <w:hyperlink w:anchor="ifeb95118ff4b44d2a79a5c09a0daada4_7">
              <w:r>
                <w:rPr>
                  <w:rStyle w:val="InternetLink"/>
                  <w:rFonts w:ascii="Times New Roman;sans-serif" w:hAnsi="Times New Roman;sans-serif"/>
                  <w:b w:val="false"/>
                  <w:color w:val="0000FF"/>
                  <w:sz w:val="24"/>
                  <w:u w:val="single"/>
                </w:rPr>
                <w:t>FORUM SELECTION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color w:val="0000FF"/>
                  <w:sz w:val="24"/>
                  <w:u w:val="single"/>
                </w:rPr>
                <w:t>ARTICLE X - AMENDMENTS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b95118ff4b44d2a79a5c09a0daada4_7">
              <w:r>
                <w:rPr>
                  <w:rStyle w:val="InternetLink"/>
                  <w:rFonts w:ascii="Times New Roman;sans-serif" w:hAnsi="Times New Roman;sans-serif"/>
                  <w:b w:val="false"/>
                  <w:strike w:val="false"/>
                  <w:dstrike w:val="false"/>
                  <w:color w:val="000000"/>
                  <w:sz w:val="24"/>
                  <w:u w:val="none"/>
                  <w:effect w:val="none"/>
                </w:rPr>
                <w:t>21</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BYLAWS OF NAUTILUS BIOTECHNOLOGY,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center"/>
        <w:rPr/>
      </w:pPr>
      <w:r>
        <w:rPr>
          <w:rFonts w:ascii="Times New Roman;sans-serif" w:hAnsi="Times New Roman;sans-serif"/>
          <w:b/>
          <w:color w:val="000000"/>
          <w:sz w:val="20"/>
        </w:rPr>
        <w:t xml:space="preserve">ARTICLE I - </w:t>
      </w:r>
      <w:r>
        <w:rPr>
          <w:rFonts w:ascii="Times New Roman;sans-serif" w:hAnsi="Times New Roman;sans-serif"/>
          <w:b/>
          <w:color w:val="000000"/>
          <w:sz w:val="20"/>
        </w:rPr>
        <w:t>CORPORATE OFFICES</w:t>
      </w:r>
    </w:p>
    <w:p>
      <w:pPr>
        <w:pStyle w:val="TextBody"/>
        <w:bidi w:val="0"/>
        <w:spacing w:lineRule="auto" w:line="333" w:before="0" w:after="180"/>
        <w:ind w:left="0" w:right="0" w:hanging="720"/>
        <w:jc w:val="left"/>
        <w:rPr/>
      </w:pPr>
      <w:r>
        <w:rPr>
          <w:rFonts w:ascii="Times New Roman;sans-serif" w:hAnsi="Times New Roman;sans-serif"/>
          <w:b/>
          <w:color w:val="000000"/>
          <w:sz w:val="20"/>
        </w:rPr>
        <w:t>1.1</w:t>
      </w:r>
      <w:r>
        <w:rPr>
          <w:rFonts w:ascii="Times New Roman;sans-serif" w:hAnsi="Times New Roman;sans-serif"/>
          <w:b w:val="false"/>
          <w:color w:val="000000"/>
          <w:sz w:val="20"/>
        </w:rPr>
        <w:t>REGISTERED OFFICE</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The registered office of 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shall be fixed in the Company’s certificate of incorporation, as the same may be amended from time to time.</w:t>
      </w:r>
    </w:p>
    <w:p>
      <w:pPr>
        <w:pStyle w:val="TextBody"/>
        <w:bidi w:val="0"/>
        <w:spacing w:lineRule="auto" w:line="333" w:before="0" w:after="180"/>
        <w:ind w:left="0" w:right="0" w:hanging="720"/>
        <w:jc w:val="left"/>
        <w:rPr/>
      </w:pPr>
      <w:r>
        <w:rPr>
          <w:rFonts w:ascii="Times New Roman;sans-serif" w:hAnsi="Times New Roman;sans-serif"/>
          <w:b/>
          <w:color w:val="000000"/>
          <w:sz w:val="20"/>
        </w:rPr>
        <w:t>1.2</w:t>
      </w:r>
      <w:r>
        <w:rPr>
          <w:rFonts w:ascii="Times New Roman;sans-serif" w:hAnsi="Times New Roman;sans-serif"/>
          <w:b w:val="false"/>
          <w:color w:val="000000"/>
          <w:sz w:val="20"/>
        </w:rPr>
        <w:t>OTHER OFFICES</w:t>
      </w:r>
    </w:p>
    <w:p>
      <w:pPr>
        <w:pStyle w:val="TextBody"/>
        <w:bidi w:val="0"/>
        <w:spacing w:lineRule="auto" w:line="333"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establish other offices.</w:t>
      </w:r>
    </w:p>
    <w:p>
      <w:pPr>
        <w:pStyle w:val="TextBody"/>
        <w:bidi w:val="0"/>
        <w:spacing w:lineRule="auto" w:line="333" w:before="180" w:after="180"/>
        <w:jc w:val="center"/>
        <w:rPr/>
      </w:pPr>
      <w:r>
        <w:rPr>
          <w:rFonts w:ascii="Times New Roman;sans-serif" w:hAnsi="Times New Roman;sans-serif"/>
          <w:b/>
          <w:color w:val="000000"/>
          <w:sz w:val="20"/>
        </w:rPr>
        <w:t xml:space="preserve">ARTICLE II - </w:t>
      </w:r>
      <w:r>
        <w:rPr>
          <w:rFonts w:ascii="Times New Roman;sans-serif" w:hAnsi="Times New Roman;sans-serif"/>
          <w:b/>
          <w:color w:val="000000"/>
          <w:sz w:val="20"/>
        </w:rPr>
        <w:t>MEETINGS OF STOCKHOLDERS</w:t>
      </w:r>
    </w:p>
    <w:p>
      <w:pPr>
        <w:pStyle w:val="TextBody"/>
        <w:bidi w:val="0"/>
        <w:spacing w:lineRule="auto" w:line="333" w:before="0" w:after="180"/>
        <w:ind w:left="0" w:right="0" w:hanging="360"/>
        <w:jc w:val="left"/>
        <w:rPr/>
      </w:pPr>
      <w:r>
        <w:rPr>
          <w:rFonts w:ascii="Times New Roman;sans-serif" w:hAnsi="Times New Roman;sans-serif"/>
          <w:b/>
          <w:color w:val="000000"/>
          <w:sz w:val="20"/>
        </w:rPr>
        <w:t>2.1</w:t>
      </w:r>
      <w:r>
        <w:rPr>
          <w:color w:val="000000"/>
        </w:rPr>
        <w:t xml:space="preserve"> </w:t>
      </w:r>
      <w:r>
        <w:rPr>
          <w:rFonts w:ascii="Times New Roman;sans-serif" w:hAnsi="Times New Roman;sans-serif"/>
          <w:b w:val="false"/>
          <w:color w:val="000000"/>
          <w:sz w:val="20"/>
        </w:rPr>
        <w:t>PLACE OF MEETINGS</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Meetings of stockholders shall be held at a place, if any, within or outside the State of Delaware, determined by the board of directors of the Company (the “</w:t>
      </w:r>
      <w:r>
        <w:rPr>
          <w:rFonts w:ascii="Times New Roman;sans-serif" w:hAnsi="Times New Roman;sans-serif"/>
          <w:b/>
          <w:color w:val="000000"/>
          <w:sz w:val="20"/>
        </w:rPr>
        <w:t>Board of Directors</w:t>
      </w:r>
      <w:r>
        <w:rPr>
          <w:color w:val="000000"/>
        </w:rPr>
        <w:t>”</w:t>
      </w:r>
      <w:r>
        <w:rPr>
          <w:rFonts w:ascii="Times New Roman;sans-serif" w:hAnsi="Times New Roman;sans-serif"/>
          <w:b w:val="false"/>
          <w:color w:val="000000"/>
          <w:sz w:val="20"/>
        </w:rPr>
        <w:t>).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 In the absence of any such designation or determination, stockholders’ meetings shall be held at the Company’s principal executive office.</w:t>
      </w:r>
    </w:p>
    <w:p>
      <w:pPr>
        <w:pStyle w:val="TextBody"/>
        <w:bidi w:val="0"/>
        <w:spacing w:lineRule="auto" w:line="333" w:before="0" w:after="180"/>
        <w:ind w:left="0" w:right="0" w:hanging="360"/>
        <w:jc w:val="left"/>
        <w:rPr/>
      </w:pPr>
      <w:r>
        <w:rPr>
          <w:rFonts w:ascii="Times New Roman;sans-serif" w:hAnsi="Times New Roman;sans-serif"/>
          <w:b/>
          <w:color w:val="000000"/>
          <w:sz w:val="20"/>
        </w:rPr>
        <w:t>2.2</w:t>
      </w:r>
      <w:r>
        <w:rPr>
          <w:color w:val="000000"/>
        </w:rPr>
        <w:t xml:space="preserve"> </w:t>
      </w:r>
      <w:r>
        <w:rPr>
          <w:rFonts w:ascii="Times New Roman;sans-serif" w:hAnsi="Times New Roman;sans-serif"/>
          <w:b w:val="false"/>
          <w:color w:val="000000"/>
          <w:sz w:val="20"/>
        </w:rPr>
        <w:t>ANNUAL MEETING</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sans-serif" w:hAnsi="Times New Roman;sans-serif"/>
          <w:b/>
          <w:color w:val="000000"/>
          <w:sz w:val="20"/>
        </w:rPr>
        <w:t>Whole</w:t>
      </w:r>
      <w:r>
        <w:rPr>
          <w:color w:val="000000"/>
        </w:rPr>
        <w:t xml:space="preserve"> </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shall mean the total number of authorized directorships whether or not there exist any vacancies or other unfilled seats in previously authorized directorships.</w:t>
      </w:r>
    </w:p>
    <w:p>
      <w:pPr>
        <w:pStyle w:val="TextBody"/>
        <w:bidi w:val="0"/>
        <w:spacing w:lineRule="auto" w:line="333" w:before="0" w:after="180"/>
        <w:ind w:left="0" w:right="0" w:hanging="360"/>
        <w:jc w:val="left"/>
        <w:rPr/>
      </w:pPr>
      <w:r>
        <w:rPr>
          <w:rFonts w:ascii="Times New Roman;sans-serif" w:hAnsi="Times New Roman;sans-serif"/>
          <w:b/>
          <w:color w:val="000000"/>
          <w:sz w:val="20"/>
        </w:rPr>
        <w:t>2.3</w:t>
      </w:r>
      <w:r>
        <w:rPr>
          <w:color w:val="000000"/>
        </w:rPr>
        <w:t xml:space="preserve"> </w:t>
      </w:r>
      <w:r>
        <w:rPr>
          <w:rFonts w:ascii="Times New Roman;sans-serif" w:hAnsi="Times New Roman;sans-serif"/>
          <w:b w:val="false"/>
          <w:color w:val="000000"/>
          <w:sz w:val="20"/>
        </w:rPr>
        <w:t>SPECIAL MEETING</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2.4</w:t>
      </w:r>
      <w:r>
        <w:rPr>
          <w:color w:val="000000"/>
        </w:rPr>
        <w:t xml:space="preserve"> </w:t>
      </w:r>
      <w:r>
        <w:rPr>
          <w:rFonts w:ascii="Times New Roman;sans-serif" w:hAnsi="Times New Roman;sans-serif"/>
          <w:b w:val="false"/>
          <w:color w:val="000000"/>
          <w:sz w:val="20"/>
        </w:rPr>
        <w:t>ADVANCE NOTICE PROCEDURES</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i/>
          <w:color w:val="000000"/>
          <w:sz w:val="20"/>
        </w:rPr>
        <w:t>Annual Meetings of Stockholders</w:t>
      </w:r>
      <w:r>
        <w:rPr>
          <w:rFonts w:ascii="Times New Roman;sans-serif" w:hAnsi="Times New Roman;sans-serif"/>
          <w:b w:val="false"/>
          <w:color w:val="000000"/>
          <w:sz w:val="20"/>
        </w:rPr>
        <w:t>.</w:t>
      </w:r>
    </w:p>
    <w:p>
      <w:pPr>
        <w:pStyle w:val="TextBody"/>
        <w:bidi w:val="0"/>
        <w:spacing w:lineRule="auto" w:line="333" w:before="0" w:after="180"/>
        <w:ind w:left="0" w:right="0" w:firstLine="2160"/>
        <w:jc w:val="both"/>
        <w:rPr/>
      </w:pPr>
      <w:r>
        <w:rPr>
          <w:rFonts w:ascii="Times New Roman;sans-serif" w:hAnsi="Times New Roman;sans-serif"/>
          <w:b/>
          <w:color w:val="000000"/>
          <w:sz w:val="20"/>
        </w:rPr>
        <w:t>(i)</w:t>
      </w:r>
      <w:r>
        <w:rPr>
          <w:rFonts w:ascii="Times New Roman;sans-serif" w:hAnsi="Times New Roman;sans-serif"/>
          <w:b w:val="false"/>
          <w:color w:val="000000"/>
          <w:sz w:val="20"/>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pStyle w:val="TextBody"/>
        <w:bidi w:val="0"/>
        <w:spacing w:lineRule="auto" w:line="333" w:before="0" w:after="180"/>
        <w:ind w:left="0" w:right="0" w:firstLine="2160"/>
        <w:jc w:val="both"/>
        <w:rPr/>
      </w:pPr>
      <w:r>
        <w:rPr>
          <w:rFonts w:ascii="Times New Roman;sans-serif" w:hAnsi="Times New Roman;sans-serif"/>
          <w:b/>
          <w:color w:val="000000"/>
          <w:sz w:val="20"/>
        </w:rPr>
        <w:t>(ii)</w:t>
      </w:r>
      <w:r>
        <w:rPr>
          <w:rFonts w:ascii="Times New Roman;sans-serif" w:hAnsi="Times New Roman;sans-serif"/>
          <w:b w:val="false"/>
          <w:color w:val="000000"/>
          <w:sz w:val="20"/>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Times New Roman;sans-serif" w:hAnsi="Times New Roman;sans-serif"/>
          <w:b/>
          <w:color w:val="000000"/>
          <w:sz w:val="20"/>
        </w:rPr>
        <w:t>Secretary</w:t>
      </w:r>
      <w:r>
        <w:rPr>
          <w:color w:val="000000"/>
        </w:rPr>
        <w:t>”</w:t>
      </w:r>
      <w:r>
        <w:rPr>
          <w:rFonts w:ascii="Times New Roman;sans-serif" w:hAnsi="Times New Roman;sans-serif"/>
          <w:b w:val="false"/>
          <w:color w:val="000000"/>
          <w:sz w:val="20"/>
        </w:rPr>
        <w:t>) and any such nomination or proposed business must constitute a proper matter for stockholder action. To be timely, a stockholder’s notice must be received by the Secretary at the principal executive offices of the Company no earlier than 8:00 a.m., Pacific time, on the 120th day and no later than 5:00 p.m., Pacific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Pacific time, on the 120th day prior to the day of the annual meeting and no later than 5:00 p.m., Pacific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Pacific time, on the 10th day following the day on which such public announcement is first made. “</w:t>
      </w:r>
      <w:r>
        <w:rPr>
          <w:rFonts w:ascii="Times New Roman;sans-serif" w:hAnsi="Times New Roman;sans-serif"/>
          <w:b/>
          <w:color w:val="000000"/>
          <w:sz w:val="20"/>
        </w:rPr>
        <w:t>Public announcement</w:t>
      </w:r>
      <w:r>
        <w:rPr>
          <w:color w:val="000000"/>
        </w:rPr>
        <w:t xml:space="preserve">” </w:t>
      </w:r>
      <w:r>
        <w:rPr>
          <w:rFonts w:ascii="Times New Roman;sans-serif" w:hAnsi="Times New Roman;sans-serif"/>
          <w:b w:val="false"/>
          <w:color w:val="000000"/>
          <w:sz w:val="20"/>
        </w:rPr>
        <w:t>means disclosure in a press release reported by a national news service or in a document publicly filed by the Company with the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pursuant to Section 13, Section 14 or Section 15(d) of the Securities Exchange Act of 1934 (as amended and inclusive of rules and regulations thereunder, the “</w:t>
      </w:r>
      <w:r>
        <w:rPr>
          <w:rFonts w:ascii="Times New Roman;sans-serif" w:hAnsi="Times New Roman;sans-serif"/>
          <w:b/>
          <w:color w:val="000000"/>
          <w:sz w:val="20"/>
        </w:rPr>
        <w:t>1934 Act</w:t>
      </w:r>
      <w:r>
        <w:rPr>
          <w:color w:val="000000"/>
        </w:rPr>
        <w:t>”</w:t>
      </w:r>
      <w:r>
        <w:rPr>
          <w:rFonts w:ascii="Times New Roman;sans-serif" w:hAnsi="Times New Roman;sans-serif"/>
          <w:b w:val="false"/>
          <w:color w:val="000000"/>
          <w:sz w:val="20"/>
        </w:rPr>
        <w:t>) or by such other means as is reasonably designed to inform the public or stockholders of the Company in general of such information, including, without limitation, posting on the Company’s investor relations website.</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0" w:after="180"/>
        <w:ind w:left="0" w:right="0" w:firstLine="2160"/>
        <w:jc w:val="both"/>
        <w:rPr/>
      </w:pPr>
      <w:r>
        <w:rPr>
          <w:rFonts w:ascii="Times New Roman;sans-serif" w:hAnsi="Times New Roman;sans-serif"/>
          <w:b/>
          <w:color w:val="000000"/>
          <w:sz w:val="20"/>
        </w:rPr>
        <w:t>(iii)</w:t>
      </w:r>
      <w:r>
        <w:rPr>
          <w:rFonts w:ascii="Times New Roman;sans-serif" w:hAnsi="Times New Roman;sans-serif"/>
          <w:b w:val="false"/>
          <w:color w:val="000000"/>
          <w:sz w:val="20"/>
        </w:rPr>
        <w:t>A stockholder’s notice to the Secretary must set forth:</w:t>
      </w:r>
    </w:p>
    <w:p>
      <w:pPr>
        <w:pStyle w:val="TextBody"/>
        <w:bidi w:val="0"/>
        <w:spacing w:lineRule="auto" w:line="333" w:before="0" w:after="180"/>
        <w:ind w:left="0" w:right="0" w:firstLine="2880"/>
        <w:jc w:val="both"/>
        <w:rPr/>
      </w:pPr>
      <w:r>
        <w:rPr>
          <w:rFonts w:ascii="Times New Roman;sans-serif" w:hAnsi="Times New Roman;sans-serif"/>
          <w:b/>
          <w:color w:val="000000"/>
          <w:sz w:val="20"/>
        </w:rPr>
        <w:t>(1)</w:t>
      </w:r>
      <w:r>
        <w:rPr>
          <w:rFonts w:ascii="Times New Roman;sans-serif" w:hAnsi="Times New Roman;sans-serif"/>
          <w:b w:val="false"/>
          <w:color w:val="000000"/>
          <w:sz w:val="20"/>
        </w:rPr>
        <w:t>as to each person whom the stockholder proposes to nominate for election as a director:</w:t>
      </w:r>
    </w:p>
    <w:p>
      <w:pPr>
        <w:pStyle w:val="TextBody"/>
        <w:bidi w:val="0"/>
        <w:spacing w:lineRule="auto" w:line="333" w:before="0" w:after="180"/>
        <w:ind w:left="0" w:right="0" w:firstLine="3600"/>
        <w:jc w:val="both"/>
        <w:rPr/>
      </w:pPr>
      <w:r>
        <w:rPr>
          <w:rFonts w:ascii="Times New Roman;sans-serif" w:hAnsi="Times New Roman;sans-serif"/>
          <w:b/>
          <w:color w:val="000000"/>
          <w:sz w:val="20"/>
        </w:rPr>
        <w:t>(A)</w:t>
      </w:r>
      <w:r>
        <w:rPr>
          <w:rFonts w:ascii="Times New Roman;sans-serif" w:hAnsi="Times New Roman;sans-serif"/>
          <w:b w:val="false"/>
          <w:color w:val="000000"/>
          <w:sz w:val="20"/>
        </w:rPr>
        <w:t xml:space="preserve">such person’s name, age, business address, residence address and principal occupation or employment; </w:t>
      </w:r>
    </w:p>
    <w:p>
      <w:pPr>
        <w:pStyle w:val="TextBody"/>
        <w:bidi w:val="0"/>
        <w:spacing w:lineRule="auto" w:line="333" w:before="0" w:after="180"/>
        <w:ind w:left="0" w:right="0" w:firstLine="3600"/>
        <w:jc w:val="both"/>
        <w:rPr/>
      </w:pPr>
      <w:r>
        <w:rPr>
          <w:rFonts w:ascii="Times New Roman;sans-serif" w:hAnsi="Times New Roman;sans-serif"/>
          <w:b/>
          <w:color w:val="000000"/>
          <w:sz w:val="20"/>
        </w:rPr>
        <w:t>(B)</w:t>
      </w:r>
      <w:r>
        <w:rPr>
          <w:rFonts w:ascii="Times New Roman;sans-serif" w:hAnsi="Times New Roman;sans-serif"/>
          <w:b w:val="false"/>
          <w:color w:val="000000"/>
          <w:sz w:val="20"/>
        </w:rPr>
        <w:t>the class and number of shares of the Company that are held of record or are beneficially owned by such person and any (i) Derivative Instruments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or to manage the risk or benefit of share price changes for, or to increase or decrease the voting power of such person with respect to the Company’s securities;</w:t>
      </w:r>
    </w:p>
    <w:p>
      <w:pPr>
        <w:pStyle w:val="TextBody"/>
        <w:bidi w:val="0"/>
        <w:spacing w:lineRule="auto" w:line="333" w:before="0" w:after="180"/>
        <w:ind w:left="0" w:right="0" w:firstLine="3600"/>
        <w:jc w:val="both"/>
        <w:rPr/>
      </w:pPr>
      <w:r>
        <w:rPr>
          <w:rFonts w:ascii="Times New Roman;sans-serif" w:hAnsi="Times New Roman;sans-serif"/>
          <w:b/>
          <w:color w:val="000000"/>
          <w:sz w:val="20"/>
        </w:rPr>
        <w:t>(C)</w:t>
      </w:r>
      <w:r>
        <w:rPr>
          <w:color w:val="000000"/>
        </w:rPr>
        <w:t xml:space="preserve"> </w:t>
      </w:r>
      <w:r>
        <w:rPr>
          <w:rFonts w:ascii="Times New Roman;sans-serif" w:hAnsi="Times New Roman;sans-serif"/>
          <w:b w:val="false"/>
          <w:color w:val="000000"/>
          <w:sz w:val="20"/>
        </w:rPr>
        <w:t>all information relating to such person that is required to be disclosed in connection with solicitations of proxies for the contested election of directors, or is otherwise required, in each case pursuant to Section 14 of the 1934 Act;</w:t>
      </w:r>
    </w:p>
    <w:p>
      <w:pPr>
        <w:pStyle w:val="TextBody"/>
        <w:bidi w:val="0"/>
        <w:spacing w:lineRule="auto" w:line="333" w:before="0" w:after="180"/>
        <w:ind w:left="0" w:right="0" w:firstLine="3600"/>
        <w:jc w:val="both"/>
        <w:rPr/>
      </w:pPr>
      <w:r>
        <w:rPr>
          <w:rFonts w:ascii="Times New Roman;sans-serif" w:hAnsi="Times New Roman;sans-serif"/>
          <w:b/>
          <w:color w:val="000000"/>
          <w:sz w:val="20"/>
        </w:rPr>
        <w:t>(D)</w:t>
      </w:r>
      <w:r>
        <w:rPr>
          <w:rFonts w:ascii="Times New Roman;sans-serif" w:hAnsi="Times New Roman;sans-serif"/>
          <w:b w:val="false"/>
          <w:color w:val="000000"/>
          <w:sz w:val="20"/>
        </w:rPr>
        <w:t>such person’s written consent (i) to being named as a nominee of such stockholder, (ii) to being named in the Company’s form of proxy pursuant to Rule 14a-19 under the 1934 Act and (iii) to serving as a director of the Company if elected;</w:t>
      </w:r>
    </w:p>
    <w:p>
      <w:pPr>
        <w:pStyle w:val="TextBody"/>
        <w:bidi w:val="0"/>
        <w:spacing w:lineRule="auto" w:line="333" w:before="0" w:after="180"/>
        <w:ind w:left="0" w:right="0" w:firstLine="3600"/>
        <w:jc w:val="both"/>
        <w:rPr/>
      </w:pPr>
      <w:r>
        <w:rPr>
          <w:rFonts w:ascii="Times New Roman;sans-serif" w:hAnsi="Times New Roman;sans-serif"/>
          <w:b/>
          <w:color w:val="000000"/>
          <w:sz w:val="20"/>
        </w:rPr>
        <w:t>(E)</w:t>
      </w:r>
      <w:r>
        <w:rPr>
          <w:rFonts w:ascii="Times New Roman;sans-serif" w:hAnsi="Times New Roman;sans-serif"/>
          <w:b w:val="false"/>
          <w:color w:val="000000"/>
          <w:sz w:val="20"/>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sans-serif" w:hAnsi="Times New Roman;sans-serif"/>
          <w:b/>
          <w:color w:val="000000"/>
          <w:sz w:val="20"/>
        </w:rPr>
        <w:t>Third-Party Compensation Arrangement</w:t>
      </w:r>
      <w:r>
        <w:rPr>
          <w:color w:val="000000"/>
        </w:rPr>
        <w:t>”</w:t>
      </w:r>
      <w:r>
        <w:rPr>
          <w:rFonts w:ascii="Times New Roman;sans-serif" w:hAnsi="Times New Roman;sans-serif"/>
          <w:b w:val="false"/>
          <w:color w:val="000000"/>
          <w:sz w:val="20"/>
        </w:rPr>
        <w:t>); and</w:t>
      </w:r>
    </w:p>
    <w:p>
      <w:pPr>
        <w:pStyle w:val="TextBody"/>
        <w:bidi w:val="0"/>
        <w:spacing w:lineRule="auto" w:line="333" w:before="0" w:after="180"/>
        <w:ind w:left="0" w:right="0" w:firstLine="3600"/>
        <w:jc w:val="both"/>
        <w:rPr/>
      </w:pPr>
      <w:r>
        <w:rPr>
          <w:rFonts w:ascii="Times New Roman;sans-serif" w:hAnsi="Times New Roman;sans-serif"/>
          <w:b/>
          <w:color w:val="000000"/>
          <w:sz w:val="20"/>
        </w:rPr>
        <w:t>(F)</w:t>
      </w:r>
      <w:r>
        <w:rPr>
          <w:rFonts w:ascii="Times New Roman;sans-serif" w:hAnsi="Times New Roman;sans-serif"/>
          <w:b w:val="false"/>
          <w:color w:val="000000"/>
          <w:sz w:val="20"/>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pStyle w:val="TextBody"/>
        <w:bidi w:val="0"/>
        <w:spacing w:lineRule="auto" w:line="333" w:before="0" w:after="180"/>
        <w:ind w:left="0" w:right="0" w:firstLine="2880"/>
        <w:jc w:val="both"/>
        <w:rPr/>
      </w:pPr>
      <w:r>
        <w:rPr>
          <w:rFonts w:ascii="Times New Roman;sans-serif" w:hAnsi="Times New Roman;sans-serif"/>
          <w:b/>
          <w:color w:val="000000"/>
          <w:sz w:val="20"/>
        </w:rPr>
        <w:t>(2)</w:t>
      </w:r>
      <w:r>
        <w:rPr>
          <w:rFonts w:ascii="Times New Roman;sans-serif" w:hAnsi="Times New Roman;sans-serif"/>
          <w:b w:val="false"/>
          <w:color w:val="000000"/>
          <w:sz w:val="20"/>
        </w:rPr>
        <w:t>as to any other business that the stockholder proposes to bring before the annual meeting:</w:t>
      </w:r>
    </w:p>
    <w:p>
      <w:pPr>
        <w:pStyle w:val="TextBody"/>
        <w:bidi w:val="0"/>
        <w:spacing w:lineRule="auto" w:line="333" w:before="0" w:after="180"/>
        <w:ind w:left="0" w:right="0" w:firstLine="3600"/>
        <w:jc w:val="both"/>
        <w:rPr/>
      </w:pPr>
      <w:r>
        <w:rPr>
          <w:rFonts w:ascii="Times New Roman;sans-serif" w:hAnsi="Times New Roman;sans-serif"/>
          <w:b/>
          <w:color w:val="000000"/>
          <w:sz w:val="20"/>
        </w:rPr>
        <w:t>(A)</w:t>
      </w:r>
      <w:r>
        <w:rPr>
          <w:rFonts w:ascii="Times New Roman;sans-serif" w:hAnsi="Times New Roman;sans-serif"/>
          <w:b w:val="false"/>
          <w:color w:val="000000"/>
          <w:sz w:val="20"/>
        </w:rPr>
        <w:t>a brief description of the business desired to be brought before the annual meeting;</w:t>
      </w:r>
    </w:p>
    <w:p>
      <w:pPr>
        <w:pStyle w:val="TextBody"/>
        <w:bidi w:val="0"/>
        <w:spacing w:lineRule="auto" w:line="333" w:before="0" w:after="180"/>
        <w:ind w:left="0" w:right="0" w:firstLine="3600"/>
        <w:jc w:val="both"/>
        <w:rPr/>
      </w:pPr>
      <w:r>
        <w:rPr>
          <w:rFonts w:ascii="Times New Roman;sans-serif" w:hAnsi="Times New Roman;sans-serif"/>
          <w:b/>
          <w:color w:val="000000"/>
          <w:sz w:val="20"/>
        </w:rPr>
        <w:t>(B)</w:t>
      </w:r>
      <w:r>
        <w:rPr>
          <w:rFonts w:ascii="Times New Roman;sans-serif" w:hAnsi="Times New Roman;sans-serif"/>
          <w:b w:val="false"/>
          <w:color w:val="000000"/>
          <w:sz w:val="20"/>
        </w:rPr>
        <w:t>the text of the proposal or business (including the text of any resolutions proposed for consideration and, if applicable, the text of any proposed amendment to these bylaws);</w:t>
      </w:r>
    </w:p>
    <w:p>
      <w:pPr>
        <w:pStyle w:val="TextBody"/>
        <w:bidi w:val="0"/>
        <w:spacing w:lineRule="auto" w:line="333" w:before="0" w:after="180"/>
        <w:ind w:left="0" w:right="0" w:firstLine="3600"/>
        <w:jc w:val="both"/>
        <w:rPr/>
      </w:pPr>
      <w:r>
        <w:rPr>
          <w:rFonts w:ascii="Times New Roman;sans-serif" w:hAnsi="Times New Roman;sans-serif"/>
          <w:b/>
          <w:color w:val="000000"/>
          <w:sz w:val="20"/>
        </w:rPr>
        <w:t>(C)</w:t>
      </w:r>
      <w:r>
        <w:rPr>
          <w:rFonts w:ascii="Times New Roman;sans-serif" w:hAnsi="Times New Roman;sans-serif"/>
          <w:b w:val="false"/>
          <w:color w:val="000000"/>
          <w:sz w:val="20"/>
        </w:rPr>
        <w:t>the reasons for conducting such business at the annual meeting;</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180"/>
        <w:ind w:left="0" w:right="0" w:firstLine="3600"/>
        <w:jc w:val="both"/>
        <w:rPr/>
      </w:pPr>
      <w:r>
        <w:rPr>
          <w:rFonts w:ascii="Times New Roman;sans-serif" w:hAnsi="Times New Roman;sans-serif"/>
          <w:b/>
          <w:color w:val="000000"/>
          <w:sz w:val="20"/>
        </w:rPr>
        <w:t>(D)</w:t>
      </w:r>
      <w:r>
        <w:rPr>
          <w:rFonts w:ascii="Times New Roman;sans-serif" w:hAnsi="Times New Roman;sans-serif"/>
          <w:b w:val="false"/>
          <w:color w:val="000000"/>
          <w:sz w:val="20"/>
        </w:rPr>
        <w:t>any material interest in such business of such stockholder giving the notice and the beneficial owner, if any, on whose behalf the proposal is made, and their respective affiliates and associates, or others acting in concert with them; and</w:t>
      </w:r>
    </w:p>
    <w:p>
      <w:pPr>
        <w:pStyle w:val="TextBody"/>
        <w:bidi w:val="0"/>
        <w:spacing w:lineRule="auto" w:line="333" w:before="0" w:after="180"/>
        <w:ind w:left="0" w:right="0" w:firstLine="3600"/>
        <w:jc w:val="both"/>
        <w:rPr/>
      </w:pPr>
      <w:r>
        <w:rPr>
          <w:rFonts w:ascii="Times New Roman;sans-serif" w:hAnsi="Times New Roman;sans-serif"/>
          <w:b/>
          <w:color w:val="000000"/>
          <w:sz w:val="20"/>
        </w:rPr>
        <w:t>(E)</w:t>
      </w:r>
      <w:r>
        <w:rPr>
          <w:rFonts w:ascii="Times New Roman;sans-serif" w:hAnsi="Times New Roman;sans-serif"/>
          <w:b w:val="false"/>
          <w:color w:val="000000"/>
          <w:sz w:val="20"/>
        </w:rPr>
        <w:t>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pStyle w:val="TextBody"/>
        <w:bidi w:val="0"/>
        <w:spacing w:lineRule="auto" w:line="333" w:before="0" w:after="180"/>
        <w:ind w:left="0" w:right="0" w:firstLine="2880"/>
        <w:jc w:val="both"/>
        <w:rPr/>
      </w:pPr>
      <w:r>
        <w:rPr>
          <w:rFonts w:ascii="Times New Roman;sans-serif" w:hAnsi="Times New Roman;sans-serif"/>
          <w:b/>
          <w:color w:val="000000"/>
          <w:sz w:val="20"/>
        </w:rPr>
        <w:t>(3)</w:t>
      </w:r>
      <w:r>
        <w:rPr>
          <w:rFonts w:ascii="Times New Roman;sans-serif" w:hAnsi="Times New Roman;sans-serif"/>
          <w:b w:val="false"/>
          <w:color w:val="000000"/>
          <w:sz w:val="20"/>
        </w:rPr>
        <w:t>as to the stockholder giving the notice and the beneficial owner, if any, on whose behalf the nomination or proposal is made:</w:t>
      </w:r>
    </w:p>
    <w:p>
      <w:pPr>
        <w:pStyle w:val="TextBody"/>
        <w:bidi w:val="0"/>
        <w:spacing w:lineRule="auto" w:line="333" w:before="0" w:after="180"/>
        <w:ind w:left="0" w:right="0" w:firstLine="3600"/>
        <w:jc w:val="both"/>
        <w:rPr/>
      </w:pPr>
      <w:r>
        <w:rPr>
          <w:rFonts w:ascii="Times New Roman;sans-serif" w:hAnsi="Times New Roman;sans-serif"/>
          <w:b/>
          <w:color w:val="000000"/>
          <w:sz w:val="20"/>
        </w:rPr>
        <w:t>(A)</w:t>
      </w:r>
      <w:r>
        <w:rPr>
          <w:rFonts w:ascii="Times New Roman;sans-serif" w:hAnsi="Times New Roman;sans-serif"/>
          <w:b w:val="false"/>
          <w:color w:val="000000"/>
          <w:sz w:val="20"/>
        </w:rPr>
        <w:t>the name and address of such stockholder (as they appear on the Company’s books), of such beneficial owner and of their respective affiliates or associates or others acting in concert with them;</w:t>
      </w:r>
    </w:p>
    <w:p>
      <w:pPr>
        <w:pStyle w:val="TextBody"/>
        <w:bidi w:val="0"/>
        <w:spacing w:lineRule="auto" w:line="333" w:before="0" w:after="180"/>
        <w:ind w:left="0" w:right="0" w:firstLine="3600"/>
        <w:jc w:val="both"/>
        <w:rPr/>
      </w:pPr>
      <w:r>
        <w:rPr>
          <w:rFonts w:ascii="Times New Roman;sans-serif" w:hAnsi="Times New Roman;sans-serif"/>
          <w:b/>
          <w:color w:val="000000"/>
          <w:sz w:val="20"/>
        </w:rPr>
        <w:t>(B)</w:t>
      </w:r>
      <w:r>
        <w:rPr>
          <w:rFonts w:ascii="Times New Roman;sans-serif" w:hAnsi="Times New Roman;sans-serif"/>
          <w:b w:val="false"/>
          <w:color w:val="000000"/>
          <w:sz w:val="20"/>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pStyle w:val="TextBody"/>
        <w:bidi w:val="0"/>
        <w:spacing w:lineRule="auto" w:line="333" w:before="0" w:after="180"/>
        <w:ind w:left="0" w:right="0" w:firstLine="3600"/>
        <w:jc w:val="both"/>
        <w:rPr/>
      </w:pPr>
      <w:r>
        <w:rPr>
          <w:rFonts w:ascii="Times New Roman;sans-serif" w:hAnsi="Times New Roman;sans-serif"/>
          <w:b/>
          <w:color w:val="000000"/>
          <w:sz w:val="20"/>
        </w:rPr>
        <w:t>(C)</w:t>
      </w:r>
      <w:r>
        <w:rPr>
          <w:rFonts w:ascii="Times New Roman;sans-serif" w:hAnsi="Times New Roman;sans-serif"/>
          <w:b w:val="false"/>
          <w:color w:val="000000"/>
          <w:sz w:val="20"/>
        </w:rPr>
        <w:t>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pStyle w:val="TextBody"/>
        <w:bidi w:val="0"/>
        <w:spacing w:lineRule="auto" w:line="333" w:before="0" w:after="180"/>
        <w:ind w:left="0" w:right="0" w:firstLine="3600"/>
        <w:jc w:val="both"/>
        <w:rPr/>
      </w:pPr>
      <w:r>
        <w:rPr>
          <w:rFonts w:ascii="Times New Roman;sans-serif" w:hAnsi="Times New Roman;sans-serif"/>
          <w:b/>
          <w:color w:val="000000"/>
          <w:sz w:val="20"/>
        </w:rPr>
        <w:t>(D)</w:t>
      </w:r>
      <w:r>
        <w:rPr>
          <w:rFonts w:ascii="Times New Roman;sans-serif" w:hAnsi="Times New Roman;sans-serif"/>
          <w:b w:val="false"/>
          <w:color w:val="000000"/>
          <w:sz w:val="20"/>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sans-serif" w:hAnsi="Times New Roman;sans-serif"/>
          <w:b/>
          <w:color w:val="000000"/>
          <w:sz w:val="20"/>
        </w:rPr>
        <w:t>Derivative Instrument</w:t>
      </w:r>
      <w:r>
        <w:rPr>
          <w:color w:val="000000"/>
        </w:rPr>
        <w:t>”</w:t>
      </w:r>
      <w:r>
        <w:rPr>
          <w:rFonts w:ascii="Times New Roman;sans-serif" w:hAnsi="Times New Roman;sans-serif"/>
          <w:b w:val="false"/>
          <w:color w:val="000000"/>
          <w:sz w:val="20"/>
        </w:rPr>
        <w:t>)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pStyle w:val="TextBody"/>
        <w:bidi w:val="0"/>
        <w:spacing w:lineRule="auto" w:line="333" w:before="0" w:after="180"/>
        <w:ind w:left="0" w:right="0" w:firstLine="3600"/>
        <w:jc w:val="both"/>
        <w:rPr/>
      </w:pPr>
      <w:r>
        <w:rPr>
          <w:rFonts w:ascii="Times New Roman;sans-serif" w:hAnsi="Times New Roman;sans-serif"/>
          <w:b/>
          <w:color w:val="000000"/>
          <w:sz w:val="20"/>
        </w:rPr>
        <w:t>(E)</w:t>
      </w:r>
      <w:r>
        <w:rPr>
          <w:rFonts w:ascii="Times New Roman;sans-serif" w:hAnsi="Times New Roman;sans-serif"/>
          <w:b w:val="false"/>
          <w:color w:val="000000"/>
          <w:sz w:val="20"/>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pStyle w:val="TextBody"/>
        <w:bidi w:val="0"/>
        <w:spacing w:lineRule="auto" w:line="333" w:before="0" w:after="180"/>
        <w:ind w:left="0" w:right="0" w:firstLine="3600"/>
        <w:jc w:val="both"/>
        <w:rPr/>
      </w:pPr>
      <w:r>
        <w:rPr>
          <w:rFonts w:ascii="Times New Roman;sans-serif" w:hAnsi="Times New Roman;sans-serif"/>
          <w:b/>
          <w:color w:val="000000"/>
          <w:sz w:val="20"/>
        </w:rPr>
        <w:t>(F)</w:t>
      </w:r>
      <w:r>
        <w:rPr>
          <w:rFonts w:ascii="Times New Roman;sans-serif" w:hAnsi="Times New Roman;sans-serif"/>
          <w:b w:val="false"/>
          <w:color w:val="000000"/>
          <w:sz w:val="20"/>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pStyle w:val="TextBody"/>
        <w:bidi w:val="0"/>
        <w:spacing w:lineRule="auto" w:line="333" w:before="0" w:after="180"/>
        <w:ind w:left="0" w:right="0" w:firstLine="3600"/>
        <w:jc w:val="both"/>
        <w:rPr/>
      </w:pPr>
      <w:r>
        <w:rPr>
          <w:rFonts w:ascii="Times New Roman;sans-serif" w:hAnsi="Times New Roman;sans-serif"/>
          <w:b/>
          <w:color w:val="000000"/>
          <w:sz w:val="20"/>
        </w:rPr>
        <w:t>(G)</w:t>
      </w:r>
      <w:r>
        <w:rPr>
          <w:rFonts w:ascii="Times New Roman;sans-serif" w:hAnsi="Times New Roman;sans-serif"/>
          <w:b w:val="false"/>
          <w:color w:val="000000"/>
          <w:sz w:val="20"/>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180"/>
        <w:ind w:left="0" w:right="0" w:firstLine="3600"/>
        <w:jc w:val="both"/>
        <w:rPr/>
      </w:pPr>
      <w:r>
        <w:rPr>
          <w:rFonts w:ascii="Times New Roman;sans-serif" w:hAnsi="Times New Roman;sans-serif"/>
          <w:b/>
          <w:color w:val="000000"/>
          <w:sz w:val="20"/>
        </w:rPr>
        <w:t>(H)</w:t>
      </w:r>
      <w:r>
        <w:rPr>
          <w:rFonts w:ascii="Times New Roman;sans-serif" w:hAnsi="Times New Roman;sans-serif"/>
          <w:b w:val="false"/>
          <w:color w:val="000000"/>
          <w:sz w:val="20"/>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pStyle w:val="TextBody"/>
        <w:bidi w:val="0"/>
        <w:spacing w:lineRule="auto" w:line="333" w:before="0" w:after="180"/>
        <w:ind w:left="0" w:right="0" w:firstLine="3600"/>
        <w:jc w:val="both"/>
        <w:rPr/>
      </w:pPr>
      <w:r>
        <w:rPr>
          <w:rFonts w:ascii="Times New Roman;sans-serif" w:hAnsi="Times New Roman;sans-serif"/>
          <w:b/>
          <w:color w:val="000000"/>
          <w:sz w:val="20"/>
        </w:rPr>
        <w:t>(I)</w:t>
      </w:r>
      <w:r>
        <w:rPr>
          <w:rFonts w:ascii="Times New Roman;sans-serif" w:hAnsi="Times New Roman;sans-serif"/>
          <w:b w:val="false"/>
          <w:color w:val="000000"/>
          <w:sz w:val="20"/>
        </w:rPr>
        <w:t>any significant equity interests or any Derivative Instruments in any principal competitor of the Company that are held by such stockholder, such beneficial owner or their respective affiliates or associates or others acting in concert with them;</w:t>
      </w:r>
    </w:p>
    <w:p>
      <w:pPr>
        <w:pStyle w:val="TextBody"/>
        <w:bidi w:val="0"/>
        <w:spacing w:lineRule="auto" w:line="333" w:before="0" w:after="180"/>
        <w:ind w:left="0" w:right="0" w:firstLine="3600"/>
        <w:jc w:val="both"/>
        <w:rPr/>
      </w:pPr>
      <w:r>
        <w:rPr>
          <w:rFonts w:ascii="Times New Roman;sans-serif" w:hAnsi="Times New Roman;sans-serif"/>
          <w:b/>
          <w:color w:val="000000"/>
          <w:sz w:val="20"/>
        </w:rPr>
        <w:t>(J)</w:t>
      </w:r>
      <w:r>
        <w:rPr>
          <w:rFonts w:ascii="Times New Roman;sans-serif" w:hAnsi="Times New Roman;sans-serif"/>
          <w:b w:val="false"/>
          <w:color w:val="000000"/>
          <w:sz w:val="20"/>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pStyle w:val="TextBody"/>
        <w:bidi w:val="0"/>
        <w:spacing w:lineRule="auto" w:line="333" w:before="0" w:after="180"/>
        <w:ind w:left="0" w:right="0" w:firstLine="3600"/>
        <w:jc w:val="both"/>
        <w:rPr/>
      </w:pPr>
      <w:r>
        <w:rPr>
          <w:rFonts w:ascii="Times New Roman;sans-serif" w:hAnsi="Times New Roman;sans-serif"/>
          <w:b/>
          <w:color w:val="000000"/>
          <w:sz w:val="20"/>
        </w:rPr>
        <w:t>(K)</w:t>
      </w:r>
      <w:r>
        <w:rPr>
          <w:rFonts w:ascii="Times New Roman;sans-serif" w:hAnsi="Times New Roman;sans-serif"/>
          <w:b w:val="false"/>
          <w:color w:val="000000"/>
          <w:sz w:val="20"/>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pStyle w:val="TextBody"/>
        <w:bidi w:val="0"/>
        <w:spacing w:lineRule="auto" w:line="333" w:before="0" w:after="180"/>
        <w:ind w:left="0" w:right="0" w:firstLine="3600"/>
        <w:jc w:val="both"/>
        <w:rPr/>
      </w:pPr>
      <w:r>
        <w:rPr>
          <w:rFonts w:ascii="Times New Roman;sans-serif" w:hAnsi="Times New Roman;sans-serif"/>
          <w:b/>
          <w:color w:val="000000"/>
          <w:sz w:val="20"/>
        </w:rPr>
        <w:t>(L)</w:t>
      </w:r>
      <w:r>
        <w:rPr>
          <w:rFonts w:ascii="Times New Roman;sans-serif" w:hAnsi="Times New Roman;sans-serif"/>
          <w:b w:val="false"/>
          <w:color w:val="000000"/>
          <w:sz w:val="20"/>
        </w:rPr>
        <w:t>any material relationship between such stockholder, such beneficial owner or their respective affiliates or associates or others acting in concert with them, on the one hand, and the Company or any of its officers, directors or affiliates, on the other hand;</w:t>
      </w:r>
    </w:p>
    <w:p>
      <w:pPr>
        <w:pStyle w:val="TextBody"/>
        <w:bidi w:val="0"/>
        <w:spacing w:lineRule="auto" w:line="333" w:before="0" w:after="180"/>
        <w:ind w:left="0" w:right="0" w:firstLine="3600"/>
        <w:jc w:val="both"/>
        <w:rPr/>
      </w:pPr>
      <w:r>
        <w:rPr>
          <w:rFonts w:ascii="Times New Roman;sans-serif" w:hAnsi="Times New Roman;sans-serif"/>
          <w:b/>
          <w:color w:val="000000"/>
          <w:sz w:val="20"/>
        </w:rPr>
        <w:t>(M)</w:t>
      </w:r>
      <w:r>
        <w:rPr>
          <w:rFonts w:ascii="Times New Roman;sans-serif" w:hAnsi="Times New Roman;sans-serif"/>
          <w:b w:val="false"/>
          <w:color w:val="000000"/>
          <w:sz w:val="20"/>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pStyle w:val="TextBody"/>
        <w:bidi w:val="0"/>
        <w:spacing w:lineRule="auto" w:line="333" w:before="0" w:after="180"/>
        <w:ind w:left="0" w:right="0" w:firstLine="3600"/>
        <w:jc w:val="both"/>
        <w:rPr/>
      </w:pPr>
      <w:r>
        <w:rPr>
          <w:rFonts w:ascii="Times New Roman;sans-serif" w:hAnsi="Times New Roman;sans-serif"/>
          <w:b/>
          <w:color w:val="000000"/>
          <w:sz w:val="20"/>
        </w:rPr>
        <w:t>(N)</w:t>
      </w:r>
      <w:r>
        <w:rPr>
          <w:rFonts w:ascii="Times New Roman;sans-serif" w:hAnsi="Times New Roman;sans-serif"/>
          <w:b w:val="false"/>
          <w:color w:val="000000"/>
          <w:sz w:val="20"/>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w:t>
      </w:r>
    </w:p>
    <w:p>
      <w:pPr>
        <w:pStyle w:val="TextBody"/>
        <w:bidi w:val="0"/>
        <w:spacing w:lineRule="auto" w:line="333" w:before="0" w:after="180"/>
        <w:ind w:left="0" w:right="0" w:firstLine="3600"/>
        <w:jc w:val="both"/>
        <w:rPr/>
      </w:pPr>
      <w:r>
        <w:rPr>
          <w:rFonts w:ascii="Times New Roman;sans-serif" w:hAnsi="Times New Roman;sans-serif"/>
          <w:b/>
          <w:color w:val="000000"/>
          <w:sz w:val="20"/>
        </w:rPr>
        <w:t>(O)</w:t>
      </w:r>
      <w:r>
        <w:rPr>
          <w:rFonts w:ascii="Times New Roman;sans-serif" w:hAnsi="Times New Roman;sans-serif"/>
          <w:b w:val="false"/>
          <w:color w:val="000000"/>
          <w:sz w:val="20"/>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pStyle w:val="TextBody"/>
        <w:bidi w:val="0"/>
        <w:spacing w:lineRule="auto" w:line="333" w:before="0" w:after="180"/>
        <w:ind w:left="0" w:right="0" w:firstLine="3600"/>
        <w:jc w:val="both"/>
        <w:rPr/>
      </w:pPr>
      <w:r>
        <w:rPr>
          <w:rFonts w:ascii="Times New Roman;sans-serif" w:hAnsi="Times New Roman;sans-serif"/>
          <w:b/>
          <w:color w:val="000000"/>
          <w:sz w:val="20"/>
        </w:rPr>
        <w:t>(P)</w:t>
      </w:r>
      <w:r>
        <w:rPr>
          <w:rFonts w:ascii="Times New Roman;sans-serif" w:hAnsi="Times New Roman;sans-serif"/>
          <w:b w:val="false"/>
          <w:color w:val="000000"/>
          <w:sz w:val="20"/>
        </w:rPr>
        <w:t>such other information relating to any proposed item of business as the Company may reasonably require to determine whether such proposed item of business is a proper matter for stockholder action.</w:t>
      </w:r>
    </w:p>
    <w:p>
      <w:pPr>
        <w:pStyle w:val="TextBody"/>
        <w:bidi w:val="0"/>
        <w:spacing w:lineRule="auto" w:line="333" w:before="0" w:after="180"/>
        <w:ind w:left="0" w:right="0" w:firstLine="2160"/>
        <w:jc w:val="both"/>
        <w:rPr/>
      </w:pPr>
      <w:r>
        <w:rPr>
          <w:rFonts w:ascii="Times New Roman;sans-serif" w:hAnsi="Times New Roman;sans-serif"/>
          <w:b/>
          <w:color w:val="000000"/>
          <w:sz w:val="20"/>
        </w:rPr>
        <w:t>(iv)</w:t>
      </w:r>
      <w:r>
        <w:rPr>
          <w:rFonts w:ascii="Times New Roman;sans-serif" w:hAnsi="Times New Roman;sans-serif"/>
          <w:b w:val="false"/>
          <w:color w:val="000000"/>
          <w:sz w:val="20"/>
        </w:rPr>
        <w:t xml:space="preserve">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in the case of a request for additional information, promptly following a request therefor, which response must be received by the Secretary not later than such reasonable time as is specified in any such request from the Company or,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i/>
          <w:color w:val="000000"/>
          <w:sz w:val="20"/>
        </w:rPr>
        <w:t>Special Meetings of Stockholders.</w:t>
      </w:r>
      <w:r>
        <w:rPr>
          <w:color w:val="000000"/>
        </w:rPr>
        <w:t xml:space="preserve"> </w:t>
      </w:r>
      <w:r>
        <w:rPr>
          <w:rFonts w:ascii="Times New Roman;sans-serif" w:hAnsi="Times New Roman;sans-serif"/>
          <w:b w:val="false"/>
          <w:color w:val="000000"/>
          <w:sz w:val="20"/>
        </w:rPr>
        <w:t xml:space="preserve">Except to the extent required by the DGCL, and subject to Section 2.3(a), special 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Pacific time, on the 120th day prior to the day of the special meeting and no later than 5:00 p.m., Pacific time, on the 10th day following the day on which public announcement of the date of the special meeting was first made. In no event will any adjournment, rescheduling, postponement or other delay of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special meeting or any announcement thereof commence a new time period (or extend any time period) for the giving of a stockholder’s notice as described above. A stockholder’s notice to the Secretary must comply with the applicable notice requirements of Sections 2.4(a)(iii) and 2.4(a)(iv) with references therein to “annual meeting” deemed to mean “special meeting” for the purposes of this final sentence of this Section 2.4(b).</w:t>
      </w:r>
    </w:p>
    <w:p>
      <w:pPr>
        <w:pStyle w:val="TextBody"/>
        <w:bidi w:val="0"/>
        <w:spacing w:lineRule="auto" w:line="333" w:before="0" w:after="180"/>
        <w:ind w:left="0" w:right="0" w:firstLine="1440"/>
        <w:jc w:val="both"/>
        <w:rPr/>
      </w:pPr>
      <w:r>
        <w:rPr>
          <w:rFonts w:ascii="Times New Roman;sans-serif" w:hAnsi="Times New Roman;sans-serif"/>
          <w:b/>
          <w:color w:val="000000"/>
          <w:sz w:val="20"/>
        </w:rPr>
        <w:t>(c)</w:t>
      </w:r>
      <w:r>
        <w:rPr>
          <w:rFonts w:ascii="Times New Roman;sans-serif" w:hAnsi="Times New Roman;sans-serif"/>
          <w:b w:val="false"/>
          <w:i/>
          <w:color w:val="000000"/>
          <w:sz w:val="20"/>
        </w:rPr>
        <w:t>Other Requirements and Procedures</w:t>
      </w:r>
      <w:r>
        <w:rPr>
          <w:rFonts w:ascii="Times New Roman;sans-serif" w:hAnsi="Times New Roman;sans-serif"/>
          <w:b w:val="false"/>
          <w:color w:val="000000"/>
          <w:sz w:val="20"/>
        </w:rPr>
        <w:t>.</w:t>
      </w:r>
    </w:p>
    <w:p>
      <w:pPr>
        <w:pStyle w:val="TextBody"/>
        <w:bidi w:val="0"/>
        <w:spacing w:lineRule="auto" w:line="333" w:before="0" w:after="180"/>
        <w:ind w:left="0" w:right="0" w:firstLine="2160"/>
        <w:jc w:val="both"/>
        <w:rPr/>
      </w:pPr>
      <w:r>
        <w:rPr>
          <w:rFonts w:ascii="Times New Roman;sans-serif" w:hAnsi="Times New Roman;sans-serif"/>
          <w:b/>
          <w:color w:val="000000"/>
          <w:sz w:val="20"/>
        </w:rPr>
        <w:t>(i)</w:t>
      </w:r>
      <w:r>
        <w:rPr>
          <w:rFonts w:ascii="Times New Roman;sans-serif" w:hAnsi="Times New Roman;sans-serif"/>
          <w:b w:val="false"/>
          <w:color w:val="000000"/>
          <w:sz w:val="20"/>
        </w:rPr>
        <w:t>To be eligible to be a nominee of any stockholder for election as a director of the Company, the proposed nominee must provide to the Secretary, in accordance with the applicable time periods prescribed for delivery of notice under Section 2.4(a)(ii) or Section 2.4(b):</w:t>
      </w:r>
    </w:p>
    <w:p>
      <w:pPr>
        <w:pStyle w:val="TextBody"/>
        <w:bidi w:val="0"/>
        <w:spacing w:lineRule="auto" w:line="333" w:before="0" w:after="180"/>
        <w:ind w:left="0" w:right="0" w:firstLine="2880"/>
        <w:jc w:val="both"/>
        <w:rPr/>
      </w:pPr>
      <w:r>
        <w:rPr>
          <w:rFonts w:ascii="Times New Roman;sans-serif" w:hAnsi="Times New Roman;sans-serif"/>
          <w:b/>
          <w:color w:val="000000"/>
          <w:sz w:val="20"/>
        </w:rPr>
        <w:t>(1)</w:t>
      </w:r>
      <w:r>
        <w:rPr>
          <w:rFonts w:ascii="Times New Roman;sans-serif" w:hAnsi="Times New Roman;sans-serif"/>
          <w:b w:val="false"/>
          <w:color w:val="000000"/>
          <w:sz w:val="20"/>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pStyle w:val="TextBody"/>
        <w:bidi w:val="0"/>
        <w:spacing w:lineRule="auto" w:line="333" w:before="0" w:after="180"/>
        <w:ind w:left="0" w:right="0" w:firstLine="2880"/>
        <w:jc w:val="both"/>
        <w:rPr/>
      </w:pPr>
      <w:r>
        <w:rPr>
          <w:rFonts w:ascii="Times New Roman;sans-serif" w:hAnsi="Times New Roman;sans-serif"/>
          <w:b/>
          <w:color w:val="000000"/>
          <w:sz w:val="20"/>
        </w:rPr>
        <w:t>(2)</w:t>
      </w:r>
      <w:r>
        <w:rPr>
          <w:rFonts w:ascii="Times New Roman;sans-serif" w:hAnsi="Times New Roman;sans-serif"/>
          <w:b w:val="false"/>
          <w:color w:val="000000"/>
          <w:sz w:val="20"/>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pStyle w:val="TextBody"/>
        <w:bidi w:val="0"/>
        <w:spacing w:lineRule="auto" w:line="333" w:before="0" w:after="180"/>
        <w:ind w:left="0" w:right="0" w:firstLine="2880"/>
        <w:jc w:val="both"/>
        <w:rPr/>
      </w:pPr>
      <w:r>
        <w:rPr>
          <w:rFonts w:ascii="Times New Roman;sans-serif" w:hAnsi="Times New Roman;sans-serif"/>
          <w:b/>
          <w:color w:val="000000"/>
          <w:sz w:val="20"/>
        </w:rPr>
        <w:t>(3)</w:t>
      </w:r>
      <w:r>
        <w:rPr>
          <w:rFonts w:ascii="Times New Roman;sans-serif" w:hAnsi="Times New Roman;sans-serif"/>
          <w:b w:val="false"/>
          <w:color w:val="000000"/>
          <w:sz w:val="20"/>
        </w:rPr>
        <w:t>a written representation and undertaking that, unless previously disclosed to the Company, such nominee is not, and will not become, a party to any Third-Party Compensation Arrangement;</w:t>
      </w:r>
    </w:p>
    <w:p>
      <w:pPr>
        <w:pStyle w:val="TextBody"/>
        <w:bidi w:val="0"/>
        <w:spacing w:lineRule="auto" w:line="333" w:before="0" w:after="180"/>
        <w:ind w:left="0" w:right="0" w:firstLine="2880"/>
        <w:jc w:val="both"/>
        <w:rPr/>
      </w:pPr>
      <w:r>
        <w:rPr>
          <w:rFonts w:ascii="Times New Roman;sans-serif" w:hAnsi="Times New Roman;sans-serif"/>
          <w:b/>
          <w:color w:val="000000"/>
          <w:sz w:val="20"/>
        </w:rPr>
        <w:t>(4)</w:t>
      </w:r>
      <w:r>
        <w:rPr>
          <w:rFonts w:ascii="Times New Roman;sans-serif" w:hAnsi="Times New Roman;sans-serif"/>
          <w:b w:val="false"/>
          <w:color w:val="000000"/>
          <w:sz w:val="20"/>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as disclosed on the Company’s website, as amended from time to time; and</w:t>
      </w:r>
    </w:p>
    <w:p>
      <w:pPr>
        <w:pStyle w:val="TextBody"/>
        <w:bidi w:val="0"/>
        <w:spacing w:lineRule="auto" w:line="333" w:before="0" w:after="180"/>
        <w:ind w:left="0" w:right="0" w:firstLine="2880"/>
        <w:jc w:val="both"/>
        <w:rPr/>
      </w:pPr>
      <w:r>
        <w:rPr>
          <w:rFonts w:ascii="Times New Roman;sans-serif" w:hAnsi="Times New Roman;sans-serif"/>
          <w:b/>
          <w:color w:val="000000"/>
          <w:sz w:val="20"/>
        </w:rPr>
        <w:t>(5)</w:t>
      </w:r>
      <w:r>
        <w:rPr>
          <w:rFonts w:ascii="Times New Roman;sans-serif" w:hAnsi="Times New Roman;sans-serif"/>
          <w:b w:val="false"/>
          <w:color w:val="000000"/>
          <w:sz w:val="20"/>
        </w:rPr>
        <w:t>a written representation and undertaking that such nominee, if elected, intends to serve a full term on the Board of Directors.</w:t>
      </w:r>
    </w:p>
    <w:p>
      <w:pPr>
        <w:pStyle w:val="TextBody"/>
        <w:bidi w:val="0"/>
        <w:spacing w:lineRule="auto" w:line="333" w:before="0" w:after="180"/>
        <w:ind w:left="0" w:right="0" w:firstLine="2160"/>
        <w:jc w:val="both"/>
        <w:rPr/>
      </w:pPr>
      <w:r>
        <w:rPr>
          <w:rFonts w:ascii="Times New Roman;sans-serif" w:hAnsi="Times New Roman;sans-serif"/>
          <w:b/>
          <w:color w:val="000000"/>
          <w:sz w:val="20"/>
        </w:rPr>
        <w:t>(ii)</w:t>
      </w:r>
      <w:r>
        <w:rPr>
          <w:rFonts w:ascii="Times New Roman;sans-serif" w:hAnsi="Times New Roman;sans-serif"/>
          <w:b w:val="false"/>
          <w:color w:val="000000"/>
          <w:sz w:val="20"/>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pStyle w:val="TextBody"/>
        <w:bidi w:val="0"/>
        <w:spacing w:lineRule="auto" w:line="333" w:before="0" w:after="180"/>
        <w:ind w:left="0" w:right="0" w:firstLine="2160"/>
        <w:jc w:val="both"/>
        <w:rPr/>
      </w:pPr>
      <w:r>
        <w:rPr>
          <w:rFonts w:ascii="Times New Roman;sans-serif" w:hAnsi="Times New Roman;sans-serif"/>
          <w:b/>
          <w:color w:val="000000"/>
          <w:sz w:val="20"/>
        </w:rPr>
        <w:t>(iii)</w:t>
      </w:r>
      <w:r>
        <w:rPr>
          <w:rFonts w:ascii="Times New Roman;sans-serif" w:hAnsi="Times New Roman;sans-serif"/>
          <w:b w:val="false"/>
          <w:color w:val="000000"/>
          <w:sz w:val="20"/>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pStyle w:val="TextBody"/>
        <w:bidi w:val="0"/>
        <w:spacing w:lineRule="auto" w:line="333" w:before="0" w:after="180"/>
        <w:ind w:left="0" w:right="0" w:firstLine="2160"/>
        <w:jc w:val="both"/>
        <w:rPr/>
      </w:pPr>
      <w:r>
        <w:rPr>
          <w:rFonts w:ascii="Times New Roman;sans-serif" w:hAnsi="Times New Roman;sans-serif"/>
          <w:b/>
          <w:color w:val="000000"/>
          <w:sz w:val="20"/>
        </w:rPr>
        <w:t>(iv)</w:t>
      </w:r>
      <w:r>
        <w:rPr>
          <w:rFonts w:ascii="Times New Roman;sans-serif" w:hAnsi="Times New Roman;sans-serif"/>
          <w:b w:val="false"/>
          <w:color w:val="000000"/>
          <w:sz w:val="20"/>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180"/>
        <w:ind w:left="0" w:right="0" w:firstLine="2160"/>
        <w:jc w:val="both"/>
        <w:rPr/>
      </w:pPr>
      <w:r>
        <w:rPr>
          <w:rFonts w:ascii="Times New Roman;sans-serif" w:hAnsi="Times New Roman;sans-serif"/>
          <w:b/>
          <w:color w:val="000000"/>
          <w:sz w:val="20"/>
        </w:rPr>
        <w:t>(v)</w:t>
      </w:r>
      <w:r>
        <w:rPr>
          <w:rFonts w:ascii="Times New Roman;sans-serif" w:hAnsi="Times New Roman;sans-serif"/>
          <w:b w:val="false"/>
          <w:color w:val="000000"/>
          <w:sz w:val="20"/>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pStyle w:val="TextBody"/>
        <w:bidi w:val="0"/>
        <w:spacing w:lineRule="auto" w:line="333" w:before="0" w:after="180"/>
        <w:ind w:left="0" w:right="0" w:firstLine="2160"/>
        <w:jc w:val="both"/>
        <w:rPr/>
      </w:pPr>
      <w:r>
        <w:rPr>
          <w:rFonts w:ascii="Times New Roman;sans-serif" w:hAnsi="Times New Roman;sans-serif"/>
          <w:b/>
          <w:color w:val="000000"/>
          <w:sz w:val="20"/>
        </w:rPr>
        <w:t>(vi)</w:t>
      </w:r>
      <w:r>
        <w:rPr>
          <w:rFonts w:ascii="Times New Roman;sans-serif" w:hAnsi="Times New Roman;sans-serif"/>
          <w:b w:val="false"/>
          <w:color w:val="000000"/>
          <w:sz w:val="20"/>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pStyle w:val="TextBody"/>
        <w:bidi w:val="0"/>
        <w:spacing w:lineRule="auto" w:line="333" w:before="0" w:after="180"/>
        <w:ind w:left="0" w:right="0" w:firstLine="2160"/>
        <w:jc w:val="both"/>
        <w:rPr/>
      </w:pPr>
      <w:r>
        <w:rPr>
          <w:rFonts w:ascii="Times New Roman;sans-serif" w:hAnsi="Times New Roman;sans-serif"/>
          <w:b/>
          <w:color w:val="000000"/>
          <w:sz w:val="20"/>
        </w:rPr>
        <w:t>(vii)</w:t>
      </w:r>
      <w:r>
        <w:rPr>
          <w:rFonts w:ascii="Times New Roman;sans-serif" w:hAnsi="Times New Roman;sans-serif"/>
          <w:b w:val="false"/>
          <w:color w:val="000000"/>
          <w:sz w:val="20"/>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noBreakHyphen/>
        <w:t>8 under the 1934 Act; and (2) such stockholder’s proposal has been included in a proxy statement that has been prepared by the Company to solicit proxies for the meeting of stockholders. Subject to Rule 14a</w:t>
        <w:noBreakHyphen/>
        <w:t xml:space="preserve">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 </w:t>
      </w:r>
    </w:p>
    <w:p>
      <w:pPr>
        <w:pStyle w:val="TextBody"/>
        <w:bidi w:val="0"/>
        <w:spacing w:lineRule="auto" w:line="333" w:before="0" w:after="180"/>
        <w:ind w:left="0" w:right="0" w:hanging="360"/>
        <w:jc w:val="left"/>
        <w:rPr/>
      </w:pPr>
      <w:r>
        <w:rPr>
          <w:rFonts w:ascii="Times New Roman;sans-serif" w:hAnsi="Times New Roman;sans-serif"/>
          <w:b/>
          <w:color w:val="000000"/>
          <w:sz w:val="20"/>
        </w:rPr>
        <w:t>2.5</w:t>
      </w:r>
      <w:r>
        <w:rPr>
          <w:color w:val="000000"/>
        </w:rPr>
        <w:t xml:space="preserve"> </w:t>
      </w:r>
      <w:r>
        <w:rPr>
          <w:rFonts w:ascii="Times New Roman;sans-serif" w:hAnsi="Times New Roman;sans-serif"/>
          <w:b w:val="false"/>
          <w:color w:val="000000"/>
          <w:sz w:val="20"/>
        </w:rPr>
        <w:t>NOTICE OF STOCKHOLDERS’ MEETINGS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pStyle w:val="TextBody"/>
        <w:bidi w:val="0"/>
        <w:spacing w:lineRule="auto" w:line="333" w:before="0" w:after="180"/>
        <w:ind w:left="0" w:right="0" w:hanging="360"/>
        <w:jc w:val="left"/>
        <w:rPr/>
      </w:pPr>
      <w:r>
        <w:rPr>
          <w:rFonts w:ascii="Times New Roman;sans-serif" w:hAnsi="Times New Roman;sans-serif"/>
          <w:b/>
          <w:color w:val="000000"/>
          <w:sz w:val="20"/>
        </w:rPr>
        <w:t>2.6</w:t>
      </w:r>
      <w:r>
        <w:rPr>
          <w:color w:val="000000"/>
        </w:rPr>
        <w:t xml:space="preserve"> </w:t>
      </w:r>
      <w:r>
        <w:rPr>
          <w:rFonts w:ascii="Times New Roman;sans-serif" w:hAnsi="Times New Roman;sans-serif"/>
          <w:b w:val="false"/>
          <w:color w:val="000000"/>
          <w:sz w:val="20"/>
        </w:rPr>
        <w:t>QUORUM</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incorporation, these bylaws or the rules of any applicable stock exchange on which the Company’s securities are listed.</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pStyle w:val="TextBody"/>
        <w:bidi w:val="0"/>
        <w:spacing w:lineRule="auto" w:line="333" w:before="0" w:after="180"/>
        <w:ind w:left="0" w:right="0" w:hanging="360"/>
        <w:jc w:val="left"/>
        <w:rPr/>
      </w:pPr>
      <w:r>
        <w:rPr>
          <w:rFonts w:ascii="Times New Roman;sans-serif" w:hAnsi="Times New Roman;sans-serif"/>
          <w:b/>
          <w:color w:val="000000"/>
          <w:sz w:val="20"/>
        </w:rPr>
        <w:t>2.7</w:t>
      </w:r>
      <w:r>
        <w:rPr>
          <w:color w:val="000000"/>
        </w:rPr>
        <w:t xml:space="preserve"> </w:t>
      </w:r>
      <w:r>
        <w:rPr>
          <w:rFonts w:ascii="Times New Roman;sans-serif" w:hAnsi="Times New Roman;sans-serif"/>
          <w:b w:val="false"/>
          <w:color w:val="000000"/>
          <w:sz w:val="20"/>
        </w:rPr>
        <w:t>ADJOURNED MEETING; NOTICE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pStyle w:val="TextBody"/>
        <w:bidi w:val="0"/>
        <w:spacing w:lineRule="auto" w:line="333" w:before="0" w:after="180"/>
        <w:ind w:left="0" w:right="0" w:hanging="360"/>
        <w:jc w:val="left"/>
        <w:rPr/>
      </w:pPr>
      <w:r>
        <w:rPr>
          <w:rFonts w:ascii="Times New Roman;sans-serif" w:hAnsi="Times New Roman;sans-serif"/>
          <w:b/>
          <w:color w:val="000000"/>
          <w:sz w:val="20"/>
        </w:rPr>
        <w:t>2.8</w:t>
      </w:r>
      <w:r>
        <w:rPr>
          <w:color w:val="000000"/>
        </w:rPr>
        <w:t xml:space="preserve"> </w:t>
      </w:r>
      <w:r>
        <w:rPr>
          <w:rFonts w:ascii="Times New Roman;sans-serif" w:hAnsi="Times New Roman;sans-serif"/>
          <w:b w:val="false"/>
          <w:color w:val="000000"/>
          <w:sz w:val="20"/>
        </w:rPr>
        <w:t>CONDUCT OF BUSINESS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pStyle w:val="TextBody"/>
        <w:bidi w:val="0"/>
        <w:spacing w:lineRule="auto" w:line="333" w:before="0" w:after="180"/>
        <w:ind w:left="0" w:right="0" w:hanging="360"/>
        <w:jc w:val="left"/>
        <w:rPr/>
      </w:pPr>
      <w:r>
        <w:rPr>
          <w:rFonts w:ascii="Times New Roman;sans-serif" w:hAnsi="Times New Roman;sans-serif"/>
          <w:b/>
          <w:color w:val="000000"/>
          <w:sz w:val="20"/>
        </w:rPr>
        <w:t>2.9</w:t>
      </w:r>
      <w:r>
        <w:rPr>
          <w:color w:val="000000"/>
        </w:rPr>
        <w:t xml:space="preserve"> </w:t>
      </w:r>
      <w:r>
        <w:rPr>
          <w:rFonts w:ascii="Times New Roman;sans-serif" w:hAnsi="Times New Roman;sans-serif"/>
          <w:b w:val="false"/>
          <w:color w:val="000000"/>
          <w:sz w:val="20"/>
        </w:rPr>
        <w:t>VOTING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 on which the securities of the Company are listed.</w:t>
      </w:r>
    </w:p>
    <w:p>
      <w:pPr>
        <w:pStyle w:val="TextBody"/>
        <w:bidi w:val="0"/>
        <w:spacing w:lineRule="auto" w:line="333" w:before="0" w:after="180"/>
        <w:ind w:left="0" w:right="0" w:hanging="360"/>
        <w:jc w:val="left"/>
        <w:rPr/>
      </w:pPr>
      <w:r>
        <w:rPr>
          <w:rFonts w:ascii="Times New Roman;sans-serif" w:hAnsi="Times New Roman;sans-serif"/>
          <w:b/>
          <w:color w:val="000000"/>
          <w:sz w:val="20"/>
        </w:rPr>
        <w:t>2.10</w:t>
      </w:r>
      <w:r>
        <w:rPr>
          <w:color w:val="000000"/>
        </w:rPr>
        <w:t xml:space="preserve"> </w:t>
      </w:r>
      <w:r>
        <w:rPr>
          <w:rFonts w:ascii="Times New Roman;sans-serif" w:hAnsi="Times New Roman;sans-serif"/>
          <w:b w:val="false"/>
          <w:color w:val="000000"/>
          <w:sz w:val="20"/>
        </w:rPr>
        <w:t>STOCKHOLDER ACTION BY WRITTEN CONSENT WITHOUT A MEETING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bidi w:val="0"/>
        <w:spacing w:lineRule="auto" w:line="333" w:before="0" w:after="180"/>
        <w:ind w:left="0" w:right="0" w:hanging="360"/>
        <w:jc w:val="left"/>
        <w:rPr/>
      </w:pPr>
      <w:r>
        <w:rPr>
          <w:rFonts w:ascii="Times New Roman;sans-serif" w:hAnsi="Times New Roman;sans-serif"/>
          <w:b/>
          <w:color w:val="000000"/>
          <w:sz w:val="20"/>
        </w:rPr>
        <w:t>2.11</w:t>
      </w:r>
      <w:r>
        <w:rPr>
          <w:color w:val="000000"/>
        </w:rPr>
        <w:t xml:space="preserve"> </w:t>
      </w:r>
      <w:r>
        <w:rPr>
          <w:rFonts w:ascii="Times New Roman;sans-serif" w:hAnsi="Times New Roman;sans-serif"/>
          <w:b w:val="false"/>
          <w:color w:val="000000"/>
          <w:sz w:val="20"/>
        </w:rPr>
        <w:t>RECORD DATES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2.12</w:t>
      </w:r>
      <w:r>
        <w:rPr>
          <w:color w:val="000000"/>
        </w:rPr>
        <w:t xml:space="preserve"> </w:t>
      </w:r>
      <w:r>
        <w:rPr>
          <w:rFonts w:ascii="Times New Roman;sans-serif" w:hAnsi="Times New Roman;sans-serif"/>
          <w:b w:val="false"/>
          <w:color w:val="000000"/>
          <w:sz w:val="20"/>
        </w:rPr>
        <w:t>PROXIES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pStyle w:val="TextBody"/>
        <w:bidi w:val="0"/>
        <w:spacing w:lineRule="auto" w:line="333" w:before="0" w:after="180"/>
        <w:ind w:left="0" w:right="0" w:hanging="540"/>
        <w:jc w:val="left"/>
        <w:rPr/>
      </w:pPr>
      <w:r>
        <w:rPr>
          <w:rFonts w:ascii="Times New Roman;sans-serif" w:hAnsi="Times New Roman;sans-serif"/>
          <w:b/>
          <w:color w:val="000000"/>
          <w:sz w:val="20"/>
        </w:rPr>
        <w:t>2.13</w:t>
      </w:r>
      <w:r>
        <w:rPr>
          <w:color w:val="000000"/>
        </w:rPr>
        <w:t xml:space="preserve"> </w:t>
      </w:r>
      <w:r>
        <w:rPr>
          <w:rFonts w:ascii="Times New Roman;sans-serif" w:hAnsi="Times New Roman;sans-serif"/>
          <w:b w:val="false"/>
          <w:color w:val="000000"/>
          <w:sz w:val="20"/>
        </w:rPr>
        <w:t>LIST OF STOCKHOLDERS ENTITLED TO VOTE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prepare, no later than the tenth day before each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w:t>
      </w:r>
    </w:p>
    <w:p>
      <w:pPr>
        <w:pStyle w:val="TextBody"/>
        <w:bidi w:val="0"/>
        <w:spacing w:lineRule="auto" w:line="333" w:before="0" w:after="180"/>
        <w:ind w:left="0" w:right="0" w:hanging="360"/>
        <w:jc w:val="left"/>
        <w:rPr/>
      </w:pPr>
      <w:r>
        <w:rPr>
          <w:rFonts w:ascii="Times New Roman;sans-serif" w:hAnsi="Times New Roman;sans-serif"/>
          <w:b/>
          <w:color w:val="000000"/>
          <w:sz w:val="20"/>
        </w:rPr>
        <w:t>2.14</w:t>
      </w:r>
      <w:r>
        <w:rPr>
          <w:color w:val="000000"/>
        </w:rPr>
        <w:t xml:space="preserve"> </w:t>
      </w:r>
      <w:r>
        <w:rPr>
          <w:rFonts w:ascii="Times New Roman;sans-serif" w:hAnsi="Times New Roman;sans-serif"/>
          <w:b w:val="false"/>
          <w:color w:val="000000"/>
          <w:sz w:val="20"/>
        </w:rPr>
        <w:t>INSPECTORS OF ELECTION</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meeting of stockholders, the Company shall appoint an inspector or inspectors of election to act at the meeting or its adjournment. The Company may designate one or more persons as alternate inspectors to replace any inspector who fails to act.</w:t>
      </w:r>
    </w:p>
    <w:p>
      <w:pPr>
        <w:pStyle w:val="TextBody"/>
        <w:bidi w:val="0"/>
        <w:spacing w:lineRule="auto" w:line="333"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Such inspectors shall:</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ascertain the number of shares outstanding and the voting power of each;</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determine the shares represented at the meeting and the validity of proxies and ballots;</w:t>
      </w:r>
    </w:p>
    <w:p>
      <w:pPr>
        <w:pStyle w:val="TextBody"/>
        <w:bidi w:val="0"/>
        <w:spacing w:lineRule="auto" w:line="333" w:before="0" w:after="18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count all votes and ballots;</w:t>
      </w:r>
    </w:p>
    <w:p>
      <w:pPr>
        <w:pStyle w:val="TextBody"/>
        <w:bidi w:val="0"/>
        <w:spacing w:lineRule="auto" w:line="333" w:before="0" w:after="180"/>
        <w:ind w:left="0" w:right="0" w:firstLine="1440"/>
        <w:jc w:val="both"/>
        <w:rPr/>
      </w:pPr>
      <w:r>
        <w:rPr>
          <w:rFonts w:ascii="Times New Roman;sans-serif" w:hAnsi="Times New Roman;sans-serif"/>
          <w:b/>
          <w:color w:val="000000"/>
          <w:sz w:val="20"/>
        </w:rPr>
        <w:t>(d)</w:t>
      </w:r>
      <w:r>
        <w:rPr>
          <w:rFonts w:ascii="Times New Roman;sans-serif" w:hAnsi="Times New Roman;sans-serif"/>
          <w:b w:val="false"/>
          <w:color w:val="000000"/>
          <w:sz w:val="20"/>
        </w:rPr>
        <w:t>determine and retain for a reasonable period a record of the disposition of any challenges made to any determination by the inspectors; and</w:t>
      </w:r>
    </w:p>
    <w:p>
      <w:pPr>
        <w:pStyle w:val="TextBody"/>
        <w:bidi w:val="0"/>
        <w:spacing w:lineRule="auto" w:line="333" w:before="0" w:after="180"/>
        <w:ind w:left="0" w:right="0" w:firstLine="1440"/>
        <w:jc w:val="both"/>
        <w:rPr/>
      </w:pPr>
      <w:r>
        <w:rPr>
          <w:rFonts w:ascii="Times New Roman;sans-serif" w:hAnsi="Times New Roman;sans-serif"/>
          <w:b/>
          <w:color w:val="000000"/>
          <w:sz w:val="20"/>
        </w:rPr>
        <w:t>(e)</w:t>
      </w:r>
      <w:r>
        <w:rPr>
          <w:rFonts w:ascii="Times New Roman;sans-serif" w:hAnsi="Times New Roman;sans-serif"/>
          <w:b w:val="false"/>
          <w:color w:val="000000"/>
          <w:sz w:val="20"/>
        </w:rPr>
        <w:t>certify their determination of the number of shares represented at the meeting, and their count of all votes and ballots.</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w:t>
      </w:r>
      <w:r>
        <w:rPr>
          <w:color w:val="000000"/>
        </w:rPr>
        <w:t xml:space="preserve"> </w:t>
      </w:r>
      <w:r>
        <w:rPr>
          <w:rFonts w:ascii="Times New Roman;sans-serif" w:hAnsi="Times New Roman;sans-serif"/>
          <w:b w:val="false"/>
          <w:i/>
          <w:color w:val="000000"/>
          <w:sz w:val="20"/>
        </w:rPr>
        <w:t>prima facie</w:t>
      </w:r>
      <w:r>
        <w:rPr>
          <w:color w:val="000000"/>
        </w:rPr>
        <w:t xml:space="preserve"> </w:t>
      </w:r>
      <w:r>
        <w:rPr>
          <w:rFonts w:ascii="Times New Roman;sans-serif" w:hAnsi="Times New Roman;sans-serif"/>
          <w:b w:val="false"/>
          <w:color w:val="000000"/>
          <w:sz w:val="20"/>
        </w:rPr>
        <w:t>evidence of the facts stated therein.</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180" w:after="180"/>
        <w:jc w:val="center"/>
        <w:rPr/>
      </w:pPr>
      <w:r>
        <w:rPr>
          <w:rFonts w:ascii="Times New Roman;sans-serif" w:hAnsi="Times New Roman;sans-serif"/>
          <w:b/>
          <w:color w:val="000000"/>
          <w:sz w:val="20"/>
        </w:rPr>
        <w:t xml:space="preserve">ARTICLE III - </w:t>
      </w:r>
      <w:r>
        <w:rPr>
          <w:rFonts w:ascii="Times New Roman;sans-serif" w:hAnsi="Times New Roman;sans-serif"/>
          <w:b/>
          <w:color w:val="000000"/>
          <w:sz w:val="20"/>
        </w:rPr>
        <w:t>DIRECTORS</w:t>
      </w:r>
    </w:p>
    <w:p>
      <w:pPr>
        <w:pStyle w:val="TextBody"/>
        <w:bidi w:val="0"/>
        <w:spacing w:lineRule="auto" w:line="333" w:before="0" w:after="180"/>
        <w:ind w:left="0" w:right="0" w:hanging="360"/>
        <w:jc w:val="left"/>
        <w:rPr/>
      </w:pPr>
      <w:r>
        <w:rPr>
          <w:rFonts w:ascii="Times New Roman;sans-serif" w:hAnsi="Times New Roman;sans-serif"/>
          <w:b/>
          <w:color w:val="000000"/>
          <w:sz w:val="20"/>
        </w:rPr>
        <w:t>3.1</w:t>
      </w:r>
      <w:r>
        <w:rPr>
          <w:color w:val="000000"/>
        </w:rPr>
        <w:t xml:space="preserve"> </w:t>
      </w:r>
      <w:r>
        <w:rPr>
          <w:rFonts w:ascii="Times New Roman;sans-serif" w:hAnsi="Times New Roman;sans-serif"/>
          <w:b w:val="false"/>
          <w:color w:val="000000"/>
          <w:sz w:val="20"/>
        </w:rPr>
        <w:t>POWERS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and affairs of the Company shall be managed by or under the direction of the Board of Directors, except as may be otherwise provided in the DGCL or the certificate of incorporation.</w:t>
      </w:r>
    </w:p>
    <w:p>
      <w:pPr>
        <w:pStyle w:val="TextBody"/>
        <w:bidi w:val="0"/>
        <w:spacing w:lineRule="auto" w:line="333" w:before="0" w:after="180"/>
        <w:ind w:left="0" w:right="0" w:hanging="360"/>
        <w:jc w:val="left"/>
        <w:rPr/>
      </w:pPr>
      <w:r>
        <w:rPr>
          <w:rFonts w:ascii="Times New Roman;sans-serif" w:hAnsi="Times New Roman;sans-serif"/>
          <w:b/>
          <w:color w:val="000000"/>
          <w:sz w:val="20"/>
        </w:rPr>
        <w:t>3.2</w:t>
      </w:r>
      <w:r>
        <w:rPr>
          <w:color w:val="000000"/>
        </w:rPr>
        <w:t xml:space="preserve"> </w:t>
      </w:r>
      <w:r>
        <w:rPr>
          <w:rFonts w:ascii="Times New Roman;sans-serif" w:hAnsi="Times New Roman;sans-serif"/>
          <w:b w:val="false"/>
          <w:color w:val="000000"/>
          <w:sz w:val="20"/>
        </w:rPr>
        <w:t>NUMBER OF DIRECTORS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pStyle w:val="TextBody"/>
        <w:bidi w:val="0"/>
        <w:spacing w:lineRule="auto" w:line="333" w:before="0" w:after="180"/>
        <w:ind w:left="0" w:right="0" w:hanging="360"/>
        <w:jc w:val="left"/>
        <w:rPr/>
      </w:pPr>
      <w:r>
        <w:rPr>
          <w:rFonts w:ascii="Times New Roman;sans-serif" w:hAnsi="Times New Roman;sans-serif"/>
          <w:b/>
          <w:color w:val="000000"/>
          <w:sz w:val="20"/>
        </w:rPr>
        <w:t>3.3</w:t>
      </w:r>
      <w:r>
        <w:rPr>
          <w:color w:val="000000"/>
        </w:rPr>
        <w:t xml:space="preserve"> </w:t>
      </w:r>
      <w:r>
        <w:rPr>
          <w:rFonts w:ascii="Times New Roman;sans-serif" w:hAnsi="Times New Roman;sans-serif"/>
          <w:b w:val="false"/>
          <w:color w:val="000000"/>
          <w:sz w:val="20"/>
        </w:rPr>
        <w:t>ELECTION, QUALIFICATION AND TERM OF OFFICE OF DIRECTORS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pStyle w:val="TextBody"/>
        <w:bidi w:val="0"/>
        <w:spacing w:lineRule="auto" w:line="333"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so provided in the certificate of incorporation, the directors of the Company shall be divided into three classes.</w:t>
      </w:r>
    </w:p>
    <w:p>
      <w:pPr>
        <w:pStyle w:val="TextBody"/>
        <w:bidi w:val="0"/>
        <w:spacing w:lineRule="auto" w:line="333" w:before="0" w:after="180"/>
        <w:ind w:left="0" w:right="0" w:hanging="360"/>
        <w:jc w:val="left"/>
        <w:rPr/>
      </w:pPr>
      <w:r>
        <w:rPr>
          <w:rFonts w:ascii="Times New Roman;sans-serif" w:hAnsi="Times New Roman;sans-serif"/>
          <w:b/>
          <w:color w:val="000000"/>
          <w:sz w:val="20"/>
        </w:rPr>
        <w:t>3.4</w:t>
      </w:r>
      <w:r>
        <w:rPr>
          <w:color w:val="000000"/>
        </w:rPr>
        <w:t xml:space="preserve"> </w:t>
      </w:r>
      <w:r>
        <w:rPr>
          <w:rFonts w:ascii="Times New Roman;sans-serif" w:hAnsi="Times New Roman;sans-serif"/>
          <w:b w:val="false"/>
          <w:color w:val="000000"/>
          <w:sz w:val="20"/>
        </w:rPr>
        <w:t>RESIGNATION AND VACANCIES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pStyle w:val="TextBody"/>
        <w:bidi w:val="0"/>
        <w:spacing w:lineRule="auto" w:line="333" w:before="0" w:after="180"/>
        <w:ind w:left="0" w:right="0" w:hanging="360"/>
        <w:jc w:val="left"/>
        <w:rPr/>
      </w:pPr>
      <w:r>
        <w:rPr>
          <w:rFonts w:ascii="Times New Roman;sans-serif" w:hAnsi="Times New Roman;sans-serif"/>
          <w:b/>
          <w:color w:val="000000"/>
          <w:sz w:val="20"/>
        </w:rPr>
        <w:t>3.5</w:t>
      </w:r>
      <w:r>
        <w:rPr>
          <w:color w:val="000000"/>
        </w:rPr>
        <w:t xml:space="preserve"> </w:t>
      </w:r>
      <w:r>
        <w:rPr>
          <w:rFonts w:ascii="Times New Roman;sans-serif" w:hAnsi="Times New Roman;sans-serif"/>
          <w:b w:val="false"/>
          <w:color w:val="000000"/>
          <w:sz w:val="20"/>
        </w:rPr>
        <w:t>PLACE OF MEETINGS; MEETINGS BY TELEPHONE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hold meetings, both regular and special, either within or outside the State of Delaware.</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lineRule="auto" w:line="333" w:before="0" w:after="180"/>
        <w:ind w:left="0" w:right="0" w:hanging="360"/>
        <w:jc w:val="left"/>
        <w:rPr/>
      </w:pPr>
      <w:r>
        <w:rPr>
          <w:rFonts w:ascii="Times New Roman;sans-serif" w:hAnsi="Times New Roman;sans-serif"/>
          <w:b/>
          <w:color w:val="000000"/>
          <w:sz w:val="20"/>
        </w:rPr>
        <w:t>3.6</w:t>
      </w:r>
      <w:r>
        <w:rPr>
          <w:color w:val="000000"/>
        </w:rPr>
        <w:t xml:space="preserve"> </w:t>
      </w:r>
      <w:r>
        <w:rPr>
          <w:rFonts w:ascii="Times New Roman;sans-serif" w:hAnsi="Times New Roman;sans-serif"/>
          <w:b w:val="false"/>
          <w:color w:val="000000"/>
          <w:sz w:val="20"/>
        </w:rPr>
        <w:t>REGULAR MEETINGS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Regular meetings of the Board of Directors may be held without notice at such time and at such place as shall from time to time be determined by the Board of Directors.</w:t>
      </w:r>
    </w:p>
    <w:p>
      <w:pPr>
        <w:pStyle w:val="TextBody"/>
        <w:bidi w:val="0"/>
        <w:spacing w:lineRule="auto" w:line="333" w:before="0" w:after="180"/>
        <w:ind w:left="0" w:right="0" w:hanging="360"/>
        <w:jc w:val="left"/>
        <w:rPr/>
      </w:pPr>
      <w:r>
        <w:rPr>
          <w:rFonts w:ascii="Times New Roman;sans-serif" w:hAnsi="Times New Roman;sans-serif"/>
          <w:b/>
          <w:color w:val="000000"/>
          <w:sz w:val="20"/>
        </w:rPr>
        <w:t>3.7</w:t>
      </w:r>
      <w:r>
        <w:rPr>
          <w:color w:val="000000"/>
        </w:rPr>
        <w:t xml:space="preserve"> </w:t>
      </w:r>
      <w:r>
        <w:rPr>
          <w:rFonts w:ascii="Times New Roman;sans-serif" w:hAnsi="Times New Roman;sans-serif"/>
          <w:b w:val="false"/>
          <w:color w:val="000000"/>
          <w:sz w:val="20"/>
        </w:rPr>
        <w:t>SPECIAL MEETINGS; NOTICE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Special meetings of the Board of Directors for any purpose or purposes may be called at any time by the chairperson of the Board of Directors, the chief executive officer, the president, or the Secretary or by a majority of the Whole Board; provided, that the person(s) authorized to call a special meeting of the Board of Directors may authorize another person or persons to send notice of such meeting.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Notice of the time and place of special meetings shall be:</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delivered personally by hand, by courier or by telephone;</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sent by United States first-class mail, postage prepaid;</w:t>
      </w:r>
    </w:p>
    <w:p>
      <w:pPr>
        <w:pStyle w:val="TextBody"/>
        <w:bidi w:val="0"/>
        <w:spacing w:lineRule="auto" w:line="333" w:before="0" w:after="18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sent by facsimile;</w:t>
      </w:r>
    </w:p>
    <w:p>
      <w:pPr>
        <w:pStyle w:val="TextBody"/>
        <w:bidi w:val="0"/>
        <w:spacing w:lineRule="auto" w:line="333" w:before="0" w:after="180"/>
        <w:ind w:left="0" w:right="0" w:firstLine="1440"/>
        <w:jc w:val="both"/>
        <w:rPr/>
      </w:pPr>
      <w:r>
        <w:rPr>
          <w:rFonts w:ascii="Times New Roman;sans-serif" w:hAnsi="Times New Roman;sans-serif"/>
          <w:b/>
          <w:color w:val="000000"/>
          <w:sz w:val="20"/>
        </w:rPr>
        <w:t>(d)</w:t>
      </w:r>
      <w:r>
        <w:rPr>
          <w:rFonts w:ascii="Times New Roman;sans-serif" w:hAnsi="Times New Roman;sans-serif"/>
          <w:b w:val="false"/>
          <w:color w:val="000000"/>
          <w:sz w:val="20"/>
        </w:rPr>
        <w:t>sent by electronic mail; or</w:t>
      </w:r>
    </w:p>
    <w:p>
      <w:pPr>
        <w:pStyle w:val="TextBody"/>
        <w:bidi w:val="0"/>
        <w:spacing w:lineRule="auto" w:line="333" w:before="0" w:after="180"/>
        <w:ind w:left="0" w:right="0" w:firstLine="1440"/>
        <w:jc w:val="both"/>
        <w:rPr/>
      </w:pPr>
      <w:r>
        <w:rPr>
          <w:rFonts w:ascii="Times New Roman;sans-serif" w:hAnsi="Times New Roman;sans-serif"/>
          <w:b/>
          <w:color w:val="000000"/>
          <w:sz w:val="20"/>
        </w:rPr>
        <w:t>(e)</w:t>
      </w:r>
      <w:r>
        <w:rPr>
          <w:rFonts w:ascii="Times New Roman;sans-serif" w:hAnsi="Times New Roman;sans-serif"/>
          <w:b w:val="false"/>
          <w:color w:val="000000"/>
          <w:sz w:val="20"/>
        </w:rPr>
        <w:t>otherwise given by electronic transmission (as defined in Section 232 of the DGCL),</w: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directed to each director at that director’s address, telephone number, facsimile number, electronic mail address or other contact for notice by electronic transmission, as the case may be, as shown on the Company’s records.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pStyle w:val="TextBody"/>
        <w:bidi w:val="0"/>
        <w:spacing w:lineRule="auto" w:line="333" w:before="0" w:after="180"/>
        <w:ind w:left="0" w:right="0" w:hanging="360"/>
        <w:jc w:val="left"/>
        <w:rPr/>
      </w:pPr>
      <w:r>
        <w:rPr>
          <w:rFonts w:ascii="Times New Roman;sans-serif" w:hAnsi="Times New Roman;sans-serif"/>
          <w:b/>
          <w:color w:val="000000"/>
          <w:sz w:val="20"/>
        </w:rPr>
        <w:t>3.8</w:t>
      </w:r>
      <w:r>
        <w:rPr>
          <w:color w:val="000000"/>
        </w:rPr>
        <w:t xml:space="preserve"> </w:t>
      </w:r>
      <w:r>
        <w:rPr>
          <w:rFonts w:ascii="Times New Roman;sans-serif" w:hAnsi="Times New Roman;sans-serif"/>
          <w:b w:val="false"/>
          <w:color w:val="000000"/>
          <w:sz w:val="20"/>
        </w:rPr>
        <w:t>QUORUM; VOTING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pStyle w:val="TextBody"/>
        <w:bidi w:val="0"/>
        <w:spacing w:lineRule="auto" w:line="333" w:before="0" w:after="180"/>
        <w:ind w:left="0" w:right="0" w:hanging="360"/>
        <w:jc w:val="left"/>
        <w:rPr/>
      </w:pPr>
      <w:r>
        <w:rPr>
          <w:rFonts w:ascii="Times New Roman;sans-serif" w:hAnsi="Times New Roman;sans-serif"/>
          <w:b/>
          <w:color w:val="000000"/>
          <w:sz w:val="20"/>
        </w:rPr>
        <w:t>3.9</w:t>
      </w:r>
      <w:r>
        <w:rPr>
          <w:color w:val="000000"/>
        </w:rPr>
        <w:t xml:space="preserve"> </w:t>
      </w:r>
      <w:r>
        <w:rPr>
          <w:rFonts w:ascii="Times New Roman;sans-serif" w:hAnsi="Times New Roman;sans-serif"/>
          <w:b w:val="false"/>
          <w:color w:val="000000"/>
          <w:sz w:val="20"/>
        </w:rPr>
        <w:t>BOARD ACTION BY WRITTEN CONSENT WITHOUT A MEETING</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pStyle w:val="TextBody"/>
        <w:bidi w:val="0"/>
        <w:spacing w:lineRule="auto" w:line="333" w:before="0" w:after="180"/>
        <w:ind w:left="0" w:right="0" w:hanging="360"/>
        <w:jc w:val="left"/>
        <w:rPr/>
      </w:pPr>
      <w:r>
        <w:rPr>
          <w:rFonts w:ascii="Times New Roman;sans-serif" w:hAnsi="Times New Roman;sans-serif"/>
          <w:b/>
          <w:color w:val="000000"/>
          <w:sz w:val="20"/>
        </w:rPr>
        <w:t>3.10</w:t>
      </w:r>
      <w:r>
        <w:rPr>
          <w:color w:val="000000"/>
        </w:rPr>
        <w:t xml:space="preserve"> </w:t>
      </w:r>
      <w:r>
        <w:rPr>
          <w:rFonts w:ascii="Times New Roman;sans-serif" w:hAnsi="Times New Roman;sans-serif"/>
          <w:b w:val="false"/>
          <w:color w:val="000000"/>
          <w:sz w:val="20"/>
        </w:rPr>
        <w:t>FEES AND COMPENSATION OF DIRECTORS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the Board of Directors shall have the authority to fix the compensation of directors.</w:t>
      </w:r>
    </w:p>
    <w:p>
      <w:pPr>
        <w:pStyle w:val="TextBody"/>
        <w:bidi w:val="0"/>
        <w:spacing w:lineRule="auto" w:line="333" w:before="0" w:after="180"/>
        <w:ind w:left="0" w:right="0" w:hanging="360"/>
        <w:jc w:val="left"/>
        <w:rPr/>
      </w:pPr>
      <w:r>
        <w:rPr>
          <w:rFonts w:ascii="Times New Roman;sans-serif" w:hAnsi="Times New Roman;sans-serif"/>
          <w:b/>
          <w:color w:val="000000"/>
          <w:sz w:val="20"/>
        </w:rPr>
        <w:t>3.11</w:t>
      </w:r>
      <w:r>
        <w:rPr>
          <w:color w:val="000000"/>
        </w:rPr>
        <w:t xml:space="preserve"> </w:t>
      </w:r>
      <w:r>
        <w:rPr>
          <w:rFonts w:ascii="Times New Roman;sans-serif" w:hAnsi="Times New Roman;sans-serif"/>
          <w:b w:val="false"/>
          <w:color w:val="000000"/>
          <w:sz w:val="20"/>
        </w:rPr>
        <w:t>REMOVAL OF DIRECTORS</w: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pStyle w:val="TextBody"/>
        <w:bidi w:val="0"/>
        <w:spacing w:lineRule="auto" w:line="333" w:before="180" w:after="180"/>
        <w:jc w:val="center"/>
        <w:rPr/>
      </w:pPr>
      <w:r>
        <w:rPr>
          <w:rFonts w:ascii="Times New Roman;sans-serif" w:hAnsi="Times New Roman;sans-serif"/>
          <w:b/>
          <w:color w:val="000000"/>
          <w:sz w:val="20"/>
        </w:rPr>
        <w:t xml:space="preserve">ARTICLE IV - </w:t>
      </w:r>
      <w:r>
        <w:rPr>
          <w:rFonts w:ascii="Times New Roman;sans-serif" w:hAnsi="Times New Roman;sans-serif"/>
          <w:b/>
          <w:color w:val="000000"/>
          <w:sz w:val="20"/>
        </w:rPr>
        <w:t>COMMITTEES</w:t>
      </w:r>
    </w:p>
    <w:p>
      <w:pPr>
        <w:pStyle w:val="TextBody"/>
        <w:bidi w:val="0"/>
        <w:spacing w:lineRule="auto" w:line="333" w:before="0" w:after="180"/>
        <w:ind w:left="0" w:right="0" w:hanging="7"/>
        <w:jc w:val="left"/>
        <w:rPr/>
      </w:pPr>
      <w:r>
        <w:rPr>
          <w:rFonts w:ascii="Times New Roman;sans-serif" w:hAnsi="Times New Roman;sans-serif"/>
          <w:b/>
          <w:color w:val="000000"/>
          <w:sz w:val="20"/>
        </w:rPr>
        <w:t>4.1</w:t>
      </w:r>
      <w:r>
        <w:rPr>
          <w:color w:val="000000"/>
        </w:rPr>
        <w:t xml:space="preserve"> </w:t>
      </w:r>
      <w:r>
        <w:rPr>
          <w:rFonts w:ascii="Times New Roman;sans-serif" w:hAnsi="Times New Roman;sans-serif"/>
          <w:b w:val="false"/>
          <w:color w:val="000000"/>
          <w:sz w:val="20"/>
        </w:rPr>
        <w:t>COMMITTEES OF DIRECTORS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4.2</w:t>
      </w:r>
      <w:r>
        <w:rPr>
          <w:color w:val="000000"/>
        </w:rPr>
        <w:t xml:space="preserve"> </w:t>
      </w:r>
      <w:r>
        <w:rPr>
          <w:rFonts w:ascii="Times New Roman;sans-serif" w:hAnsi="Times New Roman;sans-serif"/>
          <w:b w:val="false"/>
          <w:color w:val="000000"/>
          <w:sz w:val="20"/>
        </w:rPr>
        <w:t>COMMITTEE MINUTES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committee and subcommittee shall keep regular minutes of its meetings.</w:t>
      </w:r>
    </w:p>
    <w:p>
      <w:pPr>
        <w:pStyle w:val="TextBody"/>
        <w:bidi w:val="0"/>
        <w:spacing w:lineRule="auto" w:line="333" w:before="0" w:after="180"/>
        <w:ind w:left="0" w:right="0" w:hanging="360"/>
        <w:jc w:val="left"/>
        <w:rPr/>
      </w:pPr>
      <w:r>
        <w:rPr>
          <w:rFonts w:ascii="Times New Roman;sans-serif" w:hAnsi="Times New Roman;sans-serif"/>
          <w:b/>
          <w:color w:val="000000"/>
          <w:sz w:val="20"/>
        </w:rPr>
        <w:t>4.3</w:t>
      </w:r>
      <w:r>
        <w:rPr>
          <w:color w:val="000000"/>
        </w:rPr>
        <w:t xml:space="preserve"> </w:t>
      </w:r>
      <w:r>
        <w:rPr>
          <w:rFonts w:ascii="Times New Roman;sans-serif" w:hAnsi="Times New Roman;sans-serif"/>
          <w:b w:val="false"/>
          <w:color w:val="000000"/>
          <w:sz w:val="20"/>
        </w:rPr>
        <w:t>MEETINGS AND ACTION OF COMMITTEES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specified by the Board of Directors, meetings and actions of committees and subcommittees shall be governed by, and held and taken in accordance with, the provisions of:</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Section 3.5 (place of meetings and meetings by telephone);</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Section 3.6 (regular meetings);</w:t>
      </w:r>
    </w:p>
    <w:p>
      <w:pPr>
        <w:pStyle w:val="TextBody"/>
        <w:bidi w:val="0"/>
        <w:spacing w:lineRule="auto" w:line="333" w:before="0" w:after="18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Section 3.7 (special meetings and notice);</w:t>
      </w:r>
    </w:p>
    <w:p>
      <w:pPr>
        <w:pStyle w:val="TextBody"/>
        <w:bidi w:val="0"/>
        <w:spacing w:lineRule="auto" w:line="333" w:before="0" w:after="180"/>
        <w:ind w:left="0" w:right="0" w:firstLine="1440"/>
        <w:jc w:val="both"/>
        <w:rPr/>
      </w:pPr>
      <w:r>
        <w:rPr>
          <w:rFonts w:ascii="Times New Roman;sans-serif" w:hAnsi="Times New Roman;sans-serif"/>
          <w:b/>
          <w:color w:val="000000"/>
          <w:sz w:val="20"/>
        </w:rPr>
        <w:t>(d)</w:t>
      </w:r>
      <w:r>
        <w:rPr>
          <w:rFonts w:ascii="Times New Roman;sans-serif" w:hAnsi="Times New Roman;sans-serif"/>
          <w:b w:val="false"/>
          <w:color w:val="000000"/>
          <w:sz w:val="20"/>
        </w:rPr>
        <w:t>Section 3.8 (quorum; voting);</w:t>
      </w:r>
    </w:p>
    <w:p>
      <w:pPr>
        <w:pStyle w:val="TextBody"/>
        <w:bidi w:val="0"/>
        <w:spacing w:lineRule="auto" w:line="333" w:before="0" w:after="180"/>
        <w:ind w:left="0" w:right="0" w:firstLine="1440"/>
        <w:jc w:val="both"/>
        <w:rPr/>
      </w:pPr>
      <w:r>
        <w:rPr>
          <w:rFonts w:ascii="Times New Roman;sans-serif" w:hAnsi="Times New Roman;sans-serif"/>
          <w:b/>
          <w:color w:val="000000"/>
          <w:sz w:val="20"/>
        </w:rPr>
        <w:t>(e)</w:t>
      </w:r>
      <w:r>
        <w:rPr>
          <w:rFonts w:ascii="Times New Roman;sans-serif" w:hAnsi="Times New Roman;sans-serif"/>
          <w:b w:val="false"/>
          <w:color w:val="000000"/>
          <w:sz w:val="20"/>
        </w:rPr>
        <w:t>Section 3.9 (action without a meeting); and</w:t>
      </w:r>
    </w:p>
    <w:p>
      <w:pPr>
        <w:pStyle w:val="TextBody"/>
        <w:bidi w:val="0"/>
        <w:spacing w:lineRule="auto" w:line="333" w:before="0" w:after="180"/>
        <w:ind w:left="0" w:right="0" w:firstLine="1440"/>
        <w:jc w:val="both"/>
        <w:rPr/>
      </w:pPr>
      <w:r>
        <w:rPr>
          <w:rFonts w:ascii="Times New Roman;sans-serif" w:hAnsi="Times New Roman;sans-serif"/>
          <w:b/>
          <w:color w:val="000000"/>
          <w:sz w:val="20"/>
        </w:rPr>
        <w:t>(f)</w:t>
      </w:r>
      <w:r>
        <w:rPr>
          <w:rFonts w:ascii="Times New Roman;sans-serif" w:hAnsi="Times New Roman;sans-serif"/>
          <w:b w:val="false"/>
          <w:color w:val="000000"/>
          <w:sz w:val="20"/>
        </w:rPr>
        <w:t>Section 7.4 (waiver of notice)</w: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pStyle w:val="TextBody"/>
        <w:bidi w:val="0"/>
        <w:spacing w:lineRule="auto" w:line="333" w:before="0" w:after="180"/>
        <w:ind w:left="0" w:right="0" w:hanging="360"/>
        <w:jc w:val="left"/>
        <w:rPr/>
      </w:pPr>
      <w:r>
        <w:rPr>
          <w:rFonts w:ascii="Times New Roman;sans-serif" w:hAnsi="Times New Roman;sans-serif"/>
          <w:b/>
          <w:color w:val="000000"/>
          <w:sz w:val="20"/>
        </w:rPr>
        <w:t>4.4</w:t>
      </w:r>
      <w:r>
        <w:rPr>
          <w:color w:val="000000"/>
        </w:rPr>
        <w:t xml:space="preserve"> </w:t>
      </w:r>
      <w:r>
        <w:rPr>
          <w:rFonts w:ascii="Times New Roman;sans-serif" w:hAnsi="Times New Roman;sans-serif"/>
          <w:b w:val="false"/>
          <w:color w:val="000000"/>
          <w:sz w:val="20"/>
        </w:rPr>
        <w:t>SUBCOMMITTEES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pStyle w:val="TextBody"/>
        <w:bidi w:val="0"/>
        <w:spacing w:lineRule="auto" w:line="333" w:before="180" w:after="180"/>
        <w:jc w:val="center"/>
        <w:rPr/>
      </w:pPr>
      <w:r>
        <w:rPr>
          <w:rFonts w:ascii="Times New Roman;sans-serif" w:hAnsi="Times New Roman;sans-serif"/>
          <w:b/>
          <w:color w:val="000000"/>
          <w:sz w:val="20"/>
        </w:rPr>
        <w:t xml:space="preserve">ARTICLE V - </w:t>
      </w:r>
      <w:r>
        <w:rPr>
          <w:rFonts w:ascii="Times New Roman;sans-serif" w:hAnsi="Times New Roman;sans-serif"/>
          <w:b/>
          <w:color w:val="000000"/>
          <w:sz w:val="20"/>
        </w:rPr>
        <w:t>OFFICERS</w:t>
      </w:r>
    </w:p>
    <w:p>
      <w:pPr>
        <w:pStyle w:val="TextBody"/>
        <w:bidi w:val="0"/>
        <w:spacing w:lineRule="auto" w:line="333" w:before="0" w:after="180"/>
        <w:ind w:left="0" w:right="0" w:hanging="360"/>
        <w:jc w:val="left"/>
        <w:rPr/>
      </w:pPr>
      <w:r>
        <w:rPr>
          <w:rFonts w:ascii="Times New Roman;sans-serif" w:hAnsi="Times New Roman;sans-serif"/>
          <w:b/>
          <w:color w:val="000000"/>
          <w:sz w:val="20"/>
        </w:rPr>
        <w:t>5.1</w:t>
      </w:r>
      <w:r>
        <w:rPr>
          <w:color w:val="000000"/>
        </w:rPr>
        <w:t xml:space="preserve"> </w:t>
      </w:r>
      <w:r>
        <w:rPr>
          <w:rFonts w:ascii="Times New Roman;sans-serif" w:hAnsi="Times New Roman;sans-serif"/>
          <w:b w:val="false"/>
          <w:color w:val="000000"/>
          <w:sz w:val="20"/>
        </w:rPr>
        <w:t>OFFICERS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5.2</w:t>
      </w:r>
      <w:r>
        <w:rPr>
          <w:color w:val="000000"/>
        </w:rPr>
        <w:t xml:space="preserve"> </w:t>
      </w:r>
      <w:r>
        <w:rPr>
          <w:rFonts w:ascii="Times New Roman;sans-serif" w:hAnsi="Times New Roman;sans-serif"/>
          <w:b w:val="false"/>
          <w:color w:val="000000"/>
          <w:sz w:val="20"/>
        </w:rPr>
        <w:t>APPOINTMENT OF OFFICERS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appoint the officers of the Company, except such officers as may be appointed in accordance with the provisions of Section 5.3 of these bylaws, subject to the rights, if any, of an officer under any contract of employment.</w:t>
      </w:r>
    </w:p>
    <w:p>
      <w:pPr>
        <w:pStyle w:val="TextBody"/>
        <w:bidi w:val="0"/>
        <w:spacing w:lineRule="auto" w:line="333" w:before="0" w:after="180"/>
        <w:ind w:left="0" w:right="0" w:hanging="360"/>
        <w:jc w:val="left"/>
        <w:rPr/>
      </w:pPr>
      <w:r>
        <w:rPr>
          <w:rFonts w:ascii="Times New Roman;sans-serif" w:hAnsi="Times New Roman;sans-serif"/>
          <w:b/>
          <w:color w:val="000000"/>
          <w:sz w:val="20"/>
        </w:rPr>
        <w:t>5.3</w:t>
      </w:r>
      <w:r>
        <w:rPr>
          <w:color w:val="000000"/>
        </w:rPr>
        <w:t xml:space="preserve"> </w:t>
      </w:r>
      <w:r>
        <w:rPr>
          <w:rFonts w:ascii="Times New Roman;sans-serif" w:hAnsi="Times New Roman;sans-serif"/>
          <w:b w:val="false"/>
          <w:color w:val="000000"/>
          <w:sz w:val="20"/>
        </w:rPr>
        <w:t>SUBORDINATE OFFICERS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pStyle w:val="TextBody"/>
        <w:bidi w:val="0"/>
        <w:spacing w:lineRule="auto" w:line="333" w:before="0" w:after="180"/>
        <w:ind w:left="0" w:right="0" w:hanging="360"/>
        <w:jc w:val="left"/>
        <w:rPr/>
      </w:pPr>
      <w:r>
        <w:rPr>
          <w:rFonts w:ascii="Times New Roman;sans-serif" w:hAnsi="Times New Roman;sans-serif"/>
          <w:b/>
          <w:color w:val="000000"/>
          <w:sz w:val="20"/>
        </w:rPr>
        <w:t>5.4</w:t>
      </w:r>
      <w:r>
        <w:rPr>
          <w:color w:val="000000"/>
        </w:rPr>
        <w:t xml:space="preserve"> </w:t>
      </w:r>
      <w:r>
        <w:rPr>
          <w:rFonts w:ascii="Times New Roman;sans-serif" w:hAnsi="Times New Roman;sans-serif"/>
          <w:b w:val="false"/>
          <w:color w:val="000000"/>
          <w:sz w:val="20"/>
        </w:rPr>
        <w:t>REMOVAL AND RESIGNATION OF OFFICERS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pStyle w:val="TextBody"/>
        <w:bidi w:val="0"/>
        <w:spacing w:lineRule="auto" w:line="333" w:before="0" w:after="180"/>
        <w:ind w:left="0" w:right="0" w:hanging="360"/>
        <w:jc w:val="left"/>
        <w:rPr/>
      </w:pPr>
      <w:r>
        <w:rPr>
          <w:rFonts w:ascii="Times New Roman;sans-serif" w:hAnsi="Times New Roman;sans-serif"/>
          <w:b/>
          <w:color w:val="000000"/>
          <w:sz w:val="20"/>
        </w:rPr>
        <w:t>5.5</w:t>
      </w:r>
      <w:r>
        <w:rPr>
          <w:color w:val="000000"/>
        </w:rPr>
        <w:t xml:space="preserve"> </w:t>
      </w:r>
      <w:r>
        <w:rPr>
          <w:rFonts w:ascii="Times New Roman;sans-serif" w:hAnsi="Times New Roman;sans-serif"/>
          <w:b w:val="false"/>
          <w:color w:val="000000"/>
          <w:sz w:val="20"/>
        </w:rPr>
        <w:t>VACANCIES IN OFFICES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vacancy occurring in any office of the Company shall be filled by the Board of Directors or as provided in Section 5.3.</w:t>
      </w:r>
    </w:p>
    <w:p>
      <w:pPr>
        <w:pStyle w:val="TextBody"/>
        <w:bidi w:val="0"/>
        <w:spacing w:lineRule="auto" w:line="333" w:before="0" w:after="180"/>
        <w:ind w:left="0" w:right="0" w:hanging="360"/>
        <w:jc w:val="left"/>
        <w:rPr/>
      </w:pPr>
      <w:r>
        <w:rPr>
          <w:rFonts w:ascii="Times New Roman;sans-serif" w:hAnsi="Times New Roman;sans-serif"/>
          <w:b/>
          <w:color w:val="000000"/>
          <w:sz w:val="20"/>
        </w:rPr>
        <w:t>5.6</w:t>
      </w:r>
      <w:r>
        <w:rPr>
          <w:color w:val="000000"/>
        </w:rPr>
        <w:t xml:space="preserve"> </w:t>
      </w:r>
      <w:r>
        <w:rPr>
          <w:rFonts w:ascii="Times New Roman;sans-serif" w:hAnsi="Times New Roman;sans-serif"/>
          <w:b w:val="false"/>
          <w:color w:val="000000"/>
          <w:sz w:val="20"/>
        </w:rPr>
        <w:t>REPRESENTATION OF SECURITIES OF OTHER ENTITIES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pStyle w:val="TextBody"/>
        <w:bidi w:val="0"/>
        <w:spacing w:lineRule="auto" w:line="333" w:before="0" w:after="180"/>
        <w:ind w:left="0" w:right="0" w:hanging="360"/>
        <w:jc w:val="left"/>
        <w:rPr/>
      </w:pPr>
      <w:r>
        <w:rPr>
          <w:rFonts w:ascii="Times New Roman;sans-serif" w:hAnsi="Times New Roman;sans-serif"/>
          <w:b/>
          <w:color w:val="000000"/>
          <w:sz w:val="20"/>
        </w:rPr>
        <w:t>5.7</w:t>
      </w:r>
      <w:r>
        <w:rPr>
          <w:color w:val="000000"/>
        </w:rPr>
        <w:t xml:space="preserve"> </w:t>
      </w:r>
      <w:r>
        <w:rPr>
          <w:rFonts w:ascii="Times New Roman;sans-serif" w:hAnsi="Times New Roman;sans-serif"/>
          <w:b w:val="false"/>
          <w:color w:val="000000"/>
          <w:sz w:val="20"/>
        </w:rPr>
        <w:t>AUTHORITY AND DUTIES OF OFFICERS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180" w:after="180"/>
        <w:jc w:val="center"/>
        <w:rPr/>
      </w:pPr>
      <w:r>
        <w:rPr>
          <w:rFonts w:ascii="Times New Roman;sans-serif" w:hAnsi="Times New Roman;sans-serif"/>
          <w:b/>
          <w:color w:val="000000"/>
          <w:sz w:val="20"/>
        </w:rPr>
        <w:t xml:space="preserve">ARTICLE VI - </w:t>
      </w:r>
      <w:r>
        <w:rPr>
          <w:rFonts w:ascii="Times New Roman;sans-serif" w:hAnsi="Times New Roman;sans-serif"/>
          <w:b/>
          <w:color w:val="000000"/>
          <w:sz w:val="20"/>
        </w:rPr>
        <w:t>STOCK</w:t>
      </w:r>
    </w:p>
    <w:p>
      <w:pPr>
        <w:pStyle w:val="TextBody"/>
        <w:bidi w:val="0"/>
        <w:spacing w:lineRule="auto" w:line="333" w:before="0" w:after="180"/>
        <w:ind w:left="0" w:right="0" w:hanging="360"/>
        <w:jc w:val="left"/>
        <w:rPr/>
      </w:pPr>
      <w:r>
        <w:rPr>
          <w:rFonts w:ascii="Times New Roman;sans-serif" w:hAnsi="Times New Roman;sans-serif"/>
          <w:b/>
          <w:color w:val="000000"/>
          <w:sz w:val="20"/>
        </w:rPr>
        <w:t>6.1</w:t>
      </w:r>
      <w:r>
        <w:rPr>
          <w:color w:val="000000"/>
        </w:rPr>
        <w:t xml:space="preserve"> </w:t>
      </w:r>
      <w:r>
        <w:rPr>
          <w:rFonts w:ascii="Times New Roman;sans-serif" w:hAnsi="Times New Roman;sans-serif"/>
          <w:b w:val="false"/>
          <w:color w:val="000000"/>
          <w:sz w:val="20"/>
        </w:rPr>
        <w:t>STOCK CERTIFICATES; PARTLY PAID SHARES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pStyle w:val="TextBody"/>
        <w:bidi w:val="0"/>
        <w:spacing w:lineRule="auto" w:line="333" w:before="0" w:after="180"/>
        <w:ind w:left="0" w:right="0" w:hanging="360"/>
        <w:jc w:val="left"/>
        <w:rPr/>
      </w:pPr>
      <w:r>
        <w:rPr>
          <w:rFonts w:ascii="Times New Roman;sans-serif" w:hAnsi="Times New Roman;sans-serif"/>
          <w:b/>
          <w:color w:val="000000"/>
          <w:sz w:val="20"/>
        </w:rPr>
        <w:t>6.2</w:t>
      </w:r>
      <w:r>
        <w:rPr>
          <w:color w:val="000000"/>
        </w:rPr>
        <w:t xml:space="preserve"> </w:t>
      </w:r>
      <w:r>
        <w:rPr>
          <w:rFonts w:ascii="Times New Roman;sans-serif" w:hAnsi="Times New Roman;sans-serif"/>
          <w:b w:val="false"/>
          <w:color w:val="000000"/>
          <w:sz w:val="20"/>
        </w:rPr>
        <w:t>SPECIAL DESIGNATION ON CERTIFICATES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pStyle w:val="TextBody"/>
        <w:bidi w:val="0"/>
        <w:spacing w:lineRule="auto" w:line="333" w:before="0" w:after="180"/>
        <w:ind w:left="0" w:right="0" w:hanging="360"/>
        <w:jc w:val="left"/>
        <w:rPr/>
      </w:pPr>
      <w:r>
        <w:rPr>
          <w:rFonts w:ascii="Times New Roman;sans-serif" w:hAnsi="Times New Roman;sans-serif"/>
          <w:b/>
          <w:color w:val="000000"/>
          <w:sz w:val="20"/>
        </w:rPr>
        <w:t>6.3</w:t>
      </w:r>
      <w:r>
        <w:rPr>
          <w:color w:val="000000"/>
        </w:rPr>
        <w:t xml:space="preserve"> </w:t>
      </w:r>
      <w:r>
        <w:rPr>
          <w:rFonts w:ascii="Times New Roman;sans-serif" w:hAnsi="Times New Roman;sans-serif"/>
          <w:b w:val="false"/>
          <w:color w:val="000000"/>
          <w:sz w:val="20"/>
        </w:rPr>
        <w:t>LOST CERTIFICATES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333" w:before="0" w:after="180"/>
        <w:ind w:left="0" w:right="0" w:hanging="360"/>
        <w:jc w:val="left"/>
        <w:rPr/>
      </w:pPr>
      <w:r>
        <w:rPr>
          <w:rFonts w:ascii="Times New Roman;sans-serif" w:hAnsi="Times New Roman;sans-serif"/>
          <w:b/>
          <w:color w:val="000000"/>
          <w:sz w:val="20"/>
        </w:rPr>
        <w:t>6.4</w:t>
      </w:r>
      <w:r>
        <w:rPr>
          <w:color w:val="000000"/>
        </w:rPr>
        <w:t xml:space="preserve"> </w:t>
      </w:r>
      <w:r>
        <w:rPr>
          <w:rFonts w:ascii="Times New Roman;sans-serif" w:hAnsi="Times New Roman;sans-serif"/>
          <w:b w:val="false"/>
          <w:color w:val="000000"/>
          <w:sz w:val="20"/>
        </w:rPr>
        <w:t>DIVIDENDS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pStyle w:val="TextBody"/>
        <w:bidi w:val="0"/>
        <w:spacing w:lineRule="auto" w:line="333" w:before="0" w:after="180"/>
        <w:ind w:left="0" w:right="0" w:hanging="360"/>
        <w:jc w:val="left"/>
        <w:rPr/>
      </w:pPr>
      <w:r>
        <w:rPr>
          <w:rFonts w:ascii="Times New Roman;sans-serif" w:hAnsi="Times New Roman;sans-serif"/>
          <w:b/>
          <w:color w:val="000000"/>
          <w:sz w:val="20"/>
        </w:rPr>
        <w:t>6.5</w:t>
      </w:r>
      <w:r>
        <w:rPr>
          <w:color w:val="000000"/>
        </w:rPr>
        <w:t xml:space="preserve"> </w:t>
      </w:r>
      <w:r>
        <w:rPr>
          <w:rFonts w:ascii="Times New Roman;sans-serif" w:hAnsi="Times New Roman;sans-serif"/>
          <w:b w:val="false"/>
          <w:color w:val="000000"/>
          <w:sz w:val="20"/>
        </w:rPr>
        <w:t>TRANSFER OF STOCK</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pStyle w:val="TextBody"/>
        <w:bidi w:val="0"/>
        <w:spacing w:lineRule="auto" w:line="333" w:before="0" w:after="180"/>
        <w:ind w:left="0" w:right="0" w:hanging="360"/>
        <w:jc w:val="left"/>
        <w:rPr/>
      </w:pPr>
      <w:r>
        <w:rPr>
          <w:rFonts w:ascii="Times New Roman;sans-serif" w:hAnsi="Times New Roman;sans-serif"/>
          <w:b/>
          <w:color w:val="000000"/>
          <w:sz w:val="20"/>
        </w:rPr>
        <w:t>6.6</w:t>
      </w:r>
      <w:r>
        <w:rPr>
          <w:color w:val="000000"/>
        </w:rPr>
        <w:t xml:space="preserve"> </w:t>
      </w:r>
      <w:r>
        <w:rPr>
          <w:rFonts w:ascii="Times New Roman;sans-serif" w:hAnsi="Times New Roman;sans-serif"/>
          <w:b w:val="false"/>
          <w:color w:val="000000"/>
          <w:sz w:val="20"/>
        </w:rPr>
        <w:t>STOCK TRANSFER AGREEMENTS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pStyle w:val="TextBody"/>
        <w:bidi w:val="0"/>
        <w:spacing w:lineRule="auto" w:line="333" w:before="0" w:after="180"/>
        <w:ind w:left="0" w:right="0" w:hanging="360"/>
        <w:jc w:val="left"/>
        <w:rPr/>
      </w:pPr>
      <w:r>
        <w:rPr>
          <w:rFonts w:ascii="Times New Roman;sans-serif" w:hAnsi="Times New Roman;sans-serif"/>
          <w:b/>
          <w:color w:val="000000"/>
          <w:sz w:val="20"/>
        </w:rPr>
        <w:t>6.7</w:t>
      </w:r>
      <w:r>
        <w:rPr>
          <w:color w:val="000000"/>
        </w:rPr>
        <w:t xml:space="preserve"> </w:t>
      </w:r>
      <w:r>
        <w:rPr>
          <w:rFonts w:ascii="Times New Roman;sans-serif" w:hAnsi="Times New Roman;sans-serif"/>
          <w:b w:val="false"/>
          <w:color w:val="000000"/>
          <w:sz w:val="20"/>
        </w:rPr>
        <w:t>REGISTERED STOCKHOLDERS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shall be entitled to recognize the exclusive right of a person registered on its books as the owner of shares to receive dividends and notices and to vote as such owner; and</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lineRule="auto" w:line="333" w:before="180" w:after="180"/>
        <w:jc w:val="center"/>
        <w:rPr/>
      </w:pPr>
      <w:r>
        <w:rPr>
          <w:rFonts w:ascii="Times New Roman;sans-serif" w:hAnsi="Times New Roman;sans-serif"/>
          <w:b/>
          <w:color w:val="000000"/>
          <w:sz w:val="20"/>
        </w:rPr>
        <w:t xml:space="preserve">ARTICLE VII - </w:t>
      </w:r>
      <w:r>
        <w:rPr>
          <w:rFonts w:ascii="Times New Roman;sans-serif" w:hAnsi="Times New Roman;sans-serif"/>
          <w:b/>
          <w:color w:val="000000"/>
          <w:sz w:val="20"/>
        </w:rPr>
        <w:t>MANNER OF GIVING NOTICE AND WAIVER</w:t>
      </w:r>
    </w:p>
    <w:p>
      <w:pPr>
        <w:pStyle w:val="TextBody"/>
        <w:bidi w:val="0"/>
        <w:spacing w:lineRule="auto" w:line="333" w:before="0" w:after="180"/>
        <w:ind w:left="0" w:right="0" w:hanging="360"/>
        <w:jc w:val="left"/>
        <w:rPr/>
      </w:pPr>
      <w:r>
        <w:rPr>
          <w:rFonts w:ascii="Times New Roman;sans-serif" w:hAnsi="Times New Roman;sans-serif"/>
          <w:b/>
          <w:color w:val="000000"/>
          <w:sz w:val="20"/>
        </w:rPr>
        <w:t>7.1</w:t>
      </w:r>
      <w:r>
        <w:rPr>
          <w:color w:val="000000"/>
        </w:rPr>
        <w:t xml:space="preserve"> </w:t>
      </w:r>
      <w:r>
        <w:rPr>
          <w:rFonts w:ascii="Times New Roman;sans-serif" w:hAnsi="Times New Roman;sans-serif"/>
          <w:b w:val="false"/>
          <w:color w:val="000000"/>
          <w:sz w:val="20"/>
        </w:rPr>
        <w:t>NOTICE OF STOCKHOLDERS’ MEETINGS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Notice of any meeting of stockholders shall be given in the manner set forth in the DGCL.</w:t>
      </w:r>
    </w:p>
    <w:p>
      <w:pPr>
        <w:pStyle w:val="TextBody"/>
        <w:bidi w:val="0"/>
        <w:spacing w:lineRule="auto" w:line="333" w:before="0" w:after="180"/>
        <w:ind w:left="0" w:right="0" w:hanging="360"/>
        <w:jc w:val="left"/>
        <w:rPr/>
      </w:pPr>
      <w:r>
        <w:rPr>
          <w:rFonts w:ascii="Times New Roman;sans-serif" w:hAnsi="Times New Roman;sans-serif"/>
          <w:b/>
          <w:color w:val="000000"/>
          <w:sz w:val="20"/>
        </w:rPr>
        <w:t>7.2</w:t>
      </w:r>
      <w:r>
        <w:rPr>
          <w:color w:val="000000"/>
        </w:rPr>
        <w:t xml:space="preserve"> </w:t>
      </w:r>
      <w:r>
        <w:rPr>
          <w:rFonts w:ascii="Times New Roman;sans-serif" w:hAnsi="Times New Roman;sans-serif"/>
          <w:b w:val="false"/>
          <w:color w:val="000000"/>
          <w:sz w:val="20"/>
        </w:rPr>
        <w:t>NOTICE TO STOCKHOLDERS SHARING AN ADDRESS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intention to send the single notice, shall be deemed to have consented to receiving such single written notice. This Section 7.2 shall not apply to Sections 164, 296, 311, 312 or 324 of the DGCL.</w:t>
      </w:r>
    </w:p>
    <w:p>
      <w:pPr>
        <w:pStyle w:val="TextBody"/>
        <w:bidi w:val="0"/>
        <w:spacing w:lineRule="auto" w:line="333" w:before="0" w:after="180"/>
        <w:ind w:left="0" w:right="0" w:hanging="360"/>
        <w:jc w:val="left"/>
        <w:rPr/>
      </w:pPr>
      <w:r>
        <w:rPr>
          <w:rFonts w:ascii="Times New Roman;sans-serif" w:hAnsi="Times New Roman;sans-serif"/>
          <w:b/>
          <w:color w:val="000000"/>
          <w:sz w:val="20"/>
        </w:rPr>
        <w:t>7.3</w:t>
      </w:r>
      <w:r>
        <w:rPr>
          <w:color w:val="000000"/>
        </w:rPr>
        <w:t xml:space="preserve"> </w:t>
      </w:r>
      <w:r>
        <w:rPr>
          <w:rFonts w:ascii="Times New Roman;sans-serif" w:hAnsi="Times New Roman;sans-serif"/>
          <w:b w:val="false"/>
          <w:color w:val="000000"/>
          <w:sz w:val="20"/>
        </w:rPr>
        <w:t>NOTICE TO PERSON WITH WHOM COMMUNICATION IS UNLAWFUL</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pStyle w:val="TextBody"/>
        <w:bidi w:val="0"/>
        <w:spacing w:lineRule="auto" w:line="333" w:before="0" w:after="180"/>
        <w:ind w:left="0" w:right="0" w:hanging="360"/>
        <w:jc w:val="left"/>
        <w:rPr/>
      </w:pPr>
      <w:r>
        <w:rPr>
          <w:rFonts w:ascii="Times New Roman;sans-serif" w:hAnsi="Times New Roman;sans-serif"/>
          <w:b/>
          <w:color w:val="000000"/>
          <w:sz w:val="20"/>
        </w:rPr>
        <w:t>7.4</w:t>
      </w:r>
      <w:r>
        <w:rPr>
          <w:color w:val="000000"/>
        </w:rPr>
        <w:t xml:space="preserve"> </w:t>
      </w:r>
      <w:r>
        <w:rPr>
          <w:rFonts w:ascii="Times New Roman;sans-serif" w:hAnsi="Times New Roman;sans-serif"/>
          <w:b w:val="false"/>
          <w:color w:val="000000"/>
          <w:sz w:val="20"/>
        </w:rPr>
        <w:t>WAIVER OF NOTICE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lineRule="auto" w:line="333" w:before="180" w:after="180"/>
        <w:jc w:val="center"/>
        <w:rPr/>
      </w:pPr>
      <w:r>
        <w:rPr>
          <w:rFonts w:ascii="Times New Roman;sans-serif" w:hAnsi="Times New Roman;sans-serif"/>
          <w:b/>
          <w:color w:val="000000"/>
          <w:sz w:val="20"/>
        </w:rPr>
        <w:t xml:space="preserve">ARTICLE VIII - </w:t>
      </w:r>
      <w:r>
        <w:rPr>
          <w:rFonts w:ascii="Times New Roman;sans-serif" w:hAnsi="Times New Roman;sans-serif"/>
          <w:b/>
          <w:color w:val="000000"/>
          <w:sz w:val="20"/>
        </w:rPr>
        <w:t>INDEMNIFICATION</w:t>
      </w:r>
    </w:p>
    <w:p>
      <w:pPr>
        <w:pStyle w:val="TextBody"/>
        <w:bidi w:val="0"/>
        <w:spacing w:lineRule="auto" w:line="333" w:before="0" w:after="180"/>
        <w:ind w:left="0" w:right="0" w:hanging="360"/>
        <w:jc w:val="left"/>
        <w:rPr/>
      </w:pPr>
      <w:r>
        <w:rPr>
          <w:rFonts w:ascii="Times New Roman;sans-serif" w:hAnsi="Times New Roman;sans-serif"/>
          <w:b/>
          <w:color w:val="000000"/>
          <w:sz w:val="20"/>
        </w:rPr>
        <w:t>8.1</w:t>
      </w:r>
      <w:r>
        <w:rPr>
          <w:color w:val="000000"/>
        </w:rPr>
        <w:t xml:space="preserve"> </w:t>
      </w:r>
      <w:r>
        <w:rPr>
          <w:rFonts w:ascii="Times New Roman;sans-serif" w:hAnsi="Times New Roman;sans-serif"/>
          <w:b w:val="false"/>
          <w:color w:val="000000"/>
          <w:sz w:val="20"/>
        </w:rPr>
        <w:t>INDEMNIFICATION OF DIRECTORS AND OFFICERS IN THIRD PARTY PROCEEDINGS</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8.2</w:t>
      </w:r>
      <w:r>
        <w:rPr>
          <w:color w:val="000000"/>
        </w:rPr>
        <w:t xml:space="preserve"> </w:t>
      </w:r>
      <w:r>
        <w:rPr>
          <w:rFonts w:ascii="Times New Roman;sans-serif" w:hAnsi="Times New Roman;sans-serif"/>
          <w:b w:val="false"/>
          <w:color w:val="000000"/>
          <w:sz w:val="20"/>
        </w:rPr>
        <w:t>INDEMNIFICATION OF DIRECTORS AND OFFICERS IN ACTIONS BY OR IN THE RIGHT      OF THE COMPANY</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lineRule="auto" w:line="333" w:before="0" w:after="180"/>
        <w:ind w:left="0" w:right="0" w:hanging="360"/>
        <w:jc w:val="left"/>
        <w:rPr/>
      </w:pPr>
      <w:r>
        <w:rPr>
          <w:rFonts w:ascii="Times New Roman;sans-serif" w:hAnsi="Times New Roman;sans-serif"/>
          <w:b/>
          <w:color w:val="000000"/>
          <w:sz w:val="20"/>
        </w:rPr>
        <w:t>8.3</w:t>
      </w:r>
      <w:r>
        <w:rPr>
          <w:color w:val="000000"/>
        </w:rPr>
        <w:t xml:space="preserve"> </w:t>
      </w:r>
      <w:r>
        <w:rPr>
          <w:rFonts w:ascii="Times New Roman;sans-serif" w:hAnsi="Times New Roman;sans-serif"/>
          <w:b w:val="false"/>
          <w:color w:val="000000"/>
          <w:sz w:val="20"/>
        </w:rPr>
        <w:t>SUCCESSFUL DEFENSE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pStyle w:val="TextBody"/>
        <w:bidi w:val="0"/>
        <w:spacing w:lineRule="auto" w:line="333" w:before="0" w:after="180"/>
        <w:ind w:left="0" w:right="0" w:hanging="360"/>
        <w:jc w:val="left"/>
        <w:rPr/>
      </w:pPr>
      <w:r>
        <w:rPr>
          <w:rFonts w:ascii="Times New Roman;sans-serif" w:hAnsi="Times New Roman;sans-serif"/>
          <w:b/>
          <w:color w:val="000000"/>
          <w:sz w:val="20"/>
        </w:rPr>
        <w:t>8.4</w:t>
      </w:r>
      <w:r>
        <w:rPr>
          <w:color w:val="000000"/>
        </w:rPr>
        <w:t xml:space="preserve"> </w:t>
      </w:r>
      <w:r>
        <w:rPr>
          <w:rFonts w:ascii="Times New Roman;sans-serif" w:hAnsi="Times New Roman;sans-serif"/>
          <w:b w:val="false"/>
          <w:color w:val="000000"/>
          <w:sz w:val="20"/>
        </w:rPr>
        <w:t>INDEMNIFICATION OF OTHERS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pStyle w:val="TextBody"/>
        <w:bidi w:val="0"/>
        <w:spacing w:lineRule="auto" w:line="333" w:before="0" w:after="180"/>
        <w:ind w:left="0" w:right="0" w:hanging="360"/>
        <w:jc w:val="left"/>
        <w:rPr/>
      </w:pPr>
      <w:r>
        <w:rPr>
          <w:rFonts w:ascii="Times New Roman;sans-serif" w:hAnsi="Times New Roman;sans-serif"/>
          <w:b/>
          <w:color w:val="000000"/>
          <w:sz w:val="20"/>
        </w:rPr>
        <w:t>8.5</w:t>
      </w:r>
      <w:r>
        <w:rPr>
          <w:color w:val="000000"/>
        </w:rPr>
        <w:t xml:space="preserve"> </w:t>
      </w:r>
      <w:r>
        <w:rPr>
          <w:rFonts w:ascii="Times New Roman;sans-serif" w:hAnsi="Times New Roman;sans-serif"/>
          <w:b w:val="false"/>
          <w:color w:val="000000"/>
          <w:sz w:val="20"/>
        </w:rPr>
        <w:t>ADVANCED PAYMENT OF EXPENSES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pStyle w:val="TextBody"/>
        <w:bidi w:val="0"/>
        <w:spacing w:lineRule="auto" w:line="333" w:before="0" w:after="180"/>
        <w:ind w:left="0" w:right="0" w:hanging="360"/>
        <w:jc w:val="left"/>
        <w:rPr/>
      </w:pPr>
      <w:r>
        <w:rPr>
          <w:rFonts w:ascii="Times New Roman;sans-serif" w:hAnsi="Times New Roman;sans-serif"/>
          <w:b/>
          <w:color w:val="000000"/>
          <w:sz w:val="20"/>
        </w:rPr>
        <w:t>8.6</w:t>
      </w:r>
      <w:r>
        <w:rPr>
          <w:color w:val="000000"/>
        </w:rPr>
        <w:t xml:space="preserve"> </w:t>
      </w:r>
      <w:r>
        <w:rPr>
          <w:rFonts w:ascii="Times New Roman;sans-serif" w:hAnsi="Times New Roman;sans-serif"/>
          <w:b w:val="false"/>
          <w:color w:val="000000"/>
          <w:sz w:val="20"/>
        </w:rPr>
        <w:t>LIMITATION OF INDEMNIFICATION</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requirements in Section 8.3 and the DGCL, the Company shall not be obligated to indemnify any person pursuant to this Article VIII in connection with any Proceeding (or any part of any Proceeding):</w:t>
      </w:r>
    </w:p>
    <w:p>
      <w:pPr>
        <w:pStyle w:val="TextBody"/>
        <w:bidi w:val="0"/>
        <w:spacing w:lineRule="auto" w:line="333" w:before="0" w:after="180"/>
        <w:ind w:left="0" w:right="0" w:firstLine="1440"/>
        <w:jc w:val="both"/>
        <w:rPr/>
      </w:pPr>
      <w:r>
        <w:rPr>
          <w:rFonts w:ascii="Times New Roman;sans-serif" w:hAnsi="Times New Roman;sans-serif"/>
          <w:b/>
          <w:color w:val="000000"/>
          <w:sz w:val="20"/>
        </w:rPr>
        <w:t>(a)</w:t>
      </w:r>
      <w:r>
        <w:rPr>
          <w:rFonts w:ascii="Times New Roman;sans-serif" w:hAnsi="Times New Roman;sans-serif"/>
          <w:b w:val="false"/>
          <w:color w:val="000000"/>
          <w:sz w:val="20"/>
        </w:rPr>
        <w:t>for which payment has actually been made to or on behalf of such person under any statute, insurance policy, indemnity provision, vote or otherwise, except with respect to any excess beyond the amount paid;</w:t>
      </w:r>
    </w:p>
    <w:p>
      <w:pPr>
        <w:pStyle w:val="TextBody"/>
        <w:bidi w:val="0"/>
        <w:spacing w:lineRule="auto" w:line="333" w:before="0" w:after="180"/>
        <w:ind w:left="0" w:right="0" w:firstLine="1440"/>
        <w:jc w:val="both"/>
        <w:rPr/>
      </w:pPr>
      <w:r>
        <w:rPr>
          <w:rFonts w:ascii="Times New Roman;sans-serif" w:hAnsi="Times New Roman;sans-serif"/>
          <w:b/>
          <w:color w:val="000000"/>
          <w:sz w:val="20"/>
        </w:rPr>
        <w:t>(b)</w:t>
      </w:r>
      <w:r>
        <w:rPr>
          <w:rFonts w:ascii="Times New Roman;sans-serif" w:hAnsi="Times New Roman;sans-serif"/>
          <w:b w:val="false"/>
          <w:color w:val="000000"/>
          <w:sz w:val="20"/>
        </w:rPr>
        <w:t>for an accounting or disgorgement of profits pursuant to Section 16(b) of the 1934 Act, or similar provisions of federal, state or local statutory law or common law, if such person is held liable therefor (including pursuant to any settlement arrangements);</w:t>
      </w:r>
    </w:p>
    <w:p>
      <w:pPr>
        <w:pStyle w:val="TextBody"/>
        <w:bidi w:val="0"/>
        <w:spacing w:lineRule="auto" w:line="333" w:before="0" w:after="180"/>
        <w:ind w:left="0" w:right="0" w:firstLine="1440"/>
        <w:jc w:val="both"/>
        <w:rPr/>
      </w:pPr>
      <w:r>
        <w:rPr>
          <w:rFonts w:ascii="Times New Roman;sans-serif" w:hAnsi="Times New Roman;sans-serif"/>
          <w:b/>
          <w:color w:val="000000"/>
          <w:sz w:val="20"/>
        </w:rPr>
        <w:t>(c)</w:t>
      </w:r>
      <w:r>
        <w:rPr>
          <w:rFonts w:ascii="Times New Roman;sans-serif" w:hAnsi="Times New Roman;sans-serif"/>
          <w:b w:val="false"/>
          <w:color w:val="000000"/>
          <w:sz w:val="20"/>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sans-serif" w:hAnsi="Times New Roman;sans-serif"/>
          <w:b/>
          <w:color w:val="000000"/>
          <w:sz w:val="20"/>
        </w:rPr>
        <w:t>Sarbanes-Oxley Act</w:t>
      </w:r>
      <w:r>
        <w:rPr>
          <w:color w:val="000000"/>
        </w:rPr>
        <w:t>”</w:t>
      </w:r>
      <w:r>
        <w:rPr>
          <w:rFonts w:ascii="Times New Roman;sans-serif" w:hAnsi="Times New Roman;sans-serif"/>
          <w:b w:val="false"/>
          <w:color w:val="000000"/>
          <w:sz w:val="20"/>
        </w:rPr>
        <w: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bidi w:val="0"/>
        <w:spacing w:lineRule="auto" w:line="333" w:before="0" w:after="180"/>
        <w:ind w:left="0" w:right="0" w:firstLine="1440"/>
        <w:jc w:val="both"/>
        <w:rPr/>
      </w:pPr>
      <w:r>
        <w:rPr>
          <w:rFonts w:ascii="Times New Roman;sans-serif" w:hAnsi="Times New Roman;sans-serif"/>
          <w:b/>
          <w:color w:val="000000"/>
          <w:sz w:val="20"/>
        </w:rPr>
        <w:t>(d)</w:t>
      </w:r>
      <w:r>
        <w:rPr>
          <w:rFonts w:ascii="Times New Roman;sans-serif" w:hAnsi="Times New Roman;sans-serif"/>
          <w:b w:val="false"/>
          <w:color w:val="000000"/>
          <w:sz w:val="20"/>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pStyle w:val="TextBody"/>
        <w:bidi w:val="0"/>
        <w:spacing w:lineRule="auto" w:line="333" w:before="0" w:after="180"/>
        <w:ind w:left="0" w:right="0" w:firstLine="1440"/>
        <w:jc w:val="both"/>
        <w:rPr/>
      </w:pPr>
      <w:r>
        <w:rPr>
          <w:rFonts w:ascii="Times New Roman;sans-serif" w:hAnsi="Times New Roman;sans-serif"/>
          <w:b/>
          <w:color w:val="000000"/>
          <w:sz w:val="20"/>
        </w:rPr>
        <w:t>(e)</w:t>
      </w:r>
      <w:r>
        <w:rPr>
          <w:rFonts w:ascii="Times New Roman;sans-serif" w:hAnsi="Times New Roman;sans-serif"/>
          <w:b w:val="false"/>
          <w:color w:val="000000"/>
          <w:sz w:val="20"/>
        </w:rPr>
        <w:t>if prohibited by applicable law.</w:t>
      </w:r>
    </w:p>
    <w:p>
      <w:pPr>
        <w:pStyle w:val="TextBody"/>
        <w:bidi w:val="0"/>
        <w:spacing w:lineRule="auto" w:line="333" w:before="0" w:after="180"/>
        <w:ind w:left="0" w:right="0" w:hanging="360"/>
        <w:jc w:val="left"/>
        <w:rPr/>
      </w:pPr>
      <w:r>
        <w:rPr>
          <w:rFonts w:ascii="Times New Roman;sans-serif" w:hAnsi="Times New Roman;sans-serif"/>
          <w:b/>
          <w:color w:val="000000"/>
          <w:sz w:val="20"/>
        </w:rPr>
        <w:t>8.7</w:t>
      </w:r>
      <w:r>
        <w:rPr>
          <w:color w:val="000000"/>
        </w:rPr>
        <w:t xml:space="preserve"> </w:t>
      </w:r>
      <w:r>
        <w:rPr>
          <w:rFonts w:ascii="Times New Roman;sans-serif" w:hAnsi="Times New Roman;sans-serif"/>
          <w:b w:val="false"/>
          <w:color w:val="000000"/>
          <w:sz w:val="20"/>
        </w:rPr>
        <w:t>DETERMINATION; CLAIM</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180"/>
        <w:ind w:left="0" w:right="0" w:hanging="360"/>
        <w:jc w:val="left"/>
        <w:rPr/>
      </w:pPr>
      <w:r>
        <w:rPr>
          <w:rFonts w:ascii="Times New Roman;sans-serif" w:hAnsi="Times New Roman;sans-serif"/>
          <w:b/>
          <w:color w:val="000000"/>
          <w:sz w:val="20"/>
        </w:rPr>
        <w:t>8.8</w:t>
      </w:r>
      <w:r>
        <w:rPr>
          <w:color w:val="000000"/>
        </w:rPr>
        <w:t xml:space="preserve"> </w:t>
      </w:r>
      <w:r>
        <w:rPr>
          <w:rFonts w:ascii="Times New Roman;sans-serif" w:hAnsi="Times New Roman;sans-serif"/>
          <w:b w:val="false"/>
          <w:color w:val="000000"/>
          <w:sz w:val="20"/>
        </w:rPr>
        <w:t>NON-EXCLUSIVITY OF RIGHTS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pStyle w:val="TextBody"/>
        <w:bidi w:val="0"/>
        <w:spacing w:lineRule="auto" w:line="333" w:before="0" w:after="180"/>
        <w:ind w:left="0" w:right="0" w:hanging="360"/>
        <w:jc w:val="left"/>
        <w:rPr/>
      </w:pPr>
      <w:r>
        <w:rPr>
          <w:rFonts w:ascii="Times New Roman;sans-serif" w:hAnsi="Times New Roman;sans-serif"/>
          <w:b/>
          <w:color w:val="000000"/>
          <w:sz w:val="20"/>
        </w:rPr>
        <w:t>8.9</w:t>
      </w:r>
      <w:r>
        <w:rPr>
          <w:color w:val="000000"/>
        </w:rPr>
        <w:t xml:space="preserve"> </w:t>
      </w:r>
      <w:r>
        <w:rPr>
          <w:rFonts w:ascii="Times New Roman;sans-serif" w:hAnsi="Times New Roman;sans-serif"/>
          <w:b w:val="false"/>
          <w:color w:val="000000"/>
          <w:sz w:val="20"/>
        </w:rPr>
        <w:t>INSURANCE</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pStyle w:val="TextBody"/>
        <w:bidi w:val="0"/>
        <w:spacing w:lineRule="auto" w:line="333" w:before="0" w:after="180"/>
        <w:ind w:left="0" w:right="0" w:hanging="360"/>
        <w:jc w:val="left"/>
        <w:rPr/>
      </w:pPr>
      <w:r>
        <w:rPr>
          <w:rFonts w:ascii="Times New Roman;sans-serif" w:hAnsi="Times New Roman;sans-serif"/>
          <w:b/>
          <w:color w:val="000000"/>
          <w:sz w:val="20"/>
        </w:rPr>
        <w:t>8.10</w:t>
      </w:r>
      <w:r>
        <w:rPr>
          <w:color w:val="000000"/>
        </w:rPr>
        <w:t xml:space="preserve"> </w:t>
      </w:r>
      <w:r>
        <w:rPr>
          <w:rFonts w:ascii="Times New Roman;sans-serif" w:hAnsi="Times New Roman;sans-serif"/>
          <w:b w:val="false"/>
          <w:color w:val="000000"/>
          <w:sz w:val="20"/>
        </w:rPr>
        <w:t>SURVIVAL</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pStyle w:val="TextBody"/>
        <w:bidi w:val="0"/>
        <w:spacing w:lineRule="auto" w:line="333" w:before="0" w:after="180"/>
        <w:ind w:left="0" w:right="0" w:hanging="360"/>
        <w:jc w:val="left"/>
        <w:rPr/>
      </w:pPr>
      <w:r>
        <w:rPr>
          <w:rFonts w:ascii="Times New Roman;sans-serif" w:hAnsi="Times New Roman;sans-serif"/>
          <w:b/>
          <w:color w:val="000000"/>
          <w:sz w:val="20"/>
        </w:rPr>
        <w:t>8.11</w:t>
      </w:r>
      <w:r>
        <w:rPr>
          <w:color w:val="000000"/>
        </w:rPr>
        <w:t xml:space="preserve"> </w:t>
      </w:r>
      <w:r>
        <w:rPr>
          <w:rFonts w:ascii="Times New Roman;sans-serif" w:hAnsi="Times New Roman;sans-serif"/>
          <w:b w:val="false"/>
          <w:color w:val="000000"/>
          <w:sz w:val="20"/>
        </w:rPr>
        <w:t>EFFECT OF REPEAL OR MODIFICATION</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lineRule="auto" w:line="333" w:before="0" w:after="180"/>
        <w:ind w:left="0" w:right="0" w:hanging="360"/>
        <w:jc w:val="left"/>
        <w:rPr/>
      </w:pPr>
      <w:r>
        <w:rPr>
          <w:rFonts w:ascii="Times New Roman;sans-serif" w:hAnsi="Times New Roman;sans-serif"/>
          <w:b/>
          <w:color w:val="000000"/>
          <w:sz w:val="20"/>
        </w:rPr>
        <w:t>8.12</w:t>
      </w:r>
      <w:r>
        <w:rPr>
          <w:color w:val="000000"/>
        </w:rPr>
        <w:t xml:space="preserve"> </w:t>
      </w:r>
      <w:r>
        <w:rPr>
          <w:rFonts w:ascii="Times New Roman;sans-serif" w:hAnsi="Times New Roman;sans-serif"/>
          <w:b w:val="false"/>
          <w:color w:val="000000"/>
          <w:sz w:val="20"/>
        </w:rPr>
        <w:t>CERTAIN DEFINITIONS</w:t>
      </w:r>
    </w:p>
    <w:p>
      <w:pPr>
        <w:pStyle w:val="TextBody"/>
        <w:bidi w:val="0"/>
        <w:spacing w:lineRule="auto" w:line="333" w:before="0" w:after="180"/>
        <w:ind w:left="0" w:right="0" w:firstLine="720"/>
        <w:jc w:val="both"/>
        <w:rPr/>
      </w:pPr>
      <w:r>
        <w:rPr>
          <w:rFonts w:ascii="Times New Roman;sans-serif" w:hAnsi="Times New Roman;sans-serif"/>
          <w:b w:val="false"/>
          <w:color w:val="000000"/>
          <w:sz w:val="20"/>
        </w:rPr>
        <w:t>For purposes of this Article VIII, references to the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shall include, in addition to the resulting entity,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sans-serif" w:hAnsi="Times New Roman;sans-serif"/>
          <w:b/>
          <w:color w:val="000000"/>
          <w:sz w:val="20"/>
        </w:rPr>
        <w:t>other enterprises</w:t>
      </w:r>
      <w:r>
        <w:rPr>
          <w:color w:val="000000"/>
        </w:rPr>
        <w:t xml:space="preserve">” </w:t>
      </w:r>
      <w:r>
        <w:rPr>
          <w:rFonts w:ascii="Times New Roman;sans-serif" w:hAnsi="Times New Roman;sans-serif"/>
          <w:b w:val="false"/>
          <w:color w:val="000000"/>
          <w:sz w:val="20"/>
        </w:rPr>
        <w:t>shall include employee benefit plans; references to “</w:t>
      </w:r>
      <w:r>
        <w:rPr>
          <w:rFonts w:ascii="Times New Roman;sans-serif" w:hAnsi="Times New Roman;sans-serif"/>
          <w:b/>
          <w:color w:val="000000"/>
          <w:sz w:val="20"/>
        </w:rPr>
        <w:t>fines</w:t>
      </w:r>
      <w:r>
        <w:rPr>
          <w:color w:val="000000"/>
        </w:rPr>
        <w:t xml:space="preserve">” </w:t>
      </w:r>
      <w:r>
        <w:rPr>
          <w:rFonts w:ascii="Times New Roman;sans-serif" w:hAnsi="Times New Roman;sans-serif"/>
          <w:b w:val="false"/>
          <w:color w:val="000000"/>
          <w:sz w:val="20"/>
        </w:rPr>
        <w:t>shall include any excise taxes assessed on a person with respect to an employee benefit plan; and references to “</w:t>
      </w:r>
      <w:r>
        <w:rPr>
          <w:rFonts w:ascii="Times New Roman;sans-serif" w:hAnsi="Times New Roman;sans-serif"/>
          <w:b/>
          <w:color w:val="000000"/>
          <w:sz w:val="20"/>
        </w:rPr>
        <w:t>serving at the request of the Compan</w:t>
      </w:r>
      <w:r>
        <w:rPr>
          <w:rFonts w:ascii="Times New Roman;sans-serif" w:hAnsi="Times New Roman;sans-serif"/>
          <w:b w:val="false"/>
          <w:color w:val="000000"/>
          <w:sz w:val="20"/>
        </w:rPr>
        <w:t xml:space="preserve">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180"/>
        <w:jc w:val="both"/>
        <w:rPr/>
      </w:pPr>
      <w:r>
        <w:rPr>
          <w:rFonts w:ascii="Times New Roman;sans-serif" w:hAnsi="Times New Roman;sans-serif"/>
          <w:b w:val="false"/>
          <w:color w:val="000000"/>
          <w:sz w:val="20"/>
        </w:rPr>
        <w:t>deemed to have acted in a manner “</w:t>
      </w:r>
      <w:r>
        <w:rPr>
          <w:rFonts w:ascii="Times New Roman;sans-serif" w:hAnsi="Times New Roman;sans-serif"/>
          <w:b/>
          <w:color w:val="000000"/>
          <w:sz w:val="20"/>
        </w:rPr>
        <w:t>not opposed to the best interests of the Company</w:t>
      </w:r>
      <w:r>
        <w:rPr>
          <w:color w:val="000000"/>
        </w:rPr>
        <w:t xml:space="preserve">” </w:t>
      </w:r>
      <w:r>
        <w:rPr>
          <w:rFonts w:ascii="Times New Roman;sans-serif" w:hAnsi="Times New Roman;sans-serif"/>
          <w:b w:val="false"/>
          <w:color w:val="000000"/>
          <w:sz w:val="20"/>
        </w:rPr>
        <w:t>as referred to in this Article VIII.</w:t>
      </w:r>
    </w:p>
    <w:p>
      <w:pPr>
        <w:pStyle w:val="TextBody"/>
        <w:bidi w:val="0"/>
        <w:spacing w:lineRule="auto" w:line="333" w:before="180" w:after="180"/>
        <w:jc w:val="center"/>
        <w:rPr/>
      </w:pPr>
      <w:r>
        <w:rPr>
          <w:rFonts w:ascii="Times New Roman;sans-serif" w:hAnsi="Times New Roman;sans-serif"/>
          <w:b/>
          <w:color w:val="000000"/>
          <w:sz w:val="20"/>
        </w:rPr>
        <w:t xml:space="preserve">ARTICLE IX - </w:t>
      </w:r>
      <w:r>
        <w:rPr>
          <w:rFonts w:ascii="Times New Roman;sans-serif" w:hAnsi="Times New Roman;sans-serif"/>
          <w:b/>
          <w:color w:val="000000"/>
          <w:sz w:val="20"/>
        </w:rPr>
        <w:t>GENERAL MATTERS</w:t>
      </w:r>
    </w:p>
    <w:p>
      <w:pPr>
        <w:pStyle w:val="TextBody"/>
        <w:bidi w:val="0"/>
        <w:spacing w:lineRule="auto" w:line="333" w:before="0" w:after="180"/>
        <w:ind w:left="0" w:right="0" w:hanging="360"/>
        <w:jc w:val="left"/>
        <w:rPr/>
      </w:pPr>
      <w:r>
        <w:rPr>
          <w:rFonts w:ascii="Times New Roman;sans-serif" w:hAnsi="Times New Roman;sans-serif"/>
          <w:b/>
          <w:color w:val="000000"/>
          <w:sz w:val="20"/>
        </w:rPr>
        <w:t>9.1</w:t>
      </w:r>
      <w:r>
        <w:rPr>
          <w:color w:val="000000"/>
        </w:rPr>
        <w:t xml:space="preserve"> </w:t>
      </w:r>
      <w:r>
        <w:rPr>
          <w:rFonts w:ascii="Times New Roman;sans-serif" w:hAnsi="Times New Roman;sans-serif"/>
          <w:b w:val="false"/>
          <w:color w:val="000000"/>
          <w:sz w:val="20"/>
        </w:rPr>
        <w:t>EXECUTION OF CORPORATE CONTRACTS AND INSTRUMENTS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pStyle w:val="TextBody"/>
        <w:bidi w:val="0"/>
        <w:spacing w:lineRule="auto" w:line="333" w:before="0" w:after="180"/>
        <w:ind w:left="0" w:right="0" w:hanging="360"/>
        <w:jc w:val="left"/>
        <w:rPr/>
      </w:pPr>
      <w:r>
        <w:rPr>
          <w:rFonts w:ascii="Times New Roman;sans-serif" w:hAnsi="Times New Roman;sans-serif"/>
          <w:b/>
          <w:color w:val="000000"/>
          <w:sz w:val="20"/>
        </w:rPr>
        <w:t>9.2</w:t>
      </w:r>
      <w:r>
        <w:rPr>
          <w:color w:val="000000"/>
        </w:rPr>
        <w:t xml:space="preserve"> </w:t>
      </w:r>
      <w:r>
        <w:rPr>
          <w:rFonts w:ascii="Times New Roman;sans-serif" w:hAnsi="Times New Roman;sans-serif"/>
          <w:b w:val="false"/>
          <w:color w:val="000000"/>
          <w:sz w:val="20"/>
        </w:rPr>
        <w:t>FISCAL YEAR</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fiscal year of the Company shall be fixed by resolution of the Board of Directors and may be changed by the Board of Directors.</w:t>
      </w:r>
    </w:p>
    <w:p>
      <w:pPr>
        <w:pStyle w:val="TextBody"/>
        <w:bidi w:val="0"/>
        <w:spacing w:lineRule="auto" w:line="333" w:before="0" w:after="180"/>
        <w:ind w:left="0" w:right="0" w:hanging="360"/>
        <w:jc w:val="left"/>
        <w:rPr/>
      </w:pPr>
      <w:r>
        <w:rPr>
          <w:rFonts w:ascii="Times New Roman;sans-serif" w:hAnsi="Times New Roman;sans-serif"/>
          <w:b/>
          <w:color w:val="000000"/>
          <w:sz w:val="20"/>
        </w:rPr>
        <w:t>9.3</w:t>
      </w:r>
      <w:r>
        <w:rPr>
          <w:color w:val="000000"/>
        </w:rPr>
        <w:t xml:space="preserve"> </w:t>
      </w:r>
      <w:r>
        <w:rPr>
          <w:rFonts w:ascii="Times New Roman;sans-serif" w:hAnsi="Times New Roman;sans-serif"/>
          <w:b w:val="false"/>
          <w:color w:val="000000"/>
          <w:sz w:val="20"/>
        </w:rPr>
        <w:t>SEAL</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adopt a corporate seal, which shall be adopted and which may be altered by the Board of Directors. The Company may use the corporate seal by causing it or a facsimile thereof to be impressed or affixed or in any other manner reproduced.</w:t>
      </w:r>
    </w:p>
    <w:p>
      <w:pPr>
        <w:pStyle w:val="TextBody"/>
        <w:bidi w:val="0"/>
        <w:spacing w:lineRule="auto" w:line="333" w:before="0" w:after="180"/>
        <w:ind w:left="0" w:right="0" w:hanging="360"/>
        <w:jc w:val="left"/>
        <w:rPr/>
      </w:pPr>
      <w:r>
        <w:rPr>
          <w:rFonts w:ascii="Times New Roman;sans-serif" w:hAnsi="Times New Roman;sans-serif"/>
          <w:b/>
          <w:color w:val="000000"/>
          <w:sz w:val="20"/>
        </w:rPr>
        <w:t>9.4</w:t>
      </w:r>
      <w:r>
        <w:rPr>
          <w:color w:val="000000"/>
        </w:rPr>
        <w:t xml:space="preserve"> </w:t>
      </w:r>
      <w:r>
        <w:rPr>
          <w:rFonts w:ascii="Times New Roman;sans-serif" w:hAnsi="Times New Roman;sans-serif"/>
          <w:b w:val="false"/>
          <w:color w:val="000000"/>
          <w:sz w:val="20"/>
        </w:rPr>
        <w:t>CONSTRUCTION; DEFINITIONS</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 </w:t>
      </w:r>
    </w:p>
    <w:p>
      <w:pPr>
        <w:pStyle w:val="TextBody"/>
        <w:bidi w:val="0"/>
        <w:spacing w:lineRule="auto" w:line="333" w:before="0" w:after="180"/>
        <w:ind w:left="0" w:right="0" w:hanging="360"/>
        <w:jc w:val="left"/>
        <w:rPr/>
      </w:pPr>
      <w:r>
        <w:rPr>
          <w:rFonts w:ascii="Times New Roman;sans-serif" w:hAnsi="Times New Roman;sans-serif"/>
          <w:b/>
          <w:color w:val="000000"/>
          <w:sz w:val="20"/>
        </w:rPr>
        <w:t>9.5</w:t>
      </w:r>
      <w:r>
        <w:rPr>
          <w:color w:val="000000"/>
        </w:rPr>
        <w:t xml:space="preserve"> </w:t>
      </w:r>
      <w:r>
        <w:rPr>
          <w:rFonts w:ascii="Times New Roman;sans-serif" w:hAnsi="Times New Roman;sans-serif"/>
          <w:b w:val="false"/>
          <w:color w:val="000000"/>
          <w:sz w:val="20"/>
        </w:rPr>
        <w:t>FORUM SELECTION</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Company’s securities, including, without limitation and for the avoidance of doubt, any auditor, underwriter, expert, control person or other defendant.</w:t>
      </w:r>
    </w:p>
    <w:p>
      <w:pPr>
        <w:pStyle w:val="TextBody"/>
        <w:bidi w:val="0"/>
        <w:spacing w:lineRule="auto" w:line="333"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action brought to enforce a duty or liability created by the 1934 Act or any successor thereto.</w:t>
      </w:r>
    </w:p>
    <w:p>
      <w:pPr>
        <w:pStyle w:val="TextBody"/>
        <w:bidi w:val="0"/>
        <w:spacing w:lineRule="auto" w:line="333" w:before="180" w:after="180"/>
        <w:jc w:val="center"/>
        <w:rPr/>
      </w:pPr>
      <w:r>
        <w:rPr>
          <w:rFonts w:ascii="Times New Roman;sans-serif" w:hAnsi="Times New Roman;sans-serif"/>
          <w:b/>
          <w:color w:val="000000"/>
          <w:sz w:val="20"/>
        </w:rPr>
        <w:t xml:space="preserve">ARTICLE X - </w:t>
      </w:r>
      <w:r>
        <w:rPr>
          <w:rFonts w:ascii="Times New Roman;sans-serif" w:hAnsi="Times New Roman;sans-serif"/>
          <w:b/>
          <w:color w:val="000000"/>
          <w:sz w:val="20"/>
        </w:rPr>
        <w:t>AMENDMENTS</w:t>
      </w:r>
    </w:p>
    <w:p>
      <w:pPr>
        <w:pStyle w:val="TextBody"/>
        <w:bidi w:val="0"/>
        <w:spacing w:lineRule="auto" w:line="33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and Section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Sujal: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Sujal Patel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Chief Executive Officer. You also will continue to report to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Board.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$535,000, payable less any applicable withholdings in accordance with the Company’s normal payroll practices. Your base salary will be subject to review and adjustment from time to time by the Board of Directors of Nautilus (the “</w:t>
      </w:r>
      <w:r>
        <w:rPr>
          <w:color w:val="000000"/>
        </w:rPr>
        <w:t xml:space="preserv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eighty percent (80%)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You will be eligible to receive awards of stock options or other equity awards pursuant to any plans or arrangements Nautilus may have in effect from time to time. The Board or the Committee, as applicable, will determine in its sole discretion whether you will be granted any such equity awards and the terms of any such award in accordance with the terms of any applicable plan or arrangement that may be in effect from time to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6,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Ignite Biosciences, Inc. dated January 12, 2017.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This Agreement, together with the Company Confidentiality Agreement, the Amended Change in Control and Severance Agreement, and the equity awards granted to you under either of Nautilus’ 2021 Equity Incentive Plan or 2017 Equity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Matthew Murphy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Matthew Murphy</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General Counsel</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Matthew Murphy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Matthew Murphy</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General Counsel</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Sujal Patel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Parag Mallick</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Parag: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Parag Mallick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Chief Scientist.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$420,000, payable less any applicable withholdings in accordance with the Company’s normal payroll practices. Your base salary will be subject to review and adjustment from time to time by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fifty percent (50%)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xml:space="preserve">. You will be eligible to receive awards of stock options or other equity awards pursuant to any plans or arrangements Nautilus may have in effect from time to time. The Board or the Committee, as applicable, will determine in its sole discretion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granted any such equity awards and the terms of any such award in accordance with the terms of any applicable plan or arrangement that may be in effect from time to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6,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March 25, 2021.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xml:space="preserve">.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This Agreement, together with the Company Confidentiality Agreement, the Amended Change in Control and Severance Agreement, and the equity awards 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Parag Mallick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Parag Mallick</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Anna Mowry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Anna: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Anna Mowry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Chief Financial Officer.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Seattle, Washingon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$386,000, payable less any applicable withholdings in accordance with the Company’s normal payroll practices. Your base salary will be subject to review and adjustment from time to time by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five percent (45%)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xml:space="preserve">. You will be eligible to receive awards of stock options or other equity awards pursuant to any plans or arrangements Nautilus may have in effect from time to time. The Board or the Committee, as applicable, will determine in its sole discretion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granted any such equity awards and the terms of any such award in accordance with the terms of any applicable plan or arrangement that may be in effect from time to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6,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January 10, 2021.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xml:space="preserve">.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This Agreement, together with the Company Confidentiality Agreement, the Amended Change in Control and Severance Agreement, and the equity awards 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Anna Mowry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Anna Mowry</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Nick Nelson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Nick: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Nick Nelson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Chief Business Officer.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San Diego, California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$392,000, payable less any applicable withholdings in accordance with the Company’s normal payroll practices. Your base salary will be subject to review and adjustment from time to time by the Board of Directors of Nautilus (the “</w:t>
      </w:r>
      <w:r>
        <w:rPr>
          <w:color w:val="000000"/>
        </w:rPr>
        <w:t xml:space="preserv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You will be eligible to receive awards of stock options or other equity awards pursuant to any plans or arrangements Nautilus may have in effect from time to time. The Board or the Committee, as applicable, will determine in its sole discretion whether you will be granted any such equity awards and the terms of any such award in accordance with the terms of any applicable plan or arrangement that may be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9,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October 7, 2020.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This Agreement, together with the Company Confidentiality Agreement, the Amended Change in Control and Severance Agreement, and the equity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Nick Nelson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Nick Nelson</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10.5</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Gwen Weld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Gwen: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Gwen Weld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Chief People Officer.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Seattle, Washingon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$351,000, payable less any applicable withholdings in accordance with the Company’s normal payroll practices. Your base salary will be subject to review and adjustment from time to time by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five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xml:space="preserve">. You will be eligible to receive awards of stock options or other equity awards pursuant to any plans or arrangements Nautilus may have in effect from time to time. The Board or the Committee, as applicable, will determine in its sole discretion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granted any such equity awards and the terms of any such award in accordance with the terms of any applicable plan or arrangement that may be in effect from time to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12, 2022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May 18, 2022.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xml:space="preserve">.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This Agreement, together with the Company Confidentiality Agreement, the Amended Change in Control and Severance Agreement, and the equity awards 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Gwen Weld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Gwen Weld</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10.6</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Mary Godwin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Mary: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Mary Godwin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Senior Vice President of Operations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$335,000, payable less any applicable withholdings in accordance with the Company’s normal payroll practices. Your base salary will be subject to review and adjustment from time to time by the Board of Directors of Nautilus (the “</w:t>
      </w:r>
      <w:r>
        <w:rPr>
          <w:color w:val="000000"/>
        </w:rPr>
        <w:t xml:space="preserv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You will be eligible to receive awards of stock options or other equity awards pursuant to any plans or arrangements Nautilus may have in effect from time to time. The Board or the Committee, as applicable, will determine in its sole discretion whether you will be granted any such equity awards and the terms of any such award in accordance with the terms of any applicable plan or arrangement that may be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June 27, 2022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January 14, 2020.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This Agreement, together with the Company Confidentiality Agreement, the Amended Change in Control and Severance Agreement, and the equity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Mary Godwin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Mary Godwin</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10.7</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Subra Sankar</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Subra: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Subra Sankar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Senior Vice President of Product Development.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$353,000, payable less any applicable withholdings in accordance with the Company’s normal payroll practices. Your base salary will be subject to review and adjustment from time to time by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xml:space="preserve">. You will be eligible to receive awards of stock options or other equity awards pursuant to any plans or arrangements Nautilus may have in effect from time to time. The Board or the Committee, as applicable, will determine in its sole discretion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granted any such equity awards and the terms of any such award in accordance with the terms of any applicable plan or arrangement that may be in effect from time to time.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7,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December 30, 2020.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so that none of the payments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This Agreement, together with the Company Confidentiality Agreement, the Amended Change in Control and Severance Agreement, and the equity awards 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Subra Sankar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Subra Sankar</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10.8</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July 28,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Matthew Murphy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Via email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Confirmatory Employment Letter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Dear Matt: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confirmatory employment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between Matthew Murphy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Nautilus Subsidiary, Inc. (the “</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we</w:t>
      </w:r>
      <w:r>
        <w:rPr>
          <w:color w:val="000000"/>
        </w:rPr>
        <w:t>”</w:t>
      </w:r>
      <w:r>
        <w:rPr>
          <w:rFonts w:ascii="Times New Roman;sans-serif" w:hAnsi="Times New Roman;sans-serif"/>
          <w:b w:val="false"/>
          <w:color w:val="000000"/>
          <w:sz w:val="24"/>
        </w:rPr>
        <w:t>), effective as of the date of this Agreement as first set forth above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to confirm the terms and conditions of your employment with the Company as of the Effective Date. Nautilus Biotechnology, Inc.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the Company, and each of Nautilus’ other subsidiaries are referred to in this Agreement as the “</w:t>
      </w:r>
      <w:r>
        <w:rPr>
          <w:rFonts w:ascii="Times New Roman;sans-serif" w:hAnsi="Times New Roman;sans-serif"/>
          <w:b/>
          <w:color w:val="000000"/>
          <w:sz w:val="24"/>
        </w:rPr>
        <w:t>Company Group</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Title; Position; Location</w:t>
      </w:r>
      <w:r>
        <w:rPr>
          <w:rFonts w:ascii="Times New Roman;sans-serif" w:hAnsi="Times New Roman;sans-serif"/>
          <w:b w:val="false"/>
          <w:color w:val="000000"/>
          <w:sz w:val="24"/>
        </w:rPr>
        <w:t>. You will be employed by the Company and will continue to serve as the Company’s and Nautilus’ General Counsel. You also will continue to report to the Chief Executive Officer of Nautilus (the “</w:t>
      </w:r>
      <w:r>
        <w:rPr>
          <w:rFonts w:ascii="Times New Roman;sans-serif" w:hAnsi="Times New Roman;sans-serif"/>
          <w:b/>
          <w:color w:val="000000"/>
          <w:sz w:val="24"/>
        </w:rPr>
        <w:t>CEO</w:t>
      </w:r>
      <w:r>
        <w:rPr>
          <w:color w:val="000000"/>
        </w:rPr>
        <w:t>”</w:t>
      </w:r>
      <w:r>
        <w:rPr>
          <w:rFonts w:ascii="Times New Roman;sans-serif" w:hAnsi="Times New Roman;sans-serif"/>
          <w:b w:val="false"/>
          <w:color w:val="000000"/>
          <w:sz w:val="24"/>
        </w:rPr>
        <w:t>) and will perform the duties and responsibilities customary for such position and such other related duties as are reasonably assigned by the CEO.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is in effect), subject to customary travel as reasonably required by the Company Group and necessary to perform your job duties.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Base Salary</w:t>
      </w:r>
      <w:r>
        <w:rPr>
          <w:rFonts w:ascii="Times New Roman;sans-serif" w:hAnsi="Times New Roman;sans-serif"/>
          <w:b w:val="false"/>
          <w:color w:val="000000"/>
          <w:sz w:val="24"/>
        </w:rPr>
        <w:t>. As of the Effective Date, your annual base salary will continue to be $363,000, payable less any applicable withholdings in accordance with the Company’s normal payroll practices. Your base salary will be subject to review and adjustment from time to time by the Board of Directors of Nautilus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or its Compensation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as applicable, in its sole discretion.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Annual Bonus</w:t>
      </w:r>
      <w:r>
        <w:rPr>
          <w:rFonts w:ascii="Times New Roman;sans-serif" w:hAnsi="Times New Roman;sans-serif"/>
          <w:b w:val="false"/>
          <w:color w:val="000000"/>
          <w:sz w:val="24"/>
        </w:rPr>
        <w:t xml:space="preserve">. For Nautilus’ 2023 fiscal year, you will be eligible for a target annual cash bonus opportunity 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the Board or the Committee, as applicable, in its sole discretion, and no amount of any annual bonus is guaranteed. In addition, the Board or the Committee, as applicable and in its sole discretion, may approve that additional discretionary bonus amounts be granted to you.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Equity Awards</w:t>
      </w:r>
      <w:r>
        <w:rPr>
          <w:rFonts w:ascii="Times New Roman;sans-serif" w:hAnsi="Times New Roman;sans-serif"/>
          <w:b w:val="false"/>
          <w:color w:val="000000"/>
          <w:sz w:val="24"/>
        </w:rPr>
        <w:t>. You will be eligible to receive awards of stock options or other equity awards pursuant to any plans or arrangements Nautilus may have in effect from time to time. The Board or the Committee, as applicable, will determine in its sole discretion whether you will be granted any such equity awards and the terms of any such award in accordance with the terms of any applicable plan or arrangement that may be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Employee Benefits</w:t>
      </w:r>
      <w:r>
        <w:rPr>
          <w:rFonts w:ascii="Times New Roman;sans-serif" w:hAnsi="Times New Roman;sans-serif"/>
          <w:b w:val="false"/>
          <w:color w:val="000000"/>
          <w:sz w:val="24"/>
        </w:rPr>
        <w:t xml:space="preserve">. You will continue to be eligible to participate in the benefit plans and programs established by the Company for its employees (or other applicable Company Group member for its and/or its subsidiaries’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Group reserves the right to modify, amend, suspend or terminate the benefit plans, programs, and arrangements it offers to its employees at any time.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Severance</w:t>
      </w:r>
      <w:r>
        <w:rPr>
          <w:rFonts w:ascii="Times New Roman;sans-serif" w:hAnsi="Times New Roman;sans-serif"/>
          <w:b w:val="false"/>
          <w:color w:val="000000"/>
          <w:sz w:val="24"/>
        </w:rPr>
        <w:t>. You previously entered into a Change in Control and Severance Agreement with Nautilus dated April 8, 2021 (the “</w:t>
      </w:r>
      <w:r>
        <w:rPr>
          <w:rFonts w:ascii="Times New Roman;sans-serif" w:hAnsi="Times New Roman;sans-serif"/>
          <w:b/>
          <w:color w:val="000000"/>
          <w:sz w:val="24"/>
        </w:rPr>
        <w:t>Prior</w:t>
      </w:r>
      <w:r>
        <w:rPr>
          <w:color w:val="000000"/>
        </w:rPr>
        <w:t xml:space="preserve"> </w:t>
      </w:r>
      <w:r>
        <w:rPr>
          <w:rFonts w:ascii="Times New Roman;sans-serif" w:hAnsi="Times New Roman;sans-serif"/>
          <w:b/>
          <w:color w:val="000000"/>
          <w:sz w:val="24"/>
        </w:rPr>
        <w:t>Severance Agreement</w:t>
      </w:r>
      <w:r>
        <w:rPr>
          <w:color w:val="000000"/>
        </w:rPr>
        <w:t>”</w:t>
      </w:r>
      <w:r>
        <w:rPr>
          <w:rFonts w:ascii="Times New Roman;sans-serif" w:hAnsi="Times New Roman;sans-serif"/>
          <w:b w:val="false"/>
          <w:color w:val="000000"/>
          <w:sz w:val="24"/>
        </w:rPr>
        <w:t xml:space="preserve">). Concurrently with the execution of this Agreement, you agree to enter into the Change in Control and Severance Agreement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with the Company (the “</w:t>
      </w:r>
      <w:r>
        <w:rPr>
          <w:rFonts w:ascii="Times New Roman;sans-serif" w:hAnsi="Times New Roman;sans-serif"/>
          <w:b/>
          <w:color w:val="000000"/>
          <w:sz w:val="24"/>
        </w:rPr>
        <w:t>Amended Severance Agreement</w:t>
      </w:r>
      <w:r>
        <w:rPr>
          <w:color w:val="000000"/>
        </w:rPr>
        <w:t>”</w:t>
      </w:r>
      <w:r>
        <w:rPr>
          <w:rFonts w:ascii="Times New Roman;sans-serif" w:hAnsi="Times New Roman;sans-serif"/>
          <w:b w:val="false"/>
          <w:color w:val="000000"/>
          <w:sz w:val="24"/>
        </w:rPr>
        <w:t>). The Amended Severance Agreement supersedes and replaces in its entirety the Prior Severance Agreement. Upon execution of the Amended Severance Agreement, you will be eligible for the severance payments and benefits described therein in accordance with the terms thereof.</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Confidentiality Agreement</w:t>
      </w:r>
      <w:r>
        <w:rPr>
          <w:rFonts w:ascii="Times New Roman;sans-serif" w:hAnsi="Times New Roman;sans-serif"/>
          <w:b w:val="false"/>
          <w:color w:val="000000"/>
          <w:sz w:val="24"/>
        </w:rPr>
        <w:t xml:space="preserve">. As an employee of the Company, you will continue to have access to certain confidential information of the Company Group and, during the course of your employment, you may develop certain information or inventions that will be the property of the Company Group. You previously entered into the At-Will Employment, Confidential Information, Invention Assignment, and Arbitration Agreement with Nautilus dated March 1, 2021. Concurrently with the execution of this Agreement, you agree to enter into a new At-Will Employment, Confidential Information, Invention Assignment, and Arbitration Agreement with the Company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Company</w:t>
      </w:r>
      <w:r>
        <w:rPr>
          <w:color w:val="000000"/>
        </w:rPr>
        <w:t xml:space="preserve"> </w:t>
      </w:r>
      <w:r>
        <w:rPr>
          <w:rFonts w:ascii="Times New Roman;sans-serif" w:hAnsi="Times New Roman;sans-serif"/>
          <w:b/>
          <w:color w:val="000000"/>
          <w:sz w:val="24"/>
        </w:rPr>
        <w:t>Confidentiality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At-Will Employment</w:t>
      </w:r>
      <w:r>
        <w:rPr>
          <w:rFonts w:ascii="Times New Roman;sans-serif" w:hAnsi="Times New Roman;sans-serif"/>
          <w:b w:val="false"/>
          <w:color w:val="000000"/>
          <w:sz w:val="24"/>
        </w:rPr>
        <w:t>. This Agreement does not imply any right to your continued employment for any period with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 Upon any termination of your employment relationship with the Company (or, if applicable, any other member of the Company Group), you will be deemed to have resigned from any and all officer and/or director positions held at the Company Group or any of its affiliates without any further action required by you, except that at the Board’s request, you agree to execute any documents reasonably necessary to reflect such resignations.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Taxes</w:t>
      </w:r>
      <w:r>
        <w:rPr>
          <w:rFonts w:ascii="Times New Roman;sans-serif" w:hAnsi="Times New Roman;sans-serif"/>
          <w:b w:val="false"/>
          <w:color w:val="000000"/>
          <w:sz w:val="24"/>
        </w:rPr>
        <w:t>. The Company Group (or any affiliate thereof, as applicable) will have the right and authority to deduct from any payments or benefits under this Agreement all applicable federal, state, and local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Prior to the payment of any amounts or provision of any benefits under this Agreement, the Company Group (and any affiliate thereof, as applicable) is permitted to deduct or withhold, or require you to remit to the Company Group,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withholdings, only with respect to expenses incurred while you are employed with the Company (or other Company Group member, if and as applicable),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Group or any affiliate of the Company Group have any responsibility, liability or obligation to reimburse or indemnify you or hold you harmless for any taxes imposed, or other costs incurred, as a result of Section 409A.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Additional Employment Provisions</w:t>
      </w:r>
      <w:r>
        <w:rPr>
          <w:rFonts w:ascii="Times New Roman;sans-serif" w:hAnsi="Times New Roman;sans-serif"/>
          <w:b w:val="false"/>
          <w:color w:val="000000"/>
          <w:sz w:val="24"/>
        </w:rPr>
        <w:t>. During the term of your employment with the Company, you agree to perform your duties faithfully and to the best of your abilities and will devote your full business efforts and time to rendering services to the Company Group hereunder. Moreover, you agree that, during the term of your employment with the Company, you will not engage in any other employment, occupation, consulting or other business activity directly related to the business in which the Company Group is now involved or becomes involved during the term of your employment, nor will you engage in any other activities that conflict with your obligations to the Company Group. Nothing in this Agreement shall prohibit you from (a) making and managing passive investments, or (b) participating in professional and charitable organizations in an unpaid capacity, in a manner, and to an extent, that will not interfere or conflict with your duties or obligations to the Company Group, including under the Company Confidentiality Agreement. You agree not to bring any third party confidential information to the Company Group, including that of your former employer, and that in performing your duties for the Company Group you will not in any way utilize any such information. As an employee of a member of the Company Group, you will be expected to abide by the rules and standards of Nautilus and the Company (or any other member of the Company Group, as applicable). You agree that in the rendering of all services to the Company Group and in all aspects of employment with the Company, you will comply in all material respects with all lawful directives, policies, standards and regulations from time to time established by the Company Group.</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Protected Activity Not Prohibited</w:t>
      </w:r>
      <w:r>
        <w:rPr>
          <w:rFonts w:ascii="Times New Roman;sans-serif" w:hAnsi="Times New Roman;sans-serif"/>
          <w:b w:val="false"/>
          <w:color w:val="000000"/>
          <w:sz w:val="24"/>
        </w:rPr>
        <w:t xml:space="preserve">. Nothing in this Agreement or the Company Confidentiality Agreement (or any other Company agreement or policy) will prohibit you from engaging in any Protected Activity, as defined in the Company Confidentiality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Representation by Counsel</w:t>
      </w:r>
      <w:r>
        <w:rPr>
          <w:rFonts w:ascii="Times New Roman;sans-serif" w:hAnsi="Times New Roman;sans-serif"/>
          <w:b w:val="false"/>
          <w:color w:val="000000"/>
          <w:sz w:val="24"/>
        </w:rPr>
        <w:t>. You acknowledge that Wilson Sonsini Goodrich &amp; Rosati, Professional Corporation, is representing only the Company Group in connection with this Agreement and any other agreements or transactions contemplated by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any member of the Company Group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This Agreement, together with the Company Confidentiality Agreement, the Amended Change in Control and Severance Agreement, and the equity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granted to you under either of Nautilus’ 2021 Equity Incentive Plan or 2017 Equity Incentive Plan and the applicable award agreements thereunder, constitute the entire agreement between you and the Company Group regarding the material terms and conditions of your employment with the Company, and they supersede and replace all prior negotiations, representations or agreements between you and the Company Group. You understand and agree that your compensation set forth herein will be remuneration for all services rendered to the Company Group and accordingly, you will not be entitled to any additional compensation or benefits for services you provide to any other entity in the Company Group (including, without limitation, Nautilus).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confirm the terms and conditions of your employment with the Company, please sign and date in the spaces indicated and return this Agreement to me.</w:t>
      </w:r>
    </w:p>
    <w:p>
      <w:pPr>
        <w:pStyle w:val="TextBody"/>
        <w:bidi w:val="0"/>
        <w:spacing w:before="240" w:after="283"/>
        <w:jc w:val="both"/>
        <w:rPr/>
      </w:pPr>
      <w:r>
        <w:rPr/>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lineRule="auto" w:line="240" w:before="240" w:after="283"/>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bidi w:val="0"/>
        <w:spacing w:before="240" w:after="283"/>
        <w:ind w:left="0" w:right="0" w:firstLine="5040"/>
        <w:jc w:val="both"/>
        <w:rPr/>
      </w:pPr>
      <w:r>
        <w:rPr/>
      </w:r>
    </w:p>
    <w:p>
      <w:pPr>
        <w:pStyle w:val="TextBody"/>
        <w:bidi w:val="0"/>
        <w:spacing w:lineRule="auto" w:line="240" w:before="240" w:after="283"/>
        <w:ind w:left="0" w:right="0" w:firstLine="504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r>
        <w:rPr>
          <w:color w:val="000000"/>
        </w:rPr>
        <w:t xml:space="preserve"> </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Sujal Patel</w:t>
      </w:r>
    </w:p>
    <w:p>
      <w:pPr>
        <w:pStyle w:val="TextBody"/>
        <w:bidi w:val="0"/>
        <w:spacing w:lineRule="auto" w:line="276" w:before="0" w:after="0"/>
        <w:ind w:left="0" w:right="0" w:firstLine="540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Agreed to and accepted:</w:t>
      </w:r>
    </w:p>
    <w:p>
      <w:pPr>
        <w:pStyle w:val="TextBody"/>
        <w:bidi w:val="0"/>
        <w:spacing w:before="2" w:after="283"/>
        <w:ind w:left="0" w:right="0" w:firstLine="7"/>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Matthew Murphy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Matthew Murphy</w:t>
      </w:r>
    </w:p>
    <w:p>
      <w:pPr>
        <w:pStyle w:val="TextBody"/>
        <w:bidi w:val="0"/>
        <w:spacing w:lineRule="auto" w:line="240" w:before="240" w:after="283"/>
        <w:jc w:val="left"/>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July 31, 2023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Confirmatory Employment Letter]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A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Amended Severance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u w:val="single"/>
          <w:shd w:fill="FFFFFF" w:val="clear"/>
        </w:rPr>
      </w:pPr>
      <w:r>
        <w:rPr>
          <w:rFonts w:ascii="Times New Roman;sans-serif" w:hAnsi="Times New Roman;sans-serif"/>
          <w:b/>
          <w:color w:val="000000"/>
          <w:sz w:val="24"/>
          <w:u w:val="single"/>
          <w:shd w:fill="FFFFFF" w:val="clear"/>
        </w:rPr>
        <w:t xml:space="preserve">Exhibit B </w:t>
      </w:r>
    </w:p>
    <w:p>
      <w:pPr>
        <w:pStyle w:val="TextBody"/>
        <w:bidi w:val="0"/>
        <w:spacing w:lineRule="auto" w:line="240"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Company Confidentiality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10.9</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Sujal Patel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fifty percent (150%)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fifty percent (150%)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eighteen (18)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6"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7"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8"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9"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Board; (b) Executive’s failure or refusal to comply with the policies, standards and regulations established by the Company Group from time to time, which failure is not cured to the sole and reasonable satisfaction of the Board;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Board’s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Board, in its sole and reasonable discretion. With respect to clauses (a) and (b) above only, Executive will have ten (10) days to cure following written notice of Executive’s failure or refusal to perform or comply, provided that whether the failure is curable will be within the Board’s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70"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71"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each of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72"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3"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Executive’s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4"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5"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Matthew Murphy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Matthew Murphy</w:t>
      </w:r>
    </w:p>
    <w:p>
      <w:pPr>
        <w:pStyle w:val="TextBody"/>
        <w:bidi w:val="0"/>
        <w:spacing w:before="0" w:after="0"/>
        <w:jc w:val="both"/>
        <w:rPr/>
      </w:pPr>
      <w:r>
        <w:rPr/>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General Counsel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Matthew Murphy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Matthew Murphy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General Counsel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Sujal Patel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Sujal Patel, CEO</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10.10</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6"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Parag Mallick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7"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8" name="Frame1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50520"/>
                <wp:effectExtent l="0" t="0" r="0" b="0"/>
                <wp:wrapNone/>
                <wp:docPr id="179" name="Frame1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50520"/>
                <wp:effectExtent l="0" t="0" r="0" b="0"/>
                <wp:wrapNone/>
                <wp:docPr id="180" name="Frame1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50520"/>
                <wp:effectExtent l="0" t="0" r="0" b="0"/>
                <wp:wrapNone/>
                <wp:docPr id="181" name="Frame1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50520"/>
                <wp:effectExtent l="0" t="0" r="0" b="0"/>
                <wp:wrapNone/>
                <wp:docPr id="182" name="Frame1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50520"/>
                <wp:effectExtent l="0" t="0" r="0" b="0"/>
                <wp:wrapNone/>
                <wp:docPr id="183"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50520"/>
                <wp:effectExtent l="0" t="0" r="0" b="0"/>
                <wp:wrapNone/>
                <wp:docPr id="184"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50520"/>
                <wp:effectExtent l="0" t="0" r="0" b="0"/>
                <wp:wrapNone/>
                <wp:docPr id="185"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50520"/>
                <wp:effectExtent l="0" t="0" r="0" b="0"/>
                <wp:wrapNone/>
                <wp:docPr id="186"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Parag Mallick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Parag Mallick</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Anna Mowry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Anna Mowry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Anna Mowry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10.12</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2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Nick Nelson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202"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5"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206"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7"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8"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9"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10" name="Frame2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11" name="Frame2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Nick Nelson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Nick Nelson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10.13</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50520"/>
                <wp:effectExtent l="0" t="0" r="0" b="0"/>
                <wp:wrapNone/>
                <wp:docPr id="212" name="Frame2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Gwen Weld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0520"/>
                <wp:effectExtent l="0" t="0" r="0" b="0"/>
                <wp:wrapNone/>
                <wp:docPr id="213" name="Frame2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0520"/>
                <wp:effectExtent l="0" t="0" r="0" b="0"/>
                <wp:wrapNone/>
                <wp:docPr id="214" name="Frame2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50520"/>
                <wp:effectExtent l="0" t="0" r="0" b="0"/>
                <wp:wrapNone/>
                <wp:docPr id="215"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6" name="Frame2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17" name="Frame2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50520"/>
                <wp:effectExtent l="0" t="0" r="0" b="0"/>
                <wp:wrapNone/>
                <wp:docPr id="218" name="Frame2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50520"/>
                <wp:effectExtent l="0" t="0" r="0" b="0"/>
                <wp:wrapNone/>
                <wp:docPr id="219" name="Frame2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50520"/>
                <wp:effectExtent l="0" t="0" r="0" b="0"/>
                <wp:wrapNone/>
                <wp:docPr id="220" name="Frame2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50520"/>
                <wp:effectExtent l="0" t="0" r="0" b="0"/>
                <wp:wrapNone/>
                <wp:docPr id="221" name="Frame2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222" name="Frame2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50520"/>
                <wp:effectExtent l="0" t="0" r="0" b="0"/>
                <wp:wrapNone/>
                <wp:docPr id="223" name="Frame2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Gwen Weld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Gwen Weld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10.14</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50520"/>
                <wp:effectExtent l="0" t="0" r="0" b="0"/>
                <wp:wrapNone/>
                <wp:docPr id="224" name="Frame2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Mary Godwin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50520"/>
                <wp:effectExtent l="0" t="0" r="0" b="0"/>
                <wp:wrapNone/>
                <wp:docPr id="225" name="Frame2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50520"/>
                <wp:effectExtent l="0" t="0" r="0" b="0"/>
                <wp:wrapNone/>
                <wp:docPr id="226" name="Frame2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50520"/>
                <wp:effectExtent l="0" t="0" r="0" b="0"/>
                <wp:wrapNone/>
                <wp:docPr id="227" name="Frame2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228" name="Frame2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229" name="Frame2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30" name="Frame2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231"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50520"/>
                <wp:effectExtent l="0" t="0" r="0" b="0"/>
                <wp:wrapNone/>
                <wp:docPr id="232"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33"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34"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35"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Mary Godwin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Mary Godwin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10.15</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36"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Subra Sankar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37" name="Frame2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238"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50520"/>
                <wp:effectExtent l="0" t="0" r="0" b="0"/>
                <wp:wrapNone/>
                <wp:docPr id="239"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240"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241"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242"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243" name="Frame2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244" name="Frame2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50520"/>
                <wp:effectExtent l="0" t="0" r="0" b="0"/>
                <wp:wrapNone/>
                <wp:docPr id="245" name="Frame2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0520"/>
                <wp:effectExtent l="0" t="0" r="0" b="0"/>
                <wp:wrapNone/>
                <wp:docPr id="246" name="Frame2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0520"/>
                <wp:effectExtent l="0" t="0" r="0" b="0"/>
                <wp:wrapNone/>
                <wp:docPr id="247" name="Frame2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Subra Sankar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Subra Sankar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10.16</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50520"/>
                <wp:effectExtent l="0" t="0" r="0" b="0"/>
                <wp:wrapNone/>
                <wp:docPr id="248" name="Frame2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NAUTILUS SUBSIDIARY,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by and between Nautilus Subsidiary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Nautilus Biotechnology, Inc., a Delaware corporation (“</w:t>
      </w:r>
      <w:r>
        <w:rPr>
          <w:rFonts w:ascii="Times New Roman;sans-serif" w:hAnsi="Times New Roman;sans-serif"/>
          <w:b/>
          <w:color w:val="000000"/>
          <w:sz w:val="24"/>
        </w:rPr>
        <w:t>Nautilus</w:t>
      </w:r>
      <w:r>
        <w:rPr>
          <w:color w:val="000000"/>
        </w:rPr>
        <w:t>”</w:t>
      </w:r>
      <w:r>
        <w:rPr>
          <w:rFonts w:ascii="Times New Roman;sans-serif" w:hAnsi="Times New Roman;sans-serif"/>
          <w:b w:val="false"/>
          <w:color w:val="000000"/>
          <w:sz w:val="24"/>
        </w:rPr>
        <w:t>), and Matthew Murphy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as of the date this Agreement is executed by both the Company and Executive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Certain capitalized terms used in this Agreement are defined in Section 7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Executive in connection with an involuntary termination of Executive’s employment under the circumstances described in this Agreement, including in connection with a change in control of Nautilus.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Executive agree as follows: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Term of Agreement</w:t>
      </w:r>
      <w:r>
        <w:rPr>
          <w:rFonts w:ascii="Times New Roman;sans-serif" w:hAnsi="Times New Roman;sans-serif"/>
          <w:b w:val="false"/>
          <w:color w:val="000000"/>
          <w:sz w:val="24"/>
        </w:rPr>
        <w:t>. This Agreement will have an initial term of three (3) years commencing on the Effective Date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 On the three (3) year anniversary of the Effective Date, this Agreement will renew automatically for additional, one (1) year terms (each, an “</w:t>
      </w:r>
      <w:r>
        <w:rPr>
          <w:rFonts w:ascii="Times New Roman;sans-serif" w:hAnsi="Times New Roman;sans-serif"/>
          <w:b/>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At-Will Employment</w:t>
      </w:r>
      <w:r>
        <w:rPr>
          <w:rFonts w:ascii="Times New Roman;sans-serif" w:hAnsi="Times New Roman;sans-serif"/>
          <w:b w:val="false"/>
          <w:color w:val="000000"/>
          <w:sz w:val="24"/>
        </w:rPr>
        <w:t>. The Company and Executive acknowledge that Executive’s employment is and will continue to be at-will, as defined under applicable law. No payments, benefits, or provisions under this Agreement will confer upon Executive any right to continue Executive’s employment, nor will they interfere with or limit in any way the right of the Company (or other applicable member of the Company Group) or Executive to terminate such relationship at any time, with or without cause, to the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color w:val="000000"/>
          <w:sz w:val="24"/>
        </w:rPr>
        <w:t>Qualifying Termination Outside of the Change in Control Period</w:t>
      </w:r>
      <w:r>
        <w:rPr>
          <w:rFonts w:ascii="Times New Roman;sans-serif" w:hAnsi="Times New Roman;sans-serif"/>
          <w:b w:val="false"/>
          <w:color w:val="000000"/>
          <w:sz w:val="24"/>
        </w:rPr>
        <w:t>. In the event of a Qualifying Termination that occurs other than during the Change in Control Period, the Company will provide, or will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fifty percent (50%)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3.1.2.</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and further subject to Section 5.3, the Company Group-paid employer portion of the premiums required for continued coverage pursuant to COBRA under the Company Group’s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50520"/>
                <wp:effectExtent l="0" t="0" r="0" b="0"/>
                <wp:wrapNone/>
                <wp:docPr id="249" name="Frame2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color w:val="000000"/>
        </w:rPr>
        <w:t xml:space="preserve"> </w:t>
      </w:r>
      <w:r>
        <w:rPr>
          <w:rFonts w:ascii="Times New Roman;sans-serif" w:hAnsi="Times New Roman;sans-serif"/>
          <w:b/>
          <w:color w:val="000000"/>
          <w:sz w:val="24"/>
        </w:rPr>
        <w:t>Qualifying Termination During the Change in Control Period</w:t>
      </w:r>
      <w:r>
        <w:rPr>
          <w:rFonts w:ascii="Times New Roman;sans-serif" w:hAnsi="Times New Roman;sans-serif"/>
          <w:b w:val="false"/>
          <w:color w:val="000000"/>
          <w:sz w:val="24"/>
        </w:rPr>
        <w:t>. In the event of a Qualifying Termination that occurs during the Change in Control Period, the Company will provide, or cause to be provided, to Executive the following payments and benefits, subject to the requirements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3.2.1.</w:t>
      </w:r>
      <w:r>
        <w:rPr>
          <w:rFonts w:ascii="Times New Roman;sans-serif" w:hAnsi="Times New Roman;sans-serif"/>
          <w:b/>
          <w:color w:val="000000"/>
          <w:sz w:val="24"/>
        </w:rPr>
        <w:t>Salary Severance</w:t>
      </w:r>
      <w:r>
        <w:rPr>
          <w:rFonts w:ascii="Times New Roman;sans-serif" w:hAnsi="Times New Roman;sans-serif"/>
          <w:b w:val="false"/>
          <w:color w:val="000000"/>
          <w:sz w:val="24"/>
        </w:rPr>
        <w:t>. A single, lump sum, cash payment equal to one hundred percent (100%) of Executive’s Salary.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3.2.2.</w:t>
      </w:r>
      <w:r>
        <w:rPr>
          <w:rFonts w:ascii="Times New Roman;sans-serif" w:hAnsi="Times New Roman;sans-serif"/>
          <w:b/>
          <w:color w:val="000000"/>
          <w:sz w:val="24"/>
        </w:rPr>
        <w:t>Target Bonus Severance</w:t>
      </w:r>
      <w:r>
        <w:rPr>
          <w:rFonts w:ascii="Times New Roman;sans-serif" w:hAnsi="Times New Roman;sans-serif"/>
          <w:b w:val="false"/>
          <w:color w:val="000000"/>
          <w:sz w:val="24"/>
        </w:rPr>
        <w:t xml:space="preserve">. A single, lump sum, cash payment equal to one hundred percent (100%) of Executive’s Target Bonus.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3.2.3.</w:t>
      </w:r>
      <w:r>
        <w:rPr>
          <w:rFonts w:ascii="Times New Roman;sans-serif" w:hAnsi="Times New Roman;sans-serif"/>
          <w:b/>
          <w:color w:val="000000"/>
          <w:sz w:val="24"/>
        </w:rPr>
        <w:t>COBRA Severance</w:t>
      </w:r>
      <w:r>
        <w:rPr>
          <w:rFonts w:ascii="Times New Roman;sans-serif" w:hAnsi="Times New Roman;sans-serif"/>
          <w:b w:val="false"/>
          <w:color w:val="000000"/>
          <w:sz w:val="24"/>
        </w:rPr>
        <w:t>. Subject to Executive timely electing continuation coverage under COBRA and further subject to Section 5.3, the Company Group-paid premiums required for continued coverage pursuant to COBRA under the Company Group’s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3.2.4.</w:t>
      </w:r>
      <w:r>
        <w:rPr>
          <w:rFonts w:ascii="Times New Roman;sans-serif" w:hAnsi="Times New Roman;sans-serif"/>
          <w:b/>
          <w:color w:val="000000"/>
          <w:sz w:val="24"/>
        </w:rPr>
        <w:t>Vesting Acceleration of Time-Based Awards</w:t>
      </w:r>
      <w:r>
        <w:rPr>
          <w:rFonts w:ascii="Times New Roman;sans-serif" w:hAnsi="Times New Roman;sans-serif"/>
          <w:b w:val="false"/>
          <w:color w:val="000000"/>
          <w:sz w:val="24"/>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color w:val="000000"/>
          <w:sz w:val="24"/>
        </w:rPr>
        <w:t>Termination Other Than a Qualifying Termination</w:t>
      </w:r>
      <w:r>
        <w:rPr>
          <w:rFonts w:ascii="Times New Roman;sans-serif" w:hAnsi="Times New Roman;sans-serif"/>
          <w:b w:val="false"/>
          <w:color w:val="000000"/>
          <w:sz w:val="24"/>
        </w:rPr>
        <w:t>. If the termination of Executive’s employment with the Company Group does not constitute a Qualifying Termination, then Executive will not be entitled to receive any severance or other benefits in connection with such termination except for those, if any, as may then be established under the Company Group’s then existing severance and benefits plans or programs applicable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3.4.</w:t>
      </w:r>
      <w:r>
        <w:rPr>
          <w:rFonts w:ascii="Times New Roman;sans-serif" w:hAnsi="Times New Roman;sans-serif"/>
          <w:b/>
          <w:color w:val="000000"/>
          <w:sz w:val="24"/>
        </w:rPr>
        <w:t>Non-duplication of Payment or Benefits</w:t>
      </w:r>
      <w:r>
        <w:rPr>
          <w:rFonts w:ascii="Times New Roman;sans-serif" w:hAnsi="Times New Roman;sans-serif"/>
          <w:b w:val="false"/>
          <w:color w:val="000000"/>
          <w:sz w:val="24"/>
        </w:rPr>
        <w:t xml:space="preserve">.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any other member of the Company Group or to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50" name="Frame2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which the Company or any other member of the Company Group is a party other than this Agreement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w:t>
      </w:r>
      <w:r>
        <w:rPr>
          <w:rFonts w:ascii="Times New Roman;sans-serif" w:hAnsi="Times New Roman;sans-serif"/>
          <w:b/>
          <w:color w:val="000000"/>
          <w:sz w:val="24"/>
        </w:rPr>
        <w:t>Death of Executive</w:t>
      </w:r>
      <w:r>
        <w:rPr>
          <w:rFonts w:ascii="Times New Roman;sans-serif" w:hAnsi="Times New Roman;sans-serif"/>
          <w:b w:val="false"/>
          <w:color w:val="000000"/>
          <w:sz w:val="24"/>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3.6.</w:t>
      </w:r>
      <w:r>
        <w:rPr>
          <w:rFonts w:ascii="Times New Roman;sans-serif" w:hAnsi="Times New Roman;sans-serif"/>
          <w:b/>
          <w:color w:val="000000"/>
          <w:sz w:val="24"/>
        </w:rPr>
        <w:t>Transfer Between Company Group Members</w:t>
      </w:r>
      <w:r>
        <w:rPr>
          <w:rFonts w:ascii="Times New Roman;sans-serif" w:hAnsi="Times New Roman;sans-serif"/>
          <w:b w:val="false"/>
          <w:color w:val="000000"/>
          <w:sz w:val="24"/>
        </w:rPr>
        <w:t xml:space="preserve">. For purposes of this Agreement, if Executive is involuntarily transferred from one member of the Company Group to another, such transfer will not constitute a termination without Cause, but depending on the circumstances, such transfer may give Executive the ability to resign for Good Reason, subject to Section 7.11 and other requirements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Accrued Compensation</w:t>
      </w:r>
      <w:r>
        <w:rPr>
          <w:rFonts w:ascii="Times New Roman;sans-serif" w:hAnsi="Times New Roman;sans-serif"/>
          <w:b w:val="false"/>
          <w:color w:val="000000"/>
          <w:sz w:val="24"/>
        </w:rPr>
        <w:t>. On any termination of Executive’s employment with the Company Group, Executive will be entitled to receive all accrued but unpaid vacation, expense reimbursements, wages, and other benefits due to Executive under any plans, policies, and arrangements of the Company (or other member of the Company Group,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Conditions to Receipt of Severance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5.1.</w:t>
      </w:r>
      <w:r>
        <w:rPr>
          <w:rFonts w:ascii="Times New Roman;sans-serif" w:hAnsi="Times New Roman;sans-serif"/>
          <w:b/>
          <w:color w:val="000000"/>
          <w:sz w:val="24"/>
        </w:rPr>
        <w:t>Separation Agreement and Release of Claims</w:t>
      </w:r>
      <w:r>
        <w:rPr>
          <w:rFonts w:ascii="Times New Roman;sans-serif" w:hAnsi="Times New Roman;sans-serif"/>
          <w:b w:val="false"/>
          <w:color w:val="000000"/>
          <w:sz w:val="24"/>
        </w:rPr>
        <w:t>. Executive’s receipt of any severance payments or benefits upon a Qualifying Termination under Section 3 is subject to Executive signing and not revoking the Company Group’s then standard separation agreement and release of claims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which must become effective and irrevocable no later than the sixtieth (60th) day following the date of the Qualifying Termination (the “</w:t>
      </w:r>
      <w:r>
        <w:rPr>
          <w:rFonts w:ascii="Times New Roman;sans-serif" w:hAnsi="Times New Roman;sans-serif"/>
          <w:b/>
          <w:color w:val="000000"/>
          <w:sz w:val="24"/>
        </w:rPr>
        <w:t>Release Deadline Date</w:t>
      </w:r>
      <w:r>
        <w:rPr>
          <w:color w:val="000000"/>
        </w:rPr>
        <w:t>”</w:t>
      </w:r>
      <w:r>
        <w:rPr>
          <w:rFonts w:ascii="Times New Roman;sans-serif" w:hAnsi="Times New Roman;sans-serif"/>
          <w:b w:val="false"/>
          <w:color w:val="000000"/>
          <w:sz w:val="24"/>
        </w:rPr>
        <w:t>). If the Release does not become effective and irrevocable by the Release Deadline Date, Executive will forfeit any right to the severance payments or benefits under Section 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5.2.</w:t>
      </w:r>
      <w:r>
        <w:rPr>
          <w:rFonts w:ascii="Times New Roman;sans-serif" w:hAnsi="Times New Roman;sans-serif"/>
          <w:b/>
          <w:color w:val="000000"/>
          <w:sz w:val="24"/>
        </w:rPr>
        <w:t>Payment Timing</w:t>
      </w:r>
      <w:r>
        <w:rPr>
          <w:rFonts w:ascii="Times New Roman;sans-serif" w:hAnsi="Times New Roman;sans-serif"/>
          <w:b w:val="false"/>
          <w:color w:val="000000"/>
          <w:sz w:val="24"/>
        </w:rPr>
        <w:t>. Any lump sum cash severance payments under Section 3 relating to salary severance and any bonus severance will be provided to Executive on the first regularly scheduled payroll date of the Company (or other then-applicable member of the Company Group)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sans-serif" w:hAnsi="Times New Roman;sans-serif"/>
          <w:b/>
          <w:color w:val="000000"/>
          <w:sz w:val="24"/>
        </w:rPr>
        <w:t>Full Value Awards</w:t>
      </w:r>
      <w:r>
        <w:rPr>
          <w:color w:val="000000"/>
        </w:rPr>
        <w:t>”</w:t>
      </w:r>
      <w:r>
        <w:rPr>
          <w:rFonts w:ascii="Times New Roman;sans-serif" w:hAnsi="Times New Roman;sans-serif"/>
          <w:b w:val="false"/>
          <w:color w:val="000000"/>
          <w:sz w:val="24"/>
        </w:rPr>
        <w:t>) that accelerate vesting under Section 3.2.4 will be settled, subject to any delay required by Section 5.4 below (or the terms of the Full Value Award agreement or other Company Group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5.3.</w:t>
      </w:r>
      <w:r>
        <w:rPr>
          <w:rFonts w:ascii="Times New Roman;sans-serif" w:hAnsi="Times New Roman;sans-serif"/>
          <w:b/>
          <w:color w:val="000000"/>
          <w:sz w:val="24"/>
        </w:rPr>
        <w:t>COBRA Severance Limitations</w:t>
      </w:r>
      <w:r>
        <w:rPr>
          <w:rFonts w:ascii="Times New Roman;sans-serif" w:hAnsi="Times New Roman;sans-serif"/>
          <w:b w:val="false"/>
          <w:color w:val="000000"/>
          <w:sz w:val="24"/>
        </w:rPr>
        <w:t>. If the Company (or other applicable member of the Company Group) determines in its sole discretion that it cannot provide the COBRA-related benefits set forth in Section 3.1.2 or 3.2.3, as applicable (the “</w:t>
      </w:r>
      <w:r>
        <w:rPr>
          <w:rFonts w:ascii="Times New Roman;sans-serif" w:hAnsi="Times New Roman;sans-serif"/>
          <w:b/>
          <w:color w:val="000000"/>
          <w:sz w:val="24"/>
        </w:rPr>
        <w:t>COBRA Severance</w:t>
      </w:r>
      <w:r>
        <w:rPr>
          <w:color w:val="000000"/>
        </w:rPr>
        <w:t>”</w:t>
      </w:r>
      <w:r>
        <w:rPr>
          <w:rFonts w:ascii="Times New Roman;sans-serif" w:hAnsi="Times New Roman;sans-serif"/>
          <w:b w:val="false"/>
          <w:color w:val="000000"/>
          <w:sz w:val="24"/>
        </w:rPr>
        <w:t xml:space="preserve">) without potentially violating, or being subject to an excise tax under, applicable law (including, without limitation, Section 2716 of the Public Health Service Act), then in lieu of such COBRA Severance, subject to any delay required by Section 5.4 below, the Company will provide, or cause to be provided, to Executive a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51" name="Frame2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 Group’s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 Group’s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sans-serif" w:hAnsi="Times New Roman;sans-serif"/>
          <w:b/>
          <w:color w:val="000000"/>
          <w:sz w:val="24"/>
        </w:rPr>
        <w:t>COBRA Replacement Payment</w:t>
      </w:r>
      <w:r>
        <w:rPr>
          <w:color w:val="000000"/>
        </w:rPr>
        <w:t>”</w:t>
      </w:r>
      <w:r>
        <w:rPr>
          <w:rFonts w:ascii="Times New Roman;sans-serif" w:hAnsi="Times New Roman;sans-serif"/>
          <w:b w:val="false"/>
          <w:color w:val="000000"/>
          <w:sz w:val="24"/>
        </w:rPr>
        <w:t>), and which COBRA Replacement Payments will be made regardless of whether Executive elects COBRA continuation coverage and will end on the earlier of (a) the date upon which Executive obtains other employment, or (b) the date the Company Group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(or other applicable member of the Company Group)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5.4.</w:t>
      </w:r>
      <w:r>
        <w:rPr>
          <w:rFonts w:ascii="Times New Roman;sans-serif" w:hAnsi="Times New Roman;sans-serif"/>
          <w:b/>
          <w:color w:val="000000"/>
          <w:sz w:val="24"/>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5.4.1.</w:t>
      </w:r>
      <w:r>
        <w:rPr>
          <w:rFonts w:ascii="Times New Roman;sans-serif" w:hAnsi="Times New Roman;sans-serif"/>
          <w:b w:val="false"/>
          <w:color w:val="000000"/>
          <w:sz w:val="24"/>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5.4.2.</w:t>
      </w:r>
      <w:r>
        <w:rPr>
          <w:rFonts w:ascii="Times New Roman;sans-serif" w:hAnsi="Times New Roman;sans-serif"/>
          <w:b w:val="false"/>
          <w:color w:val="000000"/>
          <w:sz w:val="24"/>
        </w:rPr>
        <w:t xml:space="preserve">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2" name="Frame2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occurs, then any payments or benefits under this Agreement that constitute Deferred Payments that otherwise would be payable prior to the Release Deadline Date instead will be paid on the Release Deadline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5.4.3.</w:t>
      </w:r>
      <w:r>
        <w:rPr>
          <w:rFonts w:ascii="Times New Roman;sans-serif" w:hAnsi="Times New Roman;sans-serif"/>
          <w:b w:val="false"/>
          <w:color w:val="000000"/>
          <w:sz w:val="24"/>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Group or any affiliate of the Company Group have any responsibility, liability or obligation to reimburse, indemnify or hold harmless Executive for any taxes, penalties or interest that may be imposed, or other costs that may be incurred, as a result of Section 409A.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Limitation on 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6.1.</w:t>
      </w:r>
      <w:r>
        <w:rPr>
          <w:rFonts w:ascii="Times New Roman;sans-serif" w:hAnsi="Times New Roman;sans-serif"/>
          <w:b/>
          <w:color w:val="000000"/>
          <w:sz w:val="24"/>
        </w:rPr>
        <w:t>Reduction of Severance Benefits</w:t>
      </w:r>
      <w:r>
        <w:rPr>
          <w:rFonts w:ascii="Times New Roman;sans-serif" w:hAnsi="Times New Roman;sans-serif"/>
          <w:b w:val="false"/>
          <w:color w:val="000000"/>
          <w:sz w:val="24"/>
        </w:rPr>
        <w:t>. If any payment or benefit that Executive would receive from the Company Group or any other party whether in connection with the provisions in this Agreement or otherwise (the “Payments”)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Group nor any affiliate of the Company Group have any responsibility, liability or obligation to reimburse, indemnify or hold harmless Executive for any of those payments of personal tax liability.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6.2.</w:t>
      </w:r>
      <w:r>
        <w:rPr>
          <w:rFonts w:ascii="Times New Roman;sans-serif" w:hAnsi="Times New Roman;sans-serif"/>
          <w:b/>
          <w:color w:val="000000"/>
          <w:sz w:val="24"/>
        </w:rPr>
        <w:t>Determination of Excise Tax Liability</w:t>
      </w:r>
      <w:r>
        <w:rPr>
          <w:rFonts w:ascii="Times New Roman;sans-serif" w:hAnsi="Times New Roman;sans-serif"/>
          <w:b w:val="false"/>
          <w:color w:val="000000"/>
          <w:sz w:val="24"/>
        </w:rPr>
        <w:t>. Unless the Company (or Nautilus, as applicable) and Executive otherwise agree in writing, any determinations required under this Section 6 will be made in writing by a nationally recognized accounting or valuation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selected by the Company (or Nautilus, as applicable), whose determinations will be conclusive and binding upon Executive and the Company Group for all purposes. For purposes of making the calculations required by this Section 6, the Firm may make reasonable assumptions and approximations concerning applicable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3" name="Frame2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taxes and may rely on reasonable, good faith interpretations concerning the application of Sections 280G and 4999 of the Code. The Company Group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Group will have no liability to Executive for the determinations of the Firm.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w:t>
      </w:r>
      <w:r>
        <w:rPr>
          <w:color w:val="000000"/>
        </w:rPr>
        <w:t>“</w:t>
      </w:r>
      <w:r>
        <w:rPr>
          <w:rFonts w:ascii="Times New Roman;sans-serif" w:hAnsi="Times New Roman;sans-serif"/>
          <w:b/>
          <w:color w:val="000000"/>
          <w:sz w:val="24"/>
        </w:rPr>
        <w:t>Award</w:t>
      </w:r>
      <w:r>
        <w:rPr>
          <w:color w:val="000000"/>
        </w:rPr>
        <w:t xml:space="preserve">” </w:t>
      </w:r>
      <w:r>
        <w:rPr>
          <w:rFonts w:ascii="Times New Roman;sans-serif" w:hAnsi="Times New Roman;sans-serif"/>
          <w:b w:val="false"/>
          <w:color w:val="000000"/>
          <w:sz w:val="24"/>
        </w:rPr>
        <w:t>means stock options and other equity awards covering shares of Nautilus common stock granted to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7.2.</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Nautilus.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7.3.</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Group from time to time, which failure is not cured to the sole and reasonable satisfaction of the Company; (c) any act of personal dishonesty, moral turpitude, fraud, embezzlement, misrepresentation, or other unlawful act committed by Executive that results in harm to Nautilus or any other member of the Company Group, or any of their respective affiliates, including financial or reputational, which harm will be determined in the Company’s sole and reasonable discretion; (d) Executive’s violation of a federal or state law or regulation applicable to the business of Nautilus or any other member of the Company Group, or any of their respective affiliates; (e) Executive being convicted of, or entering a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 xml:space="preserve">or guilty to, a felony under the laws of the United States or its equivalent in the jurisdiction in which the act that constituted the felony occurred; (f) Executive’s material breach of the terms of this Agreement or any other agreement between Executive and any member of the Company Group (or any affiliate of the Company Group); or (g) Nautilus’ or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7.4.</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first occurrence of any of the following events on or after the Effective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7.4.1.</w:t>
      </w:r>
      <w:r>
        <w:rPr>
          <w:rFonts w:ascii="Times New Roman;sans-serif" w:hAnsi="Times New Roman;sans-serif"/>
          <w:b/>
          <w:color w:val="000000"/>
          <w:sz w:val="24"/>
        </w:rPr>
        <w:t>Change in Ownership of Nautilus</w:t>
      </w:r>
      <w:r>
        <w:rPr>
          <w:rFonts w:ascii="Times New Roman;sans-serif" w:hAnsi="Times New Roman;sans-serif"/>
          <w:b w:val="false"/>
          <w:color w:val="000000"/>
          <w:sz w:val="24"/>
        </w:rPr>
        <w:t>. A change in the ownership of Nautilus 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Nautilus that, together with the stock held by such Person, constitutes more than fifty percent (50%) of the total voting power of the stock of Nautilus; provided, however, that for purposes of this subsection, the acquisition of additional stock by any one Person, who is considered to own more than fifty percent (50%) of the total voting power of the stock of Nautilus will not be considered a Change in Control; provided, further, that any change in the ownership of the stock of Nautilus as a result of a private financing of Nautilus that is approved by the Board also will not be considered a Change in Control. Further, if the stockholders of Nautilus immediately before such change in ownership continue to retain immediately after the change in ownership, in substantially the same proportions as their ownership of shares of Nautilus’ voting stock immediately prior to the change in ownership, direct or indirect beneficial ownership of fifty percent (50%) or more of the total voting power of the stock of Nautilus or of the ultimate parent entity of Nautilus, such event shall not be considered a Change in Control under this Section 7.4.1. For this purpose, indirect beneficial ownership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4" name="Frame2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include, without limitation, an interest resulting from ownership of the voting securities of one or more corporations or other business entities which own Nautilus, as the case may be, either directly or through one or more subsidiary corporations or other business entities;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7.4.2.</w:t>
      </w:r>
      <w:r>
        <w:rPr>
          <w:rFonts w:ascii="Times New Roman;sans-serif" w:hAnsi="Times New Roman;sans-serif"/>
          <w:b/>
          <w:color w:val="000000"/>
          <w:sz w:val="24"/>
        </w:rPr>
        <w:t>Change in Effective Control of Nautilus</w:t>
      </w:r>
      <w:r>
        <w:rPr>
          <w:rFonts w:ascii="Times New Roman;sans-serif" w:hAnsi="Times New Roman;sans-serif"/>
          <w:b w:val="false"/>
          <w:color w:val="000000"/>
          <w:sz w:val="24"/>
        </w:rPr>
        <w:t>. If Nautilus has a class of securities registered pursuant to Section 12 of the U.S. Securities Exchange Act of 1934, as amended, a change in the effective control of Nautilus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Nautilus, the acquisition of additional control of Nautilus by the same Person will not be considered a Change in Control;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7.4.3.</w:t>
      </w:r>
      <w:r>
        <w:rPr>
          <w:rFonts w:ascii="Times New Roman;sans-serif" w:hAnsi="Times New Roman;sans-serif"/>
          <w:b/>
          <w:color w:val="000000"/>
          <w:sz w:val="24"/>
        </w:rPr>
        <w:t>Change in Ownership of a Substantial Portion of Nautilus’ Assets</w:t>
      </w:r>
      <w:r>
        <w:rPr>
          <w:rFonts w:ascii="Times New Roman;sans-serif" w:hAnsi="Times New Roman;sans-serif"/>
          <w:b w:val="false"/>
          <w:color w:val="000000"/>
          <w:sz w:val="24"/>
        </w:rPr>
        <w:t>. A change in the ownership of a substantial portion of Nautilus’ assets which occurs on the date that any Person acquires (or has acquired during the twelve (12) month period ending on the date of the most recent acquisition by such Person or Persons) assets from Nautilus that have a total gross fair market value equal to or more than fifty percent (50%) of the total gross fair market value of all of the assets of Nautilus immediately prior to such acquisition or acquisitions; provided, however, that for purposes of this Section 7.4.3, the following will not constitute a change in the ownership of a substantial portion of Nautilus’ assets: (a) a transfer to an entity that is controlled by Nautilus’ stockholders immediately after the transfer, or (b) a transfer of assets by Nautilus to: (i) a stockholder of Nautilus (immediately before the asset transfer) in exchange for or with respect to Nautilus’ stock, (ii) an entity, fifty percent (50%) or more of the total value or voting power of which is owned, directly or indirectly, by Nautilus, (iii) a Person, that owns, directly or indirectly, fifty percent (50%) or more of the total value or voting power of all the outstanding stock of Nautilus, or (iv) an entity, at least fifty percent (50%) of the total value or voting power of which is owned, directly or indirectly, by a Person described in this Section 7.4.3(b)(iii). For purposes of this Section 7.4.3, gross fair market value means the value of the assets of Nautilus, or the value of the assets being disposed of, determined without regard to any liabilities associated with such assets.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Change in Control definition under Section 7.4, persons will be considered to be acting as a group if they are owners of a corporation that enters into a merger, consolidation, purchase or acquisition of stock, or similar business transaction with Nautilus.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Nautilus’ incorporation, or (y) its sole purpose is to create a holding company that will be owned in substantially the same proportions by the persons who held Nautilus’ securities immediately before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7.5.</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means the period beginning on the date three (3) months prior to a Change in Control and ending on (and inclusive of) the date that is the one (1) year anniversary of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7.6.</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50520"/>
                <wp:effectExtent l="0" t="0" r="0" b="0"/>
                <wp:wrapNone/>
                <wp:docPr id="255" name="Frame2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7.7.</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Nautilus, the Company, and each of Nautilus’ other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7.8.</w:t>
      </w:r>
      <w:r>
        <w:rPr>
          <w:color w:val="000000"/>
        </w:rPr>
        <w:t>“</w:t>
      </w:r>
      <w:r>
        <w:rPr>
          <w:rFonts w:ascii="Times New Roman;sans-serif" w:hAnsi="Times New Roman;sans-serif"/>
          <w:b/>
          <w:color w:val="000000"/>
          <w:sz w:val="24"/>
        </w:rPr>
        <w:t>Confidentiality Agreement</w:t>
      </w:r>
      <w:r>
        <w:rPr>
          <w:color w:val="000000"/>
        </w:rPr>
        <w:t xml:space="preserve">” </w:t>
      </w:r>
      <w:r>
        <w:rPr>
          <w:rFonts w:ascii="Times New Roman;sans-serif" w:hAnsi="Times New Roman;sans-serif"/>
          <w:b w:val="false"/>
          <w:color w:val="000000"/>
          <w:sz w:val="24"/>
        </w:rPr>
        <w:t>means Executive’s At-Will Employment, Confidential Information, Invention Assignment and Arbitration Agreements or similar agreements entered into with the Company including that which is dated of even date herewith,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7.9.</w:t>
      </w:r>
      <w:r>
        <w:rPr>
          <w:color w:val="000000"/>
        </w:rPr>
        <w:t>“</w:t>
      </w:r>
      <w:r>
        <w:rPr>
          <w:rFonts w:ascii="Times New Roman;sans-serif" w:hAnsi="Times New Roman;sans-serif"/>
          <w:b/>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7.10.</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total and permanent disability as defined in Code Section 22(e)(3).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7.11.</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termination of Executive’s employment with the Company Group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Group (or parent, affiliate or successor thereto, as applicable) of Executive’s principal work location to a principal work location more than forty (40) miles from Executive’s principal work location immediately before such relocation; or (c) a reduction in Executive’s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Group without first providing the Company Group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To the extent Executive’s principal work location is not the Company Group’s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 Group’s office or facility location where Executive’s employment with the Company Group primarily was based immediately prior to the commencement of such shelter-in-place order, quarantine order, or similar work-from-home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7.12.</w:t>
      </w:r>
      <w:r>
        <w:rPr>
          <w:color w:val="000000"/>
        </w:rPr>
        <w:t>“</w:t>
      </w:r>
      <w:r>
        <w:rPr>
          <w:rFonts w:ascii="Times New Roman;sans-serif" w:hAnsi="Times New Roman;sans-serif"/>
          <w:b/>
          <w:color w:val="000000"/>
          <w:sz w:val="24"/>
        </w:rPr>
        <w:t>Qualifying Termination</w:t>
      </w:r>
      <w:r>
        <w:rPr>
          <w:color w:val="000000"/>
        </w:rPr>
        <w:t xml:space="preserve">” </w:t>
      </w:r>
      <w:r>
        <w:rPr>
          <w:rFonts w:ascii="Times New Roman;sans-serif" w:hAnsi="Times New Roman;sans-serif"/>
          <w:b w:val="false"/>
          <w:color w:val="000000"/>
          <w:sz w:val="24"/>
        </w:rPr>
        <w:t>means a termination of Executive’s employment with the Company Group either (a) by the Company Group without Cause and other than due to Executive’s death or Disability (provided that the transfer of Executive’s employment to another member of the Company Group shall not be deemed to constitute the Company’s termination of Executive’s employment with the Company Group), or (b) by Executive for Good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7.13.</w:t>
      </w:r>
      <w:r>
        <w:rPr>
          <w:color w:val="000000"/>
        </w:rPr>
        <w:t>“</w:t>
      </w:r>
      <w:r>
        <w:rPr>
          <w:rFonts w:ascii="Times New Roman;sans-serif" w:hAnsi="Times New Roman;sans-serif"/>
          <w:b/>
          <w:color w:val="000000"/>
          <w:sz w:val="24"/>
        </w:rPr>
        <w:t>Salary</w:t>
      </w:r>
      <w:r>
        <w:rPr>
          <w:color w:val="000000"/>
        </w:rPr>
        <w:t xml:space="preserve">” </w:t>
      </w:r>
      <w:r>
        <w:rPr>
          <w:rFonts w:ascii="Times New Roman;sans-serif" w:hAnsi="Times New Roman;sans-serif"/>
          <w:b w:val="false"/>
          <w:color w:val="000000"/>
          <w:sz w:val="24"/>
        </w:rPr>
        <w:t xml:space="preserve">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50520"/>
                <wp:effectExtent l="0" t="0" r="0" b="0"/>
                <wp:wrapNone/>
                <wp:docPr id="256" name="Frame2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7.14.</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Code Section 409A and the Treasury Regulations and guidance thereunder, and any applicable state law equivalent, as each may be promulgated, amended or modified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7.15.</w:t>
      </w:r>
      <w:r>
        <w:rPr>
          <w:color w:val="000000"/>
        </w:rPr>
        <w:t>“</w:t>
      </w:r>
      <w:r>
        <w:rPr>
          <w:rFonts w:ascii="Times New Roman;sans-serif" w:hAnsi="Times New Roman;sans-serif"/>
          <w:b/>
          <w:color w:val="000000"/>
          <w:sz w:val="24"/>
        </w:rPr>
        <w:t>Target Bonus</w:t>
      </w:r>
      <w:r>
        <w:rPr>
          <w:color w:val="000000"/>
        </w:rPr>
        <w:t xml:space="preserve">” </w:t>
      </w:r>
      <w:r>
        <w:rPr>
          <w:rFonts w:ascii="Times New Roman;sans-serif" w:hAnsi="Times New Roman;sans-serif"/>
          <w:b w:val="false"/>
          <w:color w:val="000000"/>
          <w:sz w:val="24"/>
        </w:rPr>
        <w:t xml:space="preserve">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7.16.</w:t>
      </w:r>
      <w:r>
        <w:rPr>
          <w:color w:val="000000"/>
        </w:rPr>
        <w:t>“</w:t>
      </w:r>
      <w:r>
        <w:rPr>
          <w:rFonts w:ascii="Times New Roman;sans-serif" w:hAnsi="Times New Roman;sans-serif"/>
          <w:b/>
          <w:color w:val="000000"/>
          <w:sz w:val="24"/>
        </w:rPr>
        <w:t>Time-Based Awards</w:t>
      </w:r>
      <w:r>
        <w:rPr>
          <w:color w:val="000000"/>
        </w:rPr>
        <w:t xml:space="preserve">” </w:t>
      </w:r>
      <w:r>
        <w:rPr>
          <w:rFonts w:ascii="Times New Roman;sans-serif" w:hAnsi="Times New Roman;sans-serif"/>
          <w:b w:val="false"/>
          <w:color w:val="000000"/>
          <w:sz w:val="24"/>
        </w:rPr>
        <w:t>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Successors</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Group. Any such successor of the Company Group will be deemed substituted for the Company Group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Group.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Notice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9.1.</w:t>
      </w:r>
      <w:r>
        <w:rPr>
          <w:rFonts w:ascii="Times New Roman;sans-serif" w:hAnsi="Times New Roman;sans-serif"/>
          <w:b/>
          <w:color w:val="000000"/>
          <w:sz w:val="24"/>
        </w:rPr>
        <w:t>General</w:t>
      </w:r>
      <w:r>
        <w:rPr>
          <w:rFonts w:ascii="Times New Roman;sans-serif" w:hAnsi="Times New Roman;sans-serif"/>
          <w:b w:val="false"/>
          <w:color w:val="000000"/>
          <w:sz w:val="24"/>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Nautilus Subsidiary, Inc.</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2701 Eastlake Avenue East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Seattle, WA 98102</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9.2.</w:t>
      </w:r>
      <w:r>
        <w:rPr>
          <w:rFonts w:ascii="Times New Roman;sans-serif" w:hAnsi="Times New Roman;sans-serif"/>
          <w:b/>
          <w:color w:val="000000"/>
          <w:sz w:val="24"/>
        </w:rPr>
        <w:t>Notice of Termination</w:t>
      </w:r>
      <w:r>
        <w:rPr>
          <w:rFonts w:ascii="Times New Roman;sans-serif" w:hAnsi="Times New Roman;sans-serif"/>
          <w:b w:val="false"/>
          <w:color w:val="000000"/>
          <w:sz w:val="24"/>
        </w:rPr>
        <w:t>. Any termination of Executive’s employment by the Company Group for Cause will be communicated by a notice of termination of Executive’s employment to Executive, and any termination by Executive for Good Reason will be communicated by a notice of termination to the Company Group,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50520"/>
                <wp:effectExtent l="0" t="0" r="0" b="0"/>
                <wp:wrapNone/>
                <wp:docPr id="257" name="Frame2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Resignation</w:t>
      </w:r>
      <w:r>
        <w:rPr>
          <w:rFonts w:ascii="Times New Roman;sans-serif" w:hAnsi="Times New Roman;sans-serif"/>
          <w:b w:val="false"/>
          <w:color w:val="000000"/>
          <w:sz w:val="24"/>
        </w:rPr>
        <w:t>. The termination of Executive’s employment with the Company Group for any reason also will constitute, without any further required action by Executive, Executive’s voluntary resignation from all officer and/or director positions held at the Company Group or any of its affiliates, and at the Company Group’s request, Executive will execute any documents reasonably necessary to reflect the resignations.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Miscellaneous Provisions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color w:val="000000"/>
          <w:sz w:val="24"/>
        </w:rPr>
        <w:t>No Duty to Mitigate</w:t>
      </w:r>
      <w:r>
        <w:rPr>
          <w:rFonts w:ascii="Times New Roman;sans-serif" w:hAnsi="Times New Roman;sans-serif"/>
          <w:b w:val="false"/>
          <w:color w:val="000000"/>
          <w:sz w:val="24"/>
        </w:rPr>
        <w:t>. Executive will not be required to mitigate the amount of any payment contemplated by this Agreement, nor will any payment be reduced by any earnings that Executive may receive from any other source except as specified in Sections 3.4, 5.3, 5.4.3, and 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color w:val="000000"/>
          <w:sz w:val="24"/>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color w:val="000000"/>
          <w:sz w:val="24"/>
        </w:rPr>
        <w:t>Headings</w:t>
      </w:r>
      <w:r>
        <w:rPr>
          <w:rFonts w:ascii="Times New Roman;sans-serif" w:hAnsi="Times New Roman;sans-serif"/>
          <w:b w:val="false"/>
          <w:color w:val="000000"/>
          <w:sz w:val="24"/>
        </w:rPr>
        <w:t>. Headings are provided herein for convenience only, and will not serve as a basis for interpretation or construction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color w:val="000000"/>
          <w:sz w:val="24"/>
        </w:rPr>
        <w:t>Entire Agreement</w:t>
      </w:r>
      <w:r>
        <w:rPr>
          <w:rFonts w:ascii="Times New Roman;sans-serif" w:hAnsi="Times New Roman;sans-serif"/>
          <w:b w:val="false"/>
          <w:color w:val="000000"/>
          <w:sz w:val="24"/>
        </w:rPr>
        <w:t>. This Agreement, together with the Confidentiality Agreement, Nautilus’ 2021 Equity Incentive Plan and/or 2017 Equity Incentive Plan and award agreements thereunder governing Executive’s Awards, and confirmatory employment letter entered into with the Company of even date herewith,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any Change in Control and Severance Agreement previously entered into between Executive and Nautilus,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color w:val="000000"/>
          <w:sz w:val="24"/>
        </w:rPr>
        <w:t>Governing</w:t>
      </w:r>
      <w:r>
        <w:rPr>
          <w:color w:val="000000"/>
        </w:rPr>
        <w:t xml:space="preserve"> </w:t>
      </w:r>
      <w:r>
        <w:rPr>
          <w:rFonts w:ascii="Times New Roman;sans-serif" w:hAnsi="Times New Roman;sans-serif"/>
          <w:b/>
          <w:color w:val="000000"/>
          <w:sz w:val="24"/>
        </w:rPr>
        <w:t>Law</w:t>
      </w:r>
      <w:r>
        <w:rPr>
          <w:rFonts w:ascii="Times New Roman;sans-serif" w:hAnsi="Times New Roman;sans-serif"/>
          <w:b w:val="false"/>
          <w:color w:val="000000"/>
          <w:sz w:val="24"/>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color w:val="000000"/>
          <w:sz w:val="24"/>
        </w:rPr>
        <w:t>Withholding</w:t>
      </w:r>
      <w:r>
        <w:rPr>
          <w:rFonts w:ascii="Times New Roman;sans-serif" w:hAnsi="Times New Roman;sans-serif"/>
          <w:b w:val="false"/>
          <w:color w:val="000000"/>
          <w:sz w:val="24"/>
        </w:rPr>
        <w:t>. The Company (and any parent, subsidiary or other affiliate of the Company or other member of the Company Group, as applicable) will have the right and authority to deduct from any payments or benefits all applicable federal, state, local, and/or non U.S. taxes or other required withholdings and payroll deductions (“</w:t>
      </w:r>
      <w:r>
        <w:rPr>
          <w:rFonts w:ascii="Times New Roman;sans-serif" w:hAnsi="Times New Roman;sans-serif"/>
          <w:b/>
          <w:color w:val="000000"/>
          <w:sz w:val="24"/>
        </w:rPr>
        <w:t>Withholdings</w:t>
      </w:r>
      <w:r>
        <w:rPr>
          <w:color w:val="000000"/>
        </w:rPr>
        <w:t>”</w:t>
      </w:r>
      <w:r>
        <w:rPr>
          <w:rFonts w:ascii="Times New Roman;sans-serif" w:hAnsi="Times New Roman;sans-serif"/>
          <w:b w:val="false"/>
          <w:color w:val="000000"/>
          <w:sz w:val="24"/>
        </w:rPr>
        <w:t xml:space="preserve">). Prior to the payment of any amounts or provision of any benefits under this Agreement, the Company (and any parent, subsidiary or other affiliate of the Company or other member of the Company Group, as applicable) is permitted to deduct or withhold, or require Executive to remit to the Company Group, an amount sufficient to satisfy any applicable Withholdings with respect to such payments and benefits. Neither the Company nor any parent, subsidiary or other affiliate of the Company or other member of the Company Group will have </w:t>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50520"/>
                <wp:effectExtent l="0" t="0" r="0" b="0"/>
                <wp:wrapNone/>
                <wp:docPr id="258" name="Frame2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responsibility, liability or obligation to pay Executive’s taxes arising from or relating to any payments or benefits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color w:val="000000"/>
          <w:sz w:val="24"/>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50520"/>
                <wp:effectExtent l="0" t="0" r="0" b="0"/>
                <wp:wrapNone/>
                <wp:docPr id="259" name="Frame2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its signature below, each of the parties signifies its acceptance of the terms of this Agreement, in the case of the Company by its duly authorized officer.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COMPANY    NAUTILUS SUBSIDIARY,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NAUTILUS    NAUTILUS BIOTECHNOLOGY , INC.</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Sujal Patel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Sujal Patel</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Chief Executive Officer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EXECUTIVE    </w:t>
      </w:r>
      <w:r>
        <w:rPr>
          <w:rFonts w:ascii="Times New Roman;sans-serif" w:hAnsi="Times New Roman;sans-serif"/>
          <w:b w:val="false"/>
          <w:color w:val="000000"/>
          <w:sz w:val="24"/>
          <w:u w:val="single"/>
        </w:rPr>
        <w:t>/s/ Matthew Murphy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Matthew Murphy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July 31, 2023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Nautilus Subsidiary, Inc.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50520"/>
                <wp:effectExtent l="0" t="0" r="0" b="0"/>
                <wp:wrapNone/>
                <wp:docPr id="260" name="Frame2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Sujal Patel,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5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70"/>
        <w:gridCol w:w="970"/>
        <w:gridCol w:w="13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Anna Mowry,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17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48"/>
        <w:gridCol w:w="1148"/>
        <w:gridCol w:w="16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June 30, 2023 as filed with the Securities and Exchange Commission on the date hereof (the “Report”), I, Sujal Patel,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55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70"/>
        <w:gridCol w:w="970"/>
        <w:gridCol w:w="13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Sujal Patel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Sujal Patel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Nautilus Biotechnology, Inc. (the “Company”) on Form 10-Q for the period ended June 30, 2023 as filed with the Securities and Exchange Commission on the date hereof (the “Report”), I, Anna Mowry,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617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48"/>
        <w:gridCol w:w="1148"/>
        <w:gridCol w:w="16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Anna Mowry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62828021011892/exhibit31-form8xkclosing.htm" TargetMode="External"/><Relationship Id="rId3" Type="http://schemas.openxmlformats.org/officeDocument/2006/relationships/hyperlink" Target="https://www.sec.gov/Archives/edgar/data/1808805/000162828021011892/exhibit31-form8xkclosing.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129308</Words>
  <Characters>704524</Characters>
  <CharactersWithSpaces>832041</CharactersWithSpaces>
  <Paragraphs>4022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