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247015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CURRENT REPORT</w:t>
      </w:r>
    </w:p>
    <w:p>
      <w:pPr>
        <w:jc w:val="center"/>
        <w:ind w:right="-19"/>
        <w:spacing w:after="0" w:line="238" w:lineRule="auto"/>
        <w:rPr>
          <w:sz w:val="20"/>
          <w:szCs w:val="20"/>
          <w:color w:val="auto"/>
        </w:rPr>
      </w:pPr>
      <w:r>
        <w:rPr>
          <w:rFonts w:ascii="Arial" w:cs="Arial" w:eastAsia="Arial" w:hAnsi="Arial"/>
          <w:sz w:val="22"/>
          <w:szCs w:val="22"/>
          <w:color w:val="auto"/>
        </w:rPr>
        <w:t>Pursuant to Section 13 or 15(d)</w:t>
      </w:r>
    </w:p>
    <w:p>
      <w:pPr>
        <w:jc w:val="center"/>
        <w:ind w:right="-19"/>
        <w:spacing w:after="0" w:line="230" w:lineRule="auto"/>
        <w:rPr>
          <w:sz w:val="20"/>
          <w:szCs w:val="20"/>
          <w:color w:val="auto"/>
        </w:rPr>
      </w:pPr>
      <w:r>
        <w:rPr>
          <w:rFonts w:ascii="Arial" w:cs="Arial" w:eastAsia="Arial" w:hAnsi="Arial"/>
          <w:sz w:val="22"/>
          <w:szCs w:val="22"/>
          <w:color w:val="auto"/>
        </w:rPr>
        <w:t>of the Securities Exchange Act of 1934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August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ARYA SCIENCES ACQUISITION CORP III</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35" w:right="339" w:bottom="87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Cayman Islands</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color w:val="auto"/>
        </w:rPr>
        <w:t>(State or other jurisdiction of incorporationor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001-39434</w:t>
      </w:r>
    </w:p>
    <w:p>
      <w:pPr>
        <w:spacing w:after="0" w:line="27" w:lineRule="exact"/>
        <w:rPr>
          <w:sz w:val="24"/>
          <w:szCs w:val="24"/>
          <w:color w:val="auto"/>
        </w:rPr>
      </w:pPr>
    </w:p>
    <w:p>
      <w:pPr>
        <w:jc w:val="center"/>
        <w:ind w:right="7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98-1541723</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60" w:space="720"/>
            <w:col w:w="2700" w:space="720"/>
            <w:col w:w="3140"/>
          </w:cols>
          <w:pgMar w:left="320" w:top="535" w:right="339" w:bottom="873" w:gutter="0" w:footer="0" w:header="0"/>
          <w:type w:val="continuous"/>
        </w:sectPr>
      </w:pPr>
    </w:p>
    <w:p>
      <w:pPr>
        <w:ind w:left="1400"/>
        <w:spacing w:after="0"/>
        <w:rPr>
          <w:sz w:val="20"/>
          <w:szCs w:val="20"/>
          <w:color w:val="auto"/>
        </w:rPr>
      </w:pPr>
      <w:r>
        <w:rPr>
          <w:rFonts w:ascii="Arial" w:cs="Arial" w:eastAsia="Arial" w:hAnsi="Arial"/>
          <w:sz w:val="16"/>
          <w:szCs w:val="16"/>
          <w:color w:val="auto"/>
        </w:rPr>
        <w:t>organization)</w:t>
      </w:r>
    </w:p>
    <w:p>
      <w:pPr>
        <w:sectPr>
          <w:pgSz w:w="11900" w:h="16838" w:orient="portrait"/>
          <w:cols w:equalWidth="0" w:num="1">
            <w:col w:w="11240"/>
          </w:cols>
          <w:pgMar w:left="320" w:top="535" w:right="339" w:bottom="873" w:gutter="0" w:footer="0" w:header="0"/>
          <w:type w:val="continuous"/>
        </w:sectPr>
      </w:pPr>
    </w:p>
    <w:p>
      <w:pPr>
        <w:spacing w:after="0" w:line="25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68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2400"/>
        <w:spacing w:after="0"/>
        <w:rPr>
          <w:sz w:val="20"/>
          <w:szCs w:val="20"/>
          <w:color w:val="auto"/>
        </w:rPr>
      </w:pPr>
      <w:r>
        <w:rPr>
          <w:rFonts w:ascii="Arial" w:cs="Arial" w:eastAsia="Arial" w:hAnsi="Arial"/>
          <w:sz w:val="18"/>
          <w:szCs w:val="18"/>
          <w:b w:val="1"/>
          <w:bCs w:val="1"/>
          <w:color w:val="auto"/>
        </w:rPr>
        <w:t>10003</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00" w:space="720"/>
            <w:col w:w="3220"/>
          </w:cols>
          <w:pgMar w:left="320" w:top="535" w:right="339" w:bottom="873"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(212) 284-2300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21"/>
          <w:szCs w:val="21"/>
          <w:color w:val="auto"/>
        </w:rPr>
        <w:t>Check the appropriate box below if the Form 8-K filing is intended to simultaneously satisfy the filing obligation of the</w:t>
      </w:r>
    </w:p>
    <w:p>
      <w:pPr>
        <w:spacing w:after="0" w:line="20" w:lineRule="exact"/>
        <w:rPr>
          <w:sz w:val="24"/>
          <w:szCs w:val="24"/>
          <w:color w:val="auto"/>
        </w:rPr>
      </w:pPr>
    </w:p>
    <w:p>
      <w:pPr>
        <w:spacing w:after="0"/>
        <w:rPr>
          <w:sz w:val="20"/>
          <w:szCs w:val="20"/>
          <w:color w:val="auto"/>
        </w:rPr>
      </w:pPr>
      <w:r>
        <w:rPr>
          <w:rFonts w:ascii="Arial" w:cs="Arial" w:eastAsia="Arial" w:hAnsi="Arial"/>
          <w:sz w:val="22"/>
          <w:szCs w:val="22"/>
          <w:color w:val="auto"/>
        </w:rPr>
        <w:t>Registrant under any of the following provisions:</w:t>
      </w:r>
    </w:p>
    <w:p>
      <w:pPr>
        <w:spacing w:after="0" w:line="2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780" w:type="dxa"/>
            <w:vAlign w:val="bottom"/>
            <w:tcBorders>
              <w:top w:val="single" w:sz="8" w:color="auto"/>
              <w:bottom w:val="single" w:sz="8" w:color="auto"/>
            </w:tcBorders>
          </w:tcPr>
          <w:p>
            <w:pPr>
              <w:spacing w:after="0"/>
              <w:rPr>
                <w:sz w:val="3"/>
                <w:szCs w:val="3"/>
                <w:color w:val="auto"/>
              </w:rPr>
            </w:pPr>
          </w:p>
        </w:tc>
        <w:tc>
          <w:tcPr>
            <w:tcW w:w="3740" w:type="dxa"/>
            <w:vAlign w:val="bottom"/>
            <w:tcBorders>
              <w:top w:val="single" w:sz="8" w:color="auto"/>
              <w:bottom w:val="single" w:sz="8" w:color="auto"/>
            </w:tcBorders>
          </w:tcPr>
          <w:p>
            <w:pPr>
              <w:spacing w:after="0"/>
              <w:rPr>
                <w:sz w:val="3"/>
                <w:szCs w:val="3"/>
                <w:color w:val="auto"/>
              </w:rPr>
            </w:pPr>
          </w:p>
        </w:tc>
        <w:tc>
          <w:tcPr>
            <w:tcW w:w="3720" w:type="dxa"/>
            <w:vAlign w:val="bottom"/>
            <w:tcBorders>
              <w:top w:val="single" w:sz="8" w:color="auto"/>
              <w:bottom w:val="single" w:sz="8" w:color="auto"/>
            </w:tcBorders>
          </w:tcPr>
          <w:p>
            <w:pPr>
              <w:spacing w:after="0"/>
              <w:rPr>
                <w:sz w:val="3"/>
                <w:szCs w:val="3"/>
                <w:color w:val="auto"/>
              </w:rPr>
            </w:pPr>
          </w:p>
        </w:tc>
      </w:tr>
      <w:tr>
        <w:trPr>
          <w:trHeight w:val="178"/>
        </w:trPr>
        <w:tc>
          <w:tcPr>
            <w:tcW w:w="3780" w:type="dxa"/>
            <w:vAlign w:val="bottom"/>
            <w:tcBorders>
              <w:right w:val="single" w:sz="8" w:color="auto"/>
            </w:tcBorders>
          </w:tcPr>
          <w:p>
            <w:pPr>
              <w:spacing w:after="0"/>
              <w:rPr>
                <w:sz w:val="15"/>
                <w:szCs w:val="15"/>
                <w:color w:val="auto"/>
              </w:rPr>
            </w:pPr>
          </w:p>
        </w:tc>
        <w:tc>
          <w:tcPr>
            <w:tcW w:w="37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w w:val="93"/>
              </w:rPr>
              <w:t>Trading</w:t>
            </w:r>
          </w:p>
        </w:tc>
        <w:tc>
          <w:tcPr>
            <w:tcW w:w="372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3780" w:type="dxa"/>
            <w:vAlign w:val="bottom"/>
            <w:tcBorders>
              <w:bottom w:val="single" w:sz="8" w:color="auto"/>
              <w:right w:val="single" w:sz="8" w:color="auto"/>
            </w:tcBorders>
          </w:tcPr>
          <w:p>
            <w:pPr>
              <w:ind w:left="1200"/>
              <w:spacing w:after="0"/>
              <w:rPr>
                <w:sz w:val="20"/>
                <w:szCs w:val="20"/>
                <w:color w:val="auto"/>
              </w:rPr>
            </w:pPr>
            <w:r>
              <w:rPr>
                <w:rFonts w:ascii="Arial" w:cs="Arial" w:eastAsia="Arial" w:hAnsi="Arial"/>
                <w:sz w:val="18"/>
                <w:szCs w:val="18"/>
                <w:b w:val="1"/>
                <w:bCs w:val="1"/>
                <w:color w:val="auto"/>
              </w:rPr>
              <w:t>Title of each class</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202"/>
        </w:trPr>
        <w:tc>
          <w:tcPr>
            <w:tcW w:w="37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w w:val="97"/>
              </w:rPr>
              <w:t>Class A Ordinary Shares, par value $0.0001 per</w:t>
            </w:r>
          </w:p>
        </w:tc>
        <w:tc>
          <w:tcPr>
            <w:tcW w:w="37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ARYA</w:t>
            </w:r>
          </w:p>
        </w:tc>
        <w:tc>
          <w:tcPr>
            <w:tcW w:w="3720" w:type="dxa"/>
            <w:vAlign w:val="bottom"/>
          </w:tcPr>
          <w:p>
            <w:pPr>
              <w:jc w:val="center"/>
              <w:spacing w:after="0" w:line="201" w:lineRule="exact"/>
              <w:rPr>
                <w:sz w:val="20"/>
                <w:szCs w:val="20"/>
                <w:color w:val="auto"/>
              </w:rPr>
            </w:pPr>
            <w:r>
              <w:rPr>
                <w:rFonts w:ascii="Arial" w:cs="Arial" w:eastAsia="Arial" w:hAnsi="Arial"/>
                <w:sz w:val="18"/>
                <w:szCs w:val="18"/>
                <w:color w:val="auto"/>
                <w:w w:val="91"/>
              </w:rPr>
              <w:t>The Nasdaq Capital Market</w:t>
            </w:r>
          </w:p>
        </w:tc>
      </w:tr>
      <w:tr>
        <w:trPr>
          <w:trHeight w:val="237"/>
        </w:trPr>
        <w:tc>
          <w:tcPr>
            <w:tcW w:w="3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Share</w:t>
            </w:r>
          </w:p>
        </w:tc>
        <w:tc>
          <w:tcPr>
            <w:tcW w:w="3740" w:type="dxa"/>
            <w:vAlign w:val="bottom"/>
            <w:tcBorders>
              <w:bottom w:val="single" w:sz="8" w:color="auto"/>
              <w:right w:val="single" w:sz="8" w:color="auto"/>
            </w:tcBorders>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r>
    </w:tbl>
    <w:p>
      <w:pPr>
        <w:spacing w:after="0" w:line="222" w:lineRule="exact"/>
        <w:rPr>
          <w:sz w:val="24"/>
          <w:szCs w:val="24"/>
          <w:color w:val="auto"/>
        </w:rPr>
      </w:pPr>
    </w:p>
    <w:p>
      <w:pPr>
        <w:ind w:right="380"/>
        <w:spacing w:after="0" w:line="250"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or Rule 12b-2 of the Securities Exchange Act of 1934.</w:t>
      </w:r>
    </w:p>
    <w:p>
      <w:pPr>
        <w:spacing w:after="0" w:line="175"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273"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873"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49"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On August 6, 2020, the Registration Statement on Form S-1 (File No. 333-239986) (the “Registration Statement”) relating to the initial public offering (the “IPO”) of ARYA Sciences Acquisition Corp III (the “Company”) was declared effective by the U.S. Securities and Exchange Commission, and the Company subsequently filed, on August 6, 2020, a Registration Statement on Form S-1 (File No. 333-241828) pursuant to Rule 462(b) under the Securities Act of 1933, as amended, which was effective immediately upon filing. On August 11, 2020 the Company consummated the IPO of 14,950,000 Class A ordinary shares, $0.0001 par value per share (the “Public Shares”), which includes the exercise in full of the underwriters’ option to purchase an additional 1,950,000 Public Shares at the initial public offering price to cover over-allotments. The Public Shares were sold at an offering price of $10.00 per Public Share, generating gross proceeds of $149,500,000. Further, in connection with the IPO, the Company entered into the following agreements, forms of which were previously filed as exhibits to the Registration Statement:</w:t>
      </w:r>
    </w:p>
    <w:p>
      <w:pPr>
        <w:spacing w:after="0" w:line="215" w:lineRule="exact"/>
        <w:rPr>
          <w:sz w:val="20"/>
          <w:szCs w:val="20"/>
          <w:color w:val="auto"/>
        </w:rPr>
      </w:pPr>
    </w:p>
    <w:p>
      <w:pPr>
        <w:ind w:left="66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Underwriting Agreement, dated August 6, 2020, among the Company and Jefferies LLC and Goldman Sachs &amp; Co. LLC, as representatives of the underwriters named in Schedule A therein, which contains customary representations and warranties and indemnification of the underwriter by the Company;</w:t>
      </w:r>
    </w:p>
    <w:p>
      <w:pPr>
        <w:spacing w:after="0" w:line="210"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Private Placement Shares Purchase Agreement, dated August 6, 2020, between the Company and ARYA Sciences Holdings III (the “Sponsor”), pursuant to which the Sponsor purchased 499,000 Class A ordinary shares in a private placement (the “Private Placement Shares”);</w:t>
      </w:r>
    </w:p>
    <w:p>
      <w:pPr>
        <w:spacing w:after="0" w:line="150"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Investment Management Trust Agreement, dated August 11, 2020, between the Company and Continental Stock Transfer &amp; Trust Company, as trustee, which establishes the trust account that will hold the net proceeds of the IPO and certain of the proceeds of the sale of the Private Placement Shares, and sets forth the responsibilities of the trustee; the procedures for withdrawal and direction of funds from the trust account; and indemnification of the trustee by the Company under the agreement;</w:t>
      </w:r>
    </w:p>
    <w:p>
      <w:pPr>
        <w:spacing w:after="0" w:line="213" w:lineRule="exact"/>
        <w:rPr>
          <w:rFonts w:ascii="Arial" w:cs="Arial" w:eastAsia="Arial" w:hAnsi="Arial"/>
          <w:sz w:val="18"/>
          <w:szCs w:val="18"/>
          <w:color w:val="auto"/>
        </w:rPr>
      </w:pPr>
    </w:p>
    <w:p>
      <w:pPr>
        <w:ind w:left="660" w:right="8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Registration and Shareholder Rights Agreement, dated August 11, 2020, among the Company, the Sponsor and certain equityholders of the Company, which provides for customary demand and piggy-back registration rights for the Sponsor, and customary piggy-back registration rights for such other equityholders, and, upon and following consummation of our initial business combination, the right of the Sponsor to nominate three individuals for election to the Company’s board of directors;</w:t>
      </w:r>
    </w:p>
    <w:p>
      <w:pPr>
        <w:spacing w:after="0" w:line="213" w:lineRule="exact"/>
        <w:rPr>
          <w:rFonts w:ascii="Arial" w:cs="Arial" w:eastAsia="Arial" w:hAnsi="Arial"/>
          <w:sz w:val="18"/>
          <w:szCs w:val="18"/>
          <w:color w:val="auto"/>
        </w:rPr>
      </w:pPr>
    </w:p>
    <w:p>
      <w:pPr>
        <w:ind w:left="660" w:right="140" w:hanging="328"/>
        <w:spacing w:after="0" w:line="27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Letter Agreement, dated August 6, 2020, among the Company, the Sponsor and each executive officer and director of the Company, pursuant to which each of the Sponsor and each executive officer and director of the Company has agreed to vote any Class A ordinary shares held by him, her or it in favor of the Company’s initial business combination; to facilitate the liquidation and winding up of the Company if an initial business combination is not consummated within 24 months of the date hereof; to certain transfer restrictions with respect to the Company’s securities; to certain indemnification obligations of the Sponsor; and the Company has agreed not to enter into a definitive agreement regarding an initial business combination without the prior consent of the Sponsor; and</w:t>
      </w:r>
    </w:p>
    <w:p>
      <w:pPr>
        <w:spacing w:after="0" w:line="204" w:lineRule="exact"/>
        <w:rPr>
          <w:rFonts w:ascii="Arial" w:cs="Arial" w:eastAsia="Arial" w:hAnsi="Arial"/>
          <w:sz w:val="17"/>
          <w:szCs w:val="17"/>
          <w:color w:val="auto"/>
        </w:rPr>
      </w:pPr>
    </w:p>
    <w:p>
      <w:pPr>
        <w:ind w:left="660" w:right="8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an Administrative Services Agreement, dated August 11, 2020, between the Company and the Sponsor, pursuant to which the Sponsor has agreed to make available office space, secretarial and administrative services, as may be required by the Company from time to time, for $10,000 per month until the earlier of the Company’s completion of its initial business combination or liquidation.</w:t>
      </w:r>
    </w:p>
    <w:p>
      <w:pPr>
        <w:spacing w:after="0" w:line="185" w:lineRule="exact"/>
        <w:rPr>
          <w:sz w:val="20"/>
          <w:szCs w:val="20"/>
          <w:color w:val="auto"/>
        </w:rPr>
      </w:pPr>
    </w:p>
    <w:p>
      <w:pPr>
        <w:ind w:right="460" w:firstLine="648"/>
        <w:spacing w:after="0" w:line="328" w:lineRule="auto"/>
        <w:rPr>
          <w:sz w:val="20"/>
          <w:szCs w:val="20"/>
          <w:color w:val="auto"/>
        </w:rPr>
      </w:pPr>
      <w:r>
        <w:rPr>
          <w:rFonts w:ascii="Arial" w:cs="Arial" w:eastAsia="Arial" w:hAnsi="Arial"/>
          <w:sz w:val="19"/>
          <w:szCs w:val="19"/>
          <w:color w:val="auto"/>
        </w:rPr>
        <w:t>The above descriptions are qualified in their entirety by reference to the full text of the applicable agreement, each of which is incorporated by reference herein and filed herewith as Exhibits 1.1, 10.1, 10.2, 10.3, 10.4 and 10.5,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24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Simultaneous with the consummation of the IPO and the issuance and sale of the Public Shares, the Company consummated the private placement of 499,000 Private Placement Shares at a price of $10.00 per Private Placement Share, generating total proceeds of $4,990,000. The Private Placement Shares purchased by the Sponsor are substantially similar to the Public Shares, except that if held by the Sponsor or its permitted transferees, they will be subject to transfer restrictions until 30 days following the consummation of the Company’s initial business combination, subject to certain limited exceptions.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Memorandum and Articles of Association.</w:t>
      </w:r>
    </w:p>
    <w:p>
      <w:pPr>
        <w:spacing w:after="0" w:line="24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On August 6, 2020 and in connection with the IPO, the Company adopted its Amended and Restated Memorandum and Articles of Association. The Amended and Restated Memorandum and Articles of Association is filed herewith as Exhibit 3.1 and is incorporated by reference herein.</w:t>
      </w:r>
    </w:p>
    <w:p>
      <w:pPr>
        <w:spacing w:after="0" w:line="21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 Exhibits</w:t>
      </w:r>
    </w:p>
    <w:p>
      <w:pPr>
        <w:spacing w:after="0" w:line="246"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1.1</w:t>
        </w:r>
      </w:hyperlink>
      <w:r>
        <w:rPr>
          <w:rFonts w:ascii="Arial" w:cs="Arial" w:eastAsia="Arial" w:hAnsi="Arial"/>
          <w:sz w:val="18"/>
          <w:szCs w:val="18"/>
          <w:color w:val="0000EE"/>
        </w:rPr>
        <w:tab/>
      </w:r>
      <w:r>
        <w:rPr>
          <w:rFonts w:ascii="Arial" w:cs="Arial" w:eastAsia="Arial" w:hAnsi="Arial"/>
          <w:sz w:val="16"/>
          <w:szCs w:val="16"/>
          <w:color w:val="0000EE"/>
        </w:rPr>
        <w:t>Underwriting Agreement among the Company, Jefferies LLC and Goldman Sachs &amp; Co. LLC</w:t>
      </w:r>
    </w:p>
    <w:p>
      <w:pPr>
        <w:spacing w:after="0" w:line="225"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44">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6"/>
          <w:szCs w:val="16"/>
          <w:color w:val="0000EE"/>
        </w:rPr>
        <w:t>Amended and Restated Memorandum and Articles of Association</w:t>
      </w:r>
    </w:p>
    <w:p>
      <w:pPr>
        <w:spacing w:after="0" w:line="225"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107">
        <w:r>
          <w:rPr>
            <w:rFonts w:ascii="Arial" w:cs="Arial" w:eastAsia="Arial" w:hAnsi="Arial"/>
            <w:sz w:val="18"/>
            <w:szCs w:val="18"/>
            <w:u w:val="single" w:color="auto"/>
            <w:color w:val="0000EE"/>
          </w:rPr>
          <w:t>10.1</w:t>
        </w:r>
      </w:hyperlink>
      <w:r>
        <w:rPr>
          <w:rFonts w:ascii="Arial" w:cs="Arial" w:eastAsia="Arial" w:hAnsi="Arial"/>
          <w:sz w:val="18"/>
          <w:szCs w:val="18"/>
          <w:color w:val="0000EE"/>
        </w:rPr>
        <w:tab/>
      </w:r>
      <w:r>
        <w:rPr>
          <w:rFonts w:ascii="Arial" w:cs="Arial" w:eastAsia="Arial" w:hAnsi="Arial"/>
          <w:sz w:val="15"/>
          <w:szCs w:val="15"/>
          <w:color w:val="0000EE"/>
        </w:rPr>
        <w:t>Private Placement Shares Purchase Agreement between the Company and the Sponsor</w:t>
      </w:r>
    </w:p>
    <w:p>
      <w:pPr>
        <w:spacing w:after="0" w:line="225"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142">
        <w:r>
          <w:rPr>
            <w:rFonts w:ascii="Arial" w:cs="Arial" w:eastAsia="Arial" w:hAnsi="Arial"/>
            <w:sz w:val="18"/>
            <w:szCs w:val="18"/>
            <w:u w:val="single" w:color="auto"/>
            <w:color w:val="0000EE"/>
          </w:rPr>
          <w:t>10.2</w:t>
        </w:r>
      </w:hyperlink>
      <w:r>
        <w:rPr>
          <w:rFonts w:ascii="Arial" w:cs="Arial" w:eastAsia="Arial" w:hAnsi="Arial"/>
          <w:sz w:val="18"/>
          <w:szCs w:val="18"/>
          <w:color w:val="0000EE"/>
        </w:rPr>
        <w:tab/>
      </w:r>
      <w:r>
        <w:rPr>
          <w:rFonts w:ascii="Arial" w:cs="Arial" w:eastAsia="Arial" w:hAnsi="Arial"/>
          <w:sz w:val="16"/>
          <w:szCs w:val="16"/>
          <w:color w:val="0000EE"/>
        </w:rPr>
        <w:t>Investment Management Trust Agreement between Continental Stock Transfer &amp; Trust Company and the Company</w:t>
      </w:r>
    </w:p>
    <w:p>
      <w:pPr>
        <w:spacing w:after="0" w:line="225"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158">
        <w:r>
          <w:rPr>
            <w:rFonts w:ascii="Arial" w:cs="Arial" w:eastAsia="Arial" w:hAnsi="Arial"/>
            <w:sz w:val="18"/>
            <w:szCs w:val="18"/>
            <w:u w:val="single" w:color="auto"/>
            <w:color w:val="0000EE"/>
          </w:rPr>
          <w:t>10.3</w:t>
        </w:r>
      </w:hyperlink>
      <w:r>
        <w:rPr>
          <w:rFonts w:ascii="Arial" w:cs="Arial" w:eastAsia="Arial" w:hAnsi="Arial"/>
          <w:sz w:val="18"/>
          <w:szCs w:val="18"/>
          <w:color w:val="0000EE"/>
        </w:rPr>
        <w:tab/>
      </w:r>
      <w:r>
        <w:rPr>
          <w:rFonts w:ascii="Arial" w:cs="Arial" w:eastAsia="Arial" w:hAnsi="Arial"/>
          <w:sz w:val="16"/>
          <w:szCs w:val="16"/>
          <w:color w:val="0000EE"/>
        </w:rPr>
        <w:t>Registration and Shareholder Rights Agreement among the Company, the Sponsor and certain other equityholders named therein</w:t>
      </w:r>
    </w:p>
    <w:p>
      <w:pPr>
        <w:spacing w:after="0" w:line="225"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184">
        <w:r>
          <w:rPr>
            <w:rFonts w:ascii="Arial" w:cs="Arial" w:eastAsia="Arial" w:hAnsi="Arial"/>
            <w:sz w:val="18"/>
            <w:szCs w:val="18"/>
            <w:u w:val="single" w:color="auto"/>
            <w:color w:val="0000EE"/>
          </w:rPr>
          <w:t>10.4</w:t>
        </w:r>
      </w:hyperlink>
      <w:r>
        <w:rPr>
          <w:rFonts w:ascii="Arial" w:cs="Arial" w:eastAsia="Arial" w:hAnsi="Arial"/>
          <w:sz w:val="18"/>
          <w:szCs w:val="18"/>
          <w:color w:val="0000EE"/>
        </w:rPr>
        <w:tab/>
      </w:r>
      <w:r>
        <w:rPr>
          <w:rFonts w:ascii="Arial" w:cs="Arial" w:eastAsia="Arial" w:hAnsi="Arial"/>
          <w:sz w:val="16"/>
          <w:szCs w:val="16"/>
          <w:color w:val="0000EE"/>
        </w:rPr>
        <w:t>Letter Agreement among the Company, the Sponsor and the Company’s officers and directors</w:t>
      </w:r>
    </w:p>
    <w:p>
      <w:pPr>
        <w:spacing w:after="0" w:line="225" w:lineRule="exact"/>
        <w:rPr>
          <w:sz w:val="20"/>
          <w:szCs w:val="20"/>
          <w:color w:val="auto"/>
        </w:rPr>
      </w:pPr>
    </w:p>
    <w:p>
      <w:pPr>
        <w:spacing w:after="0"/>
        <w:tabs>
          <w:tab w:leader="none" w:pos="560" w:val="left"/>
        </w:tabs>
        <w:rPr>
          <w:rFonts w:ascii="Arial" w:cs="Arial" w:eastAsia="Arial" w:hAnsi="Arial"/>
          <w:sz w:val="18"/>
          <w:szCs w:val="18"/>
          <w:color w:val="0000EE"/>
        </w:rPr>
      </w:pPr>
      <w:hyperlink w:anchor="page200">
        <w:r>
          <w:rPr>
            <w:rFonts w:ascii="Arial" w:cs="Arial" w:eastAsia="Arial" w:hAnsi="Arial"/>
            <w:sz w:val="18"/>
            <w:szCs w:val="18"/>
            <w:u w:val="single" w:color="auto"/>
            <w:color w:val="0000EE"/>
          </w:rPr>
          <w:t>10.5</w:t>
        </w:r>
      </w:hyperlink>
      <w:r>
        <w:rPr>
          <w:rFonts w:ascii="Arial" w:cs="Arial" w:eastAsia="Arial" w:hAnsi="Arial"/>
          <w:sz w:val="18"/>
          <w:szCs w:val="18"/>
          <w:color w:val="0000EE"/>
        </w:rPr>
        <w:tab/>
      </w:r>
      <w:r>
        <w:rPr>
          <w:rFonts w:ascii="Arial" w:cs="Arial" w:eastAsia="Arial" w:hAnsi="Arial"/>
          <w:sz w:val="16"/>
          <w:szCs w:val="16"/>
          <w:color w:val="0000EE"/>
        </w:rPr>
        <w:t>Administrative Services Agreement between the Company and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364" w:right="499" w:bottom="1440" w:gutter="0" w:footer="0" w:header="0"/>
        </w:sectPr>
      </w:pPr>
    </w:p>
    <w:bookmarkStart w:id="3" w:name="page4"/>
    <w:bookmarkEnd w:id="3"/>
    <w:p>
      <w:pPr>
        <w:jc w:val="center"/>
        <w:ind w:right="-4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left="120" w:firstLine="647"/>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12, 2020</w:t>
      </w:r>
      <w:r>
        <w:rPr>
          <w:sz w:val="20"/>
          <w:szCs w:val="20"/>
          <w:color w:val="auto"/>
        </w:rPr>
        <w:tab/>
      </w:r>
      <w:r>
        <w:rPr>
          <w:rFonts w:ascii="Arial" w:cs="Arial" w:eastAsia="Arial" w:hAnsi="Arial"/>
          <w:sz w:val="17"/>
          <w:szCs w:val="17"/>
          <w:color w:val="auto"/>
        </w:rPr>
        <w:t>ARYA SCIENCES ACQUISITION CORP III</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355" w:right="8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13,000,000 Class A Ordinary Shares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6,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38" w:lineRule="auto"/>
        <w:rPr>
          <w:sz w:val="20"/>
          <w:szCs w:val="20"/>
          <w:color w:val="auto"/>
        </w:rPr>
      </w:pPr>
      <w:r>
        <w:rPr>
          <w:rFonts w:ascii="Arial" w:cs="Arial" w:eastAsia="Arial" w:hAnsi="Arial"/>
          <w:sz w:val="22"/>
          <w:szCs w:val="22"/>
          <w:color w:val="auto"/>
        </w:rPr>
        <w:t>GOLDMAN SACHS &amp; CO. LLC</w:t>
      </w: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 JEFFERIES LLC</w:t>
      </w:r>
    </w:p>
    <w:p>
      <w:pPr>
        <w:spacing w:after="0" w:line="238" w:lineRule="auto"/>
        <w:rPr>
          <w:sz w:val="20"/>
          <w:szCs w:val="20"/>
          <w:color w:val="auto"/>
        </w:rPr>
      </w:pPr>
      <w:r>
        <w:rPr>
          <w:rFonts w:ascii="Arial" w:cs="Arial" w:eastAsia="Arial" w:hAnsi="Arial"/>
          <w:sz w:val="22"/>
          <w:szCs w:val="22"/>
          <w:color w:val="auto"/>
        </w:rPr>
        <w:t>520 Madison Avenue</w:t>
      </w:r>
    </w:p>
    <w:p>
      <w:pPr>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 GOLDMAN SACHS &amp; CO. LLC</w:t>
      </w:r>
    </w:p>
    <w:p>
      <w:pPr>
        <w:spacing w:after="0" w:line="238" w:lineRule="auto"/>
        <w:rPr>
          <w:sz w:val="20"/>
          <w:szCs w:val="20"/>
          <w:color w:val="auto"/>
        </w:rPr>
      </w:pPr>
      <w:r>
        <w:rPr>
          <w:rFonts w:ascii="Arial" w:cs="Arial" w:eastAsia="Arial" w:hAnsi="Arial"/>
          <w:sz w:val="22"/>
          <w:szCs w:val="22"/>
          <w:color w:val="auto"/>
        </w:rPr>
        <w:t>200 West Street</w:t>
      </w:r>
    </w:p>
    <w:p>
      <w:pPr>
        <w:spacing w:after="0"/>
        <w:rPr>
          <w:sz w:val="20"/>
          <w:szCs w:val="20"/>
          <w:color w:val="auto"/>
        </w:rPr>
      </w:pPr>
      <w:r>
        <w:rPr>
          <w:rFonts w:ascii="Arial" w:cs="Arial" w:eastAsia="Arial" w:hAnsi="Arial"/>
          <w:sz w:val="22"/>
          <w:szCs w:val="22"/>
          <w:color w:val="auto"/>
        </w:rPr>
        <w:t>New York, New York 10282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b w:val="1"/>
          <w:bCs w:val="1"/>
          <w:color w:val="auto"/>
        </w:rPr>
        <w:t xml:space="preserve">Introductory. </w:t>
      </w:r>
      <w:r>
        <w:rPr>
          <w:rFonts w:ascii="Arial" w:cs="Arial" w:eastAsia="Arial" w:hAnsi="Arial"/>
          <w:sz w:val="19"/>
          <w:szCs w:val="19"/>
          <w:color w:val="auto"/>
        </w:rPr>
        <w:t>ARYA Sciences Acquisition Corp III, a Cayman Islands exempted company (the “</w:t>
      </w:r>
      <w:r>
        <w:rPr>
          <w:rFonts w:ascii="Arial" w:cs="Arial" w:eastAsia="Arial" w:hAnsi="Arial"/>
          <w:sz w:val="19"/>
          <w:szCs w:val="19"/>
          <w:b w:val="1"/>
          <w:bCs w:val="1"/>
          <w:color w:val="auto"/>
        </w:rPr>
        <w:t>Company</w:t>
      </w:r>
      <w:r>
        <w:rPr>
          <w:rFonts w:ascii="Arial" w:cs="Arial" w:eastAsia="Arial" w:hAnsi="Arial"/>
          <w:sz w:val="19"/>
          <w:szCs w:val="19"/>
          <w:color w:val="auto"/>
        </w:rPr>
        <w:t>”), proposes,</w:t>
      </w:r>
      <w:r>
        <w:rPr>
          <w:rFonts w:ascii="Arial" w:cs="Arial" w:eastAsia="Arial" w:hAnsi="Arial"/>
          <w:sz w:val="19"/>
          <w:szCs w:val="19"/>
          <w:b w:val="1"/>
          <w:bCs w:val="1"/>
          <w:color w:val="auto"/>
        </w:rPr>
        <w:t xml:space="preserve"> </w:t>
      </w:r>
      <w:r>
        <w:rPr>
          <w:rFonts w:ascii="Arial" w:cs="Arial" w:eastAsia="Arial" w:hAnsi="Arial"/>
          <w:sz w:val="19"/>
          <w:szCs w:val="19"/>
          <w:color w:val="auto"/>
        </w:rPr>
        <w:t>upon the terms and subject to the conditions set forth in this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to issue and sell to the several underwriters named in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(the “</w:t>
      </w:r>
      <w:r>
        <w:rPr>
          <w:rFonts w:ascii="Arial" w:cs="Arial" w:eastAsia="Arial" w:hAnsi="Arial"/>
          <w:sz w:val="19"/>
          <w:szCs w:val="19"/>
          <w:b w:val="1"/>
          <w:bCs w:val="1"/>
          <w:color w:val="auto"/>
        </w:rPr>
        <w:t>Underwriters</w:t>
      </w:r>
      <w:r>
        <w:rPr>
          <w:rFonts w:ascii="Arial" w:cs="Arial" w:eastAsia="Arial" w:hAnsi="Arial"/>
          <w:sz w:val="19"/>
          <w:szCs w:val="19"/>
          <w:color w:val="auto"/>
        </w:rPr>
        <w:t>”) an aggregate of 13,000,000 Class A ordinary shares, par value $0.0001 per share, of the Company (“</w:t>
      </w:r>
      <w:r>
        <w:rPr>
          <w:rFonts w:ascii="Arial" w:cs="Arial" w:eastAsia="Arial" w:hAnsi="Arial"/>
          <w:sz w:val="19"/>
          <w:szCs w:val="19"/>
          <w:b w:val="1"/>
          <w:bCs w:val="1"/>
          <w:color w:val="auto"/>
        </w:rPr>
        <w:t>Class A Ordinary Shares</w:t>
      </w:r>
      <w:r>
        <w:rPr>
          <w:rFonts w:ascii="Arial" w:cs="Arial" w:eastAsia="Arial" w:hAnsi="Arial"/>
          <w:sz w:val="19"/>
          <w:szCs w:val="19"/>
          <w:color w:val="auto"/>
        </w:rPr>
        <w:t>”). The 13,000,000 Class A Ordinary Shares to be sold by the Company are called the “</w:t>
      </w:r>
      <w:r>
        <w:rPr>
          <w:rFonts w:ascii="Arial" w:cs="Arial" w:eastAsia="Arial" w:hAnsi="Arial"/>
          <w:sz w:val="19"/>
          <w:szCs w:val="19"/>
          <w:b w:val="1"/>
          <w:bCs w:val="1"/>
          <w:color w:val="auto"/>
        </w:rPr>
        <w:t>Firm Securities</w:t>
      </w:r>
      <w:r>
        <w:rPr>
          <w:rFonts w:ascii="Arial" w:cs="Arial" w:eastAsia="Arial" w:hAnsi="Arial"/>
          <w:sz w:val="19"/>
          <w:szCs w:val="19"/>
          <w:color w:val="auto"/>
        </w:rPr>
        <w:t>.” In addition, the Company has granted to the Underwriters an option to purchase up to an additional 1,950,000 Class A Ordinary Shares as provided in Section 2. The additional 1,950,000 Class A Ordinary Shares to be sold by the Company pursuant to such option are collectively called the “</w:t>
      </w:r>
      <w:r>
        <w:rPr>
          <w:rFonts w:ascii="Arial" w:cs="Arial" w:eastAsia="Arial" w:hAnsi="Arial"/>
          <w:sz w:val="19"/>
          <w:szCs w:val="19"/>
          <w:b w:val="1"/>
          <w:bCs w:val="1"/>
          <w:color w:val="auto"/>
        </w:rPr>
        <w:t>Optional Securities</w:t>
      </w:r>
      <w:r>
        <w:rPr>
          <w:rFonts w:ascii="Arial" w:cs="Arial" w:eastAsia="Arial" w:hAnsi="Arial"/>
          <w:sz w:val="19"/>
          <w:szCs w:val="19"/>
          <w:color w:val="auto"/>
        </w:rPr>
        <w:t>.” The Firm Securities and, if and to the extent such option is exercised, the Optional Securities are collectively called the “</w:t>
      </w:r>
      <w:r>
        <w:rPr>
          <w:rFonts w:ascii="Arial" w:cs="Arial" w:eastAsia="Arial" w:hAnsi="Arial"/>
          <w:sz w:val="19"/>
          <w:szCs w:val="19"/>
          <w:b w:val="1"/>
          <w:bCs w:val="1"/>
          <w:color w:val="auto"/>
        </w:rPr>
        <w:t>Offered Securities</w:t>
      </w:r>
      <w:r>
        <w:rPr>
          <w:rFonts w:ascii="Arial" w:cs="Arial" w:eastAsia="Arial" w:hAnsi="Arial"/>
          <w:sz w:val="19"/>
          <w:szCs w:val="19"/>
          <w:color w:val="auto"/>
        </w:rPr>
        <w:t>.” Jefferies LLC and Goldman Sachs &amp; Co. LLC have agreed to act as Representatives of the several Underwriters (together in such capacity, the “</w:t>
      </w:r>
      <w:r>
        <w:rPr>
          <w:rFonts w:ascii="Arial" w:cs="Arial" w:eastAsia="Arial" w:hAnsi="Arial"/>
          <w:sz w:val="19"/>
          <w:szCs w:val="19"/>
          <w:b w:val="1"/>
          <w:bCs w:val="1"/>
          <w:color w:val="auto"/>
        </w:rPr>
        <w:t>Representatives</w:t>
      </w:r>
      <w:r>
        <w:rPr>
          <w:rFonts w:ascii="Arial" w:cs="Arial" w:eastAsia="Arial" w:hAnsi="Arial"/>
          <w:sz w:val="19"/>
          <w:szCs w:val="19"/>
          <w:color w:val="auto"/>
        </w:rPr>
        <w:t>”) in connection with the offering of the Offered Securities for sale to the public as contemplated in the Prospectus (as defined below) (the “</w:t>
      </w:r>
      <w:r>
        <w:rPr>
          <w:rFonts w:ascii="Arial" w:cs="Arial" w:eastAsia="Arial" w:hAnsi="Arial"/>
          <w:sz w:val="19"/>
          <w:szCs w:val="19"/>
          <w:b w:val="1"/>
          <w:bCs w:val="1"/>
          <w:color w:val="auto"/>
        </w:rPr>
        <w:t>Offering</w:t>
      </w:r>
      <w:r>
        <w:rPr>
          <w:rFonts w:ascii="Arial" w:cs="Arial" w:eastAsia="Arial" w:hAnsi="Arial"/>
          <w:sz w:val="19"/>
          <w:szCs w:val="19"/>
          <w:color w:val="auto"/>
        </w:rPr>
        <w:t xml:space="preserve">”). To the extent there are no additional underwriters listed on </w:t>
      </w:r>
      <w:r>
        <w:rPr>
          <w:rFonts w:ascii="Arial" w:cs="Arial" w:eastAsia="Arial" w:hAnsi="Arial"/>
          <w:sz w:val="19"/>
          <w:szCs w:val="19"/>
          <w:u w:val="single" w:color="auto"/>
          <w:color w:val="auto"/>
        </w:rPr>
        <w:t>Schedule A</w:t>
      </w:r>
      <w:r>
        <w:rPr>
          <w:rFonts w:ascii="Arial" w:cs="Arial" w:eastAsia="Arial" w:hAnsi="Arial"/>
          <w:sz w:val="19"/>
          <w:szCs w:val="19"/>
          <w:color w:val="auto"/>
        </w:rPr>
        <w:t>, the term “Representatives” as used herein shall mean you, as Underwriters, and the term “Underwriters” shall mean either the singular or the plural, as the context requires. As used herein, the term “</w:t>
      </w:r>
      <w:r>
        <w:rPr>
          <w:rFonts w:ascii="Arial" w:cs="Arial" w:eastAsia="Arial" w:hAnsi="Arial"/>
          <w:sz w:val="19"/>
          <w:szCs w:val="19"/>
          <w:b w:val="1"/>
          <w:bCs w:val="1"/>
          <w:color w:val="auto"/>
        </w:rPr>
        <w:t>Business Combination</w:t>
      </w:r>
      <w:r>
        <w:rPr>
          <w:rFonts w:ascii="Arial" w:cs="Arial" w:eastAsia="Arial" w:hAnsi="Arial"/>
          <w:sz w:val="19"/>
          <w:szCs w:val="19"/>
          <w:color w:val="auto"/>
        </w:rPr>
        <w:t>” (as described more fully in the Registration Statement (as defined below)) shall mean a merger, share exchange, asset acquisition, share purchase, reorganization or similar business combination with one or more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5" w:name="page6"/>
    <w:bookmarkEnd w:id="5"/>
    <w:p>
      <w:pPr>
        <w:jc w:val="center"/>
        <w:ind w:right="220"/>
        <w:spacing w:after="0"/>
        <w:rPr>
          <w:sz w:val="20"/>
          <w:szCs w:val="20"/>
          <w:color w:val="auto"/>
        </w:rPr>
      </w:pPr>
      <w:r>
        <w:rPr>
          <w:rFonts w:ascii="Arial" w:cs="Arial" w:eastAsia="Arial" w:hAnsi="Arial"/>
          <w:sz w:val="22"/>
          <w:szCs w:val="22"/>
          <w:color w:val="auto"/>
        </w:rPr>
        <w:t>The Company has prepared and filed with the U.S. Securities and Exchange Commission (the “</w:t>
      </w:r>
      <w:r>
        <w:rPr>
          <w:rFonts w:ascii="Arial" w:cs="Arial" w:eastAsia="Arial" w:hAnsi="Arial"/>
          <w:sz w:val="22"/>
          <w:szCs w:val="22"/>
          <w:b w:val="1"/>
          <w:bCs w:val="1"/>
          <w:color w:val="auto"/>
        </w:rPr>
        <w:t>Commission</w:t>
      </w:r>
      <w:r>
        <w:rPr>
          <w:rFonts w:ascii="Arial" w:cs="Arial" w:eastAsia="Arial" w:hAnsi="Arial"/>
          <w:sz w:val="22"/>
          <w:szCs w:val="22"/>
          <w:color w:val="auto"/>
        </w:rPr>
        <w:t>”) a</w:t>
      </w:r>
    </w:p>
    <w:p>
      <w:pPr>
        <w:spacing w:after="0" w:line="15"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registration statement on Form S</w:t>
      </w:r>
      <w:r>
        <w:rPr>
          <w:rFonts w:ascii="MS PGothic" w:cs="MS PGothic" w:eastAsia="MS PGothic" w:hAnsi="MS PGothic"/>
          <w:sz w:val="19"/>
          <w:szCs w:val="19"/>
          <w:color w:val="auto"/>
        </w:rPr>
        <w:t>‑</w:t>
      </w:r>
      <w:r>
        <w:rPr>
          <w:rFonts w:ascii="Arial" w:cs="Arial" w:eastAsia="Arial" w:hAnsi="Arial"/>
          <w:sz w:val="19"/>
          <w:szCs w:val="19"/>
          <w:color w:val="auto"/>
        </w:rPr>
        <w:t>1, File No. 333</w:t>
      </w:r>
      <w:r>
        <w:rPr>
          <w:rFonts w:ascii="MS PGothic" w:cs="MS PGothic" w:eastAsia="MS PGothic" w:hAnsi="MS PGothic"/>
          <w:sz w:val="19"/>
          <w:szCs w:val="19"/>
          <w:color w:val="auto"/>
        </w:rPr>
        <w:t>‑</w:t>
      </w:r>
      <w:r>
        <w:rPr>
          <w:rFonts w:ascii="Arial" w:cs="Arial" w:eastAsia="Arial" w:hAnsi="Arial"/>
          <w:sz w:val="19"/>
          <w:szCs w:val="19"/>
          <w:color w:val="auto"/>
        </w:rPr>
        <w:t>239986 which contains a form of prospectus to be used in connection with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Offering and sale of the Offered Securities. Such registration statement, as amended, including the financial statements, exhibits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schedules thereto, in the form in which it became effective under the Securities Act of 1933, as amended, and the rules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regulations promulgated thereunder (collectively, the “</w:t>
      </w:r>
      <w:r>
        <w:rPr>
          <w:rFonts w:ascii="Arial" w:cs="Arial" w:eastAsia="Arial" w:hAnsi="Arial"/>
          <w:sz w:val="19"/>
          <w:szCs w:val="19"/>
          <w:b w:val="1"/>
          <w:bCs w:val="1"/>
          <w:color w:val="auto"/>
        </w:rPr>
        <w:t>Securities Act</w:t>
      </w:r>
      <w:r>
        <w:rPr>
          <w:rFonts w:ascii="Arial" w:cs="Arial" w:eastAsia="Arial" w:hAnsi="Arial"/>
          <w:sz w:val="19"/>
          <w:szCs w:val="19"/>
          <w:color w:val="auto"/>
        </w:rPr>
        <w:t>”), including any information deemed to be a part thereof at</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the time of effectiveness pursuant to Rule 430A under the Securities Act, is called the “</w:t>
      </w:r>
      <w:r>
        <w:rPr>
          <w:rFonts w:ascii="Arial" w:cs="Arial" w:eastAsia="Arial" w:hAnsi="Arial"/>
          <w:sz w:val="21"/>
          <w:szCs w:val="21"/>
          <w:b w:val="1"/>
          <w:bCs w:val="1"/>
          <w:color w:val="auto"/>
        </w:rPr>
        <w:t>Registration Statement</w:t>
      </w:r>
      <w:r>
        <w:rPr>
          <w:rFonts w:ascii="Arial" w:cs="Arial" w:eastAsia="Arial" w:hAnsi="Arial"/>
          <w:sz w:val="21"/>
          <w:szCs w:val="21"/>
          <w:color w:val="auto"/>
        </w:rPr>
        <w:t>.” 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registration statement filed by the Company pursuant to Rule 462(b) under the Securities Act in connection with the offer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sale of the Offered Securities is called the “</w:t>
      </w:r>
      <w:r>
        <w:rPr>
          <w:rFonts w:ascii="Arial" w:cs="Arial" w:eastAsia="Arial" w:hAnsi="Arial"/>
          <w:sz w:val="19"/>
          <w:szCs w:val="19"/>
          <w:b w:val="1"/>
          <w:bCs w:val="1"/>
          <w:color w:val="auto"/>
        </w:rPr>
        <w:t>Rule 462(b) Registration Statement</w:t>
      </w:r>
      <w:r>
        <w:rPr>
          <w:rFonts w:ascii="Arial" w:cs="Arial" w:eastAsia="Arial" w:hAnsi="Arial"/>
          <w:sz w:val="19"/>
          <w:szCs w:val="19"/>
          <w:color w:val="auto"/>
        </w:rPr>
        <w:t>,” and from and after the date and time of filing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 any such Rule 462(b) Registration Statement the term “Registration Statement” shall include the Rule 462(b) Registration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Statement. The prospectus, in the form first used by the Underwriters to confirm sales of the Offered Securities or in the form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first made available to the Underwriters by the Company to meet requests of purchasers pursuant to Rule 173 under the Securities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 is called the “</w:t>
      </w:r>
      <w:r>
        <w:rPr>
          <w:rFonts w:ascii="Arial" w:cs="Arial" w:eastAsia="Arial" w:hAnsi="Arial"/>
          <w:sz w:val="19"/>
          <w:szCs w:val="19"/>
          <w:b w:val="1"/>
          <w:bCs w:val="1"/>
          <w:color w:val="auto"/>
        </w:rPr>
        <w:t>Prospectus</w:t>
      </w:r>
      <w:r>
        <w:rPr>
          <w:rFonts w:ascii="Arial" w:cs="Arial" w:eastAsia="Arial" w:hAnsi="Arial"/>
          <w:sz w:val="19"/>
          <w:szCs w:val="19"/>
          <w:color w:val="auto"/>
        </w:rPr>
        <w:t>.” The preliminary prospectus dated July 29, 2020 describing the Offered Securities and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Offering thereof is called the “</w:t>
      </w:r>
      <w:r>
        <w:rPr>
          <w:rFonts w:ascii="Arial" w:cs="Arial" w:eastAsia="Arial" w:hAnsi="Arial"/>
          <w:sz w:val="19"/>
          <w:szCs w:val="19"/>
          <w:b w:val="1"/>
          <w:bCs w:val="1"/>
          <w:color w:val="auto"/>
        </w:rPr>
        <w:t>Preliminary Prospectus</w:t>
      </w:r>
      <w:r>
        <w:rPr>
          <w:rFonts w:ascii="Arial" w:cs="Arial" w:eastAsia="Arial" w:hAnsi="Arial"/>
          <w:sz w:val="19"/>
          <w:szCs w:val="19"/>
          <w:color w:val="auto"/>
        </w:rPr>
        <w:t>,” and the Preliminary Prospectus and any other prospectus in preliminary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form that describes the Offered Securities and the Offering thereof and is used prior to the filing of the Prospectus is called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preliminary prospectus</w:t>
      </w:r>
      <w:r>
        <w:rPr>
          <w:rFonts w:ascii="Arial" w:cs="Arial" w:eastAsia="Arial" w:hAnsi="Arial"/>
          <w:sz w:val="19"/>
          <w:szCs w:val="19"/>
          <w:color w:val="auto"/>
        </w:rPr>
        <w:t>.” As used herein, “</w:t>
      </w:r>
      <w:r>
        <w:rPr>
          <w:rFonts w:ascii="Arial" w:cs="Arial" w:eastAsia="Arial" w:hAnsi="Arial"/>
          <w:sz w:val="19"/>
          <w:szCs w:val="19"/>
          <w:b w:val="1"/>
          <w:bCs w:val="1"/>
          <w:color w:val="auto"/>
        </w:rPr>
        <w:t>Applicable Time</w:t>
      </w:r>
      <w:r>
        <w:rPr>
          <w:rFonts w:ascii="Arial" w:cs="Arial" w:eastAsia="Arial" w:hAnsi="Arial"/>
          <w:sz w:val="19"/>
          <w:szCs w:val="19"/>
          <w:color w:val="auto"/>
        </w:rPr>
        <w:t>” is 9:30 p.m. (New York City time) on August 6, 2020. As used</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herein, “</w:t>
      </w:r>
      <w:r>
        <w:rPr>
          <w:rFonts w:ascii="Arial" w:cs="Arial" w:eastAsia="Arial" w:hAnsi="Arial"/>
          <w:sz w:val="21"/>
          <w:szCs w:val="21"/>
          <w:b w:val="1"/>
          <w:bCs w:val="1"/>
          <w:color w:val="auto"/>
        </w:rPr>
        <w:t>Effective Date</w:t>
      </w:r>
      <w:r>
        <w:rPr>
          <w:rFonts w:ascii="Arial" w:cs="Arial" w:eastAsia="Arial" w:hAnsi="Arial"/>
          <w:sz w:val="21"/>
          <w:szCs w:val="21"/>
          <w:color w:val="auto"/>
        </w:rPr>
        <w:t>” means the date and time at which such registration statement, or the most recent post-effective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amendment thereto, was declared effective by the Commission in accordance with the rules and regulations under the Securities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 As used herein, “</w:t>
      </w:r>
      <w:r>
        <w:rPr>
          <w:rFonts w:ascii="Arial" w:cs="Arial" w:eastAsia="Arial" w:hAnsi="Arial"/>
          <w:sz w:val="19"/>
          <w:szCs w:val="19"/>
          <w:b w:val="1"/>
          <w:bCs w:val="1"/>
          <w:color w:val="auto"/>
        </w:rPr>
        <w:t>free writing prospectus</w:t>
      </w:r>
      <w:r>
        <w:rPr>
          <w:rFonts w:ascii="Arial" w:cs="Arial" w:eastAsia="Arial" w:hAnsi="Arial"/>
          <w:sz w:val="19"/>
          <w:szCs w:val="19"/>
          <w:color w:val="auto"/>
        </w:rPr>
        <w:t>” has the meaning set forth in Rule 405 under the Securities Act, and “</w:t>
      </w:r>
      <w:r>
        <w:rPr>
          <w:rFonts w:ascii="Arial" w:cs="Arial" w:eastAsia="Arial" w:hAnsi="Arial"/>
          <w:sz w:val="19"/>
          <w:szCs w:val="19"/>
          <w:b w:val="1"/>
          <w:bCs w:val="1"/>
          <w:color w:val="auto"/>
        </w:rPr>
        <w:t>Time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Sale Prospectus</w:t>
      </w:r>
      <w:r>
        <w:rPr>
          <w:rFonts w:ascii="Arial" w:cs="Arial" w:eastAsia="Arial" w:hAnsi="Arial"/>
          <w:sz w:val="19"/>
          <w:szCs w:val="19"/>
          <w:color w:val="auto"/>
        </w:rPr>
        <w:t>” means the Preliminary Prospectus together with the Time of Delivery Information, if any, set forth 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B</w:t>
      </w:r>
      <w:r>
        <w:rPr>
          <w:rFonts w:ascii="Arial" w:cs="Arial" w:eastAsia="Arial" w:hAnsi="Arial"/>
          <w:sz w:val="19"/>
          <w:szCs w:val="19"/>
          <w:color w:val="auto"/>
        </w:rPr>
        <w:t xml:space="preserve"> hereto. As used herein, “</w:t>
      </w:r>
      <w:r>
        <w:rPr>
          <w:rFonts w:ascii="Arial" w:cs="Arial" w:eastAsia="Arial" w:hAnsi="Arial"/>
          <w:sz w:val="19"/>
          <w:szCs w:val="19"/>
          <w:b w:val="1"/>
          <w:bCs w:val="1"/>
          <w:color w:val="auto"/>
        </w:rPr>
        <w:t>Road Show</w:t>
      </w:r>
      <w:r>
        <w:rPr>
          <w:rFonts w:ascii="Arial" w:cs="Arial" w:eastAsia="Arial" w:hAnsi="Arial"/>
          <w:sz w:val="19"/>
          <w:szCs w:val="19"/>
          <w:color w:val="auto"/>
        </w:rPr>
        <w:t>” means a “road show” (as defined in Rule 433 under the Securities Act) relating to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Offering contemplated hereby that is a “written communication” (as defined in Rule 405 under the Securities Act). As used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herein, “</w:t>
      </w:r>
      <w:r>
        <w:rPr>
          <w:rFonts w:ascii="Arial" w:cs="Arial" w:eastAsia="Arial" w:hAnsi="Arial"/>
          <w:sz w:val="19"/>
          <w:szCs w:val="19"/>
          <w:b w:val="1"/>
          <w:bCs w:val="1"/>
          <w:color w:val="auto"/>
        </w:rPr>
        <w:t>Section 5(d) Written Communication</w:t>
      </w:r>
      <w:r>
        <w:rPr>
          <w:rFonts w:ascii="Arial" w:cs="Arial" w:eastAsia="Arial" w:hAnsi="Arial"/>
          <w:sz w:val="19"/>
          <w:szCs w:val="19"/>
          <w:color w:val="auto"/>
        </w:rPr>
        <w:t>” means each written communication (within the meaning of Rule 405 under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Securities Act) that is made in reliance on Section 5(d) of the Securities Act by the Company or any person authorized to act on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behalf of the Company to one or more potential investors that are qualified institutional buyers (“</w:t>
      </w:r>
      <w:r>
        <w:rPr>
          <w:rFonts w:ascii="Arial" w:cs="Arial" w:eastAsia="Arial" w:hAnsi="Arial"/>
          <w:sz w:val="19"/>
          <w:szCs w:val="19"/>
          <w:b w:val="1"/>
          <w:bCs w:val="1"/>
          <w:color w:val="auto"/>
        </w:rPr>
        <w:t>QIBs</w:t>
      </w:r>
      <w:r>
        <w:rPr>
          <w:rFonts w:ascii="Arial" w:cs="Arial" w:eastAsia="Arial" w:hAnsi="Arial"/>
          <w:sz w:val="19"/>
          <w:szCs w:val="19"/>
          <w:color w:val="auto"/>
        </w:rPr>
        <w:t>”) and/or institutions that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are accredited investors (“</w:t>
      </w:r>
      <w:r>
        <w:rPr>
          <w:rFonts w:ascii="Arial" w:cs="Arial" w:eastAsia="Arial" w:hAnsi="Arial"/>
          <w:sz w:val="19"/>
          <w:szCs w:val="19"/>
          <w:b w:val="1"/>
          <w:bCs w:val="1"/>
          <w:color w:val="auto"/>
        </w:rPr>
        <w:t>IAIs</w:t>
      </w:r>
      <w:r>
        <w:rPr>
          <w:rFonts w:ascii="Arial" w:cs="Arial" w:eastAsia="Arial" w:hAnsi="Arial"/>
          <w:sz w:val="19"/>
          <w:szCs w:val="19"/>
          <w:color w:val="auto"/>
        </w:rPr>
        <w:t>”), as such terms are respectively defined in Rule 144A and Rule 501(a) under the Securities Act,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determine whether such investors might have an interest in the Offering; “</w:t>
      </w:r>
      <w:r>
        <w:rPr>
          <w:rFonts w:ascii="Arial" w:cs="Arial" w:eastAsia="Arial" w:hAnsi="Arial"/>
          <w:sz w:val="19"/>
          <w:szCs w:val="19"/>
          <w:b w:val="1"/>
          <w:bCs w:val="1"/>
          <w:color w:val="auto"/>
        </w:rPr>
        <w:t>Section 5(d) Oral Communication</w:t>
      </w:r>
      <w:r>
        <w:rPr>
          <w:rFonts w:ascii="Arial" w:cs="Arial" w:eastAsia="Arial" w:hAnsi="Arial"/>
          <w:sz w:val="19"/>
          <w:szCs w:val="19"/>
          <w:color w:val="auto"/>
        </w:rPr>
        <w:t>” means each</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oral communication, if any, made in reliance on Section 5(d) of the Securities Act by the Company or any person authorized 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act on behalf of the Company made to one or more QIBs and/or one or more IAIs to determine whether such investors might</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have an interest in the Offering; “</w:t>
      </w:r>
      <w:r>
        <w:rPr>
          <w:rFonts w:ascii="Arial" w:cs="Arial" w:eastAsia="Arial" w:hAnsi="Arial"/>
          <w:sz w:val="19"/>
          <w:szCs w:val="19"/>
          <w:b w:val="1"/>
          <w:bCs w:val="1"/>
          <w:color w:val="auto"/>
        </w:rPr>
        <w:t>Marketing Materials</w:t>
      </w:r>
      <w:r>
        <w:rPr>
          <w:rFonts w:ascii="Arial" w:cs="Arial" w:eastAsia="Arial" w:hAnsi="Arial"/>
          <w:sz w:val="19"/>
          <w:szCs w:val="19"/>
          <w:color w:val="auto"/>
        </w:rPr>
        <w:t>” means any materials or information provided to investors by, or with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approval of, the Company in connection with the marketing of the Offering, including any Road Show or investor presentations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made to investors by the Company (whether in person or electronically); and “</w:t>
      </w:r>
      <w:r>
        <w:rPr>
          <w:rFonts w:ascii="Arial" w:cs="Arial" w:eastAsia="Arial" w:hAnsi="Arial"/>
          <w:sz w:val="19"/>
          <w:szCs w:val="19"/>
          <w:b w:val="1"/>
          <w:bCs w:val="1"/>
          <w:color w:val="auto"/>
        </w:rPr>
        <w:t>Permitted Section 5(d) Communication</w:t>
      </w:r>
      <w:r>
        <w:rPr>
          <w:rFonts w:ascii="Arial" w:cs="Arial" w:eastAsia="Arial" w:hAnsi="Arial"/>
          <w:sz w:val="19"/>
          <w:szCs w:val="19"/>
          <w:color w:val="auto"/>
        </w:rPr>
        <w:t>” means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Section 5(d) Written Communication(s) and Marketing Materials listed on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attached hereto.</w:t>
      </w:r>
    </w:p>
    <w:p>
      <w:pPr>
        <w:spacing w:after="0" w:line="215" w:lineRule="exact"/>
        <w:rPr>
          <w:sz w:val="20"/>
          <w:szCs w:val="20"/>
          <w:color w:val="auto"/>
        </w:rPr>
      </w:pPr>
    </w:p>
    <w:p>
      <w:pPr>
        <w:jc w:val="both"/>
        <w:ind w:right="320" w:firstLine="648"/>
        <w:spacing w:after="0" w:line="297" w:lineRule="auto"/>
        <w:rPr>
          <w:sz w:val="20"/>
          <w:szCs w:val="20"/>
          <w:color w:val="auto"/>
        </w:rPr>
      </w:pPr>
      <w:r>
        <w:rPr>
          <w:rFonts w:ascii="Arial" w:cs="Arial" w:eastAsia="Arial" w:hAnsi="Arial"/>
          <w:sz w:val="19"/>
          <w:szCs w:val="19"/>
          <w:color w:val="auto"/>
        </w:rPr>
        <w:t>All references in this Agreement to the Registration Statement, any preliminary prospectus (including the Preliminary Prospectus), or the Prospectus, or any amendments or supplements to any of the foregoing shall include any copy thereof filed with the Commission pursuant to its Electronic Data Gathering, Analysis and Retrieval System (“</w:t>
      </w:r>
      <w:r>
        <w:rPr>
          <w:rFonts w:ascii="Arial" w:cs="Arial" w:eastAsia="Arial" w:hAnsi="Arial"/>
          <w:sz w:val="19"/>
          <w:szCs w:val="19"/>
          <w:b w:val="1"/>
          <w:bCs w:val="1"/>
          <w:color w:val="auto"/>
        </w:rPr>
        <w:t>EDGAR</w:t>
      </w:r>
      <w:r>
        <w:rPr>
          <w:rFonts w:ascii="Arial" w:cs="Arial" w:eastAsia="Arial" w:hAnsi="Arial"/>
          <w:sz w:val="19"/>
          <w:szCs w:val="19"/>
          <w:color w:val="auto"/>
        </w:rPr>
        <w:t>”).</w:t>
      </w:r>
    </w:p>
    <w:p>
      <w:pPr>
        <w:spacing w:after="0" w:line="155" w:lineRule="exact"/>
        <w:rPr>
          <w:sz w:val="20"/>
          <w:szCs w:val="20"/>
          <w:color w:val="auto"/>
        </w:rPr>
      </w:pPr>
    </w:p>
    <w:p>
      <w:pPr>
        <w:ind w:firstLine="648"/>
        <w:spacing w:after="0" w:line="278" w:lineRule="auto"/>
        <w:rPr>
          <w:sz w:val="20"/>
          <w:szCs w:val="20"/>
          <w:color w:val="auto"/>
        </w:rPr>
      </w:pPr>
      <w:r>
        <w:rPr>
          <w:rFonts w:ascii="Arial" w:cs="Arial" w:eastAsia="Arial" w:hAnsi="Arial"/>
          <w:sz w:val="19"/>
          <w:szCs w:val="19"/>
          <w:color w:val="auto"/>
        </w:rPr>
        <w:t>The Company has entered into a Securities Subscription Agreement, dated as of April 2, 2020 (the “</w:t>
      </w:r>
      <w:r>
        <w:rPr>
          <w:rFonts w:ascii="Arial" w:cs="Arial" w:eastAsia="Arial" w:hAnsi="Arial"/>
          <w:sz w:val="19"/>
          <w:szCs w:val="19"/>
          <w:b w:val="1"/>
          <w:bCs w:val="1"/>
          <w:color w:val="auto"/>
        </w:rPr>
        <w:t>Subscription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with ARYA Sciences Holdings III, a Cayman Islands exempted limited company (the “</w:t>
      </w:r>
      <w:r>
        <w:rPr>
          <w:rFonts w:ascii="Arial" w:cs="Arial" w:eastAsia="Arial" w:hAnsi="Arial"/>
          <w:sz w:val="19"/>
          <w:szCs w:val="19"/>
          <w:b w:val="1"/>
          <w:bCs w:val="1"/>
          <w:color w:val="auto"/>
        </w:rPr>
        <w:t>Sponsor</w:t>
      </w:r>
      <w:r>
        <w:rPr>
          <w:rFonts w:ascii="Arial" w:cs="Arial" w:eastAsia="Arial" w:hAnsi="Arial"/>
          <w:sz w:val="19"/>
          <w:szCs w:val="19"/>
          <w:color w:val="auto"/>
        </w:rPr>
        <w:t>”), in substantially</w:t>
      </w:r>
      <w:r>
        <w:rPr>
          <w:rFonts w:ascii="Arial" w:cs="Arial" w:eastAsia="Arial" w:hAnsi="Arial"/>
          <w:sz w:val="19"/>
          <w:szCs w:val="19"/>
          <w:b w:val="1"/>
          <w:bCs w:val="1"/>
          <w:color w:val="auto"/>
        </w:rPr>
        <w:t xml:space="preserve"> </w:t>
      </w:r>
      <w:r>
        <w:rPr>
          <w:rFonts w:ascii="Arial" w:cs="Arial" w:eastAsia="Arial" w:hAnsi="Arial"/>
          <w:sz w:val="19"/>
          <w:szCs w:val="19"/>
          <w:color w:val="auto"/>
        </w:rPr>
        <w:t>the form filed as Exhibit 10.7 to the Registration Statement, pursuant to which the Sponsor purchased an aggregate of 3,593,750 Class B ordinary shares for an aggregate purchase price of $25,000, or approximately $0.007 per share. On August 6, 2020, the Company effected share capitalizations resulting in an aggregate of 3,737,500 Class B ordinary shares outstanding as of the date hereof (including the Class A Ordinary Shares issuable upon conversion thereof, the “</w:t>
      </w:r>
      <w:r>
        <w:rPr>
          <w:rFonts w:ascii="Arial" w:cs="Arial" w:eastAsia="Arial" w:hAnsi="Arial"/>
          <w:sz w:val="19"/>
          <w:szCs w:val="19"/>
          <w:b w:val="1"/>
          <w:bCs w:val="1"/>
          <w:color w:val="auto"/>
        </w:rPr>
        <w:t>Founder Shares</w:t>
      </w:r>
      <w:r>
        <w:rPr>
          <w:rFonts w:ascii="Arial" w:cs="Arial" w:eastAsia="Arial" w:hAnsi="Arial"/>
          <w:sz w:val="19"/>
          <w:szCs w:val="19"/>
          <w:color w:val="auto"/>
        </w:rPr>
        <w:t>”). The Founder Shares are substantially similar to the Class A Ordinary Shares except as described in the Prospectus.</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Prior to the First Closing Date (as defined below), the Sponsor will subscribe to purchase an aggregate of 460,000 Class A Ordinary Shares (or up to 499,000 Class A Ordinary Shares if the option to purchase additional Class A Ordinary Shares as provided in Section 2 is exercised in full) (the “</w:t>
      </w:r>
      <w:r>
        <w:rPr>
          <w:rFonts w:ascii="Arial" w:cs="Arial" w:eastAsia="Arial" w:hAnsi="Arial"/>
          <w:sz w:val="19"/>
          <w:szCs w:val="19"/>
          <w:b w:val="1"/>
          <w:bCs w:val="1"/>
          <w:color w:val="auto"/>
        </w:rPr>
        <w:t>Sponsor Shares</w:t>
      </w:r>
      <w:r>
        <w:rPr>
          <w:rFonts w:ascii="Arial" w:cs="Arial" w:eastAsia="Arial" w:hAnsi="Arial"/>
          <w:sz w:val="19"/>
          <w:szCs w:val="19"/>
          <w:color w:val="auto"/>
        </w:rPr>
        <w:t>”), and the Company will enter into a Private Placement Shares Purchase Agreement with the Sponsor (the “</w:t>
      </w:r>
      <w:r>
        <w:rPr>
          <w:rFonts w:ascii="Arial" w:cs="Arial" w:eastAsia="Arial" w:hAnsi="Arial"/>
          <w:sz w:val="19"/>
          <w:szCs w:val="19"/>
          <w:b w:val="1"/>
          <w:bCs w:val="1"/>
          <w:color w:val="auto"/>
        </w:rPr>
        <w:t>Sponsor Shares Purchase Agreement</w:t>
      </w:r>
      <w:r>
        <w:rPr>
          <w:rFonts w:ascii="Arial" w:cs="Arial" w:eastAsia="Arial" w:hAnsi="Arial"/>
          <w:sz w:val="19"/>
          <w:szCs w:val="19"/>
          <w:color w:val="auto"/>
        </w:rPr>
        <w:t>”) in substantially the form filed as Exhibit 10.3 to the Registration Statement. Except as described in the Registration Statement, the Time of Sale Prospectus and the Prospectus, the Sponsor Shares have the same terms as the Firm Securities.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ind w:right="100" w:firstLine="648"/>
        <w:spacing w:after="0" w:line="282" w:lineRule="auto"/>
        <w:rPr>
          <w:sz w:val="20"/>
          <w:szCs w:val="20"/>
          <w:color w:val="auto"/>
        </w:rPr>
      </w:pPr>
      <w:r>
        <w:rPr>
          <w:rFonts w:ascii="Arial" w:cs="Arial" w:eastAsia="Arial" w:hAnsi="Arial"/>
          <w:sz w:val="19"/>
          <w:szCs w:val="19"/>
          <w:color w:val="auto"/>
        </w:rPr>
        <w:t>The Company will enter into an Investment Management Trust Agreement, effective as of the First Closing Date, with Continental Stock Transfer &amp; Trust Company (“</w:t>
      </w:r>
      <w:r>
        <w:rPr>
          <w:rFonts w:ascii="Arial" w:cs="Arial" w:eastAsia="Arial" w:hAnsi="Arial"/>
          <w:sz w:val="19"/>
          <w:szCs w:val="19"/>
          <w:b w:val="1"/>
          <w:bCs w:val="1"/>
          <w:color w:val="auto"/>
        </w:rPr>
        <w:t>CST</w:t>
      </w:r>
      <w:r>
        <w:rPr>
          <w:rFonts w:ascii="Arial" w:cs="Arial" w:eastAsia="Arial" w:hAnsi="Arial"/>
          <w:sz w:val="19"/>
          <w:szCs w:val="19"/>
          <w:color w:val="auto"/>
        </w:rPr>
        <w:t>”), as trustee, in substantially the form filed as Exhibit 10.1 to the Registration Statement (the “</w:t>
      </w:r>
      <w:r>
        <w:rPr>
          <w:rFonts w:ascii="Arial" w:cs="Arial" w:eastAsia="Arial" w:hAnsi="Arial"/>
          <w:sz w:val="19"/>
          <w:szCs w:val="19"/>
          <w:b w:val="1"/>
          <w:bCs w:val="1"/>
          <w:color w:val="auto"/>
        </w:rPr>
        <w:t>Trust Agreement</w:t>
      </w:r>
      <w:r>
        <w:rPr>
          <w:rFonts w:ascii="Arial" w:cs="Arial" w:eastAsia="Arial" w:hAnsi="Arial"/>
          <w:sz w:val="19"/>
          <w:szCs w:val="19"/>
          <w:color w:val="auto"/>
        </w:rPr>
        <w:t>”), pursuant to which proceeds from the sale of the Sponsor Shares and proceeds from the Offering and sale of the Offered Securities will be deposited and held in a trust account (the “</w:t>
      </w:r>
      <w:r>
        <w:rPr>
          <w:rFonts w:ascii="Arial" w:cs="Arial" w:eastAsia="Arial" w:hAnsi="Arial"/>
          <w:sz w:val="19"/>
          <w:szCs w:val="19"/>
          <w:b w:val="1"/>
          <w:bCs w:val="1"/>
          <w:color w:val="auto"/>
        </w:rPr>
        <w:t>Trust Account</w:t>
      </w:r>
      <w:r>
        <w:rPr>
          <w:rFonts w:ascii="Arial" w:cs="Arial" w:eastAsia="Arial" w:hAnsi="Arial"/>
          <w:sz w:val="19"/>
          <w:szCs w:val="19"/>
          <w:color w:val="auto"/>
        </w:rPr>
        <w:t>”) for the benefit of the Company, the Underwriters and the holders of the Firm Securities and the Optional Securities, if and when issued.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will enter into a Registration and Shareholder Rights Agreement, dated as of the First Closing Date, with</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the Sponsor and the other parties thereto, in substantially the form filed as Exhibit 10.2 to the Registration Statement (the</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Rights Agreement</w:t>
      </w:r>
      <w:r>
        <w:rPr>
          <w:rFonts w:ascii="Arial" w:cs="Arial" w:eastAsia="Arial" w:hAnsi="Arial"/>
          <w:sz w:val="19"/>
          <w:szCs w:val="19"/>
          <w:color w:val="auto"/>
        </w:rPr>
        <w:t>”), pursuant to which the Company will grant certain registration and shareholder rights in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respect of the Founder Shares, the Sponsor Shares and any Class A Ordinary Shares issued upon the conversion of working</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capital loans by the Sponsor, the Company’s officers and directors or their respective affiliates, to the Company (the “</w:t>
      </w:r>
      <w:r>
        <w:rPr>
          <w:rFonts w:ascii="Arial" w:cs="Arial" w:eastAsia="Arial" w:hAnsi="Arial"/>
          <w:sz w:val="19"/>
          <w:szCs w:val="19"/>
          <w:b w:val="1"/>
          <w:bCs w:val="1"/>
          <w:color w:val="auto"/>
        </w:rPr>
        <w:t>Working</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Shares</w:t>
      </w:r>
      <w:r>
        <w:rPr>
          <w:rFonts w:ascii="Arial" w:cs="Arial" w:eastAsia="Arial" w:hAnsi="Arial"/>
          <w:sz w:val="22"/>
          <w:szCs w:val="22"/>
          <w:color w:val="auto"/>
        </w:rPr>
        <w:t>”).</w:t>
      </w:r>
    </w:p>
    <w:p>
      <w:pPr>
        <w:spacing w:after="0" w:line="215" w:lineRule="exact"/>
        <w:rPr>
          <w:sz w:val="20"/>
          <w:szCs w:val="20"/>
          <w:color w:val="auto"/>
        </w:rPr>
      </w:pPr>
    </w:p>
    <w:p>
      <w:pPr>
        <w:ind w:right="600" w:firstLine="648"/>
        <w:spacing w:after="0" w:line="328" w:lineRule="auto"/>
        <w:rPr>
          <w:sz w:val="20"/>
          <w:szCs w:val="20"/>
          <w:color w:val="auto"/>
        </w:rPr>
      </w:pPr>
      <w:r>
        <w:rPr>
          <w:rFonts w:ascii="Arial" w:cs="Arial" w:eastAsia="Arial" w:hAnsi="Arial"/>
          <w:sz w:val="19"/>
          <w:szCs w:val="19"/>
          <w:color w:val="auto"/>
        </w:rPr>
        <w:t>The Company has entered into a letter agreement, dated as of the date hereof, with the Sponsor and the Company’s officers and directors, in substantially the form filed as Exhibit 10.8 to the Registration Statement (the “</w:t>
      </w:r>
      <w:r>
        <w:rPr>
          <w:rFonts w:ascii="Arial" w:cs="Arial" w:eastAsia="Arial" w:hAnsi="Arial"/>
          <w:sz w:val="19"/>
          <w:szCs w:val="19"/>
          <w:b w:val="1"/>
          <w:bCs w:val="1"/>
          <w:color w:val="auto"/>
        </w:rPr>
        <w:t>Insider Letter</w:t>
      </w:r>
      <w:r>
        <w:rPr>
          <w:rFonts w:ascii="Arial" w:cs="Arial" w:eastAsia="Arial" w:hAnsi="Arial"/>
          <w:sz w:val="19"/>
          <w:szCs w:val="19"/>
          <w:color w:val="auto"/>
        </w:rPr>
        <w:t>”).</w:t>
      </w:r>
    </w:p>
    <w:p>
      <w:pPr>
        <w:spacing w:after="0" w:line="13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The Company will enter into an Administrative Services Agreement, dated as of the First Closing Date, with the Sponsor, in substantially the form filed as Exhibit 10.5 to the Registration Statement (the “</w:t>
      </w:r>
      <w:r>
        <w:rPr>
          <w:rFonts w:ascii="Arial" w:cs="Arial" w:eastAsia="Arial" w:hAnsi="Arial"/>
          <w:sz w:val="22"/>
          <w:szCs w:val="22"/>
          <w:b w:val="1"/>
          <w:bCs w:val="1"/>
          <w:color w:val="auto"/>
        </w:rPr>
        <w:t>Administrative Services Agreement</w:t>
      </w:r>
      <w:r>
        <w:rPr>
          <w:rFonts w:ascii="Arial" w:cs="Arial" w:eastAsia="Arial" w:hAnsi="Arial"/>
          <w:sz w:val="22"/>
          <w:szCs w:val="22"/>
          <w:color w:val="auto"/>
        </w:rPr>
        <w:t>”), pursuant to which the Company will pay to Sponsor an aggregate monthly fee of $10,000 for office space, secretarial and administrative services.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hereby confirms its agreements with the Underwriters as follows:</w:t>
      </w:r>
    </w:p>
    <w:p>
      <w:pPr>
        <w:spacing w:after="0" w:line="227"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color w:val="auto"/>
        </w:rPr>
        <w:t>Representations and Warranties of the Company.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hereby represents, warrants and covenants to each Underwriter as follows:</w:t>
      </w:r>
    </w:p>
    <w:p>
      <w:pPr>
        <w:spacing w:after="0" w:line="227" w:lineRule="exact"/>
        <w:rPr>
          <w:sz w:val="20"/>
          <w:szCs w:val="20"/>
          <w:color w:val="auto"/>
        </w:rPr>
      </w:pPr>
    </w:p>
    <w:p>
      <w:pPr>
        <w:ind w:right="40" w:firstLine="656"/>
        <w:spacing w:after="0" w:line="237" w:lineRule="auto"/>
        <w:tabs>
          <w:tab w:leader="none" w:pos="14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Compliance with Registration Requirements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Registration Statement has become effective under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Securities Act. The Company 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7" w:name="page8"/>
    <w:bookmarkEnd w:id="7"/>
    <w:p>
      <w:pPr>
        <w:ind w:left="-20" w:firstLine="656"/>
        <w:spacing w:after="0" w:line="246" w:lineRule="exact"/>
        <w:tabs>
          <w:tab w:leader="none" w:pos="1432"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Disclosure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Each preliminary prospectus and the Prospectus when filed complied in all material respects with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Securities Act and, if filed by electronic transmission pursuant to EDGAR, was identical (except as may be permitted by Regulation S</w:t>
      </w:r>
      <w:r>
        <w:rPr>
          <w:rFonts w:ascii="MS PGothic" w:cs="MS PGothic" w:eastAsia="MS PGothic" w:hAnsi="MS PGothic"/>
          <w:sz w:val="19"/>
          <w:szCs w:val="19"/>
          <w:color w:val="auto"/>
        </w:rPr>
        <w:t>‑</w:t>
      </w:r>
      <w:r>
        <w:rPr>
          <w:rFonts w:ascii="Arial" w:cs="Arial" w:eastAsia="Arial" w:hAnsi="Arial"/>
          <w:sz w:val="19"/>
          <w:szCs w:val="19"/>
          <w:color w:val="auto"/>
        </w:rPr>
        <w:t>T under the Securities Act) to the copy thereof delivered to the Underwriters for use in connection with the offer and sale of the Offered Securities. Each of the Registration Statement and any post-effective amendment thereto, at the time it became or becomes effective, complied and will comply in all material respects with the Securities Act and did not and will not contain any untrue statement of a material fact or omit to state a material fact required to be stated therein or necessary to make the statements therein not misleading. As of the Applicable Time, the Time of Sale Prospectus did not, and at the First Closing Date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8(b) below. There are no contracts or other documents required to be described in the Time of Sale Prospectus or the Prospectus or to be filed as an exhibit to the Registration Statement which have not been described or filed as required.</w:t>
      </w:r>
    </w:p>
    <w:p>
      <w:pPr>
        <w:spacing w:after="0" w:line="200" w:lineRule="exact"/>
        <w:rPr>
          <w:rFonts w:ascii="Arial" w:cs="Arial" w:eastAsia="Arial" w:hAnsi="Arial"/>
          <w:sz w:val="19"/>
          <w:szCs w:val="19"/>
          <w:b w:val="1"/>
          <w:bCs w:val="1"/>
          <w:color w:val="auto"/>
        </w:rPr>
      </w:pPr>
    </w:p>
    <w:p>
      <w:pPr>
        <w:spacing w:after="0" w:line="236" w:lineRule="exact"/>
        <w:rPr>
          <w:rFonts w:ascii="Arial" w:cs="Arial" w:eastAsia="Arial" w:hAnsi="Arial"/>
          <w:sz w:val="19"/>
          <w:szCs w:val="19"/>
          <w:b w:val="1"/>
          <w:bCs w:val="1"/>
          <w:color w:val="auto"/>
        </w:rPr>
      </w:pPr>
    </w:p>
    <w:p>
      <w:pPr>
        <w:ind w:left="-20" w:right="60" w:firstLine="656"/>
        <w:spacing w:after="0" w:line="273" w:lineRule="auto"/>
        <w:tabs>
          <w:tab w:leader="none" w:pos="1408"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Free Writing Prospectuses; Road Show</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As of the determination date referenced in Rule 164(h) under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Securities Act and as of the date hereof, the Company was and is an “ineligible issuer” in connection with the Offering pursuant to Rules 164, 405 and 433 under the Securities Act. The Company has not prepared, used or referred to, and will not, without your prior written consent, prepare, use or refer to, any free writing prospectus. Each of the Marketing Materials (including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 The representation and warranty set forth in the immediately preceding sentence does not apply to statements in or omissions from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8(b) below.</w:t>
      </w:r>
    </w:p>
    <w:p>
      <w:pPr>
        <w:spacing w:after="0" w:line="182" w:lineRule="exact"/>
        <w:rPr>
          <w:rFonts w:ascii="Arial" w:cs="Arial" w:eastAsia="Arial" w:hAnsi="Arial"/>
          <w:sz w:val="19"/>
          <w:szCs w:val="19"/>
          <w:b w:val="1"/>
          <w:bCs w:val="1"/>
          <w:color w:val="auto"/>
        </w:rPr>
      </w:pPr>
    </w:p>
    <w:p>
      <w:pPr>
        <w:ind w:left="-20" w:right="120" w:firstLine="656"/>
        <w:spacing w:after="0" w:line="283" w:lineRule="auto"/>
        <w:tabs>
          <w:tab w:leader="none" w:pos="1432"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Distribution of Offering Material By the Company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Prior to the later of (i) the expiration or termination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option granted to the several Underwriters in Section 2, (ii) the completion of the Underwriters’ distribution of the Offered Securities and (iii) the expiration of 25 days after the date of the Prospectus</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has not distributed and will not distribute any offering material in connection with the Offering and sale of the Offered Securities other than the Registration Statement, the Time of Sale Prospectus, the Prospectus and any Permitted Section 5(d) Communications.</w:t>
      </w:r>
    </w:p>
    <w:p>
      <w:pPr>
        <w:spacing w:after="0" w:line="169" w:lineRule="exact"/>
        <w:rPr>
          <w:rFonts w:ascii="Arial" w:cs="Arial" w:eastAsia="Arial" w:hAnsi="Arial"/>
          <w:sz w:val="19"/>
          <w:szCs w:val="19"/>
          <w:b w:val="1"/>
          <w:bCs w:val="1"/>
          <w:color w:val="auto"/>
        </w:rPr>
      </w:pPr>
    </w:p>
    <w:p>
      <w:pPr>
        <w:ind w:left="-20" w:firstLine="656"/>
        <w:spacing w:after="0" w:line="254" w:lineRule="auto"/>
        <w:tabs>
          <w:tab w:leader="none" w:pos="1408"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The Underwriting Agreement</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This Agreement has been duly and validly authorized, executed and delivered by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92" w:lineRule="exact"/>
        <w:rPr>
          <w:rFonts w:ascii="Arial" w:cs="Arial" w:eastAsia="Arial" w:hAnsi="Arial"/>
          <w:sz w:val="21"/>
          <w:szCs w:val="21"/>
          <w:b w:val="1"/>
          <w:bCs w:val="1"/>
          <w:color w:val="auto"/>
        </w:rPr>
      </w:pPr>
    </w:p>
    <w:p>
      <w:pPr>
        <w:ind w:left="-20" w:right="120" w:firstLine="656"/>
        <w:spacing w:after="0" w:line="251" w:lineRule="auto"/>
        <w:tabs>
          <w:tab w:leader="none" w:pos="1384" w:val="left"/>
        </w:tabs>
        <w:numPr>
          <w:ilvl w:val="0"/>
          <w:numId w:val="4"/>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Filing of a Form 8-A</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has filed with the Commission a registration statement (the “</w:t>
      </w:r>
      <w:r>
        <w:rPr>
          <w:rFonts w:ascii="Arial" w:cs="Arial" w:eastAsia="Arial" w:hAnsi="Arial"/>
          <w:sz w:val="21"/>
          <w:szCs w:val="21"/>
          <w:b w:val="1"/>
          <w:bCs w:val="1"/>
          <w:color w:val="auto"/>
        </w:rPr>
        <w:t>Exchange</w:t>
      </w:r>
      <w:r>
        <w:rPr>
          <w:rFonts w:ascii="Arial" w:cs="Arial" w:eastAsia="Arial" w:hAnsi="Arial"/>
          <w:sz w:val="21"/>
          <w:szCs w:val="21"/>
          <w:b w:val="1"/>
          <w:bCs w:val="1"/>
          <w:i w:val="1"/>
          <w:iCs w:val="1"/>
          <w:color w:val="auto"/>
        </w:rPr>
        <w:t xml:space="preserve"> </w:t>
      </w:r>
      <w:r>
        <w:rPr>
          <w:rFonts w:ascii="Arial" w:cs="Arial" w:eastAsia="Arial" w:hAnsi="Arial"/>
          <w:sz w:val="21"/>
          <w:szCs w:val="21"/>
          <w:b w:val="1"/>
          <w:bCs w:val="1"/>
          <w:color w:val="auto"/>
        </w:rPr>
        <w:t>Act Registration Statement</w:t>
      </w:r>
      <w:r>
        <w:rPr>
          <w:rFonts w:ascii="Arial" w:cs="Arial" w:eastAsia="Arial" w:hAnsi="Arial"/>
          <w:sz w:val="21"/>
          <w:szCs w:val="21"/>
          <w:color w:val="auto"/>
        </w:rPr>
        <w:t>”) on Form 8-A (file number 001-39434) providing for the registration under the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Exchange Act of 1934, as amended, and the rules and regulations promulgated thereunder (collectively, the “</w:t>
      </w:r>
      <w:r>
        <w:rPr>
          <w:rFonts w:ascii="Arial" w:cs="Arial" w:eastAsia="Arial" w:hAnsi="Arial"/>
          <w:sz w:val="21"/>
          <w:szCs w:val="21"/>
          <w:b w:val="1"/>
          <w:bCs w:val="1"/>
          <w:color w:val="auto"/>
        </w:rPr>
        <w:t>Exchange Act</w:t>
      </w:r>
      <w:r>
        <w:rPr>
          <w:rFonts w:ascii="Arial" w:cs="Arial" w:eastAsia="Arial" w:hAnsi="Arial"/>
          <w:sz w:val="21"/>
          <w:szCs w:val="21"/>
          <w:color w:val="auto"/>
        </w:rPr>
        <w:t>”) of the Class A Ordinary Shares, which registration is currently effective on the date hereof. The Exchange Act Registration Statement has become effective as provided in Section 12 of the Exchange Act.</w:t>
      </w:r>
    </w:p>
    <w:p>
      <w:pPr>
        <w:spacing w:after="0" w:line="195" w:lineRule="exact"/>
        <w:rPr>
          <w:rFonts w:ascii="Arial" w:cs="Arial" w:eastAsia="Arial" w:hAnsi="Arial"/>
          <w:sz w:val="21"/>
          <w:szCs w:val="21"/>
          <w:b w:val="1"/>
          <w:bCs w:val="1"/>
          <w:color w:val="auto"/>
        </w:rPr>
      </w:pPr>
    </w:p>
    <w:p>
      <w:pPr>
        <w:ind w:left="-20" w:right="240" w:firstLine="656"/>
        <w:spacing w:after="0" w:line="256" w:lineRule="auto"/>
        <w:tabs>
          <w:tab w:leader="none" w:pos="142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Stock Exchange Listing</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Class A Ordinary Shares have been approved for listing on The Nasdaq Capital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Market (“</w:t>
      </w:r>
      <w:r>
        <w:rPr>
          <w:rFonts w:ascii="Arial" w:cs="Arial" w:eastAsia="Arial" w:hAnsi="Arial"/>
          <w:sz w:val="22"/>
          <w:szCs w:val="22"/>
          <w:b w:val="1"/>
          <w:bCs w:val="1"/>
          <w:color w:val="auto"/>
        </w:rPr>
        <w:t>Nasdaq</w:t>
      </w:r>
      <w:r>
        <w:rPr>
          <w:rFonts w:ascii="Arial" w:cs="Arial" w:eastAsia="Arial" w:hAnsi="Arial"/>
          <w:sz w:val="22"/>
          <w:szCs w:val="22"/>
          <w:color w:val="auto"/>
        </w:rPr>
        <w:t>”), subject only to official notice of issuance.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 w:right="359" w:bottom="1440" w:gutter="0" w:footer="0" w:header="0"/>
        </w:sectPr>
      </w:pPr>
    </w:p>
    <w:bookmarkStart w:id="8" w:name="page9"/>
    <w:bookmarkEnd w:id="8"/>
    <w:p>
      <w:pPr>
        <w:ind w:left="-20" w:right="340" w:firstLine="656"/>
        <w:spacing w:after="0" w:line="243" w:lineRule="auto"/>
        <w:tabs>
          <w:tab w:leader="none" w:pos="1432"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 Integration</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Neither the Company nor any of its affiliates has, prior to the date hereof, made any offer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sale of any securities that are required to be “integrated” pursuant to the Securities Act with the offer and sale of the Offered Securities pursuant to the Registration Statement.</w:t>
      </w:r>
    </w:p>
    <w:p>
      <w:pPr>
        <w:spacing w:after="0" w:line="204" w:lineRule="exact"/>
        <w:rPr>
          <w:rFonts w:ascii="Arial" w:cs="Arial" w:eastAsia="Arial" w:hAnsi="Arial"/>
          <w:sz w:val="22"/>
          <w:szCs w:val="22"/>
          <w:b w:val="1"/>
          <w:bCs w:val="1"/>
          <w:color w:val="auto"/>
        </w:rPr>
      </w:pPr>
    </w:p>
    <w:p>
      <w:pPr>
        <w:jc w:val="both"/>
        <w:ind w:left="-20" w:right="360" w:firstLine="656"/>
        <w:spacing w:after="0" w:line="237" w:lineRule="auto"/>
        <w:tabs>
          <w:tab w:leader="none" w:pos="1426"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Authorization of the Sponsor Shares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Sponsor Shares have been duly authorized by the Company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when issued and delivered in the manner set forth in the Sponsor Shares Purchase Agreement (by the entry of the name of the registered owner thereof in the register of members of the Company confirming that such Sponsor Shares have been issued credited as fully paid) against payment therefor, will be validly issued, fully paid and non-assessable and free of preemptive rights, rights of first refusal and similar rights.</w:t>
      </w:r>
    </w:p>
    <w:p>
      <w:pPr>
        <w:spacing w:after="0" w:line="208" w:lineRule="exact"/>
        <w:rPr>
          <w:rFonts w:ascii="Arial" w:cs="Arial" w:eastAsia="Arial" w:hAnsi="Arial"/>
          <w:sz w:val="22"/>
          <w:szCs w:val="22"/>
          <w:b w:val="1"/>
          <w:bCs w:val="1"/>
          <w:color w:val="auto"/>
        </w:rPr>
      </w:pPr>
    </w:p>
    <w:p>
      <w:pPr>
        <w:ind w:left="-20" w:right="80" w:firstLine="656"/>
        <w:spacing w:after="0" w:line="256" w:lineRule="auto"/>
        <w:tabs>
          <w:tab w:leader="none" w:pos="1438"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Authorization of the Founder Shares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Founder Shares have been duly authorized, were validly issued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are fully paid and non-assessable.</w:t>
      </w:r>
    </w:p>
    <w:p>
      <w:pPr>
        <w:spacing w:after="0" w:line="189" w:lineRule="exact"/>
        <w:rPr>
          <w:rFonts w:ascii="Arial" w:cs="Arial" w:eastAsia="Arial" w:hAnsi="Arial"/>
          <w:sz w:val="22"/>
          <w:szCs w:val="22"/>
          <w:b w:val="1"/>
          <w:bCs w:val="1"/>
          <w:color w:val="auto"/>
        </w:rPr>
      </w:pPr>
    </w:p>
    <w:p>
      <w:pPr>
        <w:ind w:left="-20" w:firstLine="656"/>
        <w:spacing w:after="0" w:line="237" w:lineRule="auto"/>
        <w:tabs>
          <w:tab w:leader="none" w:pos="1432"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Authorization of the Offered Securities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Offered Securities have been duly authorized for issuance and sale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pursuant to this Agreement and, when issued and delivered by the Company (by the entry of the name of the registered owner thereof in the register of members of the Company confirming that such securities have been issued credited as fully paid) against payment therefor pursuant to this Agreement, will be validly issued, fully paid and non-assessable and free of preemptive rights, rights of first refusal and similar rights.</w:t>
      </w:r>
    </w:p>
    <w:p>
      <w:pPr>
        <w:spacing w:after="0" w:line="208" w:lineRule="exact"/>
        <w:rPr>
          <w:rFonts w:ascii="Arial" w:cs="Arial" w:eastAsia="Arial" w:hAnsi="Arial"/>
          <w:sz w:val="22"/>
          <w:szCs w:val="22"/>
          <w:b w:val="1"/>
          <w:bCs w:val="1"/>
          <w:color w:val="auto"/>
        </w:rPr>
      </w:pPr>
    </w:p>
    <w:p>
      <w:pPr>
        <w:ind w:left="-20" w:firstLine="656"/>
        <w:spacing w:after="0" w:line="237" w:lineRule="auto"/>
        <w:tabs>
          <w:tab w:leader="none" w:pos="1426"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The Trust Agreement</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Trust Agreement has been duly authorized and on the First Closing Date, the Trust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Agreement will be duly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208" w:lineRule="exact"/>
        <w:rPr>
          <w:rFonts w:ascii="Arial" w:cs="Arial" w:eastAsia="Arial" w:hAnsi="Arial"/>
          <w:sz w:val="22"/>
          <w:szCs w:val="22"/>
          <w:b w:val="1"/>
          <w:bCs w:val="1"/>
          <w:color w:val="auto"/>
        </w:rPr>
      </w:pPr>
    </w:p>
    <w:p>
      <w:pPr>
        <w:ind w:left="-20" w:right="80" w:firstLine="656"/>
        <w:spacing w:after="0" w:line="237" w:lineRule="auto"/>
        <w:tabs>
          <w:tab w:leader="none" w:pos="1438"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The Subscription Agreement</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Subscription Agreement has been duly authorized, executed and delivered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by 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208" w:lineRule="exact"/>
        <w:rPr>
          <w:rFonts w:ascii="Arial" w:cs="Arial" w:eastAsia="Arial" w:hAnsi="Arial"/>
          <w:sz w:val="22"/>
          <w:szCs w:val="22"/>
          <w:b w:val="1"/>
          <w:bCs w:val="1"/>
          <w:color w:val="auto"/>
        </w:rPr>
      </w:pPr>
    </w:p>
    <w:p>
      <w:pPr>
        <w:ind w:left="-20" w:right="40" w:firstLine="656"/>
        <w:spacing w:after="0" w:line="237" w:lineRule="auto"/>
        <w:tabs>
          <w:tab w:leader="none" w:pos="1432"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The Sponsor Shares Purchase Agreement</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Sponsor Shares Purchase Agreement has been duly authorized,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executed and delivered by 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208" w:lineRule="exact"/>
        <w:rPr>
          <w:rFonts w:ascii="Arial" w:cs="Arial" w:eastAsia="Arial" w:hAnsi="Arial"/>
          <w:sz w:val="22"/>
          <w:szCs w:val="22"/>
          <w:b w:val="1"/>
          <w:bCs w:val="1"/>
          <w:color w:val="auto"/>
        </w:rPr>
      </w:pPr>
    </w:p>
    <w:p>
      <w:pPr>
        <w:ind w:left="-20" w:right="60" w:firstLine="656"/>
        <w:spacing w:after="0" w:line="251" w:lineRule="auto"/>
        <w:tabs>
          <w:tab w:leader="none" w:pos="1420" w:val="left"/>
        </w:tabs>
        <w:numPr>
          <w:ilvl w:val="0"/>
          <w:numId w:val="5"/>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The Registration Rights Agreement</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Registration Rights Agreement has been duly authorized and on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First Closing Date, the Registration Rights Agreement will be duly executed and delivered by the Company, and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 w:right="359" w:bottom="1440" w:gutter="0" w:footer="0" w:header="0"/>
        </w:sectPr>
      </w:pPr>
    </w:p>
    <w:bookmarkStart w:id="9" w:name="page10"/>
    <w:bookmarkEnd w:id="9"/>
    <w:p>
      <w:pPr>
        <w:ind w:left="-20" w:firstLine="656"/>
        <w:spacing w:after="0" w:line="248" w:lineRule="auto"/>
        <w:tabs>
          <w:tab w:leader="none" w:pos="1378"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The Insider Letter</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Insider Letter has been duly authorized, executed and delivered by the Company and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Sponsor and, to the Company’s knowledge, each executive officer, director and director nominee, respectively, and is a valid and binding agreement of the Company, the Sponsor and, to the Company’s knowledge, each executive officer, director and director nominee of the Company, respectively, enforceable against the Company, the Sponsor and, to the Company’s knowledge, each executive officer, director and director nominee of the Company,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97" w:lineRule="exact"/>
        <w:rPr>
          <w:rFonts w:ascii="Arial" w:cs="Arial" w:eastAsia="Arial" w:hAnsi="Arial"/>
          <w:sz w:val="21"/>
          <w:szCs w:val="21"/>
          <w:b w:val="1"/>
          <w:bCs w:val="1"/>
          <w:color w:val="auto"/>
        </w:rPr>
      </w:pPr>
    </w:p>
    <w:p>
      <w:pPr>
        <w:ind w:left="-20" w:firstLine="656"/>
        <w:spacing w:after="0" w:line="236" w:lineRule="auto"/>
        <w:tabs>
          <w:tab w:leader="none" w:pos="1432"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The Administrative Services Agreement</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Administrative Services Agreement has been duly authorized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the First Closing Date, the Administrative Services Agreement will be duly executed and delivered by the Company, and, assuming the due authorization, execution and delivery thereof by Sponsor, will constitute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208" w:lineRule="exact"/>
        <w:rPr>
          <w:rFonts w:ascii="Arial" w:cs="Arial" w:eastAsia="Arial" w:hAnsi="Arial"/>
          <w:sz w:val="22"/>
          <w:szCs w:val="22"/>
          <w:b w:val="1"/>
          <w:bCs w:val="1"/>
          <w:color w:val="auto"/>
        </w:rPr>
      </w:pPr>
    </w:p>
    <w:p>
      <w:pPr>
        <w:ind w:left="-20" w:right="380" w:firstLine="656"/>
        <w:spacing w:after="0" w:line="243" w:lineRule="auto"/>
        <w:tabs>
          <w:tab w:leader="none" w:pos="1408"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 Applicable Registration or Other Similar Rights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There are no persons with registration or other similar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rights to have equity or debt securities registered for sale under the Registration Statement or included in the offering contemplated by this Agreement.</w:t>
      </w:r>
    </w:p>
    <w:p>
      <w:pPr>
        <w:spacing w:after="0" w:line="203" w:lineRule="exact"/>
        <w:rPr>
          <w:rFonts w:ascii="Arial" w:cs="Arial" w:eastAsia="Arial" w:hAnsi="Arial"/>
          <w:sz w:val="22"/>
          <w:szCs w:val="22"/>
          <w:b w:val="1"/>
          <w:bCs w:val="1"/>
          <w:color w:val="auto"/>
        </w:rPr>
      </w:pPr>
    </w:p>
    <w:p>
      <w:pPr>
        <w:ind w:left="-20" w:right="20" w:firstLine="656"/>
        <w:spacing w:after="0" w:line="236" w:lineRule="auto"/>
        <w:tabs>
          <w:tab w:leader="none" w:pos="1396"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Independent Accountants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WithumSmith+Brown, PC (“</w:t>
      </w:r>
      <w:r>
        <w:rPr>
          <w:rFonts w:ascii="Arial" w:cs="Arial" w:eastAsia="Arial" w:hAnsi="Arial"/>
          <w:sz w:val="22"/>
          <w:szCs w:val="22"/>
          <w:b w:val="1"/>
          <w:bCs w:val="1"/>
          <w:color w:val="auto"/>
        </w:rPr>
        <w:t>Withum</w:t>
      </w:r>
      <w:r>
        <w:rPr>
          <w:rFonts w:ascii="Arial" w:cs="Arial" w:eastAsia="Arial" w:hAnsi="Arial"/>
          <w:sz w:val="22"/>
          <w:szCs w:val="22"/>
          <w:color w:val="auto"/>
        </w:rPr>
        <w:t>”), who have certified certain financial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statements of the Company and delivered their report with respect to the audited financial statements (which term as used in this Agreement includes the related notes thereto and the supporting schedules, if any) filed with the Commission as a part of the Registration Statement, the Time of Sale Prospectus and the Prospectus, is a registered public accounting firm that is independent with respect to the Company within the meaning of the Securities Act and the Exchange Act and the applicable published rules and regulations thereunder.</w:t>
      </w:r>
    </w:p>
    <w:p>
      <w:pPr>
        <w:spacing w:after="0" w:line="208" w:lineRule="exact"/>
        <w:rPr>
          <w:rFonts w:ascii="Arial" w:cs="Arial" w:eastAsia="Arial" w:hAnsi="Arial"/>
          <w:sz w:val="22"/>
          <w:szCs w:val="22"/>
          <w:b w:val="1"/>
          <w:bCs w:val="1"/>
          <w:color w:val="auto"/>
        </w:rPr>
      </w:pPr>
    </w:p>
    <w:p>
      <w:pPr>
        <w:ind w:left="-20" w:firstLine="656"/>
        <w:spacing w:after="0" w:line="273" w:lineRule="auto"/>
        <w:tabs>
          <w:tab w:leader="none" w:pos="1384" w:val="left"/>
        </w:tabs>
        <w:numPr>
          <w:ilvl w:val="0"/>
          <w:numId w:val="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Financial Statements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financial statements, including the notes thereto and the supporting schedules, if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filed with the Commission as a part of the Registration Statement, the Time of Sale Prospectus and the Prospectus present fairly the financial position of the Company as of the dates indicated and the results of their operations, changes in shareholders’ equity and cash flows for the periods specified. Such financial statements and supporting schedules, if any, have been prepared in conformity with generally accepted accounting principles as applied in the United States applied on a consistent basis throughout the periods involved, except as may be expressly stated in the related notes thereto. No other financial statements or supporting schedules are required to be included in the Registration Statement, the Time of Sale Prospectus or the Prospectus. The financial data set forth in each of the Registration Statement, the Time of Sale Prospectus and the Prospectus under the captions “Summary Financial Data” and “Capitalization” fairly present the information set forth therein on a basis consistent with that of the audited financial statements contained in the Registration Statement, the Time of Sale Prospectus and the Prospectus. There are no pro forma or as adjusted financial statements that are required to be included in the Registration Statement, the Time of Sale Prospectus and the Prospectus in accordance with Regulation S-X that have not been included as so required.</w:t>
      </w:r>
    </w:p>
    <w:p>
      <w:pPr>
        <w:spacing w:after="0" w:line="176" w:lineRule="exact"/>
        <w:rPr>
          <w:rFonts w:ascii="Arial" w:cs="Arial" w:eastAsia="Arial" w:hAnsi="Arial"/>
          <w:sz w:val="19"/>
          <w:szCs w:val="19"/>
          <w:b w:val="1"/>
          <w:bCs w:val="1"/>
          <w:color w:val="auto"/>
        </w:rPr>
      </w:pPr>
    </w:p>
    <w:p>
      <w:pPr>
        <w:ind w:left="-20" w:right="20" w:firstLine="656"/>
        <w:spacing w:after="0" w:line="247" w:lineRule="auto"/>
        <w:tabs>
          <w:tab w:leader="none" w:pos="1378" w:val="left"/>
        </w:tabs>
        <w:numPr>
          <w:ilvl w:val="0"/>
          <w:numId w:val="6"/>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Company’s Accounting System</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the extent required by Rule 13a-15(e) under the Exchange Act,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Company will maintain “disclosure controls and procedures” (as defined under Rule 13a-15(e) under the Exchange Act) and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1" w:right="359" w:bottom="1440" w:gutter="0" w:footer="0" w:header="0"/>
        </w:sectPr>
      </w:pPr>
    </w:p>
    <w:bookmarkStart w:id="10" w:name="page11"/>
    <w:bookmarkEnd w:id="10"/>
    <w:p>
      <w:pPr>
        <w:ind w:right="360" w:firstLine="656"/>
        <w:spacing w:after="0" w:line="241" w:lineRule="auto"/>
        <w:tabs>
          <w:tab w:leader="none" w:pos="144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Disclosure Controls and Procedures; Deficiencies in or Changes to Internal Control Over Financial Reporting</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maintains effective “disclosure controls and procedures” as defined under Rule 13a-15(e) under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Exchange Act, to the extent required by such rule.</w:t>
      </w:r>
    </w:p>
    <w:p>
      <w:pPr>
        <w:spacing w:after="0" w:line="204" w:lineRule="exact"/>
        <w:rPr>
          <w:rFonts w:ascii="Arial" w:cs="Arial" w:eastAsia="Arial" w:hAnsi="Arial"/>
          <w:sz w:val="22"/>
          <w:szCs w:val="22"/>
          <w:b w:val="1"/>
          <w:bCs w:val="1"/>
          <w:color w:val="auto"/>
        </w:rPr>
      </w:pPr>
    </w:p>
    <w:p>
      <w:pPr>
        <w:ind w:right="240" w:firstLine="656"/>
        <w:spacing w:after="0" w:line="283" w:lineRule="auto"/>
        <w:tabs>
          <w:tab w:leader="none" w:pos="1488"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Compliance with the Sarbanes-Oxley Act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Solely to the extent that the Sarbanes-Oxley Act of 2002,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amended, and the rules and regulations promulgated by the Commission and Nasdaq thereunder (the “</w:t>
      </w:r>
      <w:r>
        <w:rPr>
          <w:rFonts w:ascii="Arial" w:cs="Arial" w:eastAsia="Arial" w:hAnsi="Arial"/>
          <w:sz w:val="19"/>
          <w:szCs w:val="19"/>
          <w:b w:val="1"/>
          <w:bCs w:val="1"/>
          <w:color w:val="auto"/>
        </w:rPr>
        <w:t>Sarbanes-Oxley Act</w:t>
      </w:r>
      <w:r>
        <w:rPr>
          <w:rFonts w:ascii="Arial" w:cs="Arial" w:eastAsia="Arial" w:hAnsi="Arial"/>
          <w:sz w:val="19"/>
          <w:szCs w:val="19"/>
          <w:color w:val="auto"/>
        </w:rPr>
        <w:t>”) have been applicable to the Company, there is and has been no failure on the part of the Company to comply in all material respects with any provision of the Sarbanes-Oxley Act. The Company has taken all necessary actions to ensure that it is in compliance with all provisions of the Sarbanes-Oxley Act that are in effect and with which the Company is required to comply.</w:t>
      </w:r>
    </w:p>
    <w:p>
      <w:pPr>
        <w:spacing w:after="0" w:line="169" w:lineRule="exact"/>
        <w:rPr>
          <w:rFonts w:ascii="Arial" w:cs="Arial" w:eastAsia="Arial" w:hAnsi="Arial"/>
          <w:sz w:val="19"/>
          <w:szCs w:val="19"/>
          <w:b w:val="1"/>
          <w:bCs w:val="1"/>
          <w:color w:val="auto"/>
        </w:rPr>
      </w:pPr>
    </w:p>
    <w:p>
      <w:pPr>
        <w:ind w:right="100" w:firstLine="656"/>
        <w:spacing w:after="0" w:line="278" w:lineRule="auto"/>
        <w:tabs>
          <w:tab w:leader="none" w:pos="144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Compliance with Nasdaq Rules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 is and has been no failure on the part of the Company or,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knowledge of the Company, any of the Company’s officers or directors, in their capacities as such, to comply with (as and when applicable), and immediately following the Effective Date, the Company will be in compliance with, Nasdaq Marketplace Rule IM-5605.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Nasdaq Stock Market LLC corporate governance requirements set forth in the Nasdaq Marketplace Rules.</w:t>
      </w:r>
    </w:p>
    <w:p>
      <w:pPr>
        <w:spacing w:after="0" w:line="172" w:lineRule="exact"/>
        <w:rPr>
          <w:rFonts w:ascii="Arial" w:cs="Arial" w:eastAsia="Arial" w:hAnsi="Arial"/>
          <w:sz w:val="19"/>
          <w:szCs w:val="19"/>
          <w:b w:val="1"/>
          <w:bCs w:val="1"/>
          <w:color w:val="auto"/>
        </w:rPr>
      </w:pPr>
    </w:p>
    <w:p>
      <w:pPr>
        <w:ind w:right="120" w:firstLine="656"/>
        <w:spacing w:after="0" w:line="289" w:lineRule="auto"/>
        <w:tabs>
          <w:tab w:leader="none" w:pos="1440"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 Fees Related to this Agreement or the Offering of Offered Securities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 are no transfer, stamp, issue,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registration, documentary or other similar taxes,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Offered Securities.</w:t>
      </w:r>
    </w:p>
    <w:p>
      <w:pPr>
        <w:spacing w:after="0" w:line="162" w:lineRule="exact"/>
        <w:rPr>
          <w:rFonts w:ascii="Arial" w:cs="Arial" w:eastAsia="Arial" w:hAnsi="Arial"/>
          <w:sz w:val="19"/>
          <w:szCs w:val="19"/>
          <w:b w:val="1"/>
          <w:bCs w:val="1"/>
          <w:color w:val="auto"/>
        </w:rPr>
      </w:pPr>
    </w:p>
    <w:p>
      <w:pPr>
        <w:ind w:firstLine="656"/>
        <w:spacing w:after="0" w:line="274" w:lineRule="auto"/>
        <w:tabs>
          <w:tab w:leader="none" w:pos="1428" w:val="left"/>
        </w:tabs>
        <w:numPr>
          <w:ilvl w:val="0"/>
          <w:numId w:val="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Incorporation and Good Standing of the Company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has been duly incorporated and is validly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existing as an exempted company in good standing under the laws of the jurisdiction of its incorporation and has the corporate power and authority to own, lease and operate its properties and to conduct its business as described in the Registration Statement, the Time of Sale Prospectus and the Prospectus and to enter into and perform its obligations under this Agreement, the Trust Agreement, the Subscription Agreement, the Sponsor Shares Purchase Agreement, the Registration Rights Agreement, the Insider Letter and the Administrative Services Agreement and to carry out the transactions contemplated hereby and thereby.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would not reasonably be expected to have a material adverse effect on the financial condition, earnings, business, properties, operations, assets, liabilities or prospects of the Company (a “</w:t>
      </w:r>
      <w:r>
        <w:rPr>
          <w:rFonts w:ascii="Arial" w:cs="Arial" w:eastAsia="Arial" w:hAnsi="Arial"/>
          <w:sz w:val="19"/>
          <w:szCs w:val="19"/>
          <w:b w:val="1"/>
          <w:bCs w:val="1"/>
          <w:color w:val="auto"/>
        </w:rPr>
        <w:t>Material Adverse Effect</w:t>
      </w:r>
      <w:r>
        <w:rPr>
          <w:rFonts w:ascii="Arial" w:cs="Arial" w:eastAsia="Arial" w:hAnsi="Arial"/>
          <w:sz w:val="19"/>
          <w:szCs w:val="19"/>
          <w:color w:val="auto"/>
        </w:rPr>
        <w:t>”) on the Company.</w:t>
      </w:r>
    </w:p>
    <w:p>
      <w:pPr>
        <w:spacing w:after="0" w:line="179" w:lineRule="exact"/>
        <w:rPr>
          <w:sz w:val="20"/>
          <w:szCs w:val="20"/>
          <w:color w:val="auto"/>
        </w:rPr>
      </w:pPr>
    </w:p>
    <w:p>
      <w:pPr>
        <w:ind w:right="520" w:firstLine="656"/>
        <w:spacing w:after="0" w:line="256" w:lineRule="auto"/>
        <w:tabs>
          <w:tab w:leader="none" w:pos="144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Interests in Other Entities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does not own or control, directly or indirectly, an interest in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corporation, partnership, limited liability company, joint venture, trust or other entity.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ind w:firstLine="656"/>
        <w:spacing w:after="0" w:line="273" w:lineRule="auto"/>
        <w:tabs>
          <w:tab w:leader="none" w:pos="141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Capitalization and Other Share Capital Matters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authorized, issued and outstanding share capital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is as set forth in the 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share capital of the Company conforms in all material respects to the description thereof in the Time of Sale Prospectus, the Registration Statement and the Prospectus. All of the issued and outstanding securities of the Company have been duly authorized and validly issued, are fully paid and non-assessable and have been issued in compliance with all federal and state securities laws, based in part on the representations and warranties of the purchasers of such securities. None of the outstanding securities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convertible into or exchangeable or exercisable for, any share capital of the Company other than those described in the Registration Statement, the Time of Sale Prospectus and the Prospectus.</w:t>
      </w:r>
    </w:p>
    <w:p>
      <w:pPr>
        <w:spacing w:after="0" w:line="177" w:lineRule="exact"/>
        <w:rPr>
          <w:rFonts w:ascii="Arial" w:cs="Arial" w:eastAsia="Arial" w:hAnsi="Arial"/>
          <w:sz w:val="19"/>
          <w:szCs w:val="19"/>
          <w:b w:val="1"/>
          <w:bCs w:val="1"/>
          <w:color w:val="auto"/>
        </w:rPr>
      </w:pPr>
    </w:p>
    <w:p>
      <w:pPr>
        <w:ind w:right="220" w:firstLine="656"/>
        <w:spacing w:after="0" w:line="239" w:lineRule="auto"/>
        <w:tabs>
          <w:tab w:leader="none" w:pos="1416"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Sale of Securities of the Company</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 securities of the Company have been sold by the Company or by or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behalf of, or for the benefit of, any person or persons controlling, controlled by, or under common control with the Company from its inception through and including the date hereof, except as disclosed in the Registration Statement, the Time of Sale Prospectus and the Prospectus.</w:t>
      </w:r>
    </w:p>
    <w:p>
      <w:pPr>
        <w:spacing w:after="0" w:line="207" w:lineRule="exact"/>
        <w:rPr>
          <w:rFonts w:ascii="Arial" w:cs="Arial" w:eastAsia="Arial" w:hAnsi="Arial"/>
          <w:sz w:val="22"/>
          <w:szCs w:val="22"/>
          <w:b w:val="1"/>
          <w:bCs w:val="1"/>
          <w:color w:val="auto"/>
        </w:rPr>
      </w:pPr>
    </w:p>
    <w:p>
      <w:pPr>
        <w:ind w:right="420" w:firstLine="656"/>
        <w:spacing w:after="0" w:line="300" w:lineRule="auto"/>
        <w:tabs>
          <w:tab w:leader="none" w:pos="1410"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“Penny Stock” Securities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Upon delivery and payment for the Class A Ordinary Shares on the First Closing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Date and any Option Closing Dates, the Company will not be subject to Rule 419 under the Securities Act and none of the Company’s outstanding securities will be deemed to be a “penny stock” as defined in Rule 3a51-1 under the Exchange Act.</w:t>
      </w:r>
    </w:p>
    <w:p>
      <w:pPr>
        <w:spacing w:after="0" w:line="152" w:lineRule="exact"/>
        <w:rPr>
          <w:rFonts w:ascii="Arial" w:cs="Arial" w:eastAsia="Arial" w:hAnsi="Arial"/>
          <w:sz w:val="19"/>
          <w:szCs w:val="19"/>
          <w:b w:val="1"/>
          <w:bCs w:val="1"/>
          <w:color w:val="auto"/>
        </w:rPr>
      </w:pPr>
    </w:p>
    <w:p>
      <w:pPr>
        <w:ind w:right="40" w:firstLine="656"/>
        <w:spacing w:after="0" w:line="269" w:lineRule="auto"/>
        <w:tabs>
          <w:tab w:leader="none" w:pos="1416" w:val="left"/>
        </w:tabs>
        <w:numPr>
          <w:ilvl w:val="0"/>
          <w:numId w:val="9"/>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Non-Contravention of Existing Instruments; No Further Authorizations or Approvals Required</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is not in violation of its memorandum and articles of association and, as of the First Closing Date, will not be in violation of its amended and restated memorandum and articles of association (as it may be amended from time to time, the “</w:t>
      </w:r>
      <w:r>
        <w:rPr>
          <w:rFonts w:ascii="Arial" w:cs="Arial" w:eastAsia="Arial" w:hAnsi="Arial"/>
          <w:sz w:val="19"/>
          <w:szCs w:val="19"/>
          <w:b w:val="1"/>
          <w:bCs w:val="1"/>
          <w:color w:val="auto"/>
        </w:rPr>
        <w:t>Amended and Restated Memorandum and Articles of Association</w:t>
      </w:r>
      <w:r>
        <w:rPr>
          <w:rFonts w:ascii="Arial" w:cs="Arial" w:eastAsia="Arial" w:hAnsi="Arial"/>
          <w:sz w:val="19"/>
          <w:szCs w:val="19"/>
          <w:color w:val="auto"/>
        </w:rPr>
        <w:t>”), and is not in default (or, with the giving of notice or lapse of time, would not be in default) (“</w:t>
      </w:r>
      <w:r>
        <w:rPr>
          <w:rFonts w:ascii="Arial" w:cs="Arial" w:eastAsia="Arial" w:hAnsi="Arial"/>
          <w:sz w:val="19"/>
          <w:szCs w:val="19"/>
          <w:b w:val="1"/>
          <w:bCs w:val="1"/>
          <w:color w:val="auto"/>
        </w:rPr>
        <w:t>Default</w:t>
      </w:r>
      <w:r>
        <w:rPr>
          <w:rFonts w:ascii="Arial" w:cs="Arial" w:eastAsia="Arial" w:hAnsi="Arial"/>
          <w:sz w:val="19"/>
          <w:szCs w:val="19"/>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is a party or by which it may be bound, or to which any of the Company’s properties or assets are subject (each, an “</w:t>
      </w:r>
      <w:r>
        <w:rPr>
          <w:rFonts w:ascii="Arial" w:cs="Arial" w:eastAsia="Arial" w:hAnsi="Arial"/>
          <w:sz w:val="19"/>
          <w:szCs w:val="19"/>
          <w:b w:val="1"/>
          <w:bCs w:val="1"/>
          <w:color w:val="auto"/>
        </w:rPr>
        <w:t>Existing Instrument</w:t>
      </w:r>
      <w:r>
        <w:rPr>
          <w:rFonts w:ascii="Arial" w:cs="Arial" w:eastAsia="Arial" w:hAnsi="Arial"/>
          <w:sz w:val="19"/>
          <w:szCs w:val="19"/>
          <w:color w:val="auto"/>
        </w:rPr>
        <w:t>”), except for such Defaults as could not be reasonably expected, individually or in the aggregate, to have a Material Adverse Effect. The Company’s execution, delivery and performance of this Agreement, the Trust Agreement, the Subscription Agreement, the Sponsor Shares Purchase Agreement, the Registration Rights Agreement, the Insider Letter or the Administrative Services Agreement, consummation of the transactions contemplated hereby and thereby and by the Registration Statement, the Time of Sale Prospectus and the Prospectus and the issuance and sale of the Offered Securities (including the use of proceeds from the sale of the Offered Securities as described in the Registration Statement, the Time of Sale Prospectus and the Prospectus under the caption “Use of Proceeds”) (i) will not result in any violation of the provisions of the Amended and Restated Memorandum and Articles of Association of the Company, (ii) will not conflict with or constitute a breach of, or Default under, or result in the creation or imposition of any lien, charge or encumbrance upon any property or assets of the Company pursuant to, or require the consent of any other party to, any Existing Instrument and (iii) will not result in any violation of any law, administrative regulation or administrative or court decree applicable to the Company. No consent, approval, authorization or other order of, or registration or filing with, any court or other governmental or regulatory authority or agency, is required for, or in connection with, the Company’s execution, delivery and performance of this Agreement, the Trust Agreement, the Subscription Agreement, the Sponsor Shares Purchase Agreement, the Registration Rights Agreement, the Insider Letter or the Administrative Services Agreement and consummation of the transactions contemplated hereby and thereby and by the Registration Statement, the Time of Sale Prospectus and the Prospectus, except such as have been obtained or made by the Company and are in full force and effect under the Securities Act or Exchange Act and such as may be required under applicable state securities or blue sky laws or the Financial Industry Regulatory Authority, Inc. (the “</w:t>
      </w:r>
      <w:r>
        <w:rPr>
          <w:rFonts w:ascii="Arial" w:cs="Arial" w:eastAsia="Arial" w:hAnsi="Arial"/>
          <w:sz w:val="19"/>
          <w:szCs w:val="19"/>
          <w:b w:val="1"/>
          <w:bCs w:val="1"/>
          <w:color w:val="auto"/>
        </w:rPr>
        <w:t>FINRA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ind w:left="-20" w:right="740" w:firstLine="656"/>
        <w:spacing w:after="0"/>
        <w:tabs>
          <w:tab w:leader="none" w:pos="1402"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 xml:space="preserve">Compliance with Laws. </w:t>
      </w:r>
      <w:r>
        <w:rPr>
          <w:rFonts w:ascii="Arial" w:cs="Arial" w:eastAsia="Arial" w:hAnsi="Arial"/>
          <w:sz w:val="22"/>
          <w:szCs w:val="22"/>
          <w:color w:val="auto"/>
        </w:rPr>
        <w:t>The Company has been and is in compliance with all applicable laws, rules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regulations, except where failure to be so in compliance could not be expected, individually or in the aggregate, to have a Material Adverse Effect.</w:t>
      </w:r>
    </w:p>
    <w:p>
      <w:pPr>
        <w:spacing w:after="0" w:line="207" w:lineRule="exact"/>
        <w:rPr>
          <w:rFonts w:ascii="Arial" w:cs="Arial" w:eastAsia="Arial" w:hAnsi="Arial"/>
          <w:sz w:val="22"/>
          <w:szCs w:val="22"/>
          <w:b w:val="1"/>
          <w:bCs w:val="1"/>
          <w:color w:val="auto"/>
        </w:rPr>
      </w:pPr>
    </w:p>
    <w:p>
      <w:pPr>
        <w:ind w:left="-20" w:firstLine="656"/>
        <w:spacing w:after="0" w:line="280" w:lineRule="auto"/>
        <w:tabs>
          <w:tab w:leader="none" w:pos="1420"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 Material Actions or Proceedings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 is no action, suit, proceeding, inquiry or investigation brought by 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before any governmental entity now pending or, to the knowledge of the Company, threatened, against or affecting the Company or the Sponsor, which could be expected, individually or in the aggregate, to have a Material Adverse Effect or materially and adversely affect the consummation of the transactions contemplated by this Agreement, the Trust Agreement, the Subscription Agreement, the Sponsor Shares Purchase Agreement, the Registration Rights Agreement, the Insider Letter or the Administrative Services Agreement or the performance by the Company of its obligations hereunder and thereunder.</w:t>
      </w:r>
    </w:p>
    <w:p>
      <w:pPr>
        <w:spacing w:after="0" w:line="171" w:lineRule="exact"/>
        <w:rPr>
          <w:rFonts w:ascii="Arial" w:cs="Arial" w:eastAsia="Arial" w:hAnsi="Arial"/>
          <w:sz w:val="19"/>
          <w:szCs w:val="19"/>
          <w:b w:val="1"/>
          <w:bCs w:val="1"/>
          <w:color w:val="auto"/>
        </w:rPr>
      </w:pPr>
    </w:p>
    <w:p>
      <w:pPr>
        <w:ind w:left="-20" w:right="20" w:firstLine="656"/>
        <w:spacing w:after="0" w:line="249" w:lineRule="auto"/>
        <w:tabs>
          <w:tab w:leader="none" w:pos="1444" w:val="left"/>
        </w:tabs>
        <w:numPr>
          <w:ilvl w:val="0"/>
          <w:numId w:val="10"/>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All Necessary Permits, etc</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possesses such valid and current licenses, certificates, authorizations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or permits required by state, federal or foreign regulatory agencies or bodies to conduct its business as currently conducted and as described in the Registration Statement, the Time of Sale Prospectus or the Prospectus. The Company has not received any notice of proceedings relating to the revocation or modification of, or non-compliance with, any such license, certificate, authorization or permit that, individually or in the aggregate, if the subject of an unfavorable decision, ruling or finding, could reasonably be expected to have a Material Adverse Effect.</w:t>
      </w:r>
    </w:p>
    <w:p>
      <w:pPr>
        <w:spacing w:after="0" w:line="197" w:lineRule="exact"/>
        <w:rPr>
          <w:rFonts w:ascii="Arial" w:cs="Arial" w:eastAsia="Arial" w:hAnsi="Arial"/>
          <w:sz w:val="21"/>
          <w:szCs w:val="21"/>
          <w:b w:val="1"/>
          <w:bCs w:val="1"/>
          <w:color w:val="auto"/>
        </w:rPr>
      </w:pPr>
    </w:p>
    <w:p>
      <w:pPr>
        <w:ind w:left="-20" w:right="620" w:firstLine="656"/>
        <w:spacing w:after="0" w:line="256" w:lineRule="auto"/>
        <w:tabs>
          <w:tab w:leader="none" w:pos="1432"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Title to Properties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owns or leases all such properties as are necessary to the conduct of its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operations as presently conducted.</w:t>
      </w:r>
    </w:p>
    <w:p>
      <w:pPr>
        <w:spacing w:after="0" w:line="189" w:lineRule="exact"/>
        <w:rPr>
          <w:rFonts w:ascii="Arial" w:cs="Arial" w:eastAsia="Arial" w:hAnsi="Arial"/>
          <w:sz w:val="22"/>
          <w:szCs w:val="22"/>
          <w:b w:val="1"/>
          <w:bCs w:val="1"/>
          <w:color w:val="auto"/>
        </w:rPr>
      </w:pPr>
    </w:p>
    <w:p>
      <w:pPr>
        <w:ind w:left="-20" w:right="80" w:firstLine="656"/>
        <w:spacing w:after="0" w:line="280" w:lineRule="auto"/>
        <w:tabs>
          <w:tab w:leader="none" w:pos="1402"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Tax Law Compliance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has filed all necessary federal, state and foreign income and franchise tax</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returns or has properly requested extensions thereof (except in any case in which the failure to so file would not have a Material Adverse Effect) and has paid all taxes required to be paid by it and, if due and payable, any related or similar assessment, fine or penalty levied against it, except for any such assessment, fine or penalty that is currently being contested in good faith and by appropriate proceedings and for which adequate reserves required by generally accepted accounting principles have been created with respect thereto or as would not have a Material Adverse Effect.</w:t>
      </w:r>
    </w:p>
    <w:p>
      <w:pPr>
        <w:spacing w:after="0" w:line="171" w:lineRule="exact"/>
        <w:rPr>
          <w:rFonts w:ascii="Arial" w:cs="Arial" w:eastAsia="Arial" w:hAnsi="Arial"/>
          <w:sz w:val="19"/>
          <w:szCs w:val="19"/>
          <w:b w:val="1"/>
          <w:bCs w:val="1"/>
          <w:color w:val="auto"/>
        </w:rPr>
      </w:pPr>
    </w:p>
    <w:p>
      <w:pPr>
        <w:ind w:left="-20" w:right="20" w:firstLine="656"/>
        <w:spacing w:after="0" w:line="334" w:lineRule="auto"/>
        <w:tabs>
          <w:tab w:leader="none" w:pos="1444"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ERISA Compliance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has not established or maintained any “employee benefit plan” (as defined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and thus is not subject to ERISA.</w:t>
      </w:r>
    </w:p>
    <w:p>
      <w:pPr>
        <w:spacing w:after="0" w:line="126" w:lineRule="exact"/>
        <w:rPr>
          <w:rFonts w:ascii="Arial" w:cs="Arial" w:eastAsia="Arial" w:hAnsi="Arial"/>
          <w:sz w:val="19"/>
          <w:szCs w:val="19"/>
          <w:b w:val="1"/>
          <w:bCs w:val="1"/>
          <w:color w:val="auto"/>
        </w:rPr>
      </w:pPr>
    </w:p>
    <w:p>
      <w:pPr>
        <w:ind w:left="-20" w:right="20" w:firstLine="656"/>
        <w:spacing w:after="0" w:line="252" w:lineRule="auto"/>
        <w:tabs>
          <w:tab w:leader="none" w:pos="1378" w:val="left"/>
        </w:tabs>
        <w:numPr>
          <w:ilvl w:val="0"/>
          <w:numId w:val="10"/>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 xml:space="preserve">Company Not an “Investment Company.” </w:t>
      </w:r>
      <w:r>
        <w:rPr>
          <w:rFonts w:ascii="Arial" w:cs="Arial" w:eastAsia="Arial" w:hAnsi="Arial"/>
          <w:sz w:val="21"/>
          <w:szCs w:val="21"/>
          <w:color w:val="auto"/>
        </w:rPr>
        <w:t>The Company is not, and will not be, either after receipt of payment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for the Offered Securities or after the application of the proceeds therefrom as described under “Use of Proceeds” in the Registration Statement, the Time of Sale Prospectus or the Prospectus, required to register as an “investment company” under the Investment Company Act of 1940, as amended (the </w:t>
      </w:r>
      <w:r>
        <w:rPr>
          <w:rFonts w:ascii="Arial" w:cs="Arial" w:eastAsia="Arial" w:hAnsi="Arial"/>
          <w:sz w:val="21"/>
          <w:szCs w:val="21"/>
          <w:b w:val="1"/>
          <w:bCs w:val="1"/>
          <w:color w:val="auto"/>
        </w:rPr>
        <w:t>“Investment Company Act”)</w:t>
      </w:r>
      <w:r>
        <w:rPr>
          <w:rFonts w:ascii="Arial" w:cs="Arial" w:eastAsia="Arial" w:hAnsi="Arial"/>
          <w:sz w:val="21"/>
          <w:szCs w:val="21"/>
          <w:color w:val="auto"/>
        </w:rPr>
        <w:t>.</w:t>
      </w:r>
    </w:p>
    <w:p>
      <w:pPr>
        <w:spacing w:after="0" w:line="194" w:lineRule="exact"/>
        <w:rPr>
          <w:rFonts w:ascii="Arial" w:cs="Arial" w:eastAsia="Arial" w:hAnsi="Arial"/>
          <w:sz w:val="21"/>
          <w:szCs w:val="21"/>
          <w:b w:val="1"/>
          <w:bCs w:val="1"/>
          <w:color w:val="auto"/>
        </w:rPr>
      </w:pPr>
    </w:p>
    <w:p>
      <w:pPr>
        <w:ind w:left="-20" w:right="40" w:firstLine="656"/>
        <w:spacing w:after="0" w:line="239" w:lineRule="auto"/>
        <w:tabs>
          <w:tab w:leader="none" w:pos="1402"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 Price Stabilization or Manipulation; Compliance with Regulation M</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has not taken, directly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 indirectly, any action designed to or that might cause or result in stabilization or manipulation of the price of any security of the Company, whether to facilitate the sale or resale of the Offered Securities or otherwise, which would directly or indirectly violate Regulation M under the Exchange Act (“</w:t>
      </w:r>
      <w:r>
        <w:rPr>
          <w:rFonts w:ascii="Arial" w:cs="Arial" w:eastAsia="Arial" w:hAnsi="Arial"/>
          <w:sz w:val="22"/>
          <w:szCs w:val="22"/>
          <w:b w:val="1"/>
          <w:bCs w:val="1"/>
          <w:color w:val="auto"/>
        </w:rPr>
        <w:t>Regulation M</w:t>
      </w:r>
      <w:r>
        <w:rPr>
          <w:rFonts w:ascii="Arial" w:cs="Arial" w:eastAsia="Arial" w:hAnsi="Arial"/>
          <w:sz w:val="22"/>
          <w:szCs w:val="22"/>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3" w:name="page14"/>
    <w:bookmarkEnd w:id="13"/>
    <w:p>
      <w:pPr>
        <w:ind w:left="-40" w:right="500" w:firstLine="656"/>
        <w:spacing w:after="0" w:line="243" w:lineRule="auto"/>
        <w:tabs>
          <w:tab w:leader="none" w:pos="137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Related-Party Transactions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There are no business relationships or related-party transactions involving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or any other person required to be described in the Registration Statement, the Time of Sale Prospectus or the Prospectus that have not been described as required.</w:t>
      </w:r>
    </w:p>
    <w:p>
      <w:pPr>
        <w:spacing w:after="0" w:line="204" w:lineRule="exact"/>
        <w:rPr>
          <w:rFonts w:ascii="Arial" w:cs="Arial" w:eastAsia="Arial" w:hAnsi="Arial"/>
          <w:sz w:val="22"/>
          <w:szCs w:val="22"/>
          <w:b w:val="1"/>
          <w:bCs w:val="1"/>
          <w:color w:val="auto"/>
        </w:rPr>
      </w:pPr>
    </w:p>
    <w:p>
      <w:pPr>
        <w:ind w:left="-40" w:right="100" w:firstLine="656"/>
        <w:spacing w:after="0" w:line="283" w:lineRule="auto"/>
        <w:tabs>
          <w:tab w:leader="none" w:pos="140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FINRA Matters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All of the information provided to the Underwriters or to counsel for the Underwriters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Sponsor, the Company and, to the knowledge of the Company, its counsel, its officers, directors, director nominees and the other holders of any securities (debt or equity) or options to acquire any securities of the Company in connection with the Offering, is true, complete and correct in all material respects and the Company has not become aware of any other information that would cause such provided information to become inaccurate and incorrect in any material respect.</w:t>
      </w:r>
    </w:p>
    <w:p>
      <w:pPr>
        <w:spacing w:after="0" w:line="169" w:lineRule="exact"/>
        <w:rPr>
          <w:rFonts w:ascii="Arial" w:cs="Arial" w:eastAsia="Arial" w:hAnsi="Arial"/>
          <w:sz w:val="19"/>
          <w:szCs w:val="19"/>
          <w:b w:val="1"/>
          <w:bCs w:val="1"/>
          <w:color w:val="auto"/>
        </w:rPr>
      </w:pPr>
    </w:p>
    <w:p>
      <w:pPr>
        <w:ind w:left="-40" w:right="140" w:firstLine="656"/>
        <w:spacing w:after="0" w:line="236" w:lineRule="auto"/>
        <w:tabs>
          <w:tab w:leader="none" w:pos="137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FINRA Conflict of Interest</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To the Company’s knowledge after reasonable inquiry, there are no affiliations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associations between (i) any member of FINRA and (ii) the Company or any of the Company’s officers, directors or 5% or greater security holders or any beneficial owner of the Company’s unregistered equity securities that were acquired at any time on or after the 180th day immediately preceding the date the Registration Statement was initially submitted or filed with the Commission, except as disclosed in the Registration Statement (excluding the exhibits thereto), the Time of Sale Prospectus and the Prospectus.</w:t>
      </w:r>
    </w:p>
    <w:p>
      <w:pPr>
        <w:spacing w:after="0" w:line="214" w:lineRule="exact"/>
        <w:rPr>
          <w:rFonts w:ascii="Arial" w:cs="Arial" w:eastAsia="Arial" w:hAnsi="Arial"/>
          <w:sz w:val="22"/>
          <w:szCs w:val="22"/>
          <w:b w:val="1"/>
          <w:bCs w:val="1"/>
          <w:color w:val="auto"/>
        </w:rPr>
      </w:pPr>
    </w:p>
    <w:p>
      <w:pPr>
        <w:ind w:left="-40" w:right="100" w:firstLine="656"/>
        <w:spacing w:after="0" w:line="287" w:lineRule="auto"/>
        <w:tabs>
          <w:tab w:leader="none" w:pos="1370"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Non-Compete/Non-Solicit</w:t>
      </w:r>
      <w:r>
        <w:rPr>
          <w:rFonts w:ascii="Arial" w:cs="Arial" w:eastAsia="Arial" w:hAnsi="Arial"/>
          <w:sz w:val="19"/>
          <w:szCs w:val="19"/>
          <w:color w:val="auto"/>
        </w:rPr>
        <w:t>. Except as described in the Registration Statement, the Time of Sale Prospectus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Prospectus, to the Company’s knowledge, none of the Sponsor, officers, directors or director nominees of the Company is 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63" w:lineRule="exact"/>
        <w:rPr>
          <w:rFonts w:ascii="Arial" w:cs="Arial" w:eastAsia="Arial" w:hAnsi="Arial"/>
          <w:sz w:val="19"/>
          <w:szCs w:val="19"/>
          <w:b w:val="1"/>
          <w:bCs w:val="1"/>
          <w:color w:val="auto"/>
        </w:rPr>
      </w:pPr>
    </w:p>
    <w:p>
      <w:pPr>
        <w:jc w:val="both"/>
        <w:ind w:left="-40" w:right="280" w:firstLine="656"/>
        <w:spacing w:after="0" w:line="239" w:lineRule="auto"/>
        <w:tabs>
          <w:tab w:leader="none" w:pos="137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Statistical and Market-Related Data</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All statistical, industry-related and market-related data included in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Registration Statement, the Time of Sale Prospectus or the Prospectus are based on or derived from sources that the Company reasonably and in good faith believes to be reliable and accurate. To the extent required, the Company has obtained the written consent to the use of such data from such sources.</w:t>
      </w:r>
    </w:p>
    <w:p>
      <w:pPr>
        <w:spacing w:after="0" w:line="207" w:lineRule="exact"/>
        <w:rPr>
          <w:rFonts w:ascii="Arial" w:cs="Arial" w:eastAsia="Arial" w:hAnsi="Arial"/>
          <w:sz w:val="22"/>
          <w:szCs w:val="22"/>
          <w:b w:val="1"/>
          <w:bCs w:val="1"/>
          <w:color w:val="auto"/>
        </w:rPr>
      </w:pPr>
    </w:p>
    <w:p>
      <w:pPr>
        <w:ind w:left="-40" w:right="80" w:firstLine="656"/>
        <w:spacing w:after="0" w:line="300" w:lineRule="auto"/>
        <w:tabs>
          <w:tab w:leader="none" w:pos="1406"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 Unlawful Contributions or Other Payments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None of the Company, the Sponsor, or, to the knowledge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any director, director nominee, officer, agent, employee or affiliate of the Company, has made any contribution or other payment to any official of, or candidate for, any federal, state or foreign office in violation of the FCPA (as defined below).</w:t>
      </w:r>
    </w:p>
    <w:p>
      <w:pPr>
        <w:spacing w:after="0" w:line="152" w:lineRule="exact"/>
        <w:rPr>
          <w:rFonts w:ascii="Arial" w:cs="Arial" w:eastAsia="Arial" w:hAnsi="Arial"/>
          <w:sz w:val="19"/>
          <w:szCs w:val="19"/>
          <w:b w:val="1"/>
          <w:bCs w:val="1"/>
          <w:color w:val="auto"/>
        </w:rPr>
      </w:pPr>
    </w:p>
    <w:p>
      <w:pPr>
        <w:ind w:left="-40" w:firstLine="656"/>
        <w:spacing w:after="0" w:line="273" w:lineRule="auto"/>
        <w:tabs>
          <w:tab w:leader="none" w:pos="1382" w:val="left"/>
        </w:tabs>
        <w:numPr>
          <w:ilvl w:val="0"/>
          <w:numId w:val="1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Foreign Corrupt Practices Act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None of the Company, the Sponsor, or, to the knowledge of the Company,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 director nominee, officer, agent, employee or affiliate of the Company, has, in the course of its, his or her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9"/>
          <w:szCs w:val="19"/>
          <w:b w:val="1"/>
          <w:bCs w:val="1"/>
          <w:color w:val="auto"/>
        </w:rPr>
        <w:t>FCPA</w:t>
      </w:r>
      <w:r>
        <w:rPr>
          <w:rFonts w:ascii="Arial" w:cs="Arial" w:eastAsia="Arial" w:hAnsi="Arial"/>
          <w:sz w:val="19"/>
          <w:szCs w:val="19"/>
          <w:color w:val="auto"/>
        </w:rPr>
        <w:t>”)) or employee from corporate funds; (iii) violated or is in violation of any provision of the FCPA or the OECD Convention on Bribery of Foreign Public Officials in International Business Transactions; or (iv) made any unlawful bribe, rebate, payoff, influence payment, kickback or other unlawful payment to any domestic government official, such foreign official or employee; and the Company, the Sponsor, and, to the knowledge of the Company, the Company’s directors, director nominees, officers, agents, employees and affiliates have conducted the business of the Company and their respective businesses on behalf of the Company in compliance with the FCPA and have instituted and maintain policies and procedures designed to ensure, and which are reasonably expected to continue to ensure, continued compliance therewith.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2" w:right="359" w:bottom="1440" w:gutter="0" w:footer="0" w:header="0"/>
        </w:sectPr>
      </w:pPr>
    </w:p>
    <w:bookmarkStart w:id="14" w:name="page15"/>
    <w:bookmarkEnd w:id="14"/>
    <w:p>
      <w:pPr>
        <w:ind w:left="-8" w:right="40" w:firstLine="656"/>
        <w:spacing w:after="0" w:line="248" w:lineRule="auto"/>
        <w:tabs>
          <w:tab w:leader="none" w:pos="1456" w:val="left"/>
        </w:tabs>
        <w:numPr>
          <w:ilvl w:val="1"/>
          <w:numId w:val="12"/>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Money Laundering Laws</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operations of the Company and the Sponsor have been conducted at all times,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21"/>
          <w:szCs w:val="21"/>
          <w:b w:val="1"/>
          <w:bCs w:val="1"/>
          <w:color w:val="auto"/>
        </w:rPr>
        <w:t>Money Laundering Laws</w:t>
      </w:r>
      <w:r>
        <w:rPr>
          <w:rFonts w:ascii="Arial" w:cs="Arial" w:eastAsia="Arial" w:hAnsi="Arial"/>
          <w:sz w:val="21"/>
          <w:szCs w:val="21"/>
          <w:color w:val="auto"/>
        </w:rPr>
        <w:t>”) and no action, suit or proceeding by or before any court or governmental agency, authority or body or any arbitrator involving the Company with respect to the Money Laundering Laws is pending or, to the knowledge of the Company, threatened.</w:t>
      </w:r>
    </w:p>
    <w:p>
      <w:pPr>
        <w:spacing w:after="0" w:line="197" w:lineRule="exact"/>
        <w:rPr>
          <w:rFonts w:ascii="Arial" w:cs="Arial" w:eastAsia="Arial" w:hAnsi="Arial"/>
          <w:sz w:val="21"/>
          <w:szCs w:val="21"/>
          <w:b w:val="1"/>
          <w:bCs w:val="1"/>
          <w:color w:val="auto"/>
        </w:rPr>
      </w:pPr>
    </w:p>
    <w:p>
      <w:pPr>
        <w:ind w:left="-8" w:right="40" w:firstLine="656"/>
        <w:spacing w:after="0" w:line="245" w:lineRule="auto"/>
        <w:tabs>
          <w:tab w:leader="none" w:pos="1432" w:val="left"/>
        </w:tabs>
        <w:numPr>
          <w:ilvl w:val="1"/>
          <w:numId w:val="12"/>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OFAC</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None of the Company, the Sponsor, or, to the knowledge of the Company, any director, director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nominee, officer, agent, employee or affiliate of the Company is currently subject to any U.S. sanctions administered by the Office of Foreign Assets Control of the U.S. Treasury Department (“</w:t>
      </w:r>
      <w:r>
        <w:rPr>
          <w:rFonts w:ascii="Arial" w:cs="Arial" w:eastAsia="Arial" w:hAnsi="Arial"/>
          <w:sz w:val="21"/>
          <w:szCs w:val="21"/>
          <w:b w:val="1"/>
          <w:bCs w:val="1"/>
          <w:color w:val="auto"/>
        </w:rPr>
        <w:t>OFAC</w:t>
      </w:r>
      <w:r>
        <w:rPr>
          <w:rFonts w:ascii="Arial" w:cs="Arial" w:eastAsia="Arial" w:hAnsi="Arial"/>
          <w:sz w:val="21"/>
          <w:szCs w:val="21"/>
          <w:color w:val="auto"/>
        </w:rPr>
        <w:t>”), the United Nations Security Council (“</w:t>
      </w:r>
      <w:r>
        <w:rPr>
          <w:rFonts w:ascii="Arial" w:cs="Arial" w:eastAsia="Arial" w:hAnsi="Arial"/>
          <w:sz w:val="21"/>
          <w:szCs w:val="21"/>
          <w:b w:val="1"/>
          <w:bCs w:val="1"/>
          <w:color w:val="auto"/>
        </w:rPr>
        <w:t>UNSC</w:t>
      </w:r>
      <w:r>
        <w:rPr>
          <w:rFonts w:ascii="Arial" w:cs="Arial" w:eastAsia="Arial" w:hAnsi="Arial"/>
          <w:sz w:val="21"/>
          <w:szCs w:val="21"/>
          <w:color w:val="auto"/>
        </w:rPr>
        <w:t>”), the European Union, Her Majesty’s Treasury (“</w:t>
      </w:r>
      <w:r>
        <w:rPr>
          <w:rFonts w:ascii="Arial" w:cs="Arial" w:eastAsia="Arial" w:hAnsi="Arial"/>
          <w:sz w:val="21"/>
          <w:szCs w:val="21"/>
          <w:b w:val="1"/>
          <w:bCs w:val="1"/>
          <w:color w:val="auto"/>
        </w:rPr>
        <w:t>HMT</w:t>
      </w:r>
      <w:r>
        <w:rPr>
          <w:rFonts w:ascii="Arial" w:cs="Arial" w:eastAsia="Arial" w:hAnsi="Arial"/>
          <w:sz w:val="21"/>
          <w:szCs w:val="21"/>
          <w:color w:val="auto"/>
        </w:rPr>
        <w:t>”), or other relevant sanctions authority (collectively, “</w:t>
      </w:r>
      <w:r>
        <w:rPr>
          <w:rFonts w:ascii="Arial" w:cs="Arial" w:eastAsia="Arial" w:hAnsi="Arial"/>
          <w:sz w:val="21"/>
          <w:szCs w:val="21"/>
          <w:b w:val="1"/>
          <w:bCs w:val="1"/>
          <w:color w:val="auto"/>
        </w:rPr>
        <w:t>Sanctions</w:t>
      </w:r>
      <w:r>
        <w:rPr>
          <w:rFonts w:ascii="Arial" w:cs="Arial" w:eastAsia="Arial" w:hAnsi="Arial"/>
          <w:sz w:val="21"/>
          <w:szCs w:val="21"/>
          <w:color w:val="auto"/>
        </w:rPr>
        <w:t>”), nor is the Company located, organized or resident in a country or territory that is the subject of Sanctions;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that currently is subject to any Sanctions or in any other manner that will result in a violation by any person (including any person participating in the transaction whether as underwriter, advisor, investor or otherwise) of such Sanctions.</w:t>
      </w:r>
    </w:p>
    <w:p>
      <w:pPr>
        <w:spacing w:after="0" w:line="207" w:lineRule="exact"/>
        <w:rPr>
          <w:rFonts w:ascii="Arial" w:cs="Arial" w:eastAsia="Arial" w:hAnsi="Arial"/>
          <w:sz w:val="21"/>
          <w:szCs w:val="21"/>
          <w:b w:val="1"/>
          <w:bCs w:val="1"/>
          <w:color w:val="auto"/>
        </w:rPr>
      </w:pPr>
    </w:p>
    <w:p>
      <w:pPr>
        <w:ind w:left="-8" w:right="160" w:firstLine="656"/>
        <w:spacing w:after="0" w:line="243" w:lineRule="auto"/>
        <w:tabs>
          <w:tab w:leader="none" w:pos="1420" w:val="left"/>
        </w:tabs>
        <w:numPr>
          <w:ilvl w:val="1"/>
          <w:numId w:val="1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Brokers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Except as described in the Registration Statement, the Time of Sale Prospectus and the Prospectus,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there is no broker, finder or other party that is entitled to receive from the Company any brokerage or finder’s fee or other fee or commission as a result of any transactions contemplated by this Agreement.</w:t>
      </w:r>
    </w:p>
    <w:p>
      <w:pPr>
        <w:spacing w:after="0" w:line="209" w:lineRule="exact"/>
        <w:rPr>
          <w:rFonts w:ascii="Arial" w:cs="Arial" w:eastAsia="Arial" w:hAnsi="Arial"/>
          <w:sz w:val="22"/>
          <w:szCs w:val="22"/>
          <w:b w:val="1"/>
          <w:bCs w:val="1"/>
          <w:color w:val="auto"/>
        </w:rPr>
      </w:pPr>
    </w:p>
    <w:p>
      <w:pPr>
        <w:ind w:left="-8" w:firstLine="656"/>
        <w:spacing w:after="0" w:line="269" w:lineRule="auto"/>
        <w:tabs>
          <w:tab w:leader="none" w:pos="1432" w:val="left"/>
        </w:tabs>
        <w:numPr>
          <w:ilvl w:val="1"/>
          <w:numId w:val="1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Cybersecurity. </w:t>
      </w:r>
      <w:r>
        <w:rPr>
          <w:rFonts w:ascii="Arial" w:cs="Arial" w:eastAsia="Arial" w:hAnsi="Arial"/>
          <w:sz w:val="19"/>
          <w:szCs w:val="19"/>
          <w:color w:val="auto"/>
        </w:rPr>
        <w:t>The Company’s information technology assets and equipment, computers, systems, networks,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hardware, software, websites, applications, and databases (collectively, “</w:t>
      </w:r>
      <w:r>
        <w:rPr>
          <w:rFonts w:ascii="Arial" w:cs="Arial" w:eastAsia="Arial" w:hAnsi="Arial"/>
          <w:sz w:val="19"/>
          <w:szCs w:val="19"/>
          <w:b w:val="1"/>
          <w:bCs w:val="1"/>
          <w:color w:val="auto"/>
        </w:rPr>
        <w:t>IT Systems</w:t>
      </w:r>
      <w:r>
        <w:rPr>
          <w:rFonts w:ascii="Arial" w:cs="Arial" w:eastAsia="Arial" w:hAnsi="Arial"/>
          <w:sz w:val="19"/>
          <w:szCs w:val="19"/>
          <w:color w:val="auto"/>
        </w:rPr>
        <w:t>”) are adequate for, and operate and perform in all material respects as required in connection with the operation of the business of the Company as currently conducted, free and clear of all material bugs, errors, defects, Trojan horses, time bombs, malware and other corruptants. The Company has implemented and maintained commercially reasonable physical, technical and administrative controls, policies, procedures, and safeguards to maintain and protect its material confidential information and the integrity, continuous operation, redundancy and security of all IT Systems and data, including “Personal Data,” used in connection with their businesses. “</w:t>
      </w:r>
      <w:r>
        <w:rPr>
          <w:rFonts w:ascii="Arial" w:cs="Arial" w:eastAsia="Arial" w:hAnsi="Arial"/>
          <w:sz w:val="19"/>
          <w:szCs w:val="19"/>
          <w:b w:val="1"/>
          <w:bCs w:val="1"/>
          <w:color w:val="auto"/>
        </w:rPr>
        <w:t>Personal Data</w:t>
      </w:r>
      <w:r>
        <w:rPr>
          <w:rFonts w:ascii="Arial" w:cs="Arial" w:eastAsia="Arial" w:hAnsi="Arial"/>
          <w:sz w:val="19"/>
          <w:szCs w:val="19"/>
          <w:color w:val="auto"/>
        </w:rPr>
        <w:t>” means:</w:t>
      </w:r>
    </w:p>
    <w:p>
      <w:pPr>
        <w:spacing w:after="0" w:line="4" w:lineRule="exact"/>
        <w:rPr>
          <w:rFonts w:ascii="Arial" w:cs="Arial" w:eastAsia="Arial" w:hAnsi="Arial"/>
          <w:sz w:val="19"/>
          <w:szCs w:val="19"/>
          <w:b w:val="1"/>
          <w:bCs w:val="1"/>
          <w:color w:val="auto"/>
        </w:rPr>
      </w:pPr>
    </w:p>
    <w:p>
      <w:pPr>
        <w:ind w:left="-8" w:firstLine="8"/>
        <w:spacing w:after="0" w:line="242" w:lineRule="auto"/>
        <w:tabs>
          <w:tab w:leader="none" w:pos="250" w:val="left"/>
        </w:tabs>
        <w:numPr>
          <w:ilvl w:val="0"/>
          <w:numId w:val="13"/>
        </w:numPr>
        <w:rPr>
          <w:rFonts w:ascii="Arial" w:cs="Arial" w:eastAsia="Arial" w:hAnsi="Arial"/>
          <w:sz w:val="21"/>
          <w:szCs w:val="21"/>
          <w:color w:val="auto"/>
        </w:rPr>
      </w:pPr>
      <w:r>
        <w:rPr>
          <w:rFonts w:ascii="Arial" w:cs="Arial" w:eastAsia="Arial" w:hAnsi="Arial"/>
          <w:sz w:val="21"/>
          <w:szCs w:val="21"/>
          <w:color w:val="auto"/>
        </w:rPr>
        <w:t>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and (iv) any other piece of information that allows the identification of such natural person, or his or her family, or permits the collection or analysis of any data related to an identified person’s health or sexual orientation.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is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and the Company has implemented backup and disaster recovery technology consistent with industry standards and practices.</w:t>
      </w:r>
    </w:p>
    <w:p>
      <w:pPr>
        <w:spacing w:after="0" w:line="397"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15" w:name="page16"/>
    <w:bookmarkEnd w:id="15"/>
    <w:p>
      <w:pPr>
        <w:ind w:right="240" w:firstLine="656"/>
        <w:spacing w:after="0" w:line="287" w:lineRule="auto"/>
        <w:tabs>
          <w:tab w:leader="none" w:pos="144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Emerging Growth Company Status</w:t>
      </w:r>
      <w:r>
        <w:rPr>
          <w:rFonts w:ascii="Arial" w:cs="Arial" w:eastAsia="Arial" w:hAnsi="Arial"/>
          <w:sz w:val="19"/>
          <w:szCs w:val="19"/>
          <w:color w:val="auto"/>
        </w:rPr>
        <w:t>. From the time of the initial confidential submission of the Registration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Statement to the Commission (or, if earlier, the first date on which the Company engaged in any Section 5(d) Written Communication or any Section 5(d) Oral Communication) through the date hereof, the Company has been and is an “emerging growth company,” as defined in Section 2(a) of the Securities Act (an “</w:t>
      </w:r>
      <w:r>
        <w:rPr>
          <w:rFonts w:ascii="Arial" w:cs="Arial" w:eastAsia="Arial" w:hAnsi="Arial"/>
          <w:sz w:val="19"/>
          <w:szCs w:val="19"/>
          <w:b w:val="1"/>
          <w:bCs w:val="1"/>
          <w:color w:val="auto"/>
        </w:rPr>
        <w:t>Emerging Growth Company</w:t>
      </w:r>
      <w:r>
        <w:rPr>
          <w:rFonts w:ascii="Arial" w:cs="Arial" w:eastAsia="Arial" w:hAnsi="Arial"/>
          <w:sz w:val="19"/>
          <w:szCs w:val="19"/>
          <w:color w:val="auto"/>
        </w:rPr>
        <w:t>”).</w:t>
      </w:r>
    </w:p>
    <w:p>
      <w:pPr>
        <w:spacing w:after="0" w:line="164" w:lineRule="exact"/>
        <w:rPr>
          <w:rFonts w:ascii="Arial" w:cs="Arial" w:eastAsia="Arial" w:hAnsi="Arial"/>
          <w:sz w:val="19"/>
          <w:szCs w:val="19"/>
          <w:b w:val="1"/>
          <w:bCs w:val="1"/>
          <w:color w:val="auto"/>
        </w:rPr>
      </w:pPr>
    </w:p>
    <w:p>
      <w:pPr>
        <w:ind w:right="140" w:firstLine="656"/>
        <w:spacing w:after="0" w:line="239" w:lineRule="auto"/>
        <w:tabs>
          <w:tab w:leader="none" w:pos="1416"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Communications with Potential Business Combination Targets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Prior to the date hereof, neither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nor anyone on its behalf has, and as of the First Closing Date, neither the Company nor anyone on its behalf will have selected any Business Combination target or initiated any substantive discussions, directly or indirectly, with any Business Combination target.</w:t>
      </w:r>
    </w:p>
    <w:p>
      <w:pPr>
        <w:spacing w:after="0" w:line="213" w:lineRule="exact"/>
        <w:rPr>
          <w:sz w:val="20"/>
          <w:szCs w:val="20"/>
          <w:color w:val="auto"/>
        </w:rPr>
      </w:pPr>
    </w:p>
    <w:p>
      <w:pPr>
        <w:ind w:firstLine="656"/>
        <w:spacing w:after="0" w:line="272" w:lineRule="auto"/>
        <w:tabs>
          <w:tab w:leader="none" w:pos="1386"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Communications</w:t>
      </w:r>
      <w:r>
        <w:rPr>
          <w:rFonts w:ascii="Arial" w:cs="Arial" w:eastAsia="Arial" w:hAnsi="Arial"/>
          <w:sz w:val="19"/>
          <w:szCs w:val="19"/>
          <w:color w:val="auto"/>
        </w:rPr>
        <w:t>. The Company (i) has not alone engaged in communications with potential investors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reliance on Section 5(d) of the Securities Act other than Permitted Section 5(d) Communications with the consent of the Representatives with entities that are QIBs or IAIs and (ii) has not authorized anyone other than the Representatives to engage in such communications; the Company reconfirms that the Representatives have been authorized to act on its behalf in undertaking Marketing Materials, Section 5(d) Oral Communications and Section 5(d) Written Communications; as of the Applicable Time, each Permitted Section 5(d) Communication, when considered together with the Time of Sale Prospectus, did not, as of the Applicable Time, include an untrue statement of a material fact or omit to state a material fact necessary in order to make the statements therein, in the light of the circumstances under which they were made, not misleading; and each Permitted Section 5(d) Communication, if any, does not, as of the date hereof, conflict with the information contained in the Registration Statement, the Preliminary Prospectus and the Prospectus; and the Company has filed publicly on EDGAR at least 15 calendar days prior to any “road show” (as defined in Rule 433 under the Securities Act), any confidentially submitted registration statement and registration statement amendments relating to the offer and sale of the Offered Securities.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Any certificate signed by any officer of the Company and delivered to the Representatives, any Underwriter or to counsel for the Underwriters in connection with the Offering, or the purchase and sale, of the Offered Securities shall be deemed a representation and warranty by the Company to each Underwriter as to the matters covered thereby.</w:t>
      </w:r>
    </w:p>
    <w:p>
      <w:pPr>
        <w:spacing w:after="0" w:line="196"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The Company has a reasonable basis for making each of the representations set forth in this Section 1. The Company acknowledges that the Underwriters and, for purposes of the opinions to be delivered pursuant to Section 5 hereof, counsel to the Company and counsel to the Underwriters, will rely upon the accuracy and truthfulness of the foregoing representations and hereby consents to such reliance.</w:t>
      </w:r>
    </w:p>
    <w:p>
      <w:pPr>
        <w:spacing w:after="0" w:line="206"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color w:val="auto"/>
        </w:rPr>
        <w:t>Purchase, Sale and Delivery of the Offered Securities</w:t>
      </w:r>
      <w:r>
        <w:rPr>
          <w:rFonts w:ascii="Arial" w:cs="Arial" w:eastAsia="Arial" w:hAnsi="Arial"/>
          <w:sz w:val="19"/>
          <w:szCs w:val="19"/>
          <w:color w:val="auto"/>
        </w:rPr>
        <w:t>.</w:t>
      </w:r>
    </w:p>
    <w:p>
      <w:pPr>
        <w:spacing w:after="0" w:line="233" w:lineRule="exact"/>
        <w:rPr>
          <w:sz w:val="20"/>
          <w:szCs w:val="20"/>
          <w:color w:val="auto"/>
        </w:rPr>
      </w:pPr>
    </w:p>
    <w:p>
      <w:pPr>
        <w:ind w:right="160" w:firstLine="656"/>
        <w:spacing w:after="0" w:line="249" w:lineRule="auto"/>
        <w:tabs>
          <w:tab w:leader="none" w:pos="1440" w:val="left"/>
        </w:tabs>
        <w:numPr>
          <w:ilvl w:val="0"/>
          <w:numId w:val="16"/>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The Firm Securities</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Upon the terms herein set forth, the Company agrees to issue and sell to the several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Underwriters an aggregate of 13,000,000 Class A Ordinary Shares. On the basis of the representations, warranties and agreements herein contained, and upon the terms but subject to the conditions herein set forth, the Underwriters agree, severally and not jointly, to purchase from the Company the respective number of Firm Securities set forth opposite their names on </w:t>
      </w:r>
      <w:r>
        <w:rPr>
          <w:rFonts w:ascii="Arial" w:cs="Arial" w:eastAsia="Arial" w:hAnsi="Arial"/>
          <w:sz w:val="21"/>
          <w:szCs w:val="21"/>
          <w:u w:val="single" w:color="auto"/>
          <w:color w:val="auto"/>
        </w:rPr>
        <w:t>Schedule A</w:t>
      </w:r>
      <w:r>
        <w:rPr>
          <w:rFonts w:ascii="Arial" w:cs="Arial" w:eastAsia="Arial" w:hAnsi="Arial"/>
          <w:sz w:val="21"/>
          <w:szCs w:val="21"/>
          <w:color w:val="auto"/>
        </w:rPr>
        <w:t>. The purchase price per Class A Ordinary Share to be paid by the several Underwriters to the Company shall be $9.80 per Class A Ordinary Share (the “</w:t>
      </w:r>
      <w:r>
        <w:rPr>
          <w:rFonts w:ascii="Arial" w:cs="Arial" w:eastAsia="Arial" w:hAnsi="Arial"/>
          <w:sz w:val="21"/>
          <w:szCs w:val="21"/>
          <w:b w:val="1"/>
          <w:bCs w:val="1"/>
          <w:color w:val="auto"/>
        </w:rPr>
        <w:t>Purchase Price</w:t>
      </w:r>
      <w:r>
        <w:rPr>
          <w:rFonts w:ascii="Arial" w:cs="Arial" w:eastAsia="Arial" w:hAnsi="Arial"/>
          <w:sz w:val="21"/>
          <w:szCs w:val="21"/>
          <w:color w:val="auto"/>
        </w:rPr>
        <w: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ind w:left="-8" w:right="60" w:firstLine="656"/>
        <w:spacing w:after="0" w:line="276" w:lineRule="auto"/>
        <w:tabs>
          <w:tab w:leader="none" w:pos="1390" w:val="left"/>
        </w:tabs>
        <w:numPr>
          <w:ilvl w:val="1"/>
          <w:numId w:val="1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The First Closing Date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Delivery of the Firm Securities to be purchased by the Underwriters and payment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therefor shall be made at 9:00 a.m. New York City time, on August 11, 2020, or such other time and date not later than 1:30 p.m. New York City time on August 25, 2020 as the Representatives shall designate by notice to the Company (the time and date of such closing are called the “</w:t>
      </w:r>
      <w:r>
        <w:rPr>
          <w:rFonts w:ascii="Arial" w:cs="Arial" w:eastAsia="Arial" w:hAnsi="Arial"/>
          <w:sz w:val="19"/>
          <w:szCs w:val="19"/>
          <w:b w:val="1"/>
          <w:bCs w:val="1"/>
          <w:color w:val="auto"/>
        </w:rPr>
        <w:t>First Closing Date</w:t>
      </w:r>
      <w:r>
        <w:rPr>
          <w:rFonts w:ascii="Arial" w:cs="Arial" w:eastAsia="Arial" w:hAnsi="Arial"/>
          <w:sz w:val="19"/>
          <w:szCs w:val="19"/>
          <w:color w:val="auto"/>
        </w:rPr>
        <w:t>”). The Company hereby acknowledges that circumstances under which the 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10. Delivery of the Firm Securities shall be made through the facilities of The Depository Trust Company (“</w:t>
      </w:r>
      <w:r>
        <w:rPr>
          <w:rFonts w:ascii="Arial" w:cs="Arial" w:eastAsia="Arial" w:hAnsi="Arial"/>
          <w:sz w:val="19"/>
          <w:szCs w:val="19"/>
          <w:b w:val="1"/>
          <w:bCs w:val="1"/>
          <w:color w:val="auto"/>
        </w:rPr>
        <w:t>DTC</w:t>
      </w:r>
      <w:r>
        <w:rPr>
          <w:rFonts w:ascii="Arial" w:cs="Arial" w:eastAsia="Arial" w:hAnsi="Arial"/>
          <w:sz w:val="19"/>
          <w:szCs w:val="19"/>
          <w:color w:val="auto"/>
        </w:rPr>
        <w:t>”) unless the Representatives shall otherwise instruct.</w:t>
      </w:r>
    </w:p>
    <w:p>
      <w:pPr>
        <w:spacing w:after="0" w:line="177" w:lineRule="exact"/>
        <w:rPr>
          <w:rFonts w:ascii="Arial" w:cs="Arial" w:eastAsia="Arial" w:hAnsi="Arial"/>
          <w:sz w:val="19"/>
          <w:szCs w:val="19"/>
          <w:b w:val="1"/>
          <w:bCs w:val="1"/>
          <w:color w:val="auto"/>
        </w:rPr>
      </w:pPr>
    </w:p>
    <w:p>
      <w:pPr>
        <w:ind w:left="-8" w:firstLine="656"/>
        <w:spacing w:after="0" w:line="270" w:lineRule="auto"/>
        <w:tabs>
          <w:tab w:leader="none" w:pos="1420" w:val="left"/>
        </w:tabs>
        <w:numPr>
          <w:ilvl w:val="1"/>
          <w:numId w:val="1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The Optional Securities; Option Closing Date</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addition, on the basis of the representations, warranties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agreements herein contained, and upon the terms but subject to the conditions herein set forth, the Company hereby grants an option to the several Underwriters to purchase, severally and not jointly, up to an aggregate of 1,950,000 Class A Ordinary Shares from the Company at the purchase price per Class A Ordinary Share to be paid by the Underwriters for the Firm Securities. The option granted hereunder may be exercised at any time and from time to time in whole or in part upon notice by the Representatives to the Company, which notice may be given at any time within 45 days from the date of this Agreement. Such notice shall set forth (i) the aggregate number of Optional Securities as to which the Underwriters are exercising the option and</w:t>
      </w:r>
    </w:p>
    <w:p>
      <w:pPr>
        <w:spacing w:after="0" w:line="4" w:lineRule="exact"/>
        <w:rPr>
          <w:rFonts w:ascii="Arial" w:cs="Arial" w:eastAsia="Arial" w:hAnsi="Arial"/>
          <w:sz w:val="19"/>
          <w:szCs w:val="19"/>
          <w:b w:val="1"/>
          <w:bCs w:val="1"/>
          <w:color w:val="auto"/>
        </w:rPr>
      </w:pPr>
    </w:p>
    <w:p>
      <w:pPr>
        <w:ind w:left="-8" w:right="100" w:firstLine="8"/>
        <w:spacing w:after="0" w:line="242" w:lineRule="auto"/>
        <w:tabs>
          <w:tab w:leader="none" w:pos="31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time, date and place at which the Optional Securities will be delivered (which time and date may be simultaneous with, but not earlier than, the First Closing Date; and in the event that such time and date are simultaneous with the First Closing Date, the term “</w:t>
      </w:r>
      <w:r>
        <w:rPr>
          <w:rFonts w:ascii="Arial" w:cs="Arial" w:eastAsia="Arial" w:hAnsi="Arial"/>
          <w:sz w:val="21"/>
          <w:szCs w:val="21"/>
          <w:b w:val="1"/>
          <w:bCs w:val="1"/>
          <w:color w:val="auto"/>
        </w:rPr>
        <w:t>First Closing Date</w:t>
      </w:r>
      <w:r>
        <w:rPr>
          <w:rFonts w:ascii="Arial" w:cs="Arial" w:eastAsia="Arial" w:hAnsi="Arial"/>
          <w:sz w:val="21"/>
          <w:szCs w:val="21"/>
          <w:color w:val="auto"/>
        </w:rPr>
        <w:t>” shall refer to the time and date of delivery of the Firm Securities and such Optional Securities). Any such time and date of delivery, if subsequent to the First Closing Date, is called an “</w:t>
      </w:r>
      <w:r>
        <w:rPr>
          <w:rFonts w:ascii="Arial" w:cs="Arial" w:eastAsia="Arial" w:hAnsi="Arial"/>
          <w:sz w:val="21"/>
          <w:szCs w:val="21"/>
          <w:b w:val="1"/>
          <w:bCs w:val="1"/>
          <w:color w:val="auto"/>
        </w:rPr>
        <w:t>Option Closing Date</w:t>
      </w:r>
      <w:r>
        <w:rPr>
          <w:rFonts w:ascii="Arial" w:cs="Arial" w:eastAsia="Arial" w:hAnsi="Arial"/>
          <w:sz w:val="21"/>
          <w:szCs w:val="21"/>
          <w:color w:val="auto"/>
        </w:rPr>
        <w:t xml:space="preserve">,” and shall be determined by the Representatives and shall not be earlier than two or later than five full business days after delivery of such notice of exercise. If any Optional Securities are to be purchased, each Underwriter agrees, severally and not jointly, to purchase the number of Optional Securities (subject to such adjustments to eliminate fractional shares as the Representatives may determine) that bears the same proportion to the total number of Optional Securities to be purchased as the number of Firm Securities set forth on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opposite the name of such Underwriter bears to the total number of Firm Securities. The Representatives may cancel the option at any time prior to its expiration by giving written notice of such cancellation to the Company.</w:t>
      </w:r>
    </w:p>
    <w:p>
      <w:pPr>
        <w:spacing w:after="0" w:line="213" w:lineRule="exact"/>
        <w:rPr>
          <w:rFonts w:ascii="Arial" w:cs="Arial" w:eastAsia="Arial" w:hAnsi="Arial"/>
          <w:sz w:val="21"/>
          <w:szCs w:val="21"/>
          <w:color w:val="auto"/>
        </w:rPr>
      </w:pPr>
    </w:p>
    <w:p>
      <w:pPr>
        <w:ind w:left="-8" w:right="100" w:firstLine="656"/>
        <w:spacing w:after="0" w:line="237" w:lineRule="auto"/>
        <w:tabs>
          <w:tab w:leader="none" w:pos="1444" w:val="left"/>
        </w:tabs>
        <w:numPr>
          <w:ilvl w:val="1"/>
          <w:numId w:val="1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Public Offering of the Offered Securities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Representatives hereby advise the Company that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Underwriters intend to offer for sale to the public, on the terms set forth in the Registration Statement, the Time of Sale Prospectus and the Prospectus, their respective portions of the Offered Securities as soon after this Agreement has been executed and the Registration Statement has been declared effective as the Representatives, in their sole judgment, has determined is advisable and practicable.</w:t>
      </w:r>
    </w:p>
    <w:p>
      <w:pPr>
        <w:spacing w:after="0" w:line="208" w:lineRule="exact"/>
        <w:rPr>
          <w:rFonts w:ascii="Arial" w:cs="Arial" w:eastAsia="Arial" w:hAnsi="Arial"/>
          <w:sz w:val="22"/>
          <w:szCs w:val="22"/>
          <w:b w:val="1"/>
          <w:bCs w:val="1"/>
          <w:color w:val="auto"/>
        </w:rPr>
      </w:pPr>
    </w:p>
    <w:p>
      <w:pPr>
        <w:ind w:left="-8" w:right="180" w:firstLine="656"/>
        <w:spacing w:after="0" w:line="276" w:lineRule="auto"/>
        <w:tabs>
          <w:tab w:leader="none" w:pos="1420" w:val="left"/>
        </w:tabs>
        <w:numPr>
          <w:ilvl w:val="1"/>
          <w:numId w:val="1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Delivery and Payment for the Offered Securities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 In addition to the discount from the public offering price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represented by the Purchase Price set forth in the last sentence of Section 2(a) of this Agreement, the Company hereby agrees to pay to the Underwriters a deferred discount of $0.35 per Class A Ordinary Share (including both Firm Securities and Optional Securities) purchased hereunder (the “</w:t>
      </w:r>
      <w:r>
        <w:rPr>
          <w:rFonts w:ascii="Arial" w:cs="Arial" w:eastAsia="Arial" w:hAnsi="Arial"/>
          <w:sz w:val="19"/>
          <w:szCs w:val="19"/>
          <w:b w:val="1"/>
          <w:bCs w:val="1"/>
          <w:color w:val="auto"/>
        </w:rPr>
        <w:t>Deferred Discount</w:t>
      </w:r>
      <w:r>
        <w:rPr>
          <w:rFonts w:ascii="Arial" w:cs="Arial" w:eastAsia="Arial" w:hAnsi="Arial"/>
          <w:sz w:val="19"/>
          <w:szCs w:val="19"/>
          <w:color w:val="auto"/>
        </w:rPr>
        <w:t>”). The Underwriters hereby agree that if no Business Combination is consummated within the time period provided in the Trust Agreement and the funds held under the Trust Agreement are distributed to the holders of the Offered Securities sold pursuant to this Agreement (the “</w:t>
      </w:r>
      <w:r>
        <w:rPr>
          <w:rFonts w:ascii="Arial" w:cs="Arial" w:eastAsia="Arial" w:hAnsi="Arial"/>
          <w:sz w:val="19"/>
          <w:szCs w:val="19"/>
          <w:b w:val="1"/>
          <w:bCs w:val="1"/>
          <w:color w:val="auto"/>
        </w:rPr>
        <w:t>Public Shareholders</w:t>
      </w:r>
      <w:r>
        <w:rPr>
          <w:rFonts w:ascii="Arial" w:cs="Arial" w:eastAsia="Arial" w:hAnsi="Arial"/>
          <w:sz w:val="19"/>
          <w:szCs w:val="19"/>
          <w:color w:val="auto"/>
        </w:rPr>
        <w:t>”), (x) the Underwriters will forfeit any rights or claims to the Deferred Discount and (y) the trustee under the Trust Agreement is authorized to distribute the Deferred Discount to the Public Shareholders on a pro rata basis.</w:t>
      </w: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12" w:right="339" w:bottom="1440" w:gutter="0" w:footer="0" w:header="0"/>
        </w:sectPr>
      </w:pPr>
    </w:p>
    <w:bookmarkStart w:id="17" w:name="page18"/>
    <w:bookmarkEnd w:id="17"/>
    <w:p>
      <w:pPr>
        <w:ind w:right="20" w:firstLine="1304"/>
        <w:spacing w:after="0" w:line="275" w:lineRule="auto"/>
        <w:tabs>
          <w:tab w:leader="none" w:pos="2154" w:val="left"/>
        </w:tabs>
        <w:numPr>
          <w:ilvl w:val="0"/>
          <w:numId w:val="19"/>
        </w:numPr>
        <w:rPr>
          <w:rFonts w:ascii="Arial" w:cs="Arial" w:eastAsia="Arial" w:hAnsi="Arial"/>
          <w:sz w:val="19"/>
          <w:szCs w:val="19"/>
          <w:color w:val="auto"/>
        </w:rPr>
      </w:pPr>
      <w:r>
        <w:rPr>
          <w:rFonts w:ascii="Arial" w:cs="Arial" w:eastAsia="Arial" w:hAnsi="Arial"/>
          <w:sz w:val="19"/>
          <w:szCs w:val="19"/>
          <w:color w:val="auto"/>
        </w:rPr>
        <w:t>It is understood that the Representatives have been authorized, for its own account and the accounts of the several Underwriters, to accept delivery of and receipt for, and make payment by wire transfer payable in same-day funds to an account specified by the Company and to the Trust Account as described below in this Section of the purchase price for, the Firm Securities and any Optional Securities the Underwriters have agreed to purchase. Each of the Representatives, individually and not as the Representatives of the Underwriters, may (but shall not be obligated to) make payment for any Offered Securities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84" w:lineRule="exact"/>
        <w:rPr>
          <w:rFonts w:ascii="Arial" w:cs="Arial" w:eastAsia="Arial" w:hAnsi="Arial"/>
          <w:sz w:val="19"/>
          <w:szCs w:val="19"/>
          <w:color w:val="auto"/>
        </w:rPr>
      </w:pPr>
    </w:p>
    <w:p>
      <w:pPr>
        <w:ind w:right="20" w:firstLine="1304"/>
        <w:spacing w:after="0" w:line="272" w:lineRule="auto"/>
        <w:tabs>
          <w:tab w:leader="none" w:pos="2106" w:val="left"/>
        </w:tabs>
        <w:numPr>
          <w:ilvl w:val="0"/>
          <w:numId w:val="19"/>
        </w:numPr>
        <w:rPr>
          <w:rFonts w:ascii="Arial" w:cs="Arial" w:eastAsia="Arial" w:hAnsi="Arial"/>
          <w:sz w:val="19"/>
          <w:szCs w:val="19"/>
          <w:color w:val="auto"/>
        </w:rPr>
      </w:pPr>
      <w:r>
        <w:rPr>
          <w:rFonts w:ascii="Arial" w:cs="Arial" w:eastAsia="Arial" w:hAnsi="Arial"/>
          <w:sz w:val="19"/>
          <w:szCs w:val="19"/>
          <w:color w:val="auto"/>
        </w:rPr>
        <w:t>Payment for the Firm Securities shall be made as follows: The net proceeds for the Firm Securities (including the Deferred Discount) shall be deposited in the Trust Account pursuant to the terms of the Trust Agreement along with such portion of the proceeds of the sale of the Sponsor Shares in order for the Trust Account to equal the product of the number of Class A Ordinary Shares sold and the public offering price per Class A Ordinary Share as set forth on the cover of the Prospectus upon delivery to the Representatives of the Firm Securities through the facilities of DTC or, if the Representatives have otherwise instructed, upon delivery to the Representatives of certificates (in form and substance satisfactory to the Representatives) representing the Firm Securities, in each case for the account of the Underwriters. The Firm Securities shall be registered in such name or names and in such authorized denominations as the Representatives may request in writing at least one business day prior to the First Closing Date. If delivery is not made through the facilities of DTC, the Company will permit the Representatives to examine and package the Firm Securities for delivery, at least one business day prior to the First Closing Date at a location in New York City as the Representatives may designate. The Company shall not be obligated to sell or deliver the Firm Securities except upon tender of payment by the Representatives for all the Firm Securities.</w:t>
      </w:r>
    </w:p>
    <w:p>
      <w:pPr>
        <w:spacing w:after="0" w:line="187" w:lineRule="exact"/>
        <w:rPr>
          <w:rFonts w:ascii="Arial" w:cs="Arial" w:eastAsia="Arial" w:hAnsi="Arial"/>
          <w:sz w:val="19"/>
          <w:szCs w:val="19"/>
          <w:color w:val="auto"/>
        </w:rPr>
      </w:pPr>
    </w:p>
    <w:p>
      <w:pPr>
        <w:ind w:firstLine="1304"/>
        <w:spacing w:after="0" w:line="273" w:lineRule="auto"/>
        <w:tabs>
          <w:tab w:leader="none" w:pos="20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Payment for the Optional Securities shall be made as follows: $9.80 per Optional Security (including any Deferred Discount attributable to the Optional Securities) shall be deposited in the Trust Account pursuant to the terms of the Trust Agreement upon delivery to the Representatives of the Optional Securities through the facilities of DTC or, if the Representatives have otherwise instructed, upon delivery to the Representatives of certificates (in form and substance satisfactory to the Representatives) representing the Optional Securities for the account of the Underwriters. The Optional Securities shall be registered in such name or names and in such authorized denominations as the Representatives may request in writing at least two business days prior to the Option Closing Date. If delivery is not made through the facilities of DTC, the Company will permit the Representatives to examine and package the Optional Securities for delivery, at least one business day prior to the Option Closing Date. The Company shall not be obligated to sell or deliver the Optional Securities except upon tender of payment by the Representatives for all the Optional Securities. At least one business day prior to the Optional Securities settlement date, the Company shall deposit the proceeds from the sale of the applicable Sponsor Shares into the Trust Account.</w:t>
      </w:r>
    </w:p>
    <w:p>
      <w:pPr>
        <w:spacing w:after="0" w:line="176"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9"/>
          <w:szCs w:val="19"/>
          <w:b w:val="1"/>
          <w:bCs w:val="1"/>
          <w:color w:val="auto"/>
        </w:rPr>
        <w:t>Additional Covenants of the Company.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further covenants and agrees with each Underwriter as follows:</w:t>
      </w:r>
    </w:p>
    <w:p>
      <w:pPr>
        <w:spacing w:after="0" w:line="233" w:lineRule="exact"/>
        <w:rPr>
          <w:sz w:val="20"/>
          <w:szCs w:val="20"/>
          <w:color w:val="auto"/>
        </w:rPr>
      </w:pPr>
    </w:p>
    <w:p>
      <w:pPr>
        <w:ind w:right="160" w:firstLine="656"/>
        <w:spacing w:after="0" w:line="279" w:lineRule="auto"/>
        <w:tabs>
          <w:tab w:leader="none" w:pos="1440"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Delivery of Registration Statement, Time of Sale Prospectus and Prospectus. </w:t>
      </w:r>
      <w:r>
        <w:rPr>
          <w:rFonts w:ascii="Arial" w:cs="Arial" w:eastAsia="Arial" w:hAnsi="Arial"/>
          <w:sz w:val="19"/>
          <w:szCs w:val="19"/>
          <w:color w:val="auto"/>
        </w:rPr>
        <w:t>The Company shall furnish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you in New York City, without charge, prior to 10:00 a.m. New York City time on the business day next succeeding the date of this Agreement and during the period when a prospectus relating to the Offered Securities is required by the Securities Act to be delivered (whether physically or through compliance with Rule 172 under the Securities Act or any similar rule) in connection with sales of the Offered Securities, as many copies of the Time of Sale Prospectus, the Prospectus and any supplements and amendments thereto or to the Registration Statement as you may reasonably request.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ind w:left="-20" w:firstLine="656"/>
        <w:spacing w:after="0" w:line="273" w:lineRule="auto"/>
        <w:tabs>
          <w:tab w:leader="none" w:pos="1378"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Representatives’ Review of Proposed Amendments and Supplements. </w:t>
      </w:r>
      <w:r>
        <w:rPr>
          <w:rFonts w:ascii="Arial" w:cs="Arial" w:eastAsia="Arial" w:hAnsi="Arial"/>
          <w:sz w:val="19"/>
          <w:szCs w:val="19"/>
          <w:color w:val="auto"/>
        </w:rPr>
        <w:t>During the period when a prospectus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relating to the Offered Securities 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without the Representatives’ prior written consent. Prior to amending or supplementing any preliminary prospectus, the Time of Sale Prospectus or the Prospectus,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The Company shall file with the Commission within the applicable period specified in Rule 424(b) under the Securities Act any prospectus required to be filed pursuant to such rule.</w:t>
      </w:r>
    </w:p>
    <w:p>
      <w:pPr>
        <w:spacing w:after="0" w:line="182" w:lineRule="exact"/>
        <w:rPr>
          <w:rFonts w:ascii="Arial" w:cs="Arial" w:eastAsia="Arial" w:hAnsi="Arial"/>
          <w:sz w:val="19"/>
          <w:szCs w:val="19"/>
          <w:b w:val="1"/>
          <w:bCs w:val="1"/>
          <w:color w:val="auto"/>
        </w:rPr>
      </w:pPr>
    </w:p>
    <w:p>
      <w:pPr>
        <w:ind w:left="-20" w:right="140" w:firstLine="656"/>
        <w:spacing w:after="0"/>
        <w:tabs>
          <w:tab w:leader="none" w:pos="1408"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 xml:space="preserve">Free Writing Prospectuses. </w:t>
      </w:r>
      <w:r>
        <w:rPr>
          <w:rFonts w:ascii="Arial" w:cs="Arial" w:eastAsia="Arial" w:hAnsi="Arial"/>
          <w:sz w:val="22"/>
          <w:szCs w:val="22"/>
          <w:color w:val="auto"/>
        </w:rPr>
        <w:t>The Company will not make any offer relating to the Class A Ordinary Shares that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constitutes or would constitute a free writing prospectus or a portion thereof required to be filed by the Company with the Commission or retained by the Company under Rule 433 of the Securities Act.</w:t>
      </w:r>
    </w:p>
    <w:p>
      <w:pPr>
        <w:spacing w:after="0" w:line="213" w:lineRule="exact"/>
        <w:rPr>
          <w:rFonts w:ascii="Arial" w:cs="Arial" w:eastAsia="Arial" w:hAnsi="Arial"/>
          <w:sz w:val="22"/>
          <w:szCs w:val="22"/>
          <w:b w:val="1"/>
          <w:bCs w:val="1"/>
          <w:color w:val="auto"/>
        </w:rPr>
      </w:pPr>
    </w:p>
    <w:p>
      <w:pPr>
        <w:ind w:left="-20" w:right="20" w:firstLine="656"/>
        <w:spacing w:after="0" w:line="271" w:lineRule="auto"/>
        <w:tabs>
          <w:tab w:leader="none" w:pos="1432"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Amendments and Supplements to Time of Sale Prospectus. </w:t>
      </w:r>
      <w:r>
        <w:rPr>
          <w:rFonts w:ascii="Arial" w:cs="Arial" w:eastAsia="Arial" w:hAnsi="Arial"/>
          <w:sz w:val="19"/>
          <w:szCs w:val="19"/>
          <w:color w:val="auto"/>
        </w:rPr>
        <w:t>If the Time of Sale Prospectus is being used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solicit offers to buy the Offered Securities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it shall be necessary to amend or supplement the Time of Sale Prospectus to comply with the Securities Act or the rules thereunder, the Company shall (subject to Section 3(b) and Section 3(e)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the Securities Act or the rules thereunder.</w:t>
      </w:r>
    </w:p>
    <w:p>
      <w:pPr>
        <w:spacing w:after="0" w:line="200" w:lineRule="exact"/>
        <w:rPr>
          <w:rFonts w:ascii="Arial" w:cs="Arial" w:eastAsia="Arial" w:hAnsi="Arial"/>
          <w:sz w:val="19"/>
          <w:szCs w:val="19"/>
          <w:b w:val="1"/>
          <w:bCs w:val="1"/>
          <w:color w:val="auto"/>
        </w:rPr>
      </w:pPr>
    </w:p>
    <w:p>
      <w:pPr>
        <w:spacing w:after="0" w:line="228" w:lineRule="exact"/>
        <w:rPr>
          <w:rFonts w:ascii="Arial" w:cs="Arial" w:eastAsia="Arial" w:hAnsi="Arial"/>
          <w:sz w:val="19"/>
          <w:szCs w:val="19"/>
          <w:b w:val="1"/>
          <w:bCs w:val="1"/>
          <w:color w:val="auto"/>
        </w:rPr>
      </w:pPr>
    </w:p>
    <w:p>
      <w:pPr>
        <w:ind w:left="-20" w:right="20" w:firstLine="656"/>
        <w:spacing w:after="0" w:line="271" w:lineRule="auto"/>
        <w:tabs>
          <w:tab w:leader="none" w:pos="1408"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Certain Notifications and Required Actions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After the date of this Agreement, the Company shall promptly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advise the Representatives in 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the Prospectus or the Exchange Act Registration Statement;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the Prospectus or the Exchange Act Registration Statement or of any order preventing or suspending the use of any preliminary prospectus, the Time of Sale Prospectus, or the Prospectus, or of any proceedings to remove, suspend or terminate from listing or quotation the Class A Ordinary Shares from any securities exchange upon which they are listed for trading or included or designated for quotation, or of the threatening or initiation of any proceedings for any of such purposes. If, at any time, the Commission shall enter any such stop order, the Company will use its best efforts to obtain the lifting of such order at the earliest possible moment. Additionally, the Company agrees that it shall comply in all material respects with all applicable provisions of Rule 424(b) and Rule 430A under the Securities Act and will use its reasonable efforts to confirm that any filings made by the Company under Rule 424(b) were received in a timely manner by the Commission.</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9" w:name="page20"/>
    <w:bookmarkEnd w:id="19"/>
    <w:p>
      <w:pPr>
        <w:ind w:left="-20" w:firstLine="656"/>
        <w:spacing w:after="0" w:line="271" w:lineRule="auto"/>
        <w:tabs>
          <w:tab w:leader="none" w:pos="1438"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Amendments and Supplements to the Prospectus and Other Securities Act Matters. </w:t>
      </w:r>
      <w:r>
        <w:rPr>
          <w:rFonts w:ascii="Arial" w:cs="Arial" w:eastAsia="Arial" w:hAnsi="Arial"/>
          <w:sz w:val="19"/>
          <w:szCs w:val="19"/>
          <w:color w:val="auto"/>
        </w:rPr>
        <w:t>If, at any time when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prospectus relating to the Offered Securities is required to be delivered under the Securities Act,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it shall be necessary to amend the Registration Statement or supplement the Prospectus to comply with the Securities Act or rules thereunder, the Company agrees (subject to Section 3(b) and Section 3(c)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so that the Prospectus, as amended or supplemented, will comply with the Securities Act or the rules thereunder. Neither the Representatives’ consent to, nor delivery of, any such amendment or supplement shall constitute a waiver of any of the Company’s obligations under Section 3(b) or Section 3(e).</w:t>
      </w:r>
    </w:p>
    <w:p>
      <w:pPr>
        <w:spacing w:after="0" w:line="200" w:lineRule="exact"/>
        <w:rPr>
          <w:rFonts w:ascii="Arial" w:cs="Arial" w:eastAsia="Arial" w:hAnsi="Arial"/>
          <w:sz w:val="19"/>
          <w:szCs w:val="19"/>
          <w:b w:val="1"/>
          <w:bCs w:val="1"/>
          <w:color w:val="auto"/>
        </w:rPr>
      </w:pPr>
    </w:p>
    <w:p>
      <w:pPr>
        <w:spacing w:after="0" w:line="228" w:lineRule="exact"/>
        <w:rPr>
          <w:rFonts w:ascii="Arial" w:cs="Arial" w:eastAsia="Arial" w:hAnsi="Arial"/>
          <w:sz w:val="19"/>
          <w:szCs w:val="19"/>
          <w:b w:val="1"/>
          <w:bCs w:val="1"/>
          <w:color w:val="auto"/>
        </w:rPr>
      </w:pPr>
    </w:p>
    <w:p>
      <w:pPr>
        <w:ind w:left="-20" w:right="20" w:firstLine="656"/>
        <w:spacing w:after="0" w:line="245" w:lineRule="auto"/>
        <w:tabs>
          <w:tab w:leader="none" w:pos="1420"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Blue Sky Compliance</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shall cooperate with the Representatives and counsel for the Underwriters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to qualify or register the Offered Securities for sale under (or obtain exemptions from the application of) the state securities or blue sky laws or Canadian provincial securities laws of those jurisdictions designated by the Representatives,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204" w:lineRule="exact"/>
        <w:rPr>
          <w:rFonts w:ascii="Arial" w:cs="Arial" w:eastAsia="Arial" w:hAnsi="Arial"/>
          <w:sz w:val="21"/>
          <w:szCs w:val="21"/>
          <w:b w:val="1"/>
          <w:bCs w:val="1"/>
          <w:color w:val="auto"/>
        </w:rPr>
      </w:pPr>
    </w:p>
    <w:p>
      <w:pPr>
        <w:ind w:left="-20" w:right="20" w:firstLine="656"/>
        <w:spacing w:after="0" w:line="260" w:lineRule="auto"/>
        <w:tabs>
          <w:tab w:leader="none" w:pos="1378"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Use of Proceeds</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shall apply the net proceeds from the sale of the Offered Securities and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Sponsor Shares sold by it in a manner consistent in all material respects with the applications described under the caption “Use of Proceeds” in the Registration Statement, the Time of Sale Prospectus and the Prospectus.</w:t>
      </w:r>
    </w:p>
    <w:p>
      <w:pPr>
        <w:spacing w:after="0" w:line="187" w:lineRule="exact"/>
        <w:rPr>
          <w:rFonts w:ascii="Arial" w:cs="Arial" w:eastAsia="Arial" w:hAnsi="Arial"/>
          <w:sz w:val="21"/>
          <w:szCs w:val="21"/>
          <w:b w:val="1"/>
          <w:bCs w:val="1"/>
          <w:color w:val="auto"/>
        </w:rPr>
      </w:pPr>
    </w:p>
    <w:p>
      <w:pPr>
        <w:ind w:left="-20" w:right="40" w:firstLine="656"/>
        <w:spacing w:after="0" w:line="249" w:lineRule="auto"/>
        <w:tabs>
          <w:tab w:leader="none" w:pos="1372" w:val="left"/>
        </w:tabs>
        <w:numPr>
          <w:ilvl w:val="0"/>
          <w:numId w:val="22"/>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Transfer Agent</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For a period commencing on the Effective Date and ending at least five years from the date of</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consummation of the Business Combination or until such earlier time at which the distributions of the Trust Account to the Public Shareholders in connection with the redemption of the Class A Ordinary Shares held by the Public Shareholders pursuant to the terms of the Company’s Amended and Restated Memorandum and Articles of Association, if the Company fails to consummate a Business Combination (the “</w:t>
      </w:r>
      <w:r>
        <w:rPr>
          <w:rFonts w:ascii="Arial" w:cs="Arial" w:eastAsia="Arial" w:hAnsi="Arial"/>
          <w:sz w:val="21"/>
          <w:szCs w:val="21"/>
          <w:b w:val="1"/>
          <w:bCs w:val="1"/>
          <w:color w:val="auto"/>
        </w:rPr>
        <w:t>Liquidation</w:t>
      </w:r>
      <w:r>
        <w:rPr>
          <w:rFonts w:ascii="Arial" w:cs="Arial" w:eastAsia="Arial" w:hAnsi="Arial"/>
          <w:sz w:val="21"/>
          <w:szCs w:val="21"/>
          <w:color w:val="auto"/>
        </w:rPr>
        <w:t>”) occurs or the Class A Ordinary Shares cease to be registered under the Exchange Act, the Company shall retain a transfer agent.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20" w:name="page21"/>
    <w:bookmarkEnd w:id="20"/>
    <w:p>
      <w:pPr>
        <w:ind w:left="-60" w:right="40" w:firstLine="656"/>
        <w:spacing w:after="0" w:line="254" w:lineRule="auto"/>
        <w:tabs>
          <w:tab w:leader="none" w:pos="1344"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Earnings Statement</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will make generally available to its shareholders and to the Representatives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as soon as practicable an earnings statement (which need not be audited) covering a period of at least 12 months beginning with the first fiscal quarter of the Company commencing after the date of this Agreement that will satisfy the provisions of Section 11(a) of the Securities Act and the rules and regulations of the Commission thereunder.</w:t>
      </w:r>
    </w:p>
    <w:p>
      <w:pPr>
        <w:spacing w:after="0" w:line="193" w:lineRule="exact"/>
        <w:rPr>
          <w:rFonts w:ascii="Arial" w:cs="Arial" w:eastAsia="Arial" w:hAnsi="Arial"/>
          <w:sz w:val="21"/>
          <w:szCs w:val="21"/>
          <w:b w:val="1"/>
          <w:bCs w:val="1"/>
          <w:color w:val="auto"/>
        </w:rPr>
      </w:pPr>
    </w:p>
    <w:p>
      <w:pPr>
        <w:ind w:left="-60" w:right="40" w:firstLine="656"/>
        <w:spacing w:after="0" w:line="234" w:lineRule="auto"/>
        <w:tabs>
          <w:tab w:leader="none" w:pos="1338"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Continued Compliance with Securities Laws</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will comply with the Securities Act and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Exchange Act so as to permit the completion of the distribution of the Offered Securities as contemplated by this Agreement</w:t>
      </w:r>
      <w:r>
        <w:rPr>
          <w:rFonts w:ascii="Arial" w:cs="Arial" w:eastAsia="Arial" w:hAnsi="Arial"/>
          <w:sz w:val="22"/>
          <w:szCs w:val="22"/>
          <w:b w:val="1"/>
          <w:bCs w:val="1"/>
          <w:color w:val="auto"/>
        </w:rPr>
        <w:t>,</w:t>
      </w:r>
      <w:r>
        <w:rPr>
          <w:rFonts w:ascii="Arial" w:cs="Arial" w:eastAsia="Arial" w:hAnsi="Arial"/>
          <w:sz w:val="22"/>
          <w:szCs w:val="22"/>
          <w:color w:val="auto"/>
        </w:rPr>
        <w:t xml:space="preserve"> the Registration Statement, the Time of Sale Prospectus and the Prospectus. Without limiting the generality of the foregoing, the Company will, during the period when a prospectus relating to the Offered Securities is required by the Securities Act to be delivered (whether physically or through compliance with Rule 172 under the Securities Act or any similar rule), file on a timely basis with the Commission and Nasdaq all reports and documents required to be filed under the Exchange Act. Additionally, the Company shall report the use of proceeds from the issuance of the Offered Securities as may be required under Rule 463 under the Securities Act.</w:t>
      </w:r>
    </w:p>
    <w:p>
      <w:pPr>
        <w:spacing w:after="0" w:line="219" w:lineRule="exact"/>
        <w:rPr>
          <w:rFonts w:ascii="Arial" w:cs="Arial" w:eastAsia="Arial" w:hAnsi="Arial"/>
          <w:sz w:val="22"/>
          <w:szCs w:val="22"/>
          <w:b w:val="1"/>
          <w:bCs w:val="1"/>
          <w:color w:val="auto"/>
        </w:rPr>
      </w:pPr>
    </w:p>
    <w:p>
      <w:pPr>
        <w:ind w:left="-60" w:right="80" w:firstLine="656"/>
        <w:spacing w:after="0" w:line="234" w:lineRule="auto"/>
        <w:tabs>
          <w:tab w:leader="none" w:pos="1332"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Continued Registration of the Securities of the Company</w:t>
      </w:r>
      <w:r>
        <w:rPr>
          <w:rFonts w:ascii="Arial" w:cs="Arial" w:eastAsia="Arial" w:hAnsi="Arial"/>
          <w:sz w:val="22"/>
          <w:szCs w:val="22"/>
          <w:color w:val="auto"/>
        </w:rPr>
        <w:t>. For a period commencing on the Effective Date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ending at least five years from the date of the consummation of the Business Combination or until such earlier time at which the Liquidation occurs, the Company will use its best efforts to maintain the registration of the Class A Ordinary Shares under the provisions of the Exchange Act, except after giving effect to a going private transaction after the completion of a Business Combination. The Company will not deregister the Class A Ordinary Shares under the Exchange Act (except in connection with a going private transaction after the completion of a Business Combination) without the prior written consent of the Representatives.</w:t>
      </w:r>
    </w:p>
    <w:p>
      <w:pPr>
        <w:spacing w:after="0" w:line="211" w:lineRule="exact"/>
        <w:rPr>
          <w:rFonts w:ascii="Arial" w:cs="Arial" w:eastAsia="Arial" w:hAnsi="Arial"/>
          <w:sz w:val="22"/>
          <w:szCs w:val="22"/>
          <w:b w:val="1"/>
          <w:bCs w:val="1"/>
          <w:color w:val="auto"/>
        </w:rPr>
      </w:pPr>
    </w:p>
    <w:p>
      <w:pPr>
        <w:ind w:left="-60" w:right="60" w:firstLine="656"/>
        <w:spacing w:after="0" w:line="239" w:lineRule="auto"/>
        <w:tabs>
          <w:tab w:leader="none" w:pos="1344"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Listing</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will use commercially reasonable efforts to effect and maintain the listing of the Class A</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Ordinary Shares on Nasdaq for a period commencing on the Effective Date and ending at least five years from the date of the consummation of the initial Business Combination or until such earlier time at which the Liquidation occurs or the Class A Ordinary Shares cease to be publicly traded.</w:t>
      </w:r>
    </w:p>
    <w:p>
      <w:pPr>
        <w:spacing w:after="0" w:line="213" w:lineRule="exact"/>
        <w:rPr>
          <w:rFonts w:ascii="Arial" w:cs="Arial" w:eastAsia="Arial" w:hAnsi="Arial"/>
          <w:sz w:val="22"/>
          <w:szCs w:val="22"/>
          <w:b w:val="1"/>
          <w:bCs w:val="1"/>
          <w:color w:val="auto"/>
        </w:rPr>
      </w:pPr>
    </w:p>
    <w:p>
      <w:pPr>
        <w:ind w:left="-60" w:right="640" w:firstLine="656"/>
        <w:spacing w:after="0" w:line="328" w:lineRule="auto"/>
        <w:tabs>
          <w:tab w:leader="none" w:pos="1392"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Reservation of Unissued Securities of the Company</w:t>
      </w:r>
      <w:r>
        <w:rPr>
          <w:rFonts w:ascii="Arial" w:cs="Arial" w:eastAsia="Arial" w:hAnsi="Arial"/>
          <w:sz w:val="19"/>
          <w:szCs w:val="19"/>
          <w:color w:val="auto"/>
        </w:rPr>
        <w:t>. The Company will reserve and keep available that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maximum number of its authorized but unissued securities that are issuable upon the conversion of the Founder Shares.</w:t>
      </w:r>
    </w:p>
    <w:p>
      <w:pPr>
        <w:spacing w:after="0" w:line="131" w:lineRule="exact"/>
        <w:rPr>
          <w:rFonts w:ascii="Arial" w:cs="Arial" w:eastAsia="Arial" w:hAnsi="Arial"/>
          <w:sz w:val="19"/>
          <w:szCs w:val="19"/>
          <w:b w:val="1"/>
          <w:bCs w:val="1"/>
          <w:color w:val="auto"/>
        </w:rPr>
      </w:pPr>
    </w:p>
    <w:p>
      <w:pPr>
        <w:ind w:left="-60" w:firstLine="656"/>
        <w:spacing w:after="0" w:line="245" w:lineRule="auto"/>
        <w:tabs>
          <w:tab w:leader="none" w:pos="1380" w:val="left"/>
        </w:tabs>
        <w:numPr>
          <w:ilvl w:val="0"/>
          <w:numId w:val="23"/>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Agreement Not to Issue Additional Class A Ordinary Shares</w:t>
      </w:r>
      <w:r>
        <w:rPr>
          <w:rFonts w:ascii="Arial" w:cs="Arial" w:eastAsia="Arial" w:hAnsi="Arial"/>
          <w:sz w:val="21"/>
          <w:szCs w:val="21"/>
          <w:color w:val="auto"/>
        </w:rPr>
        <w:t>. Prior to the consummation of a Business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Combination or the Liquidation, the Company shall not issue any Class A Ordinary Shares, or any options or other securities convertible into or exercisable or exchangeable for Class A Ordinary Shares, or any preferred shares, in each case, that would entitle the holders thereof to (i) receive funds from the Trust Account or (ii) vote as a class with the Class A Ordinary Shares (a) on a Business Combination or on any other proposal presented to the Public Shareholders prior to or in connection with the completion of a Business Combination or (b) to approve an amendment to the Amended and Restated Memorandum and Articles of Association to (x) extend the time the Company has to consummate a Business Combination beyond 24 months from the First Closing Date or (y) amend such other provisions as set forth in the Registration Statement, Time of Sale Prospectus or the Prospectus.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1" w:right="399" w:bottom="1440" w:gutter="0" w:footer="0" w:header="0"/>
        </w:sectPr>
      </w:pPr>
    </w:p>
    <w:bookmarkStart w:id="21" w:name="page22"/>
    <w:bookmarkEnd w:id="21"/>
    <w:p>
      <w:pPr>
        <w:ind w:left="-40" w:firstLine="656"/>
        <w:spacing w:after="0" w:line="271" w:lineRule="auto"/>
        <w:tabs>
          <w:tab w:leader="none" w:pos="1412"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Agreement Not to Offer or Sell Additional Securities of the Company</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During the period commencing on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including the date hereof and continuing through and including the 180th day following the date of the Prospectus (such period, as extended as described below, being referred to herein as the “Lock-up Period”), the Company will not, without the prior written consent of the Representative, (x) offer, sell, contract to sell, pledge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and the rules and regulations of the Commission promulgated thereunder with respect to, any other Class A Ordinary Shares, or any securities convertible into, or exercisable or exchangeable for, Class A Ordinary Shares or publicly announce an intention to effect any such transaction;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may (1) issue and sell the Sponsor Shares, (2) issue and sell the Optional Securities on</w:t>
      </w:r>
      <w:r>
        <w:rPr>
          <w:rFonts w:ascii="Arial" w:cs="Arial" w:eastAsia="Arial" w:hAnsi="Arial"/>
          <w:sz w:val="19"/>
          <w:szCs w:val="19"/>
          <w:i w:val="1"/>
          <w:iCs w:val="1"/>
          <w:color w:val="auto"/>
        </w:rPr>
        <w:t xml:space="preserve"> </w:t>
      </w:r>
      <w:r>
        <w:rPr>
          <w:rFonts w:ascii="Arial" w:cs="Arial" w:eastAsia="Arial" w:hAnsi="Arial"/>
          <w:sz w:val="19"/>
          <w:szCs w:val="19"/>
          <w:color w:val="auto"/>
        </w:rPr>
        <w:t>exercise of the option provided for in Section 2 hereof, (3) register with the Commission pursuant to the Registration Rights Agreement, in accordance with the terms of the Registration Rights Agreement, the resale of the Founder Shares, the Sponsor Shares, the Working Capital Shares or the Class A Ordinary Shares issuable upon conversion of such Founder Shares and, (4) issue securities in connection with a Business Combination, or (y) release the Sponsor or any officer, director or director nominee from the 180-day lock-up contained in the Insider Letter.</w:t>
      </w:r>
    </w:p>
    <w:p>
      <w:pPr>
        <w:spacing w:after="0" w:line="180" w:lineRule="exact"/>
        <w:rPr>
          <w:rFonts w:ascii="Arial" w:cs="Arial" w:eastAsia="Arial" w:hAnsi="Arial"/>
          <w:sz w:val="19"/>
          <w:szCs w:val="19"/>
          <w:b w:val="1"/>
          <w:bCs w:val="1"/>
          <w:color w:val="auto"/>
        </w:rPr>
      </w:pPr>
    </w:p>
    <w:p>
      <w:pPr>
        <w:ind w:left="-40" w:right="140" w:firstLine="656"/>
        <w:spacing w:after="0" w:line="243" w:lineRule="auto"/>
        <w:tabs>
          <w:tab w:leader="none" w:pos="1412"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Investment Limitation</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Company shall not invest or otherwise use the proceeds received by the Company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from its sale of the Offered Securities and the Sponsor Shares in such a manner as would require the Company to register as an investment company under the Investment Company Act.</w:t>
      </w:r>
    </w:p>
    <w:p>
      <w:pPr>
        <w:spacing w:after="0" w:line="203" w:lineRule="exact"/>
        <w:rPr>
          <w:rFonts w:ascii="Arial" w:cs="Arial" w:eastAsia="Arial" w:hAnsi="Arial"/>
          <w:sz w:val="22"/>
          <w:szCs w:val="22"/>
          <w:b w:val="1"/>
          <w:bCs w:val="1"/>
          <w:color w:val="auto"/>
        </w:rPr>
      </w:pPr>
    </w:p>
    <w:p>
      <w:pPr>
        <w:ind w:left="-40" w:right="180" w:firstLine="656"/>
        <w:spacing w:after="0" w:line="254" w:lineRule="auto"/>
        <w:tabs>
          <w:tab w:leader="none" w:pos="1388" w:val="left"/>
        </w:tabs>
        <w:numPr>
          <w:ilvl w:val="0"/>
          <w:numId w:val="24"/>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No Stabilization or Manipulation; Compliance with Regulation M</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The Company will not take, directly 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indirectly, any action designed to or that might cause or result in stabilization or manipulation of the price of any security of the Company, whether to facilitate the sale or resale of the Offered Securities or otherwise in violation of Regulation M, and the Company will comply with all applicable provisions of Regulation M.</w:t>
      </w:r>
    </w:p>
    <w:p>
      <w:pPr>
        <w:spacing w:after="0" w:line="198" w:lineRule="exact"/>
        <w:rPr>
          <w:rFonts w:ascii="Arial" w:cs="Arial" w:eastAsia="Arial" w:hAnsi="Arial"/>
          <w:sz w:val="21"/>
          <w:szCs w:val="21"/>
          <w:b w:val="1"/>
          <w:bCs w:val="1"/>
          <w:color w:val="auto"/>
        </w:rPr>
      </w:pPr>
    </w:p>
    <w:p>
      <w:pPr>
        <w:ind w:left="-40" w:right="20" w:firstLine="656"/>
        <w:spacing w:after="0" w:line="273" w:lineRule="auto"/>
        <w:tabs>
          <w:tab w:leader="none" w:pos="1376"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Company to File a Current Report on Form 8-K</w:t>
      </w:r>
      <w:r>
        <w:rPr>
          <w:rFonts w:ascii="Arial" w:cs="Arial" w:eastAsia="Arial" w:hAnsi="Arial"/>
          <w:sz w:val="19"/>
          <w:szCs w:val="19"/>
          <w:color w:val="auto"/>
        </w:rPr>
        <w:t>. The Company shall, on or prior to the date hereof, retain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independent registered public accounting firm to audit the balance sheet of the Company as of the First Closing Date (the “</w:t>
      </w:r>
      <w:r>
        <w:rPr>
          <w:rFonts w:ascii="Arial" w:cs="Arial" w:eastAsia="Arial" w:hAnsi="Arial"/>
          <w:sz w:val="19"/>
          <w:szCs w:val="19"/>
          <w:b w:val="1"/>
          <w:bCs w:val="1"/>
          <w:color w:val="auto"/>
        </w:rPr>
        <w:t>Audited Balance Sheet</w:t>
      </w:r>
      <w:r>
        <w:rPr>
          <w:rFonts w:ascii="Arial" w:cs="Arial" w:eastAsia="Arial" w:hAnsi="Arial"/>
          <w:sz w:val="19"/>
          <w:szCs w:val="19"/>
          <w:color w:val="auto"/>
        </w:rPr>
        <w:t>”) reflecting the receipt by the Company of the proceeds of the sale of the Offered Securities as set forth in the Prospectus on the First Closing Date. As soon as the Audited Balance Sheet becomes available, the Company shall promptly, but not later than four business days after the First Closing Date, file a Current Report on Form 8-K with the Commission, which report shall contain the Audited Balance Sheet. Additionally, upon the Company’s receipt of the proceeds from the exercise of all or any portion of the option provided for in Section 2 hereof, the Company shall promptly, but not later than four business days after the receipt of such proceeds, file a Current Report on Form 8-K with the Commission, which report shall disclose the Company’s sale of the Optional Securities and its receipt of the proceeds therefrom, unless the receipt of such proceeds are reflected in the Current Report on Form 8-K referenced in the immediately prior sentence.</w:t>
      </w:r>
    </w:p>
    <w:p>
      <w:pPr>
        <w:spacing w:after="0" w:line="187" w:lineRule="exact"/>
        <w:rPr>
          <w:rFonts w:ascii="Arial" w:cs="Arial" w:eastAsia="Arial" w:hAnsi="Arial"/>
          <w:sz w:val="19"/>
          <w:szCs w:val="19"/>
          <w:b w:val="1"/>
          <w:bCs w:val="1"/>
          <w:color w:val="auto"/>
        </w:rPr>
      </w:pPr>
    </w:p>
    <w:p>
      <w:pPr>
        <w:ind w:left="-40" w:firstLine="656"/>
        <w:spacing w:after="0" w:line="234" w:lineRule="auto"/>
        <w:tabs>
          <w:tab w:leader="none" w:pos="1364"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Company to Procure Review of Unaudited Quarterly Financial Statements</w:t>
      </w:r>
      <w:r>
        <w:rPr>
          <w:rFonts w:ascii="Arial" w:cs="Arial" w:eastAsia="Arial" w:hAnsi="Arial"/>
          <w:sz w:val="22"/>
          <w:szCs w:val="22"/>
          <w:color w:val="auto"/>
        </w:rPr>
        <w:t>. For a period commencing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Effective Date and ending at least five years from the date of the consummation of the Business Combination or until such earlier time at which the Liquidation occurs or the Class A Ordinary Shares cease to be publicly traded, the Company, at its expense, shall cause its regularly engaged independent registered public accounting firm to review (but not audit) the Company’s financial statements for each of the first three fiscal quarters of the year prior to the announcement of quarterly financial information, the filing of the Company’s Quarterly Reports on Form 10-Q and the mailing, if any, of quarterly financial information to shareholders.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1" w:right="379" w:bottom="1440" w:gutter="0" w:footer="0" w:header="0"/>
        </w:sectPr>
      </w:pPr>
    </w:p>
    <w:bookmarkStart w:id="22" w:name="page23"/>
    <w:bookmarkEnd w:id="22"/>
    <w:p>
      <w:pPr>
        <w:jc w:val="both"/>
        <w:ind w:right="60" w:firstLine="656"/>
        <w:spacing w:after="0" w:line="272" w:lineRule="auto"/>
        <w:tabs>
          <w:tab w:leader="none" w:pos="1452"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Future Reports to the Representatives. </w:t>
      </w:r>
      <w:r>
        <w:rPr>
          <w:rFonts w:ascii="Arial" w:cs="Arial" w:eastAsia="Arial" w:hAnsi="Arial"/>
          <w:sz w:val="19"/>
          <w:szCs w:val="19"/>
          <w:color w:val="auto"/>
        </w:rPr>
        <w:t>For a period commencing on the Effective Date and ending at least five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years from the date of the consummation of the Business Combination or until such earlier time at which the Liquidation occurs, the Company will furnish to the Representatives, c/o Jefferies, at 520 Madison Avenue, New York, New York 10022, Attention: Global Head of Syndicate, and c/o Goldman Sachs &amp; Co. LLC, at 200 West Street, New York, New York 10282, Attention:</w:t>
      </w:r>
    </w:p>
    <w:p>
      <w:pPr>
        <w:ind w:right="80"/>
        <w:spacing w:after="0" w:line="271" w:lineRule="auto"/>
        <w:rPr>
          <w:rFonts w:ascii="Arial" w:cs="Arial" w:eastAsia="Arial" w:hAnsi="Arial"/>
          <w:sz w:val="19"/>
          <w:szCs w:val="19"/>
          <w:b w:val="1"/>
          <w:bCs w:val="1"/>
          <w:color w:val="auto"/>
        </w:rPr>
      </w:pPr>
      <w:r>
        <w:rPr>
          <w:rFonts w:ascii="Arial" w:cs="Arial" w:eastAsia="Arial" w:hAnsi="Arial"/>
          <w:sz w:val="19"/>
          <w:szCs w:val="19"/>
          <w:color w:val="auto"/>
        </w:rPr>
        <w:t xml:space="preserve">Registration Department: (i) as soon as practicable after the end of each fiscal year, copies of the Annual Report of the Company containing the balance sheet of the Company as of the close of such fiscal year and statements of income, shareholders’ equity and cash flows for the year then ended and the opinion thereon of the Company’s independent public or certified public accountants; (ii) as soon as practicable after the filing thereof, copies of each proxy statement, Annual Report on Form 10-K, Quarterly Report on Form 10-Q, Current Report on Form 8-K or other report filed by the Company with the Commission or any securities exchange; (iii) as soon as available, copies of any report or communication of the Company furnished or made available generally to holders of its share capital; and (iv) such additional documents and information with respect to the Company and the affairs of any future subsidiaries of the Company as the Representatives may from time to time reasonably request;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requirements of this Section 3(u) shall be satisfied to the extent that such reports, statement, communications, financial statements or other documents are available on EDGAR.</w:t>
      </w:r>
    </w:p>
    <w:p>
      <w:pPr>
        <w:spacing w:after="0" w:line="187" w:lineRule="exact"/>
        <w:rPr>
          <w:rFonts w:ascii="Arial" w:cs="Arial" w:eastAsia="Arial" w:hAnsi="Arial"/>
          <w:sz w:val="19"/>
          <w:szCs w:val="19"/>
          <w:b w:val="1"/>
          <w:bCs w:val="1"/>
          <w:color w:val="auto"/>
        </w:rPr>
      </w:pPr>
    </w:p>
    <w:p>
      <w:pPr>
        <w:ind w:firstLine="656"/>
        <w:spacing w:after="0" w:line="279" w:lineRule="auto"/>
        <w:tabs>
          <w:tab w:leader="none" w:pos="144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Amendments and Supplements to Permitted Section 5(d)Communications</w:t>
      </w:r>
      <w:r>
        <w:rPr>
          <w:rFonts w:ascii="Arial" w:cs="Arial" w:eastAsia="Arial" w:hAnsi="Arial"/>
          <w:sz w:val="19"/>
          <w:szCs w:val="19"/>
          <w:color w:val="auto"/>
        </w:rPr>
        <w:t>. If at any time following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distribution of any Permitted Section 5(d) Communication, there occurred or occurs an event or development as a result of which such Permitted Section 5(d)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Permitted Section 5(d) Communication to eliminate or correct such untrue statement or omission.</w:t>
      </w:r>
    </w:p>
    <w:p>
      <w:pPr>
        <w:spacing w:after="0" w:line="177" w:lineRule="exact"/>
        <w:rPr>
          <w:rFonts w:ascii="Arial" w:cs="Arial" w:eastAsia="Arial" w:hAnsi="Arial"/>
          <w:sz w:val="19"/>
          <w:szCs w:val="19"/>
          <w:b w:val="1"/>
          <w:bCs w:val="1"/>
          <w:color w:val="auto"/>
        </w:rPr>
      </w:pPr>
    </w:p>
    <w:p>
      <w:pPr>
        <w:ind w:right="80" w:firstLine="656"/>
        <w:spacing w:after="0" w:line="252" w:lineRule="auto"/>
        <w:tabs>
          <w:tab w:leader="none" w:pos="1434"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Emerging Growth Company Status</w:t>
      </w:r>
      <w:r>
        <w:rPr>
          <w:rFonts w:ascii="Arial" w:cs="Arial" w:eastAsia="Arial" w:hAnsi="Arial"/>
          <w:sz w:val="21"/>
          <w:szCs w:val="21"/>
          <w:color w:val="auto"/>
        </w:rPr>
        <w:t>. The Company will promptly notify the Representatives if the Company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ceases to be an Emerging Growth Company at any time prior to the later of (i) the time when a prospectus relating to the Offered Securities is not required by the Securities Act to be delivered (whether physically or through compliance with Rule 172 under the Securities Act or any similar rule) and (ii) the expiration of the Lock-Up Period.</w:t>
      </w:r>
    </w:p>
    <w:p>
      <w:pPr>
        <w:spacing w:after="0" w:line="200" w:lineRule="exact"/>
        <w:rPr>
          <w:rFonts w:ascii="Arial" w:cs="Arial" w:eastAsia="Arial" w:hAnsi="Arial"/>
          <w:sz w:val="21"/>
          <w:szCs w:val="21"/>
          <w:b w:val="1"/>
          <w:bCs w:val="1"/>
          <w:color w:val="auto"/>
        </w:rPr>
      </w:pPr>
    </w:p>
    <w:p>
      <w:pPr>
        <w:ind w:right="20" w:firstLine="656"/>
        <w:spacing w:after="0" w:line="275" w:lineRule="auto"/>
        <w:tabs>
          <w:tab w:leader="none" w:pos="144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Announcement of Release or Waiver of the Transfer Restrictions. </w:t>
      </w:r>
      <w:r>
        <w:rPr>
          <w:rFonts w:ascii="Arial" w:cs="Arial" w:eastAsia="Arial" w:hAnsi="Arial"/>
          <w:sz w:val="19"/>
          <w:szCs w:val="19"/>
          <w:color w:val="auto"/>
        </w:rPr>
        <w:t>If the Representatives, in their sole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discretion, agree to release or waive the transfer restrictions set forth in the Insider Letter for the Sponsor or an officer, director or director nominee of the Company and provides the Company with notice of the impending release or waiver at least three business days before the effective date of the release or waiver, the Company agrees to announce the impending release or waiver by a press release substantially in the form of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hereto through a major news service at least two business days before the effective date of the release or waiver;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announcement by the Company shall be made of any release or waiver granted solely to permit a transfer of securities that is not for consideration and where the transferee has agreed in writing to be bound by the terms of the Insider Letter.</w:t>
      </w:r>
    </w:p>
    <w:p>
      <w:pPr>
        <w:spacing w:after="0" w:line="184" w:lineRule="exact"/>
        <w:rPr>
          <w:rFonts w:ascii="Arial" w:cs="Arial" w:eastAsia="Arial" w:hAnsi="Arial"/>
          <w:sz w:val="19"/>
          <w:szCs w:val="19"/>
          <w:b w:val="1"/>
          <w:bCs w:val="1"/>
          <w:color w:val="auto"/>
        </w:rPr>
      </w:pPr>
    </w:p>
    <w:p>
      <w:pPr>
        <w:ind w:firstLine="656"/>
        <w:spacing w:after="0" w:line="244" w:lineRule="auto"/>
        <w:tabs>
          <w:tab w:leader="none" w:pos="1440" w:val="left"/>
        </w:tabs>
        <w:numPr>
          <w:ilvl w:val="0"/>
          <w:numId w:val="25"/>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No Business Combination with Affiliates</w:t>
      </w:r>
      <w:r>
        <w:rPr>
          <w:rFonts w:ascii="Arial" w:cs="Arial" w:eastAsia="Arial" w:hAnsi="Arial"/>
          <w:sz w:val="21"/>
          <w:szCs w:val="21"/>
          <w:color w:val="auto"/>
        </w:rPr>
        <w:t>. The Company will not consummate a Business Combination with</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any entity that is affiliated with the Sponsor or any of the Company’s officers or directors unless it, or a committee of its independent directors, obtains an opinion from an independent investment banking firm which is a member of FINRA or an independent valuation or accounting firm that such Business Combination is fair to the Company from a financial point of view. Other than as set forth in this subsection, the Company shall not pay the Sponsor or its affiliates or any of the Company’s executive officers, directors or any of their respective affiliates any fees or compensation for services rendered to the Company prior to, or in connection with, the consummation of a Business Combination;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officers, directors and affiliates (i) may receive reimbursement for out-of-pocket expenses incurred by them related to identifying, investigating, negotiating and completing a Business Combination to the extent that such expenses do not exceed the amount of available proceeds not deposited in the Trust Account; (ii) may be repaid for loans as described in the Registration Statement; and (iii) may be paid $10,000 per month for office space, secretarial and administrative services pursuant to the Administrative Services Agreement.</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3" w:name="page24"/>
    <w:bookmarkEnd w:id="23"/>
    <w:p>
      <w:pPr>
        <w:ind w:left="-656" w:firstLine="656"/>
        <w:spacing w:after="0" w:line="268" w:lineRule="auto"/>
        <w:tabs>
          <w:tab w:leader="none" w:pos="772"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Consummation of the Initial Business Combination</w:t>
      </w:r>
      <w:r>
        <w:rPr>
          <w:rFonts w:ascii="Arial" w:cs="Arial" w:eastAsia="Arial" w:hAnsi="Arial"/>
          <w:sz w:val="19"/>
          <w:szCs w:val="19"/>
          <w:color w:val="auto"/>
        </w:rPr>
        <w:t>. The Company may consummate the initial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Combination and conduct redemptions of the Class A Ordinary Shares for cash upon consummation of such Business Combination without a shareholder vote pursuant to Rule 13e-4 and Regulation 14E of the Exchange Act, including by means of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Class A Ordinary Shares held by such shareholder for an amount of cash per share equal to (A) the aggregate amount then on deposit in the Trust Account calculated as of two business days prior to the consummation of the initial Business Combination representing (x) proceeds held in the Trust Account from the Offering and proceeds from the sale of the Sponsor Shares and (y) any interest earned on the funds held in the Trust Account and not previously released to the Company to pay its income taxes, divided by (B) the total number of Offered Securities then outstanding. If, however, the Company elects not to file such tender offer documents, a shareholder vote is required by applicable law or stock exchange rule in connection with the initial Business Combination, or the Company decides to hold a shareholder vote for business or other legal reasons, the Company will submit such Business Combination to the Company’s shareholders for their approval (“</w:t>
      </w:r>
      <w:r>
        <w:rPr>
          <w:rFonts w:ascii="Arial" w:cs="Arial" w:eastAsia="Arial" w:hAnsi="Arial"/>
          <w:sz w:val="19"/>
          <w:szCs w:val="19"/>
          <w:b w:val="1"/>
          <w:bCs w:val="1"/>
          <w:color w:val="auto"/>
        </w:rPr>
        <w:t>Business Combination Vote</w:t>
      </w:r>
      <w:r>
        <w:rPr>
          <w:rFonts w:ascii="Arial" w:cs="Arial" w:eastAsia="Arial" w:hAnsi="Arial"/>
          <w:sz w:val="19"/>
          <w:szCs w:val="19"/>
          <w:color w:val="auto"/>
        </w:rPr>
        <w:t>”). With respect to the initial Business Combination Vote, if any, the Sponsor and each of the Company’s directors and officers party to the Insider Letter has agreed to vote all of his, her or its respective Founder Shares and any other Class A Ordinary Shares purchased by him, her or it during or after the Offering in favor of the Company’s initial Business Combination. If the Company seeks shareholder approval of the initial Business Combination, the Company will offer to each Public Shareholder holding Class A Ordinary Shares the right to have such Public Shareholder’s Class A Ordinary Shares redeemed in conjunction with a proxy solicitation pursuant to the proxy rules of the Commission at a per share redemption price (the “</w:t>
      </w:r>
      <w:r>
        <w:rPr>
          <w:rFonts w:ascii="Arial" w:cs="Arial" w:eastAsia="Arial" w:hAnsi="Arial"/>
          <w:sz w:val="19"/>
          <w:szCs w:val="19"/>
          <w:b w:val="1"/>
          <w:bCs w:val="1"/>
          <w:color w:val="auto"/>
        </w:rPr>
        <w:t>Redemption Price</w:t>
      </w:r>
      <w:r>
        <w:rPr>
          <w:rFonts w:ascii="Arial" w:cs="Arial" w:eastAsia="Arial" w:hAnsi="Arial"/>
          <w:sz w:val="19"/>
          <w:szCs w:val="19"/>
          <w:color w:val="auto"/>
        </w:rPr>
        <w:t>”) equal to (I) the aggregate amount then on deposit in the Trust Account calculated as of two business days prior to the consummation of the initial Business Combination representing (1) proceeds held in the Trust Account from the Offering and proceeds from the sale of the Sponsor Shares and (2) any interest earned on the funds held in the Trust Account and not previously released to the Company to pay its income taxes, divided by (II) the total number of Offered Securities then outstanding. If the Company seeks shareholder approval of the initial Business Combination, the Company may proceed with such Business Combination only if a majority of the outstanding shares, represented in person or by proxy and entitled to vote thereon, voted by the shareholders at a duly held shareholders meeting are voted in favor of such Business Combination. If, after seeking and receiving such shareholder approval, the Company elects to so proceed, it will redeem Class A Ordinary Shares, at the Redemption Price, from those Public Shareholders who affirmatively requested such redemption. Only Public Shareholders holding Class A Ordinary Shares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share capital of the Company in connection therewith. In the event that the Company does not effect a Business Combination by 24 months from the closing of the Offering (or such later date as may be approved by the Company’s shareholders), the Company will (i) cease all operations except for the purpose of winding up, (ii) as promptly as reasonably possible but not more than 10 business days thereafter, redeem 100% of the Offered Securities, at a per-share price, payable in cash, equal to the aggregate amount then on deposit in the Trust Account, including interest earned on the funds held in the Trust Account and not previously released to the Company to pay income taxes, if any (less up to $100,000 of interest to pay the Company’s dissolution expenses), divided by the number of then-outstanding Offered Securities,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Company’s remaining shareholders and the Company’s board of directors, liquidate and dissolve, subject in each case to the Company’s obligations under Cayman Islands law to provide for claims of creditors and the requirements of other applicable law. Only Public Shareholders holding the Offered Securities shall be entitled to receive such redemption amounts and the Company shall pay no such redemption amounts or any distributions in liquidation with respect to any other holders or share capital of the Company. The Sponsor, and the Company’s officers, directors and director nominees will not propose any amendment to the Company’s Amended and Restated Memorandum and Articles of Association (A) that would modify the substance or timing of the Company’s obligation to provide holders of Class A Ordinary Shares the right to have their shares redeemed in connection with the Company’s initial Business Combination or to redeem 100% of the Offered Securities if the Company does not complete its initial Business Combination within 24 months from the closing of the Offering (or such later date as may be approved by the Company’s shareholders) or (B) with respect to any other provision relating to the rights of holders of the Class A Ordinary Shares, as described in Section 38.9 of the Company’s Amended and Restated Memorandum and Articles of Association, unless the Company offers the opportunity to redeem the Offered Securities upon approval of any such amendment at the Redemption Price.</w:t>
      </w:r>
    </w:p>
    <w:p>
      <w:pPr>
        <w:sectPr>
          <w:pgSz w:w="11900" w:h="16838" w:orient="portrait"/>
          <w:cols w:equalWidth="0" w:num="1">
            <w:col w:w="10584"/>
          </w:cols>
          <w:pgMar w:left="976"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36"/>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type w:val="continuous"/>
        </w:sectPr>
      </w:pPr>
    </w:p>
    <w:bookmarkStart w:id="24" w:name="page25"/>
    <w:bookmarkEnd w:id="24"/>
    <w:p>
      <w:pPr>
        <w:ind w:left="-20" w:firstLine="656"/>
        <w:spacing w:after="0" w:line="246" w:lineRule="auto"/>
        <w:tabs>
          <w:tab w:leader="none" w:pos="1420" w:val="left"/>
        </w:tabs>
        <w:numPr>
          <w:ilvl w:val="0"/>
          <w:numId w:val="27"/>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Announcement of the Consummation of the Initial Business Combination</w:t>
      </w:r>
      <w:r>
        <w:rPr>
          <w:rFonts w:ascii="Arial" w:cs="Arial" w:eastAsia="Arial" w:hAnsi="Arial"/>
          <w:sz w:val="21"/>
          <w:szCs w:val="21"/>
          <w:color w:val="auto"/>
        </w:rPr>
        <w:t>. In the event that the Company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desires or is required by an applicable law or regulation to cause an announcement (“</w:t>
      </w:r>
      <w:r>
        <w:rPr>
          <w:rFonts w:ascii="Arial" w:cs="Arial" w:eastAsia="Arial" w:hAnsi="Arial"/>
          <w:sz w:val="21"/>
          <w:szCs w:val="21"/>
          <w:b w:val="1"/>
          <w:bCs w:val="1"/>
          <w:color w:val="auto"/>
        </w:rPr>
        <w:t>Business Combination Announcement</w:t>
      </w:r>
      <w:r>
        <w:rPr>
          <w:rFonts w:ascii="Arial" w:cs="Arial" w:eastAsia="Arial" w:hAnsi="Arial"/>
          <w:sz w:val="21"/>
          <w:szCs w:val="21"/>
          <w:color w:val="auto"/>
        </w:rPr>
        <w:t>”) to be placed in The Wall Street Journal, The New York Times or any other news or media publication or outlet or to be made via a public filing with the Commission announcing the consummation of the Business Combination that indicates that the Underwriters were the underwriters in the Offering, the Company shall supply the Representatives with a draft of the Business Combination Announcement and provide the Representatives with a reasonable advance opportunity to comment thereon, subject to the agreement of the Underwriters to keep confidential such draft announcement in accordance with the Representatives’ standard policies regarding confidential information.</w:t>
      </w:r>
    </w:p>
    <w:p>
      <w:pPr>
        <w:spacing w:after="0" w:line="207" w:lineRule="exact"/>
        <w:rPr>
          <w:rFonts w:ascii="Arial" w:cs="Arial" w:eastAsia="Arial" w:hAnsi="Arial"/>
          <w:sz w:val="21"/>
          <w:szCs w:val="21"/>
          <w:b w:val="1"/>
          <w:bCs w:val="1"/>
          <w:color w:val="auto"/>
        </w:rPr>
      </w:pPr>
    </w:p>
    <w:p>
      <w:pPr>
        <w:ind w:left="-20" w:firstLine="656"/>
        <w:spacing w:after="0" w:line="273" w:lineRule="auto"/>
        <w:tabs>
          <w:tab w:leader="none" w:pos="1390"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Payment of Deferred Discount</w:t>
      </w:r>
      <w:r>
        <w:rPr>
          <w:rFonts w:ascii="Arial" w:cs="Arial" w:eastAsia="Arial" w:hAnsi="Arial"/>
          <w:sz w:val="19"/>
          <w:szCs w:val="19"/>
          <w:color w:val="auto"/>
        </w:rPr>
        <w:t>. Upon the consummation of the initial Business Combination, the Company will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pay to the Representatives, on behalf of the Underwriters, the Deferred Discount. Payment of the Deferred Discount will be made out of the proceeds of the Offering held in the Trust Account, and the Company will instruct CST to transfer the Deferred Discount to the Representatives concurrent with any transfer of the funds held in the Trust Account to the Company or any other person. The Underwriters shall have no claim to payment of any interest earned on the portion of the proceeds held in the Trust Account representing the Deferred Discount. If the Company fails to consummate its initial Business Combination within 24 months from the closing of the Offering (or such later date as may be approved by the Company’s shareholders), the Deferred Discount will not be paid to the Representatives and will, instead, be included in the Liquidation distribution of the proceeds held in the Trust Account made to the Public Shareholders. In connection with any such Liquidation, the Underwriters forfeit any rights or claims to the Deferred Discount.</w:t>
      </w:r>
    </w:p>
    <w:p>
      <w:pPr>
        <w:spacing w:after="0" w:line="187" w:lineRule="exact"/>
        <w:rPr>
          <w:rFonts w:ascii="Arial" w:cs="Arial" w:eastAsia="Arial" w:hAnsi="Arial"/>
          <w:sz w:val="19"/>
          <w:szCs w:val="19"/>
          <w:b w:val="1"/>
          <w:bCs w:val="1"/>
          <w:color w:val="auto"/>
        </w:rPr>
      </w:pPr>
    </w:p>
    <w:p>
      <w:pPr>
        <w:ind w:left="-20" w:right="200" w:firstLine="656"/>
        <w:spacing w:after="0"/>
        <w:tabs>
          <w:tab w:leader="none" w:pos="139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Payment Pursuant to the Administrative Services Agreement</w:t>
      </w:r>
      <w:r>
        <w:rPr>
          <w:rFonts w:ascii="Arial" w:cs="Arial" w:eastAsia="Arial" w:hAnsi="Arial"/>
          <w:sz w:val="22"/>
          <w:szCs w:val="22"/>
          <w:color w:val="auto"/>
        </w:rPr>
        <w:t>. In no event will the amounts payable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Company for office space, secretarial and administrative services exceed $10,000 per month in the aggregate until the earlier of the date of the consummation of the Business Combination or the Liquidation.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25" w:name="page26"/>
    <w:bookmarkEnd w:id="25"/>
    <w:p>
      <w:pPr>
        <w:ind w:left="-8" w:right="20" w:firstLine="656"/>
        <w:spacing w:after="0" w:line="234" w:lineRule="auto"/>
        <w:tabs>
          <w:tab w:leader="none" w:pos="1402" w:val="left"/>
        </w:tabs>
        <w:numPr>
          <w:ilvl w:val="1"/>
          <w:numId w:val="2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Cancellation of Founder Shares</w:t>
      </w:r>
      <w:r>
        <w:rPr>
          <w:rFonts w:ascii="Arial" w:cs="Arial" w:eastAsia="Arial" w:hAnsi="Arial"/>
          <w:sz w:val="22"/>
          <w:szCs w:val="22"/>
          <w:color w:val="auto"/>
        </w:rPr>
        <w:t>. Upon the earlier to occur of the expiration or termination of the Underwriters’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over-allotment option, the Company shall cancel or otherwise effect the forfeiture of Founder Shares from the Sponsor in an aggregate amount equal to the number of Founder Shares determined by multiplying (a) 487,500 by (b) a fraction, (i) the numerator of which is 1,950,000 minus the number of Optional Securities purchased by the Underwriters upon the exercise of their over-allotment option, and (ii) the denominator of which is 1,950,000. For the avoidance of doubt, if the Underwriters exercise their over-allotment option in full, the Company shall not cancel or otherwise effect the forfeiture of any of the Founder Shares pursuant to this subsection.</w:t>
      </w:r>
    </w:p>
    <w:p>
      <w:pPr>
        <w:spacing w:after="0" w:line="218" w:lineRule="exact"/>
        <w:rPr>
          <w:rFonts w:ascii="Arial" w:cs="Arial" w:eastAsia="Arial" w:hAnsi="Arial"/>
          <w:sz w:val="22"/>
          <w:szCs w:val="22"/>
          <w:b w:val="1"/>
          <w:bCs w:val="1"/>
          <w:color w:val="auto"/>
        </w:rPr>
      </w:pPr>
    </w:p>
    <w:p>
      <w:pPr>
        <w:ind w:left="-8" w:right="60" w:firstLine="656"/>
        <w:spacing w:after="0" w:line="297" w:lineRule="auto"/>
        <w:tabs>
          <w:tab w:leader="none" w:pos="1408"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Review of All Payments to the Sponsor</w:t>
      </w:r>
      <w:r>
        <w:rPr>
          <w:rFonts w:ascii="Arial" w:cs="Arial" w:eastAsia="Arial" w:hAnsi="Arial"/>
          <w:sz w:val="19"/>
          <w:szCs w:val="19"/>
          <w:color w:val="auto"/>
        </w:rPr>
        <w:t>. Prior to the consummation of the initial Business Combination or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Liquidation, the Company’s audit committee will review on a quarterly basis all payments made by the Company to the Sponsor, to the Company’s officers or directors, or to the Company’s or any of such other persons’ respective affiliates.</w:t>
      </w:r>
    </w:p>
    <w:p>
      <w:pPr>
        <w:spacing w:after="0" w:line="160" w:lineRule="exact"/>
        <w:rPr>
          <w:rFonts w:ascii="Arial" w:cs="Arial" w:eastAsia="Arial" w:hAnsi="Arial"/>
          <w:sz w:val="19"/>
          <w:szCs w:val="19"/>
          <w:b w:val="1"/>
          <w:bCs w:val="1"/>
          <w:color w:val="auto"/>
        </w:rPr>
      </w:pPr>
    </w:p>
    <w:p>
      <w:pPr>
        <w:ind w:left="-8" w:right="80" w:firstLine="656"/>
        <w:spacing w:after="0" w:line="287" w:lineRule="auto"/>
        <w:tabs>
          <w:tab w:leader="none" w:pos="1414"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Compliance with the “Penny Stock” Laws</w:t>
      </w:r>
      <w:r>
        <w:rPr>
          <w:rFonts w:ascii="Arial" w:cs="Arial" w:eastAsia="Arial" w:hAnsi="Arial"/>
          <w:sz w:val="19"/>
          <w:szCs w:val="19"/>
          <w:color w:val="auto"/>
        </w:rPr>
        <w:t>. The Company agrees that it will use commercially reasonable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efforts to prevent the Company from becoming subject to Rule 419 under the Securities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69" w:lineRule="exact"/>
        <w:rPr>
          <w:rFonts w:ascii="Arial" w:cs="Arial" w:eastAsia="Arial" w:hAnsi="Arial"/>
          <w:sz w:val="19"/>
          <w:szCs w:val="19"/>
          <w:b w:val="1"/>
          <w:bCs w:val="1"/>
          <w:color w:val="auto"/>
        </w:rPr>
      </w:pPr>
    </w:p>
    <w:p>
      <w:pPr>
        <w:jc w:val="both"/>
        <w:ind w:left="-8" w:firstLine="656"/>
        <w:spacing w:after="0" w:line="273" w:lineRule="auto"/>
        <w:tabs>
          <w:tab w:leader="none" w:pos="1432" w:val="left"/>
        </w:tabs>
        <w:numPr>
          <w:ilvl w:val="1"/>
          <w:numId w:val="28"/>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Maintenance of Disclosure Controls, Procedures and Internal Accounting Controls</w:t>
      </w:r>
      <w:r>
        <w:rPr>
          <w:rFonts w:ascii="Arial" w:cs="Arial" w:eastAsia="Arial" w:hAnsi="Arial"/>
          <w:sz w:val="19"/>
          <w:szCs w:val="19"/>
          <w:color w:val="auto"/>
        </w:rPr>
        <w:t>. To the extent required by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Rule 13a-15(e) under the Exchange Act, the Company will maintain “disclosure controls and procedures” (as defined under Rule 13a-15(e) under the Exchange Act) and a system of internal accounting controls sufficient to provide reasonable assurances that</w:t>
      </w:r>
    </w:p>
    <w:p>
      <w:pPr>
        <w:spacing w:after="0" w:line="1" w:lineRule="exact"/>
        <w:rPr>
          <w:rFonts w:ascii="Arial" w:cs="Arial" w:eastAsia="Arial" w:hAnsi="Arial"/>
          <w:sz w:val="19"/>
          <w:szCs w:val="19"/>
          <w:b w:val="1"/>
          <w:bCs w:val="1"/>
          <w:color w:val="auto"/>
        </w:rPr>
      </w:pPr>
    </w:p>
    <w:p>
      <w:pPr>
        <w:ind w:left="-8" w:right="140" w:firstLine="8"/>
        <w:spacing w:after="0" w:line="233" w:lineRule="auto"/>
        <w:tabs>
          <w:tab w:leader="none" w:pos="25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212" w:lineRule="exact"/>
        <w:rPr>
          <w:rFonts w:ascii="Arial" w:cs="Arial" w:eastAsia="Arial" w:hAnsi="Arial"/>
          <w:sz w:val="22"/>
          <w:szCs w:val="22"/>
          <w:color w:val="auto"/>
        </w:rPr>
      </w:pPr>
    </w:p>
    <w:p>
      <w:pPr>
        <w:ind w:left="-8" w:right="120" w:firstLine="656"/>
        <w:spacing w:after="0" w:line="238" w:lineRule="auto"/>
        <w:tabs>
          <w:tab w:leader="none" w:pos="1402"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Compliance with the Sarbanes-Oxley Act</w:t>
      </w:r>
      <w:r>
        <w:rPr>
          <w:rFonts w:ascii="Arial" w:cs="Arial" w:eastAsia="Arial" w:hAnsi="Arial"/>
          <w:sz w:val="22"/>
          <w:szCs w:val="22"/>
          <w:color w:val="auto"/>
        </w:rPr>
        <w:t>. As soon as legally required to do so, the Company and its directors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officers, in their capacities as such, shall take all actions necessary to comply with any provision of the Sarbanes-Oxley Act, including Section 402 related to loans and Sections 302 and 906 related to certifications, and to comply with the Nasdaq Marketplace Rules.</w:t>
      </w:r>
    </w:p>
    <w:p>
      <w:pPr>
        <w:spacing w:after="0" w:line="211" w:lineRule="exact"/>
        <w:rPr>
          <w:rFonts w:ascii="Arial" w:cs="Arial" w:eastAsia="Arial" w:hAnsi="Arial"/>
          <w:sz w:val="22"/>
          <w:szCs w:val="22"/>
          <w:b w:val="1"/>
          <w:bCs w:val="1"/>
          <w:color w:val="auto"/>
        </w:rPr>
      </w:pPr>
    </w:p>
    <w:p>
      <w:pPr>
        <w:jc w:val="both"/>
        <w:ind w:left="-8" w:right="280" w:firstLine="656"/>
        <w:spacing w:after="0"/>
        <w:tabs>
          <w:tab w:leader="none" w:pos="1390" w:val="left"/>
        </w:tabs>
        <w:numPr>
          <w:ilvl w:val="1"/>
          <w:numId w:val="2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Compliance with the Organizational Documents</w:t>
      </w:r>
      <w:r>
        <w:rPr>
          <w:rFonts w:ascii="Arial" w:cs="Arial" w:eastAsia="Arial" w:hAnsi="Arial"/>
          <w:sz w:val="22"/>
          <w:szCs w:val="22"/>
          <w:color w:val="auto"/>
        </w:rPr>
        <w:t>. The Company shall not take any action or omit to take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action that would cause the Company to be in breach or violation of the Amended and Restated Memorandum and Articles of Association</w:t>
      </w:r>
    </w:p>
    <w:p>
      <w:pPr>
        <w:spacing w:after="0" w:line="213" w:lineRule="exact"/>
        <w:rPr>
          <w:rFonts w:ascii="Arial" w:cs="Arial" w:eastAsia="Arial" w:hAnsi="Arial"/>
          <w:sz w:val="22"/>
          <w:szCs w:val="22"/>
          <w:b w:val="1"/>
          <w:bCs w:val="1"/>
          <w:color w:val="auto"/>
        </w:rPr>
      </w:pPr>
    </w:p>
    <w:p>
      <w:pPr>
        <w:ind w:left="-8" w:right="40" w:firstLine="656"/>
        <w:spacing w:after="0" w:line="246" w:lineRule="auto"/>
        <w:tabs>
          <w:tab w:leader="none" w:pos="1414" w:val="left"/>
        </w:tabs>
        <w:numPr>
          <w:ilvl w:val="1"/>
          <w:numId w:val="29"/>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Waiver of Interests to the Funds</w:t>
      </w:r>
      <w:r>
        <w:rPr>
          <w:rFonts w:ascii="Arial" w:cs="Arial" w:eastAsia="Arial" w:hAnsi="Arial"/>
          <w:sz w:val="21"/>
          <w:szCs w:val="21"/>
          <w:color w:val="auto"/>
        </w:rPr>
        <w:t>. Prior to the consummation of the initial Business Combination, the Company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will seek to have all vendors, service providers (other than the Company’s independent registered public accounting firm), prospective target businesses, and other entities with which it does business execute agreements with it waiving any right, title, interest or claim of any kind in or to any monies held in the Trust Account for the benefit of the Public Shareholders. If any third party refuses to execute an agreement waiving such claims to the monies held in the Trust Account, prior to the consummation of the initial Business Combination, the Company’s management will only enter into an agreement with a third party that has not executed such wavier if the Company’s management believes that such third party’s engagement would be significantly more beneficial to the Company than any alternative.</w:t>
      </w:r>
    </w:p>
    <w:p>
      <w:pPr>
        <w:spacing w:after="0" w:line="385"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8" w:right="359" w:bottom="1440" w:gutter="0" w:footer="0" w:header="0"/>
        </w:sectPr>
      </w:pPr>
    </w:p>
    <w:bookmarkStart w:id="26" w:name="page27"/>
    <w:bookmarkEnd w:id="26"/>
    <w:p>
      <w:pPr>
        <w:ind w:firstLine="656"/>
        <w:spacing w:after="0" w:line="271" w:lineRule="auto"/>
        <w:tabs>
          <w:tab w:leader="none" w:pos="1410"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Maintenance of Funds in the Trust Account</w:t>
      </w:r>
      <w:r>
        <w:rPr>
          <w:rFonts w:ascii="Arial" w:cs="Arial" w:eastAsia="Arial" w:hAnsi="Arial"/>
          <w:sz w:val="19"/>
          <w:szCs w:val="19"/>
          <w:color w:val="auto"/>
        </w:rPr>
        <w:t>. During the period prior to the Company’s initial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Combination or Liquidation, the Company may instruct the trustee under the Trust Agreement to release from the Trust Account funds (i) solely from interest income earned on the funds held in the Trust Account, the amounts necessary to pay taxes and (ii) to Public Shareholders who properly redeem their Offered Securities in connection with a vote to approve an amendment to the Amended and Restated Memorandum and Articles of Association (A) that would modify the substance or timing of the Company’s obligation to provide holders of Class A Ordinary Shares the right to have their shares redeemed in connection with the Company’s initial Business Combination or to redeem 100% of the Offered Securities if the Company does not complete its initial Business Combination within 24 months from the closing of the Offering (or such later date as may be approved by the Company’s shareholders) or (B) with respect to any other provision relating to the rights of holders of the Class A Ordinary Shares. Otherwise, all funds held in the Trust Account (including any interest income earned on the amounts held in the Trust Account (which interest shall be net of taxes payable)) will remain in the Trust Account until the earlier of the consummation of the Company’s initial Business Combination and the Liquidation;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91" w:lineRule="exact"/>
        <w:rPr>
          <w:rFonts w:ascii="Arial" w:cs="Arial" w:eastAsia="Arial" w:hAnsi="Arial"/>
          <w:sz w:val="19"/>
          <w:szCs w:val="19"/>
          <w:b w:val="1"/>
          <w:bCs w:val="1"/>
          <w:color w:val="auto"/>
        </w:rPr>
      </w:pPr>
    </w:p>
    <w:p>
      <w:pPr>
        <w:ind w:right="60" w:firstLine="656"/>
        <w:spacing w:after="0" w:line="272" w:lineRule="auto"/>
        <w:tabs>
          <w:tab w:leader="none" w:pos="1452" w:val="left"/>
        </w:tabs>
        <w:numPr>
          <w:ilvl w:val="0"/>
          <w:numId w:val="30"/>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Notification and Disclosure of Arrangements Relating to a Business Combination</w:t>
      </w:r>
      <w:r>
        <w:rPr>
          <w:rFonts w:ascii="Arial" w:cs="Arial" w:eastAsia="Arial" w:hAnsi="Arial"/>
          <w:sz w:val="19"/>
          <w:szCs w:val="19"/>
          <w:color w:val="auto"/>
        </w:rPr>
        <w:t>. For a period of 90 days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Representatives and their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prior to entering into the agreement or transaction;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Business Combination for purposes of offering redemption of shares held by its shareholders or for soliciting shareholder approval, as applicable.</w:t>
      </w:r>
    </w:p>
    <w:p>
      <w:pPr>
        <w:spacing w:after="0" w:line="187" w:lineRule="exact"/>
        <w:rPr>
          <w:rFonts w:ascii="Arial" w:cs="Arial" w:eastAsia="Arial" w:hAnsi="Arial"/>
          <w:sz w:val="19"/>
          <w:szCs w:val="19"/>
          <w:b w:val="1"/>
          <w:bCs w:val="1"/>
          <w:color w:val="auto"/>
        </w:rPr>
      </w:pPr>
    </w:p>
    <w:p>
      <w:pPr>
        <w:ind w:right="320" w:firstLine="656"/>
        <w:spacing w:after="0"/>
        <w:tabs>
          <w:tab w:leader="none" w:pos="1422"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FINRA Conflict of Interest</w:t>
      </w:r>
      <w:r>
        <w:rPr>
          <w:rFonts w:ascii="Arial" w:cs="Arial" w:eastAsia="Arial" w:hAnsi="Arial"/>
          <w:sz w:val="22"/>
          <w:szCs w:val="22"/>
          <w:color w:val="auto"/>
        </w:rPr>
        <w:t>. The Company shall advise FINRA, the Representatives and their counsel if it is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aware that any 5% or greater shareholder of the Company becomes an affiliate or associated person of a member of FINRA participating in the distribution of the Offered Securities.</w:t>
      </w:r>
    </w:p>
    <w:p>
      <w:pPr>
        <w:spacing w:after="0" w:line="213" w:lineRule="exact"/>
        <w:rPr>
          <w:sz w:val="20"/>
          <w:szCs w:val="20"/>
          <w:color w:val="auto"/>
        </w:rPr>
      </w:pPr>
    </w:p>
    <w:p>
      <w:pPr>
        <w:ind w:firstLine="648"/>
        <w:spacing w:after="0" w:line="274" w:lineRule="auto"/>
        <w:rPr>
          <w:sz w:val="20"/>
          <w:szCs w:val="20"/>
          <w:color w:val="auto"/>
        </w:rPr>
      </w:pPr>
      <w:r>
        <w:rPr>
          <w:rFonts w:ascii="Arial" w:cs="Arial" w:eastAsia="Arial" w:hAnsi="Arial"/>
          <w:sz w:val="21"/>
          <w:szCs w:val="21"/>
          <w:color w:val="auto"/>
        </w:rPr>
        <w:t>The Representatives, on behalf of the several Underwriters, may, in their sole discretion, waive in writing the performance by the Company of any one or more of the foregoing covenants or extend the time for their performance.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ind w:right="20" w:firstLine="1296"/>
        <w:spacing w:after="0" w:line="269" w:lineRule="auto"/>
        <w:rPr>
          <w:sz w:val="20"/>
          <w:szCs w:val="20"/>
          <w:color w:val="auto"/>
        </w:rPr>
      </w:pPr>
      <w:r>
        <w:rPr>
          <w:rFonts w:ascii="Arial" w:cs="Arial" w:eastAsia="Arial" w:hAnsi="Arial"/>
          <w:sz w:val="19"/>
          <w:szCs w:val="19"/>
          <w:b w:val="1"/>
          <w:bCs w:val="1"/>
          <w:color w:val="auto"/>
        </w:rPr>
        <w:t xml:space="preserve">Section 4. Payment of Expenses. </w:t>
      </w:r>
      <w:r>
        <w:rPr>
          <w:rFonts w:ascii="Arial" w:cs="Arial" w:eastAsia="Arial" w:hAnsi="Arial"/>
          <w:sz w:val="19"/>
          <w:szCs w:val="19"/>
          <w:color w:val="auto"/>
        </w:rPr>
        <w:t>The Company agrees to pay all costs, fees and expenses incurred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performance of its obligations hereunder and in connection with the transactions contemplated hereby, including without limitation (i) all expenses incident to the issuance and delivery of the Offered Securities (including all printing and engraving costs), (ii) all fees and expenses of the registrar and transfer agent of the Offered Securities, (iii) all necessary issue, transfer and other stamp taxes in connection with the issuance and sale of the Offered Securities to the Underwriters, (iv) all fees and expenses of the Company’s counsel, independent registered public accounting firm and other advisors, (v) all costs and expenses incurred in connection with the preparation, printing, filing, shipping and distribution of the Exchange Act Registration Statement and the Registration Statement (including financial statements, exhibits, schedules, consents and certificates of experts), the Time of Sale Prospectus, the Prospectus and each preliminary prospectus, each Permitted Section 5(d) Communication, and all amendments and supplements thereto, and this Agreement, (vi) all filing fees, attorneys’ fees and expenses incurred by the Company or the Underwriters in connection with qualifying or registering (or obtaining exemptions from the qualification or registration of) all or any part of the Offered Securities for offer and sale under the state securities or blue sky laws or the provincial securities laws of Canada, and, if requested by the Representatives, preparing and printing a “Blue Sky Survey” or memorandum and a “Canadian wrapper”, and any supplements thereto, advising the Underwriters of such qualifications, registrations and exemptions, in each case, to the extent reasonably requested, (vii) the fees and disbursements of counsel for the Underwriters in an amount not to exceed $25,000 in connection with, the required review by FINRA, (viii) the costs and expenses of the Company (and not the Representatives) relating to investor presentations on any Road Show, any Permitted Section 5(d) Communication or any Section 5(d) Oral Communication undertaken in connection with the Offering,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not the Representatives) and any such consultants, and half of the cost of any aircraft and any other transportation chartered in connection with the Road Show, (ix) the fees and expenses associated with listing the Offered Securities on Nasdaq, and (x) all other fees, costs and expenses of the nature referred to in Item 13 of Part II of the Registration Statement. Except as provided in this Section 4 or in Section 6, Section 8 or Section 9 hereof, the Underwriters shall pay their own expenses, including the fees and disbursements of their counsel.</w:t>
      </w:r>
    </w:p>
    <w:p>
      <w:pPr>
        <w:spacing w:after="0" w:line="200" w:lineRule="exact"/>
        <w:rPr>
          <w:sz w:val="20"/>
          <w:szCs w:val="20"/>
          <w:color w:val="auto"/>
        </w:rPr>
      </w:pPr>
    </w:p>
    <w:p>
      <w:pPr>
        <w:spacing w:after="0" w:line="239" w:lineRule="exact"/>
        <w:rPr>
          <w:sz w:val="20"/>
          <w:szCs w:val="20"/>
          <w:color w:val="auto"/>
        </w:rPr>
      </w:pPr>
    </w:p>
    <w:p>
      <w:pPr>
        <w:ind w:right="60" w:firstLine="1296"/>
        <w:spacing w:after="0" w:line="235" w:lineRule="auto"/>
        <w:rPr>
          <w:sz w:val="20"/>
          <w:szCs w:val="20"/>
          <w:color w:val="auto"/>
        </w:rPr>
      </w:pPr>
      <w:r>
        <w:rPr>
          <w:rFonts w:ascii="Arial" w:cs="Arial" w:eastAsia="Arial" w:hAnsi="Arial"/>
          <w:sz w:val="22"/>
          <w:szCs w:val="22"/>
          <w:b w:val="1"/>
          <w:bCs w:val="1"/>
          <w:color w:val="auto"/>
        </w:rPr>
        <w:t xml:space="preserve">Section 5. Conditions of the Obligations of the Underwriters. </w:t>
      </w:r>
      <w:r>
        <w:rPr>
          <w:rFonts w:ascii="Arial" w:cs="Arial" w:eastAsia="Arial" w:hAnsi="Arial"/>
          <w:sz w:val="22"/>
          <w:szCs w:val="22"/>
          <w:color w:val="auto"/>
        </w:rPr>
        <w:t>The respective obligations of the several</w:t>
      </w:r>
      <w:r>
        <w:rPr>
          <w:rFonts w:ascii="Arial" w:cs="Arial" w:eastAsia="Arial" w:hAnsi="Arial"/>
          <w:sz w:val="22"/>
          <w:szCs w:val="22"/>
          <w:b w:val="1"/>
          <w:bCs w:val="1"/>
          <w:color w:val="auto"/>
        </w:rPr>
        <w:t xml:space="preserve"> </w:t>
      </w:r>
      <w:r>
        <w:rPr>
          <w:rFonts w:ascii="Arial" w:cs="Arial" w:eastAsia="Arial" w:hAnsi="Arial"/>
          <w:sz w:val="22"/>
          <w:szCs w:val="22"/>
          <w:color w:val="auto"/>
        </w:rPr>
        <w:t>Underwriters hereunder to purchase and pay for the Offered Securities as provided herein on the First Closing Date and, with respect to the Optional Securities, each Option Closing Date, shall be subject to the accuracy of the representations and warranties on the part of the Company set forth in Section 1 hereof as of the date hereof and as of the First Closing Date as though then made and, with respect to the Optional Securities, as of each Option Closing Date as though then made, to the timely performance by the Company of its covenants and other obligations hereunder, and to each of the following additional conditions:</w:t>
      </w:r>
    </w:p>
    <w:p>
      <w:pPr>
        <w:spacing w:after="0" w:line="210" w:lineRule="exact"/>
        <w:rPr>
          <w:sz w:val="20"/>
          <w:szCs w:val="20"/>
          <w:color w:val="auto"/>
        </w:rPr>
      </w:pPr>
    </w:p>
    <w:p>
      <w:pPr>
        <w:ind w:firstLine="656"/>
        <w:spacing w:after="0" w:line="249" w:lineRule="auto"/>
        <w:tabs>
          <w:tab w:leader="none" w:pos="1440"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Comfort Letter</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On the date hereof, the Representatives shall have received from Withum, independent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registered public accountants for the Company, a letter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the Prospectus.</w:t>
      </w:r>
    </w:p>
    <w:p>
      <w:pPr>
        <w:spacing w:after="0" w:line="203" w:lineRule="exact"/>
        <w:rPr>
          <w:rFonts w:ascii="Arial" w:cs="Arial" w:eastAsia="Arial" w:hAnsi="Arial"/>
          <w:sz w:val="21"/>
          <w:szCs w:val="21"/>
          <w:b w:val="1"/>
          <w:bCs w:val="1"/>
          <w:color w:val="auto"/>
        </w:rPr>
      </w:pPr>
    </w:p>
    <w:p>
      <w:pPr>
        <w:ind w:left="1400" w:hanging="744"/>
        <w:spacing w:after="0"/>
        <w:tabs>
          <w:tab w:leader="none" w:pos="14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Compliance with Registration Requirements; No Stop Order; No Objection from FINRA.</w:t>
      </w:r>
    </w:p>
    <w:p>
      <w:pPr>
        <w:spacing w:after="0" w:line="233" w:lineRule="exact"/>
        <w:rPr>
          <w:rFonts w:ascii="Arial" w:cs="Arial" w:eastAsia="Arial" w:hAnsi="Arial"/>
          <w:sz w:val="22"/>
          <w:szCs w:val="22"/>
          <w:b w:val="1"/>
          <w:bCs w:val="1"/>
          <w:color w:val="auto"/>
        </w:rPr>
      </w:pPr>
    </w:p>
    <w:p>
      <w:pPr>
        <w:ind w:right="220" w:firstLine="1304"/>
        <w:spacing w:after="0"/>
        <w:tabs>
          <w:tab w:leader="none" w:pos="2094"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Company shall have filed the Prospectus with the Commission (including the information required by Rule 430A under the Securities Act) in the manner and within the time period required by Rule 424(b) under the Securities Act.</w:t>
      </w:r>
    </w:p>
    <w:p>
      <w:pPr>
        <w:spacing w:after="0" w:line="213" w:lineRule="exact"/>
        <w:rPr>
          <w:rFonts w:ascii="Arial" w:cs="Arial" w:eastAsia="Arial" w:hAnsi="Arial"/>
          <w:sz w:val="22"/>
          <w:szCs w:val="22"/>
          <w:color w:val="auto"/>
        </w:rPr>
      </w:pPr>
    </w:p>
    <w:p>
      <w:pPr>
        <w:ind w:right="420" w:firstLine="1304"/>
        <w:spacing w:after="0"/>
        <w:tabs>
          <w:tab w:leader="none" w:pos="210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213" w:lineRule="exact"/>
        <w:rPr>
          <w:rFonts w:ascii="Arial" w:cs="Arial" w:eastAsia="Arial" w:hAnsi="Arial"/>
          <w:sz w:val="22"/>
          <w:szCs w:val="22"/>
          <w:color w:val="auto"/>
        </w:rPr>
      </w:pPr>
    </w:p>
    <w:p>
      <w:pPr>
        <w:ind w:left="2120" w:hanging="816"/>
        <w:spacing w:after="0"/>
        <w:tabs>
          <w:tab w:leader="none" w:pos="2120" w:val="left"/>
        </w:tabs>
        <w:numPr>
          <w:ilvl w:val="1"/>
          <w:numId w:val="31"/>
        </w:numPr>
        <w:rPr>
          <w:rFonts w:ascii="Arial" w:cs="Arial" w:eastAsia="Arial" w:hAnsi="Arial"/>
          <w:sz w:val="19"/>
          <w:szCs w:val="19"/>
          <w:color w:val="auto"/>
        </w:rPr>
      </w:pPr>
      <w:r>
        <w:rPr>
          <w:rFonts w:ascii="Arial" w:cs="Arial" w:eastAsia="Arial" w:hAnsi="Arial"/>
          <w:sz w:val="19"/>
          <w:szCs w:val="19"/>
          <w:color w:val="auto"/>
        </w:rPr>
        <w:t>FINRA shall have raised no objection to the fairness and reasonableness of the underwriting terms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arrangements.</w:t>
      </w:r>
    </w:p>
    <w:p>
      <w:pPr>
        <w:sectPr>
          <w:pgSz w:w="11900" w:h="16838" w:orient="portrait"/>
          <w:cols w:equalWidth="0" w:num="1">
            <w:col w:w="11240"/>
          </w:cols>
          <w:pgMar w:left="320" w:top="11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8" w:name="page29"/>
    <w:bookmarkEnd w:id="28"/>
    <w:p>
      <w:pPr>
        <w:ind w:left="-20" w:right="60" w:firstLine="656"/>
        <w:spacing w:after="0" w:line="297" w:lineRule="auto"/>
        <w:tabs>
          <w:tab w:leader="none" w:pos="1408"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 Prevention or Suspension</w:t>
      </w:r>
      <w:r>
        <w:rPr>
          <w:rFonts w:ascii="Arial" w:cs="Arial" w:eastAsia="Arial" w:hAnsi="Arial"/>
          <w:sz w:val="19"/>
          <w:szCs w:val="19"/>
          <w:color w:val="auto"/>
        </w:rPr>
        <w:t>. No order preventing or suspending the sale of the Class A Ordinary Shares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any jurisdiction designated by the Representatives pursuant to Section 3(g) hereof shall have been issued as of the First Closing Date and each Option Closing Date, and no proceedings for that purpose shall have been instituted or shall have been threatened.</w:t>
      </w:r>
    </w:p>
    <w:p>
      <w:pPr>
        <w:spacing w:after="0" w:line="155" w:lineRule="exact"/>
        <w:rPr>
          <w:rFonts w:ascii="Arial" w:cs="Arial" w:eastAsia="Arial" w:hAnsi="Arial"/>
          <w:sz w:val="19"/>
          <w:szCs w:val="19"/>
          <w:b w:val="1"/>
          <w:bCs w:val="1"/>
          <w:color w:val="auto"/>
        </w:rPr>
      </w:pPr>
    </w:p>
    <w:p>
      <w:pPr>
        <w:ind w:left="-20" w:right="120" w:firstLine="656"/>
        <w:spacing w:after="0" w:line="300" w:lineRule="auto"/>
        <w:tabs>
          <w:tab w:leader="none" w:pos="1432"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 Material Adverse Effect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For the period from and after the date of this Agreement and through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the First Closing Date and, with respect to any Optional Securities purchased after the First Closing Date, each Option Closing Date, in the judgment of the Representatives, there shall not have been any Material Adverse Effect.</w:t>
      </w:r>
    </w:p>
    <w:p>
      <w:pPr>
        <w:spacing w:after="0" w:line="152" w:lineRule="exact"/>
        <w:rPr>
          <w:rFonts w:ascii="Arial" w:cs="Arial" w:eastAsia="Arial" w:hAnsi="Arial"/>
          <w:sz w:val="19"/>
          <w:szCs w:val="19"/>
          <w:b w:val="1"/>
          <w:bCs w:val="1"/>
          <w:color w:val="auto"/>
        </w:rPr>
      </w:pPr>
    </w:p>
    <w:p>
      <w:pPr>
        <w:ind w:left="-20" w:right="60" w:firstLine="656"/>
        <w:spacing w:after="0" w:line="243" w:lineRule="auto"/>
        <w:tabs>
          <w:tab w:leader="none" w:pos="1408"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Opinion of Counsel for the Company</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each of the First Closing Date and each Option Closing Date,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Representatives shall have received the opinion of Kirkland &amp; Ellis LLP, U.S. counsel for the Company, dated as of such date, in form and substance satisfactory to the Representatives.</w:t>
      </w:r>
    </w:p>
    <w:p>
      <w:pPr>
        <w:spacing w:after="0" w:line="203" w:lineRule="exact"/>
        <w:rPr>
          <w:rFonts w:ascii="Arial" w:cs="Arial" w:eastAsia="Arial" w:hAnsi="Arial"/>
          <w:sz w:val="22"/>
          <w:szCs w:val="22"/>
          <w:b w:val="1"/>
          <w:bCs w:val="1"/>
          <w:color w:val="auto"/>
        </w:rPr>
      </w:pPr>
    </w:p>
    <w:p>
      <w:pPr>
        <w:ind w:left="-20" w:right="80" w:firstLine="656"/>
        <w:spacing w:after="0" w:line="243" w:lineRule="auto"/>
        <w:tabs>
          <w:tab w:leader="none" w:pos="1384"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Opinion of Cayman Islands Counsel for the Company</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each of the First Closing Date and each Option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Closing Date the Representatives shall have received the opinion of Ogier, Cayman Islands counsel for the Company, dated as of such date, in form and substance satisfactory to the Representatives.</w:t>
      </w:r>
    </w:p>
    <w:p>
      <w:pPr>
        <w:spacing w:after="0" w:line="203" w:lineRule="exact"/>
        <w:rPr>
          <w:rFonts w:ascii="Arial" w:cs="Arial" w:eastAsia="Arial" w:hAnsi="Arial"/>
          <w:sz w:val="22"/>
          <w:szCs w:val="22"/>
          <w:b w:val="1"/>
          <w:bCs w:val="1"/>
          <w:color w:val="auto"/>
        </w:rPr>
      </w:pPr>
    </w:p>
    <w:p>
      <w:pPr>
        <w:ind w:left="-20" w:right="40" w:firstLine="656"/>
        <w:spacing w:after="0" w:line="289" w:lineRule="auto"/>
        <w:tabs>
          <w:tab w:leader="none" w:pos="1420" w:val="left"/>
        </w:tabs>
        <w:numPr>
          <w:ilvl w:val="0"/>
          <w:numId w:val="32"/>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Opinion of Counsel for the Underwriters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On each of the First Closing Date and each Option Closing Date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Representatives shall have received the opinion of Skadden, Arps, Slate, Meagher &amp; Flom LLP, counsel for the Underwriters in connection with the offer and sale of the Offered Securities, in form and substance satisfactory to the Representatives, dated as of such date, with executed copies for each of the other Underwriters named on the Prospectus cover page.</w:t>
      </w:r>
    </w:p>
    <w:p>
      <w:pPr>
        <w:spacing w:after="0" w:line="162" w:lineRule="exact"/>
        <w:rPr>
          <w:rFonts w:ascii="Arial" w:cs="Arial" w:eastAsia="Arial" w:hAnsi="Arial"/>
          <w:sz w:val="19"/>
          <w:szCs w:val="19"/>
          <w:b w:val="1"/>
          <w:bCs w:val="1"/>
          <w:color w:val="auto"/>
        </w:rPr>
      </w:pPr>
    </w:p>
    <w:p>
      <w:pPr>
        <w:ind w:left="-20" w:firstLine="656"/>
        <w:spacing w:after="0" w:line="243" w:lineRule="auto"/>
        <w:tabs>
          <w:tab w:leader="none" w:pos="1432"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Officers’ Certificate</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each of the First Closing Date and each Option Closing Date, the Representatives shall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have received a certificate executed by the Chief Executive Officer and the Chief Financial Officer of the Company, dated as of such date, to the effect set forth in Section 5(b)(ii) and further to the effect that:</w:t>
      </w:r>
    </w:p>
    <w:p>
      <w:pPr>
        <w:spacing w:after="0" w:line="209" w:lineRule="exact"/>
        <w:rPr>
          <w:rFonts w:ascii="Arial" w:cs="Arial" w:eastAsia="Arial" w:hAnsi="Arial"/>
          <w:sz w:val="22"/>
          <w:szCs w:val="22"/>
          <w:b w:val="1"/>
          <w:bCs w:val="1"/>
          <w:color w:val="auto"/>
        </w:rPr>
      </w:pPr>
    </w:p>
    <w:p>
      <w:pPr>
        <w:ind w:left="-20" w:right="240" w:firstLine="1304"/>
        <w:spacing w:after="0" w:line="250" w:lineRule="auto"/>
        <w:tabs>
          <w:tab w:leader="none" w:pos="20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for the period from and including the date of this Agreement through and including such date, there has been no Material Adverse Effect;</w:t>
      </w:r>
    </w:p>
    <w:p>
      <w:pPr>
        <w:spacing w:after="0" w:line="201" w:lineRule="exact"/>
        <w:rPr>
          <w:rFonts w:ascii="Arial" w:cs="Arial" w:eastAsia="Arial" w:hAnsi="Arial"/>
          <w:sz w:val="22"/>
          <w:szCs w:val="22"/>
          <w:color w:val="auto"/>
        </w:rPr>
      </w:pPr>
    </w:p>
    <w:p>
      <w:pPr>
        <w:ind w:left="-20" w:right="220" w:firstLine="1304"/>
        <w:spacing w:after="0" w:line="274" w:lineRule="auto"/>
        <w:tabs>
          <w:tab w:leader="none" w:pos="2080" w:val="left"/>
        </w:tabs>
        <w:numPr>
          <w:ilvl w:val="1"/>
          <w:numId w:val="32"/>
        </w:numPr>
        <w:rPr>
          <w:rFonts w:ascii="Arial" w:cs="Arial" w:eastAsia="Arial" w:hAnsi="Arial"/>
          <w:sz w:val="21"/>
          <w:szCs w:val="21"/>
          <w:color w:val="auto"/>
        </w:rPr>
      </w:pPr>
      <w:r>
        <w:rPr>
          <w:rFonts w:ascii="Arial" w:cs="Arial" w:eastAsia="Arial" w:hAnsi="Arial"/>
          <w:sz w:val="21"/>
          <w:szCs w:val="21"/>
          <w:color w:val="auto"/>
        </w:rPr>
        <w:t>the representations, warranties, and covenants of the Company set forth in Section 1 of this Agreement are true and correct with the same force and effect as though expressly made on and as of such date; and</w:t>
      </w:r>
    </w:p>
    <w:p>
      <w:pPr>
        <w:spacing w:after="0" w:line="177" w:lineRule="exact"/>
        <w:rPr>
          <w:rFonts w:ascii="Arial" w:cs="Arial" w:eastAsia="Arial" w:hAnsi="Arial"/>
          <w:sz w:val="21"/>
          <w:szCs w:val="21"/>
          <w:color w:val="auto"/>
        </w:rPr>
      </w:pPr>
    </w:p>
    <w:p>
      <w:pPr>
        <w:ind w:left="-20" w:firstLine="1304"/>
        <w:spacing w:after="0" w:line="250" w:lineRule="auto"/>
        <w:tabs>
          <w:tab w:leader="none" w:pos="2032"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Company has complied with all the agreements hereunder and satisfied all the conditions on its part to be performed or satisfied hereunder at or prior to such date.</w:t>
      </w:r>
    </w:p>
    <w:p>
      <w:pPr>
        <w:spacing w:after="0" w:line="201" w:lineRule="exact"/>
        <w:rPr>
          <w:rFonts w:ascii="Arial" w:cs="Arial" w:eastAsia="Arial" w:hAnsi="Arial"/>
          <w:sz w:val="22"/>
          <w:szCs w:val="22"/>
          <w:color w:val="auto"/>
        </w:rPr>
      </w:pPr>
    </w:p>
    <w:p>
      <w:pPr>
        <w:ind w:left="-20" w:right="60" w:firstLine="656"/>
        <w:spacing w:after="0" w:line="234" w:lineRule="auto"/>
        <w:tabs>
          <w:tab w:leader="none" w:pos="1426"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Secretary’s Certificate</w:t>
      </w:r>
      <w:r>
        <w:rPr>
          <w:rFonts w:ascii="Arial" w:cs="Arial" w:eastAsia="Arial" w:hAnsi="Arial"/>
          <w:sz w:val="22"/>
          <w:szCs w:val="22"/>
          <w:color w:val="auto"/>
        </w:rPr>
        <w:t>. The Company shall have furnished to the Representatives a certificate signed by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Secretary or Assistant Secretary of the Company, dated the First Closing Date and each Option Closing Date, certifying (i) that the Amended and Restated Memorandum and Articles of Association are true and complete, have not been modified and are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29" w:name="page30"/>
    <w:bookmarkEnd w:id="29"/>
    <w:p>
      <w:pPr>
        <w:ind w:firstLine="656"/>
        <w:spacing w:after="0" w:line="249" w:lineRule="auto"/>
        <w:tabs>
          <w:tab w:leader="none" w:pos="1404" w:val="left"/>
        </w:tabs>
        <w:numPr>
          <w:ilvl w:val="0"/>
          <w:numId w:val="33"/>
        </w:numPr>
        <w:rPr>
          <w:rFonts w:ascii="Arial" w:cs="Arial" w:eastAsia="Arial" w:hAnsi="Arial"/>
          <w:sz w:val="21"/>
          <w:szCs w:val="21"/>
          <w:b w:val="1"/>
          <w:bCs w:val="1"/>
          <w:color w:val="auto"/>
        </w:rPr>
      </w:pPr>
      <w:r>
        <w:rPr>
          <w:rFonts w:ascii="Arial" w:cs="Arial" w:eastAsia="Arial" w:hAnsi="Arial"/>
          <w:sz w:val="21"/>
          <w:szCs w:val="21"/>
          <w:b w:val="1"/>
          <w:bCs w:val="1"/>
          <w:i w:val="1"/>
          <w:iCs w:val="1"/>
          <w:color w:val="auto"/>
        </w:rPr>
        <w:t>Bring-down Comfort Letter</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On each of the First Closing Date and each Option Closing Date,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Representatives shall have received from Withum, independent registered public accountants for the Company, a letter dated such date, in form and substance satisfactory to the Representatives, which letter shall: (i) reaffirm the statements made in the letter furnished by them pursuant to Section 5(a),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204" w:lineRule="exact"/>
        <w:rPr>
          <w:rFonts w:ascii="Arial" w:cs="Arial" w:eastAsia="Arial" w:hAnsi="Arial"/>
          <w:sz w:val="21"/>
          <w:szCs w:val="21"/>
          <w:b w:val="1"/>
          <w:bCs w:val="1"/>
          <w:color w:val="auto"/>
        </w:rPr>
      </w:pPr>
    </w:p>
    <w:p>
      <w:pPr>
        <w:ind w:right="60" w:firstLine="656"/>
        <w:spacing w:after="0" w:line="277" w:lineRule="auto"/>
        <w:tabs>
          <w:tab w:leader="none" w:pos="1398"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Transactional Documents</w:t>
      </w:r>
      <w:r>
        <w:rPr>
          <w:rFonts w:ascii="Arial" w:cs="Arial" w:eastAsia="Arial" w:hAnsi="Arial"/>
          <w:sz w:val="19"/>
          <w:szCs w:val="19"/>
          <w:color w:val="auto"/>
        </w:rPr>
        <w:t>. On or prior to the First Closing Date, the Company shall have delivered to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Representatives executed copies of the Trust Agreement, the Subscription Agreement, the Sponsor Shares Purchase Agreement, the Insider Letter, the Registration Rights Agreement and the Administrative Services Agreement, and each such agreement shall be in full force and effect on each of the First Closing Date and each Option Closing Date. With regard to the Insider Letter, if any additional persons shall become executive officers, directors or director nominees of the Company prior to the end of the Lock-up Period, the Company shall cause each such person, prior to or contemporaneously with their appointment or election as an executive officer, director or director nominee to execute a joinder to the Insider Letter.</w:t>
      </w:r>
    </w:p>
    <w:p>
      <w:pPr>
        <w:spacing w:after="0" w:line="178" w:lineRule="exact"/>
        <w:rPr>
          <w:rFonts w:ascii="Arial" w:cs="Arial" w:eastAsia="Arial" w:hAnsi="Arial"/>
          <w:sz w:val="19"/>
          <w:szCs w:val="19"/>
          <w:b w:val="1"/>
          <w:bCs w:val="1"/>
          <w:color w:val="auto"/>
        </w:rPr>
      </w:pPr>
    </w:p>
    <w:p>
      <w:pPr>
        <w:ind w:right="20" w:firstLine="656"/>
        <w:spacing w:after="0" w:line="279" w:lineRule="auto"/>
        <w:tabs>
          <w:tab w:leader="none" w:pos="1446"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Deposit to the Trust Account</w:t>
      </w:r>
      <w:r>
        <w:rPr>
          <w:rFonts w:ascii="Arial" w:cs="Arial" w:eastAsia="Arial" w:hAnsi="Arial"/>
          <w:sz w:val="19"/>
          <w:szCs w:val="19"/>
          <w:color w:val="auto"/>
        </w:rPr>
        <w:t>. The Sponsor (at least one business day prior to the First Closing Date and each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Option Closing Date), shall have caused proceeds from the sale of the Sponsor Shares to be deposited into the Trust Account so that together with proceeds for the Firm Securities (including the Deferred Discount), or with respect to the Optional Securities, proceeds from the Optional Securities (including the Deferred Discount), the aggregate amount of money deposited into the Trust Account would equal the product of the number of Class A Ordinary Shares issued and the public offering price per Class A Ordinary Share as set forth on the cover of the Prospectus.</w:t>
      </w:r>
    </w:p>
    <w:p>
      <w:pPr>
        <w:spacing w:after="0" w:line="171" w:lineRule="exact"/>
        <w:rPr>
          <w:rFonts w:ascii="Arial" w:cs="Arial" w:eastAsia="Arial" w:hAnsi="Arial"/>
          <w:sz w:val="19"/>
          <w:szCs w:val="19"/>
          <w:b w:val="1"/>
          <w:bCs w:val="1"/>
          <w:color w:val="auto"/>
        </w:rPr>
      </w:pPr>
    </w:p>
    <w:p>
      <w:pPr>
        <w:ind w:right="380" w:firstLine="656"/>
        <w:spacing w:after="0" w:line="300" w:lineRule="auto"/>
        <w:tabs>
          <w:tab w:leader="none" w:pos="1404"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Rule 462(b) Registration Statement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 the event that a Rule 462(b) Registration Statement is filed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connection with the Offering contemplated by this Agreement, such Rule 462(b) Registration Statement shall have been filed with the Commission on the date of this Agreement and shall have become effective automatically upon such filing.</w:t>
      </w:r>
    </w:p>
    <w:p>
      <w:pPr>
        <w:spacing w:after="0" w:line="158" w:lineRule="exact"/>
        <w:rPr>
          <w:rFonts w:ascii="Arial" w:cs="Arial" w:eastAsia="Arial" w:hAnsi="Arial"/>
          <w:sz w:val="19"/>
          <w:szCs w:val="19"/>
          <w:b w:val="1"/>
          <w:bCs w:val="1"/>
          <w:color w:val="auto"/>
        </w:rPr>
      </w:pPr>
    </w:p>
    <w:p>
      <w:pPr>
        <w:ind w:right="280" w:firstLine="656"/>
        <w:spacing w:after="0" w:line="250" w:lineRule="auto"/>
        <w:tabs>
          <w:tab w:leader="none" w:pos="1452"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Approval of Listing</w:t>
      </w:r>
      <w:r>
        <w:rPr>
          <w:rFonts w:ascii="Arial" w:cs="Arial" w:eastAsia="Arial" w:hAnsi="Arial"/>
          <w:sz w:val="22"/>
          <w:szCs w:val="22"/>
          <w:color w:val="auto"/>
        </w:rPr>
        <w:t>. At the First Closing Date, the Offered Securities shall have been approved for listing 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Nasdaq, subject only to official notice of issuance.</w:t>
      </w:r>
    </w:p>
    <w:p>
      <w:pPr>
        <w:spacing w:after="0" w:line="201" w:lineRule="exact"/>
        <w:rPr>
          <w:rFonts w:ascii="Arial" w:cs="Arial" w:eastAsia="Arial" w:hAnsi="Arial"/>
          <w:sz w:val="22"/>
          <w:szCs w:val="22"/>
          <w:b w:val="1"/>
          <w:bCs w:val="1"/>
          <w:color w:val="auto"/>
        </w:rPr>
      </w:pPr>
    </w:p>
    <w:p>
      <w:pPr>
        <w:ind w:right="20" w:firstLine="656"/>
        <w:spacing w:after="0" w:line="277" w:lineRule="auto"/>
        <w:tabs>
          <w:tab w:leader="none" w:pos="144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Additional Documents</w:t>
      </w:r>
      <w:r>
        <w:rPr>
          <w:rFonts w:ascii="Arial" w:cs="Arial" w:eastAsia="Arial" w:hAnsi="Arial"/>
          <w:sz w:val="19"/>
          <w:szCs w:val="19"/>
          <w:color w:val="auto"/>
        </w:rPr>
        <w:t>. On or before each of the First Closing Date and each Option Closing Date,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Representatives and counsel for the Underwriters shall have received such information, documents and opinions as they may reasonably request for the purposes of enabling them to pass upon the issuance and sale of the Offered Securities as contemplated herein, or in order to evidence the accuracy of any of the representations and warranties, or the satisfaction of any of the conditions or agreements, herein contained; and all proceedings taken by the Company in connection with the issuance and sale of the Offered Securities as contemplated herein and in connection with the other transactions contemplated by this Agreement shall be satisfactory in form and substance to the Representatives and counsel for the Underwriters.</w:t>
      </w:r>
    </w:p>
    <w:p>
      <w:pPr>
        <w:spacing w:after="0" w:line="179" w:lineRule="exact"/>
        <w:rPr>
          <w:sz w:val="20"/>
          <w:szCs w:val="20"/>
          <w:color w:val="auto"/>
        </w:rPr>
      </w:pPr>
    </w:p>
    <w:p>
      <w:pPr>
        <w:ind w:right="80" w:firstLine="648"/>
        <w:spacing w:after="0" w:line="249" w:lineRule="auto"/>
        <w:rPr>
          <w:sz w:val="20"/>
          <w:szCs w:val="20"/>
          <w:color w:val="auto"/>
        </w:rPr>
      </w:pPr>
      <w:r>
        <w:rPr>
          <w:rFonts w:ascii="Arial" w:cs="Arial" w:eastAsia="Arial" w:hAnsi="Arial"/>
          <w:sz w:val="21"/>
          <w:szCs w:val="21"/>
          <w:color w:val="auto"/>
        </w:rPr>
        <w:t>If any condition specified in this Section 5 is not satisfied when and as required to be satisfied, this Agreement may be terminated by the Representatives by notice from the Representatives to the Company at any time on or prior to the First Closing Date and, with respect to the Optional Securities, at any time on or prior to the applicable Option Closing Date, which termination shall be without liability on the part of any party to any other party, except that Section 4, Section 6, Section 8 and Section 9 shall at all times be effective and shall survive such termination.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0" w:name="page31"/>
    <w:bookmarkEnd w:id="30"/>
    <w:p>
      <w:pPr>
        <w:ind w:right="60" w:firstLine="1296"/>
        <w:spacing w:after="0" w:line="276" w:lineRule="auto"/>
        <w:rPr>
          <w:sz w:val="20"/>
          <w:szCs w:val="20"/>
          <w:color w:val="auto"/>
        </w:rPr>
      </w:pPr>
      <w:r>
        <w:rPr>
          <w:rFonts w:ascii="Arial" w:cs="Arial" w:eastAsia="Arial" w:hAnsi="Arial"/>
          <w:sz w:val="19"/>
          <w:szCs w:val="19"/>
          <w:b w:val="1"/>
          <w:bCs w:val="1"/>
          <w:color w:val="auto"/>
        </w:rPr>
        <w:t>Section 6. Reimbursement of Underwriters’ Expenses</w:t>
      </w:r>
      <w:r>
        <w:rPr>
          <w:rFonts w:ascii="Arial" w:cs="Arial" w:eastAsia="Arial" w:hAnsi="Arial"/>
          <w:sz w:val="19"/>
          <w:szCs w:val="19"/>
          <w:color w:val="auto"/>
        </w:rPr>
        <w:t>. If this Agreement is terminated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pursuant to Section 5, Section 10 or Section 11, or if the sale to the Underwriters of the Offered Securities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out-of-pocket expenses that shall have been reasonably incurred by the Representatives and the Underwriters in connection with the proposed purchase and the Offering and sale of the Offered Securities, including, but not limited to, reasonable fees and disbursements of counsel, printing expenses, travel expenses, postage, facsimile and telephone charges.</w:t>
      </w:r>
    </w:p>
    <w:p>
      <w:pPr>
        <w:spacing w:after="0" w:line="177" w:lineRule="exact"/>
        <w:rPr>
          <w:sz w:val="20"/>
          <w:szCs w:val="20"/>
          <w:color w:val="auto"/>
        </w:rPr>
      </w:pPr>
    </w:p>
    <w:p>
      <w:pPr>
        <w:ind w:right="340" w:firstLine="1296"/>
        <w:spacing w:after="0" w:line="256" w:lineRule="auto"/>
        <w:rPr>
          <w:sz w:val="20"/>
          <w:szCs w:val="20"/>
          <w:color w:val="auto"/>
        </w:rPr>
      </w:pPr>
      <w:r>
        <w:rPr>
          <w:rFonts w:ascii="Arial" w:cs="Arial" w:eastAsia="Arial" w:hAnsi="Arial"/>
          <w:sz w:val="22"/>
          <w:szCs w:val="22"/>
          <w:b w:val="1"/>
          <w:bCs w:val="1"/>
          <w:color w:val="auto"/>
        </w:rPr>
        <w:t>Section 7. Effectiveness of this Agreement</w:t>
      </w:r>
      <w:r>
        <w:rPr>
          <w:rFonts w:ascii="Arial" w:cs="Arial" w:eastAsia="Arial" w:hAnsi="Arial"/>
          <w:sz w:val="22"/>
          <w:szCs w:val="22"/>
          <w:color w:val="auto"/>
        </w:rPr>
        <w:t>. This Agreement shall become effective upon the execution</w:t>
      </w:r>
      <w:r>
        <w:rPr>
          <w:rFonts w:ascii="Arial" w:cs="Arial" w:eastAsia="Arial" w:hAnsi="Arial"/>
          <w:sz w:val="22"/>
          <w:szCs w:val="22"/>
          <w:b w:val="1"/>
          <w:bCs w:val="1"/>
          <w:color w:val="auto"/>
        </w:rPr>
        <w:t xml:space="preserve"> </w:t>
      </w:r>
      <w:r>
        <w:rPr>
          <w:rFonts w:ascii="Arial" w:cs="Arial" w:eastAsia="Arial" w:hAnsi="Arial"/>
          <w:sz w:val="22"/>
          <w:szCs w:val="22"/>
          <w:color w:val="auto"/>
        </w:rPr>
        <w:t>and delivery hereof by the parties hereto.</w:t>
      </w:r>
    </w:p>
    <w:p>
      <w:pPr>
        <w:spacing w:after="0" w:line="189"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2"/>
          <w:szCs w:val="22"/>
          <w:b w:val="1"/>
          <w:bCs w:val="1"/>
          <w:color w:val="auto"/>
        </w:rPr>
        <w:t>Section 8.</w:t>
      </w:r>
      <w:r>
        <w:rPr>
          <w:sz w:val="20"/>
          <w:szCs w:val="20"/>
          <w:color w:val="auto"/>
        </w:rPr>
        <w:tab/>
      </w:r>
      <w:r>
        <w:rPr>
          <w:rFonts w:ascii="Arial" w:cs="Arial" w:eastAsia="Arial" w:hAnsi="Arial"/>
          <w:sz w:val="19"/>
          <w:szCs w:val="19"/>
          <w:b w:val="1"/>
          <w:bCs w:val="1"/>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69" w:lineRule="auto"/>
        <w:tabs>
          <w:tab w:leader="none" w:pos="144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Indemnification of the Underwriters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Company agrees to indemnify and hold harmless each Underwriter,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its affiliates, directors, 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foreign jurisdictions where Offered Securities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amendment or supplement to the foregoing), or the omission or alleged omission to state therein a material fact necessary in order to make the statements, in the light of the circumstances under which they were made, not misleading; or (iii) any act or failure to act or any alleged act or failure to act by any Underwriter in connection with, or relating in any manner to, the securities of the Company or the Offering contemplated hereby, and which is included as part of or referred to in any loss, claim, damage, liability or action arising out of or based upon any matter covered by clause (i) or (ii) above; and to reimburse each Underwriter and each such affiliate, director, officer, employee, agent and controlling person for any and all expenses (including the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 Prospectus, any Marketing Material, any Section 5(d) Written Communication or the Prospectus (or any amendment or supplement thereto), it being understood and agreed that the only such information consists of the information described in Section 8(b) below. The indemnity agreement set forth in this Section 8(a) shall be in addition to any liabilities that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1" w:name="page32"/>
    <w:bookmarkEnd w:id="31"/>
    <w:p>
      <w:pPr>
        <w:ind w:left="-20" w:firstLine="656"/>
        <w:spacing w:after="0" w:line="269" w:lineRule="auto"/>
        <w:tabs>
          <w:tab w:leader="none" w:pos="1432" w:val="left"/>
        </w:tabs>
        <w:numPr>
          <w:ilvl w:val="0"/>
          <w:numId w:val="3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Indemnification of the Company, its Directors and Officers</w:t>
      </w:r>
      <w:r>
        <w:rPr>
          <w:rFonts w:ascii="Arial" w:cs="Arial" w:eastAsia="Arial" w:hAnsi="Arial"/>
          <w:sz w:val="19"/>
          <w:szCs w:val="19"/>
          <w:color w:val="auto"/>
        </w:rPr>
        <w:t>. Each Underwriter agrees, severally and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jointly,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the offered securities have been offered or sold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Marketing Material, any Section 5(d) Written Communication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Marketing Material, such Section 5(d) Written Communication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expenses (including the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Marketing Material, any Section 5(d) Written Communication or the Prospectus (or any amendment or supplement to the foregoing) are the following statements set forth under the heading “Underwriting”: (x) the list of Underwriters and their respective roles and participation in the sale of the Offered Securities, (y) the first sentence in the third paragraph, the third sentence in the fourth paragraph, the fifth paragraph (except for the last sentence therein), and (z) the first sentence in the first paragraph, the third sentence in the second paragraph and the first sentence in the sixth paragraph under the heading “Stabilization”, in the Preliminary Prospectus and the Prospectus. The indemnity agreement set forth in this Section 8(b) shall be in addition to any liabilities that each Underwriter may otherwise have.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32" w:name="page33"/>
    <w:bookmarkEnd w:id="32"/>
    <w:p>
      <w:pPr>
        <w:ind w:right="20" w:firstLine="656"/>
        <w:spacing w:after="0" w:line="269" w:lineRule="auto"/>
        <w:tabs>
          <w:tab w:leader="none" w:pos="1428"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Notifications and Other Indemnification Procedures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Promptly after receipt by an indemnified party under this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Section 8 of notice of the commencement of any action, such indemnified party will, if a claim in respect thereof is to be made against an indemnifying party under this Section 8, notify the indemnifying party in writing of the commencement thereof, but the omission to so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8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Representatives (in the case of counsel for the indemnified parties referred to in Section 8(a) above) or by the Company (in the case of counsel for the indemnified parties referred to in Section 8(b)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rFonts w:ascii="Arial" w:cs="Arial" w:eastAsia="Arial" w:hAnsi="Arial"/>
          <w:sz w:val="19"/>
          <w:szCs w:val="19"/>
          <w:b w:val="1"/>
          <w:bCs w:val="1"/>
          <w:color w:val="auto"/>
        </w:rPr>
      </w:pPr>
    </w:p>
    <w:p>
      <w:pPr>
        <w:spacing w:after="0" w:line="233" w:lineRule="exact"/>
        <w:rPr>
          <w:rFonts w:ascii="Arial" w:cs="Arial" w:eastAsia="Arial" w:hAnsi="Arial"/>
          <w:sz w:val="19"/>
          <w:szCs w:val="19"/>
          <w:b w:val="1"/>
          <w:bCs w:val="1"/>
          <w:color w:val="auto"/>
        </w:rPr>
      </w:pPr>
    </w:p>
    <w:p>
      <w:pPr>
        <w:ind w:firstLine="656"/>
        <w:spacing w:after="0" w:line="272" w:lineRule="auto"/>
        <w:tabs>
          <w:tab w:leader="none" w:pos="1452"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Settlements</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indemnifying party under this Section 8 shall not be liable for any settlement of any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8(c) hereof, the indemnifying party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200" w:lineRule="exact"/>
        <w:rPr>
          <w:sz w:val="20"/>
          <w:szCs w:val="20"/>
          <w:color w:val="auto"/>
        </w:rPr>
      </w:pPr>
    </w:p>
    <w:p>
      <w:pPr>
        <w:spacing w:after="0" w:line="226" w:lineRule="exact"/>
        <w:rPr>
          <w:sz w:val="20"/>
          <w:szCs w:val="20"/>
          <w:color w:val="auto"/>
        </w:rPr>
      </w:pPr>
    </w:p>
    <w:p>
      <w:pPr>
        <w:ind w:right="20" w:firstLine="1296"/>
        <w:spacing w:after="0" w:line="270" w:lineRule="auto"/>
        <w:rPr>
          <w:sz w:val="20"/>
          <w:szCs w:val="20"/>
          <w:color w:val="auto"/>
        </w:rPr>
      </w:pPr>
      <w:r>
        <w:rPr>
          <w:rFonts w:ascii="Arial" w:cs="Arial" w:eastAsia="Arial" w:hAnsi="Arial"/>
          <w:sz w:val="19"/>
          <w:szCs w:val="19"/>
          <w:b w:val="1"/>
          <w:bCs w:val="1"/>
          <w:color w:val="auto"/>
        </w:rPr>
        <w:t>Section 9. Contribution</w:t>
      </w:r>
      <w:r>
        <w:rPr>
          <w:rFonts w:ascii="Arial" w:cs="Arial" w:eastAsia="Arial" w:hAnsi="Arial"/>
          <w:sz w:val="19"/>
          <w:szCs w:val="19"/>
          <w:color w:val="auto"/>
        </w:rPr>
        <w:t>. If the indemnification provided for in Section 8 is for any reason held to be</w:t>
      </w:r>
      <w:r>
        <w:rPr>
          <w:rFonts w:ascii="Arial" w:cs="Arial" w:eastAsia="Arial" w:hAnsi="Arial"/>
          <w:sz w:val="19"/>
          <w:szCs w:val="19"/>
          <w:b w:val="1"/>
          <w:bCs w:val="1"/>
          <w:color w:val="auto"/>
        </w:rPr>
        <w:t xml:space="preserve"> </w:t>
      </w:r>
      <w:r>
        <w:rPr>
          <w:rFonts w:ascii="Arial" w:cs="Arial" w:eastAsia="Arial" w:hAnsi="Arial"/>
          <w:sz w:val="19"/>
          <w:szCs w:val="19"/>
          <w:color w:val="auto"/>
        </w:rPr>
        <w:t>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pursuant to this Agreement shall be deemed to be in the same respective proportions as the total net proceeds from the Offering pursuant to this Agreement (before deducting expenses) received by the Company, and the total underwriting discounts and commissions received by the Underwriters, in each case as set forth on the front cover page of the Prospectus, bear to the aggregate initial public offering price of the Offered Securities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ectPr>
          <w:pgSz w:w="11900" w:h="16838" w:orient="portrait"/>
          <w:cols w:equalWidth="0" w:num="1">
            <w:col w:w="11240"/>
          </w:cols>
          <w:pgMar w:left="320" w:top="111" w:right="339" w:bottom="287"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287" w:gutter="0" w:footer="0" w:header="0"/>
          <w:type w:val="continuous"/>
        </w:sectPr>
      </w:pPr>
    </w:p>
    <w:bookmarkStart w:id="33" w:name="page34"/>
    <w:bookmarkEnd w:id="33"/>
    <w:p>
      <w:pPr>
        <w:ind w:right="20" w:firstLine="648"/>
        <w:spacing w:after="0" w:line="248" w:lineRule="auto"/>
        <w:rPr>
          <w:sz w:val="20"/>
          <w:szCs w:val="20"/>
          <w:color w:val="auto"/>
        </w:rPr>
      </w:pPr>
      <w:r>
        <w:rPr>
          <w:rFonts w:ascii="Arial" w:cs="Arial" w:eastAsia="Arial" w:hAnsi="Arial"/>
          <w:sz w:val="21"/>
          <w:szCs w:val="21"/>
          <w:color w:val="auto"/>
        </w:rPr>
        <w:t xml:space="preserve">The amount paid or payable by a party as a result of the losses, claims, damages, liabilities and expenses referred to above shall be deemed to include, subject to the limitations set forth in Section 8(c), any legal or other fees or expenses reasonably incurred by such party in connection with investigating or defending any action or claim. The provisions set forth in Section 8(c) with respect to notice of commencement of any action shall apply if a claim for contribution is to be made under this Section 9;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no additional notice shall be required with respect to any action for which notice has been given under</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8(c) for purposes of indemnification.</w:t>
      </w:r>
    </w:p>
    <w:p>
      <w:pPr>
        <w:spacing w:after="0" w:line="204"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The Company and the Underwriters agree that it would not be just and equitable if contribution pursuant to this Section 9 were determined by pro rata allocation (even if the Underwriters were treated as one entity for such purpose) or by any other method of allocation which does not take account of the equitable considerations referred to in this Section 9.</w:t>
      </w:r>
    </w:p>
    <w:p>
      <w:pPr>
        <w:spacing w:after="0" w:line="161"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 xml:space="preserve">Notwithstanding the provisions of this Section 9, no Underwriter shall be required to contribute any amount in excess of the underwriting discounts and commissions received by such Underwriter in connection with the Offered Securities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9 are several, and not joint, in proportion to their respective underwriting commitments as set forth opposite their respective names on </w:t>
      </w:r>
      <w:r>
        <w:rPr>
          <w:rFonts w:ascii="Arial" w:cs="Arial" w:eastAsia="Arial" w:hAnsi="Arial"/>
          <w:sz w:val="21"/>
          <w:szCs w:val="21"/>
          <w:u w:val="single" w:color="auto"/>
          <w:color w:val="auto"/>
        </w:rPr>
        <w:t>Schedule A</w:t>
      </w:r>
      <w:r>
        <w:rPr>
          <w:rFonts w:ascii="Arial" w:cs="Arial" w:eastAsia="Arial" w:hAnsi="Arial"/>
          <w:sz w:val="21"/>
          <w:szCs w:val="21"/>
          <w:color w:val="auto"/>
        </w:rPr>
        <w:t>. For purposes of this Section 9,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209" w:lineRule="exact"/>
        <w:rPr>
          <w:sz w:val="20"/>
          <w:szCs w:val="20"/>
          <w:color w:val="auto"/>
        </w:rPr>
      </w:pPr>
    </w:p>
    <w:p>
      <w:pPr>
        <w:ind w:right="20" w:firstLine="1296"/>
        <w:spacing w:after="0" w:line="270" w:lineRule="auto"/>
        <w:rPr>
          <w:sz w:val="20"/>
          <w:szCs w:val="20"/>
          <w:color w:val="auto"/>
        </w:rPr>
      </w:pPr>
      <w:r>
        <w:rPr>
          <w:rFonts w:ascii="Arial" w:cs="Arial" w:eastAsia="Arial" w:hAnsi="Arial"/>
          <w:sz w:val="19"/>
          <w:szCs w:val="19"/>
          <w:b w:val="1"/>
          <w:bCs w:val="1"/>
          <w:color w:val="auto"/>
        </w:rPr>
        <w:t>Section 10. Default of One or More of the Several Underwriters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If, on the First Closing Date or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Option Closing Date any one or more of the several Underwriters shall fail or refuse to purchase Offered Securities that it has or they have agreed to purchase hereunder on such date, and the aggregate number of Offered Securities which such defaulting Underwriter or Underwriters agreed but failed or refused to purchase does not exceed 10% of the aggregate number of the Offered Securities to be purchased on such date, the Representatives may make arrangements satisfactory to the Company for the purchase of such Offered Securities by other persons, including any of the Underwriters, but if no such arrangements are made by such date, the other Underwriters shall be obligated, severally and not jointly, in the proportions that the number of Firm Securities set forth opposite their respective names on </w:t>
      </w:r>
      <w:r>
        <w:rPr>
          <w:rFonts w:ascii="Arial" w:cs="Arial" w:eastAsia="Arial" w:hAnsi="Arial"/>
          <w:sz w:val="19"/>
          <w:szCs w:val="19"/>
          <w:u w:val="single" w:color="auto"/>
          <w:color w:val="auto"/>
        </w:rPr>
        <w:t>Schedule A</w:t>
      </w:r>
      <w:r>
        <w:rPr>
          <w:rFonts w:ascii="Arial" w:cs="Arial" w:eastAsia="Arial" w:hAnsi="Arial"/>
          <w:sz w:val="19"/>
          <w:szCs w:val="19"/>
          <w:color w:val="auto"/>
        </w:rPr>
        <w:t xml:space="preserve"> bears to the aggregate number of Firm Securities set forth opposite the names of all such non-defaulting Underwriters, or in such other proportions as may be specified by the Representatives with the consent of the non-defaulting Underwriters, to purchase the Offered Securities which such defaulting Underwriter or Underwriters agreed but failed or refused to purchase on such date. If, on the First Closing Date or any Option Closing Date any one or more of the Underwriters shall fail or refuse to purchase Offered Securities and the aggregate number of Offered Securities with respect to which such default occurs exceeds 10% of the aggregate number of Offered Securities to be purchased on such date, and arrangements satisfactory to the Representatives and the Company for the purchase of such Offered Securities are not made within 48 hours after such default, this Agreement shall terminate without liability of any party to any other party except that the provisions of Section 4, Section 6, Section 8 and Section 9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ind w:right="320" w:firstLine="648"/>
        <w:spacing w:after="0" w:line="243" w:lineRule="auto"/>
        <w:rPr>
          <w:sz w:val="20"/>
          <w:szCs w:val="20"/>
          <w:color w:val="auto"/>
        </w:rPr>
      </w:pPr>
      <w:r>
        <w:rPr>
          <w:rFonts w:ascii="Arial" w:cs="Arial" w:eastAsia="Arial" w:hAnsi="Arial"/>
          <w:sz w:val="22"/>
          <w:szCs w:val="22"/>
          <w:color w:val="auto"/>
        </w:rPr>
        <w:t>As used in this Agreement, the term “</w:t>
      </w:r>
      <w:r>
        <w:rPr>
          <w:rFonts w:ascii="Arial" w:cs="Arial" w:eastAsia="Arial" w:hAnsi="Arial"/>
          <w:sz w:val="22"/>
          <w:szCs w:val="22"/>
          <w:b w:val="1"/>
          <w:bCs w:val="1"/>
          <w:color w:val="auto"/>
        </w:rPr>
        <w:t>Underwriter</w:t>
      </w:r>
      <w:r>
        <w:rPr>
          <w:rFonts w:ascii="Arial" w:cs="Arial" w:eastAsia="Arial" w:hAnsi="Arial"/>
          <w:sz w:val="22"/>
          <w:szCs w:val="22"/>
          <w:color w:val="auto"/>
        </w:rPr>
        <w:t>” shall be deemed to include any person substituted for a defaulting Underwriter under this Section 10. Any action taken under this Section 10 shall not relieve any defaulting Underwriter from liability in respect of any default of such Underwriter under this Agreement.</w:t>
      </w:r>
    </w:p>
    <w:p>
      <w:pPr>
        <w:spacing w:after="0" w:line="204"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b w:val="1"/>
          <w:bCs w:val="1"/>
          <w:color w:val="auto"/>
        </w:rPr>
        <w:t>Section 11. Termination of this Agreement</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purchase of the Firm Securities by the Underwriters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on the First Closing Date, this Agreement may be terminated by the Representatives by notice given to the Company if at any time: (i) trading or quotation in any of the Company’s securities shall have been suspended or limited by the Commission or by Nasdaq, or trading in securities generally on either Nasdaq or the NYSE shall have been suspended or limited, or minimum or maximum prices shall have been generally established on any of such stock exchanges; (ii) a general banking moratorium shall have been declared by either U.S. federal or New York state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Representatives is material and adverse and makes it impracticable to proceed with the offering or delivery of the Offered Securities in the manner and on the terms described in the Time of Sale Prospectus or the Prospectus or to enforce contracts for the sale of securities; (iv) in the judgment of the Representatives there shall have been any Material Adverse Effect; or (v) the Company shall have sustained a loss by strike, fire, flood, earthquake, accident or other calamity of such character as in the judgment of the Representatives may interfere materially with the conduct of the business and operations of the Company regardless of whether or not such loss shall have been insured. Any termination pursuant to this Section 11 shall be without liability on the part of (a) the Company to any Underwriter, except that the Company shall be obligated to reimburse the expenses of the Representatives and the Underwriters pursuant to Section 4 or Section 6 hereof or (b) any Underwriter to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provisions of Section 8 and Section 9 shall at all times be effective and shall survive such termination.</w:t>
      </w:r>
    </w:p>
    <w:p>
      <w:pPr>
        <w:spacing w:after="0" w:line="193"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b w:val="1"/>
          <w:bCs w:val="1"/>
          <w:color w:val="auto"/>
        </w:rPr>
        <w:t xml:space="preserve">Section 12. No Advisory or Fiduciary Relationship. </w:t>
      </w:r>
      <w:r>
        <w:rPr>
          <w:rFonts w:ascii="Arial" w:cs="Arial" w:eastAsia="Arial" w:hAnsi="Arial"/>
          <w:sz w:val="19"/>
          <w:szCs w:val="19"/>
          <w:color w:val="auto"/>
        </w:rPr>
        <w:t>The Company acknowledges and agrees that (a)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and sale of the Offered Securities pursuant to this Agreement, including the determination of the public offering price of the Offered Securities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shareholders, its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5" w:name="page36"/>
    <w:bookmarkEnd w:id="35"/>
    <w:p>
      <w:pPr>
        <w:ind w:right="20" w:firstLine="1296"/>
        <w:spacing w:after="0" w:line="249" w:lineRule="auto"/>
        <w:rPr>
          <w:sz w:val="20"/>
          <w:szCs w:val="20"/>
          <w:color w:val="auto"/>
        </w:rPr>
      </w:pPr>
      <w:r>
        <w:rPr>
          <w:rFonts w:ascii="Arial" w:cs="Arial" w:eastAsia="Arial" w:hAnsi="Arial"/>
          <w:sz w:val="21"/>
          <w:szCs w:val="21"/>
          <w:b w:val="1"/>
          <w:bCs w:val="1"/>
          <w:color w:val="auto"/>
        </w:rPr>
        <w:t>Section 13. Representations and Indemnities to Survive Delivery</w:t>
      </w:r>
      <w:r>
        <w:rPr>
          <w:rFonts w:ascii="Arial" w:cs="Arial" w:eastAsia="Arial" w:hAnsi="Arial"/>
          <w:sz w:val="21"/>
          <w:szCs w:val="2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respective indemnities, agreements,</w:t>
      </w:r>
      <w:r>
        <w:rPr>
          <w:rFonts w:ascii="Arial" w:cs="Arial" w:eastAsia="Arial" w:hAnsi="Arial"/>
          <w:sz w:val="21"/>
          <w:szCs w:val="21"/>
          <w:b w:val="1"/>
          <w:bCs w:val="1"/>
          <w:color w:val="auto"/>
        </w:rPr>
        <w:t xml:space="preserve"> </w:t>
      </w:r>
      <w:r>
        <w:rPr>
          <w:rFonts w:ascii="Arial" w:cs="Arial" w:eastAsia="Arial" w:hAnsi="Arial"/>
          <w:sz w:val="21"/>
          <w:szCs w:val="21"/>
          <w:color w:val="auto"/>
        </w:rPr>
        <w:t>representations, 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directors, employees, agents or any controlling person, as the case may be, and, anything herein to the contrary notwithstanding, will survive delivery of and payment for the Offered Securities sold hereunder and any termination of this Agreement.</w:t>
      </w:r>
    </w:p>
    <w:p>
      <w:pPr>
        <w:spacing w:after="0" w:line="198" w:lineRule="exact"/>
        <w:rPr>
          <w:sz w:val="20"/>
          <w:szCs w:val="20"/>
          <w:color w:val="auto"/>
        </w:rPr>
      </w:pPr>
    </w:p>
    <w:p>
      <w:pPr>
        <w:ind w:right="40" w:firstLine="1296"/>
        <w:spacing w:after="0" w:line="256" w:lineRule="auto"/>
        <w:rPr>
          <w:sz w:val="20"/>
          <w:szCs w:val="20"/>
          <w:color w:val="auto"/>
        </w:rPr>
      </w:pPr>
      <w:r>
        <w:rPr>
          <w:rFonts w:ascii="Arial" w:cs="Arial" w:eastAsia="Arial" w:hAnsi="Arial"/>
          <w:sz w:val="22"/>
          <w:szCs w:val="22"/>
          <w:b w:val="1"/>
          <w:bCs w:val="1"/>
          <w:color w:val="auto"/>
        </w:rPr>
        <w:t>Section 14. Notices</w:t>
      </w:r>
      <w:r>
        <w:rPr>
          <w:rFonts w:ascii="Arial" w:cs="Arial" w:eastAsia="Arial" w:hAnsi="Arial"/>
          <w:sz w:val="22"/>
          <w:szCs w:val="22"/>
          <w:color w:val="auto"/>
        </w:rPr>
        <w:t>. All communications hereunder shall be in writing and shall be mailed, hand delivered or</w:t>
      </w:r>
      <w:r>
        <w:rPr>
          <w:rFonts w:ascii="Arial" w:cs="Arial" w:eastAsia="Arial" w:hAnsi="Arial"/>
          <w:sz w:val="22"/>
          <w:szCs w:val="22"/>
          <w:b w:val="1"/>
          <w:bCs w:val="1"/>
          <w:color w:val="auto"/>
        </w:rPr>
        <w:t xml:space="preserve"> </w:t>
      </w:r>
      <w:r>
        <w:rPr>
          <w:rFonts w:ascii="Arial" w:cs="Arial" w:eastAsia="Arial" w:hAnsi="Arial"/>
          <w:sz w:val="22"/>
          <w:szCs w:val="22"/>
          <w:color w:val="auto"/>
        </w:rPr>
        <w:t>telecopied and confirmed to the parties hereto as follows:</w:t>
      </w:r>
    </w:p>
    <w:p>
      <w:pPr>
        <w:sectPr>
          <w:pgSz w:w="11900" w:h="16838" w:orient="portrait"/>
          <w:cols w:equalWidth="0" w:num="1">
            <w:col w:w="11240"/>
          </w:cols>
          <w:pgMar w:left="320" w:top="111" w:right="339" w:bottom="1440" w:gutter="0" w:footer="0" w:header="0"/>
        </w:sect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Representatives: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Facsimile: (646) 619-4437</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3100" w:space="720"/>
            <w:col w:w="7420"/>
          </w:cols>
          <w:pgMar w:left="320" w:top="111" w:right="339" w:bottom="1440" w:gutter="0" w:footer="0" w:header="0"/>
          <w:type w:val="continuous"/>
        </w:sectPr>
      </w:pPr>
    </w:p>
    <w:p>
      <w:pPr>
        <w:spacing w:after="0" w:line="2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New York, New York 10282</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Attention: Registration Department</w:t>
      </w:r>
    </w:p>
    <w:p>
      <w:pPr>
        <w:sectPr>
          <w:pgSz w:w="11900" w:h="16838" w:orient="portrait"/>
          <w:cols w:equalWidth="0" w:num="1">
            <w:col w:w="11240"/>
          </w:cols>
          <w:pgMar w:left="320" w:top="111" w:right="339" w:bottom="1440" w:gutter="0" w:footer="0" w:header="0"/>
          <w:type w:val="continuous"/>
        </w:sect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Skadden, Arps, Slate, Meagher &amp; Flom LLP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300 South Grand Avenue, Suite 3400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(213) 687-5600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Gregg A. Noel and Michael J. Mies</w:t>
      </w:r>
    </w:p>
    <w:p>
      <w:pPr>
        <w:spacing w:after="0" w:line="200" w:lineRule="exact"/>
        <w:rPr>
          <w:sz w:val="20"/>
          <w:szCs w:val="20"/>
          <w:color w:val="auto"/>
        </w:rPr>
      </w:pPr>
    </w:p>
    <w:p>
      <w:pPr>
        <w:sectPr>
          <w:pgSz w:w="11900" w:h="16838" w:orient="portrait"/>
          <w:cols w:equalWidth="0" w:num="2">
            <w:col w:w="3100" w:space="720"/>
            <w:col w:w="7420"/>
          </w:cols>
          <w:pgMar w:left="320" w:top="111" w:right="339" w:bottom="1440" w:gutter="0" w:footer="0" w:header="0"/>
          <w:type w:val="continuous"/>
        </w:sectPr>
      </w:pPr>
    </w:p>
    <w:p>
      <w:pPr>
        <w:spacing w:after="0" w:line="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ARYA Sciences Acquisition Corp III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51 Astor Place, 10</w:t>
      </w:r>
      <w:r>
        <w:rPr>
          <w:rFonts w:ascii="Arial" w:cs="Arial" w:eastAsia="Arial" w:hAnsi="Arial"/>
          <w:sz w:val="14"/>
          <w:szCs w:val="14"/>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(646) 205-5301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Adam Stone</w:t>
      </w:r>
    </w:p>
    <w:p>
      <w:pPr>
        <w:spacing w:after="0" w:line="200" w:lineRule="exact"/>
        <w:rPr>
          <w:sz w:val="20"/>
          <w:szCs w:val="20"/>
          <w:color w:val="auto"/>
        </w:rPr>
      </w:pPr>
    </w:p>
    <w:p>
      <w:pPr>
        <w:sectPr>
          <w:pgSz w:w="11900" w:h="16838" w:orient="portrait"/>
          <w:cols w:equalWidth="0" w:num="2">
            <w:col w:w="3100" w:space="720"/>
            <w:col w:w="7420"/>
          </w:cols>
          <w:pgMar w:left="320" w:top="111" w:right="339" w:bottom="1440" w:gutter="0" w:footer="0" w:header="0"/>
          <w:type w:val="continuous"/>
        </w:sectPr>
      </w:pP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446-4900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Christian O. Nagler and Ross M. Leff</w:t>
      </w:r>
    </w:p>
    <w:p>
      <w:pPr>
        <w:spacing w:after="0" w:line="200" w:lineRule="exact"/>
        <w:rPr>
          <w:sz w:val="20"/>
          <w:szCs w:val="20"/>
          <w:color w:val="auto"/>
        </w:rPr>
      </w:pPr>
    </w:p>
    <w:p>
      <w:pPr>
        <w:sectPr>
          <w:pgSz w:w="11900" w:h="16838" w:orient="portrait"/>
          <w:cols w:equalWidth="0" w:num="2">
            <w:col w:w="3100" w:space="720"/>
            <w:col w:w="7420"/>
          </w:cols>
          <w:pgMar w:left="320" w:top="111" w:right="3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Arial" w:cs="Arial" w:eastAsia="Arial" w:hAnsi="Arial"/>
          <w:sz w:val="22"/>
          <w:szCs w:val="22"/>
          <w:color w:val="auto"/>
        </w:rPr>
        <w:t>Any party hereto may change the address for receipt of communications by giving written notice to the others.</w:t>
      </w:r>
    </w:p>
    <w:p>
      <w:pPr>
        <w:spacing w:after="0" w:line="227" w:lineRule="exact"/>
        <w:rPr>
          <w:sz w:val="20"/>
          <w:szCs w:val="20"/>
          <w:color w:val="auto"/>
        </w:rPr>
      </w:pPr>
    </w:p>
    <w:p>
      <w:pPr>
        <w:ind w:firstLine="1296"/>
        <w:spacing w:after="0" w:line="283" w:lineRule="auto"/>
        <w:rPr>
          <w:sz w:val="20"/>
          <w:szCs w:val="20"/>
          <w:color w:val="auto"/>
        </w:rPr>
      </w:pPr>
      <w:r>
        <w:rPr>
          <w:rFonts w:ascii="Arial" w:cs="Arial" w:eastAsia="Arial" w:hAnsi="Arial"/>
          <w:sz w:val="19"/>
          <w:szCs w:val="19"/>
          <w:b w:val="1"/>
          <w:bCs w:val="1"/>
          <w:color w:val="auto"/>
        </w:rPr>
        <w:t>Section 15. Successors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will inure to the benefit of and be binding upon the parties hereto,</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any substitute Underwriters pursuant to Section 10 hereof, and to the benefit of the affiliates, directors, officers, employees, agents and controlling persons referred to in Section 8 and Section 9, and in each case their respective successors, and personal representatives, and no other person will have any right or obligation hereunder. The term “</w:t>
      </w:r>
      <w:r>
        <w:rPr>
          <w:rFonts w:ascii="Arial" w:cs="Arial" w:eastAsia="Arial" w:hAnsi="Arial"/>
          <w:sz w:val="19"/>
          <w:szCs w:val="19"/>
          <w:b w:val="1"/>
          <w:bCs w:val="1"/>
          <w:color w:val="auto"/>
        </w:rPr>
        <w:t>successors</w:t>
      </w:r>
      <w:r>
        <w:rPr>
          <w:rFonts w:ascii="Arial" w:cs="Arial" w:eastAsia="Arial" w:hAnsi="Arial"/>
          <w:sz w:val="19"/>
          <w:szCs w:val="19"/>
          <w:color w:val="auto"/>
        </w:rPr>
        <w:t>” shall not include any purchaser of the Offered Securities as such from any of the Underwriters merely by reason of such purchase.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6" w:name="page37"/>
    <w:bookmarkEnd w:id="36"/>
    <w:p>
      <w:pPr>
        <w:ind w:right="120" w:firstLine="1296"/>
        <w:spacing w:after="0" w:line="289" w:lineRule="auto"/>
        <w:rPr>
          <w:sz w:val="20"/>
          <w:szCs w:val="20"/>
          <w:color w:val="auto"/>
        </w:rPr>
      </w:pPr>
      <w:r>
        <w:rPr>
          <w:rFonts w:ascii="Arial" w:cs="Arial" w:eastAsia="Arial" w:hAnsi="Arial"/>
          <w:sz w:val="19"/>
          <w:szCs w:val="19"/>
          <w:b w:val="1"/>
          <w:bCs w:val="1"/>
          <w:color w:val="auto"/>
        </w:rPr>
        <w:t>Section 16. Partial Unenforceability</w:t>
      </w:r>
      <w:r>
        <w:rPr>
          <w:rFonts w:ascii="Arial" w:cs="Arial" w:eastAsia="Arial" w:hAnsi="Arial"/>
          <w:sz w:val="19"/>
          <w:szCs w:val="19"/>
          <w:color w:val="auto"/>
        </w:rPr>
        <w:t>. The invalidity or unenforceability of any section, paragraph or</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63" w:lineRule="exact"/>
        <w:rPr>
          <w:sz w:val="20"/>
          <w:szCs w:val="20"/>
          <w:color w:val="auto"/>
        </w:rPr>
      </w:pPr>
    </w:p>
    <w:p>
      <w:pPr>
        <w:ind w:left="1300"/>
        <w:spacing w:after="0"/>
        <w:tabs>
          <w:tab w:leader="none" w:pos="2720" w:val="left"/>
        </w:tabs>
        <w:rPr>
          <w:sz w:val="20"/>
          <w:szCs w:val="20"/>
          <w:color w:val="auto"/>
        </w:rPr>
      </w:pPr>
      <w:r>
        <w:rPr>
          <w:rFonts w:ascii="Arial" w:cs="Arial" w:eastAsia="Arial" w:hAnsi="Arial"/>
          <w:sz w:val="22"/>
          <w:szCs w:val="22"/>
          <w:b w:val="1"/>
          <w:bCs w:val="1"/>
          <w:color w:val="auto"/>
        </w:rPr>
        <w:t>Section 17.</w:t>
      </w:r>
      <w:r>
        <w:rPr>
          <w:sz w:val="20"/>
          <w:szCs w:val="20"/>
          <w:color w:val="auto"/>
        </w:rPr>
        <w:tab/>
      </w:r>
      <w:r>
        <w:rPr>
          <w:rFonts w:ascii="Arial" w:cs="Arial" w:eastAsia="Arial" w:hAnsi="Arial"/>
          <w:sz w:val="19"/>
          <w:szCs w:val="19"/>
          <w:b w:val="1"/>
          <w:bCs w:val="1"/>
          <w:color w:val="auto"/>
        </w:rPr>
        <w:t>Recognition of the U.S. Special Resolution Regimes</w:t>
      </w:r>
    </w:p>
    <w:p>
      <w:pPr>
        <w:spacing w:after="0" w:line="239"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214"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14"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For purposes of this Agreement, (A) “BHC Act Affiliate” has the meaning assigned to the term “affiliate” in, and shall be interpreted in accordance with, 12 U.S.C. § 1841(k); (B)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 “Default Right” has the meaning assigned to that term in, and shall be interpreted in accordance with, 12 C.F.R. §§ 252.81, 47.2 or 382.1, as applicable; and (D)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78"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b w:val="1"/>
          <w:bCs w:val="1"/>
          <w:color w:val="auto"/>
        </w:rPr>
        <w:t>Section 18. Governing Law Provisions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and construed in accordance</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internal laws of the State of New York applicable to agreements made and to be performed in such state. Any legal suit, action or proceeding arising out of or based upon this Agreement or the transactions contemplated hereby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9"/>
          <w:szCs w:val="19"/>
          <w:b w:val="1"/>
          <w:bCs w:val="1"/>
          <w:color w:val="auto"/>
        </w:rPr>
        <w:t>Specified</w:t>
      </w:r>
      <w:r>
        <w:rPr>
          <w:rFonts w:ascii="Arial" w:cs="Arial" w:eastAsia="Arial" w:hAnsi="Arial"/>
          <w:sz w:val="19"/>
          <w:szCs w:val="19"/>
          <w:color w:val="auto"/>
        </w:rPr>
        <w:t xml:space="preserve"> </w:t>
      </w:r>
      <w:r>
        <w:rPr>
          <w:rFonts w:ascii="Arial" w:cs="Arial" w:eastAsia="Arial" w:hAnsi="Arial"/>
          <w:sz w:val="19"/>
          <w:szCs w:val="19"/>
          <w:b w:val="1"/>
          <w:bCs w:val="1"/>
          <w:color w:val="auto"/>
        </w:rPr>
        <w:t>Courts</w:t>
      </w:r>
      <w:r>
        <w:rPr>
          <w:rFonts w:ascii="Arial" w:cs="Arial" w:eastAsia="Arial" w:hAnsi="Arial"/>
          <w:sz w:val="19"/>
          <w:szCs w:val="19"/>
          <w:color w:val="auto"/>
        </w:rPr>
        <w:t>”), and each party irrevocably submits to the exclusive jurisdiction (except for proceedings instituted in regard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37" w:name="page38"/>
    <w:bookmarkEnd w:id="37"/>
    <w:p>
      <w:pPr>
        <w:ind w:right="60" w:firstLine="1296"/>
        <w:spacing w:after="0" w:line="278" w:lineRule="auto"/>
        <w:rPr>
          <w:sz w:val="20"/>
          <w:szCs w:val="20"/>
          <w:color w:val="auto"/>
        </w:rPr>
      </w:pPr>
      <w:r>
        <w:rPr>
          <w:rFonts w:ascii="Arial" w:cs="Arial" w:eastAsia="Arial" w:hAnsi="Arial"/>
          <w:sz w:val="19"/>
          <w:szCs w:val="19"/>
          <w:b w:val="1"/>
          <w:bCs w:val="1"/>
          <w:color w:val="auto"/>
        </w:rPr>
        <w:t xml:space="preserve">Section 19. General Provisions. </w:t>
      </w:r>
      <w:r>
        <w:rPr>
          <w:rFonts w:ascii="Arial" w:cs="Arial" w:eastAsia="Arial" w:hAnsi="Arial"/>
          <w:sz w:val="19"/>
          <w:szCs w:val="19"/>
          <w:color w:val="auto"/>
        </w:rPr>
        <w:t>This Agreement constitutes the entire agreement of the parties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Each of the parties hereto acknowledges that it is a sophisticated business person who was adequately represented by counsel during negotiations regarding the provisions hereof, including, without limitation, the indemnification provisions of Section 8 and the contribution provisions of Section 9, and is fully informed regarding said provisions. Each of the parties hereto further acknowledges that the provisions of Section 8 and Section 9 hereof fairly allocate the risks in light of the ability of the parties to investigate the Company, its affairs and its business in order to assure that adequate disclosure has been made in the Registration Statement, any preliminary prospectus, the Time of Sale Prospectus and the Prospectus (and any amendments and supplements to the foregoing), as contemplated by the Securities Act and the Exchange Act.</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8" w:name="page39"/>
    <w:bookmarkEnd w:id="38"/>
    <w:p>
      <w:pPr>
        <w:ind w:right="320" w:firstLine="648"/>
        <w:spacing w:after="0" w:line="241"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19202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20240"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31"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foregoing Underwriting Agreement is hereby confirmed and accepted by the Representatives in New York, New York as of the date first above written.</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JEFFERIES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GOLDMAN SACHS &amp; CO. LLC</w:t>
      </w:r>
    </w:p>
    <w:p>
      <w:pPr>
        <w:spacing w:after="0" w:line="230" w:lineRule="auto"/>
        <w:rPr>
          <w:sz w:val="20"/>
          <w:szCs w:val="20"/>
          <w:color w:val="auto"/>
        </w:rPr>
      </w:pPr>
      <w:r>
        <w:rPr>
          <w:rFonts w:ascii="Arial" w:cs="Arial" w:eastAsia="Arial" w:hAnsi="Arial"/>
          <w:sz w:val="22"/>
          <w:szCs w:val="22"/>
          <w:color w:val="auto"/>
        </w:rPr>
        <w:t>Acting individually and as Representatives</w:t>
      </w:r>
    </w:p>
    <w:p>
      <w:pPr>
        <w:spacing w:after="0" w:line="231" w:lineRule="auto"/>
        <w:rPr>
          <w:sz w:val="20"/>
          <w:szCs w:val="20"/>
          <w:color w:val="auto"/>
        </w:rPr>
      </w:pPr>
      <w:r>
        <w:rPr>
          <w:rFonts w:ascii="Arial" w:cs="Arial" w:eastAsia="Arial" w:hAnsi="Arial"/>
          <w:sz w:val="22"/>
          <w:szCs w:val="22"/>
          <w:color w:val="auto"/>
        </w:rPr>
        <w:t>of the several Underwriters named in</w:t>
      </w:r>
    </w:p>
    <w:p>
      <w:pPr>
        <w:spacing w:after="0"/>
        <w:rPr>
          <w:sz w:val="20"/>
          <w:szCs w:val="20"/>
          <w:color w:val="auto"/>
        </w:rPr>
      </w:pPr>
      <w:r>
        <w:rPr>
          <w:rFonts w:ascii="Arial" w:cs="Arial" w:eastAsia="Arial" w:hAnsi="Arial"/>
          <w:sz w:val="22"/>
          <w:szCs w:val="22"/>
          <w:color w:val="auto"/>
        </w:rPr>
        <w:t xml:space="preserve">the attached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Tina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26403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Tina Pappas</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Daniel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23495</wp:posOffset>
            </wp:positionV>
            <wp:extent cx="26403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Daniel M. Young</w:t>
      </w:r>
    </w:p>
    <w:p>
      <w:pPr>
        <w:spacing w:after="0" w:line="2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Managing Director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b w:val="1"/>
          <w:bCs w:val="1"/>
          <w:color w:val="auto"/>
        </w:rPr>
        <w:t>Schedule 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2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Firm Securities</w:t>
            </w:r>
          </w:p>
        </w:tc>
        <w:tc>
          <w:tcPr>
            <w:tcW w:w="424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Underwriters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to be Purchased</w:t>
            </w:r>
          </w:p>
        </w:tc>
        <w:tc>
          <w:tcPr>
            <w:tcW w:w="424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6,500,000</w:t>
            </w:r>
          </w:p>
        </w:tc>
        <w:tc>
          <w:tcPr>
            <w:tcW w:w="424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Goldman Sachs &amp; Co. LLC</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6,500,000</w:t>
            </w:r>
          </w:p>
        </w:tc>
        <w:tc>
          <w:tcPr>
            <w:tcW w:w="4240" w:type="dxa"/>
            <w:vAlign w:val="bottom"/>
          </w:tcPr>
          <w:p>
            <w:pPr>
              <w:spacing w:after="0"/>
              <w:rPr>
                <w:sz w:val="19"/>
                <w:szCs w:val="19"/>
                <w:color w:val="auto"/>
              </w:rPr>
            </w:pPr>
          </w:p>
        </w:tc>
      </w:tr>
      <w:tr>
        <w:trPr>
          <w:trHeight w:val="241"/>
        </w:trPr>
        <w:tc>
          <w:tcPr>
            <w:tcW w:w="660" w:type="dxa"/>
            <w:vAlign w:val="bottom"/>
          </w:tcPr>
          <w:p>
            <w:pPr>
              <w:spacing w:after="0"/>
              <w:rPr>
                <w:sz w:val="20"/>
                <w:szCs w:val="20"/>
                <w:color w:val="auto"/>
              </w:rPr>
            </w:pPr>
          </w:p>
        </w:tc>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13,000,000</w:t>
            </w:r>
          </w:p>
        </w:tc>
        <w:tc>
          <w:tcPr>
            <w:tcW w:w="4240" w:type="dxa"/>
            <w:vAlign w:val="bottom"/>
          </w:tcPr>
          <w:p>
            <w:pPr>
              <w:spacing w:after="0"/>
              <w:rPr>
                <w:sz w:val="20"/>
                <w:szCs w:val="20"/>
                <w:color w:val="auto"/>
              </w:rPr>
            </w:pPr>
          </w:p>
        </w:tc>
      </w:tr>
      <w:tr>
        <w:trPr>
          <w:trHeight w:val="20"/>
        </w:trPr>
        <w:tc>
          <w:tcPr>
            <w:tcW w:w="66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399"/>
        </w:trPr>
        <w:tc>
          <w:tcPr>
            <w:tcW w:w="6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22"/>
          <w:szCs w:val="22"/>
          <w:b w:val="1"/>
          <w:bCs w:val="1"/>
          <w:color w:val="auto"/>
        </w:rPr>
        <w:t>Schedule 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Time of Delivery Information</w:t>
      </w:r>
    </w:p>
    <w:p>
      <w:pPr>
        <w:spacing w:after="0" w:line="239" w:lineRule="exact"/>
        <w:rPr>
          <w:sz w:val="20"/>
          <w:szCs w:val="20"/>
          <w:color w:val="auto"/>
        </w:rPr>
      </w:pPr>
    </w:p>
    <w:p>
      <w:pPr>
        <w:ind w:left="220" w:hanging="212"/>
        <w:spacing w:after="0"/>
        <w:tabs>
          <w:tab w:leader="none" w:pos="2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Public offering price per Class A ordinary share: $10.00</w:t>
      </w:r>
    </w:p>
    <w:p>
      <w:pPr>
        <w:spacing w:after="0" w:line="233" w:lineRule="exact"/>
        <w:rPr>
          <w:rFonts w:ascii="Arial" w:cs="Arial" w:eastAsia="Arial" w:hAnsi="Arial"/>
          <w:sz w:val="22"/>
          <w:szCs w:val="22"/>
          <w:color w:val="auto"/>
        </w:rPr>
      </w:pPr>
    </w:p>
    <w:p>
      <w:pPr>
        <w:ind w:right="300" w:firstLine="8"/>
        <w:spacing w:after="0" w:line="250" w:lineRule="auto"/>
        <w:tabs>
          <w:tab w:leader="none" w:pos="216" w:val="left"/>
        </w:tabs>
        <w:numPr>
          <w:ilvl w:val="0"/>
          <w:numId w:val="37"/>
        </w:numPr>
        <w:rPr>
          <w:rFonts w:ascii="Arial" w:cs="Arial" w:eastAsia="Arial" w:hAnsi="Arial"/>
          <w:sz w:val="22"/>
          <w:szCs w:val="22"/>
          <w:color w:val="auto"/>
        </w:rPr>
      </w:pPr>
      <w:r>
        <w:rPr>
          <w:rFonts w:ascii="Arial" w:cs="Arial" w:eastAsia="Arial" w:hAnsi="Arial"/>
          <w:sz w:val="22"/>
          <w:szCs w:val="22"/>
          <w:color w:val="auto"/>
        </w:rPr>
        <w:t>Number of Class A ordinary shares offered: 13,000,000 (plus an additional 1,950,000 Class A ordinary shares subject to the underwriters'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Schedule 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Permitted Section 5(d) Communications</w:t>
      </w:r>
    </w:p>
    <w:p>
      <w:pPr>
        <w:spacing w:after="0" w:line="239" w:lineRule="exact"/>
        <w:rPr>
          <w:sz w:val="20"/>
          <w:szCs w:val="20"/>
          <w:color w:val="auto"/>
        </w:rPr>
      </w:pPr>
    </w:p>
    <w:p>
      <w:pPr>
        <w:ind w:right="140"/>
        <w:spacing w:after="0" w:line="328" w:lineRule="auto"/>
        <w:rPr>
          <w:sz w:val="20"/>
          <w:szCs w:val="20"/>
          <w:color w:val="auto"/>
        </w:rPr>
      </w:pPr>
      <w:r>
        <w:rPr>
          <w:rFonts w:ascii="Arial" w:cs="Arial" w:eastAsia="Arial" w:hAnsi="Arial"/>
          <w:sz w:val="19"/>
          <w:szCs w:val="19"/>
          <w:color w:val="auto"/>
        </w:rPr>
        <w:t>Reference is made to the materials used in the testing the waters presentation made to potential investors by the Company, to the extent such materials are deemed to be a “written communication” within the meaning of Rule 405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Form of Press Release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ARYA Sciences Acquisition Corp III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33"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ARYA Sciences Acquisition Corp III (the “Company”) announced today that Jefferies LLC and Goldman Sachs &amp; Co. LLC, the joint book-running managers and Representatives of the underwriters in the Company’s recent public sale of 13,000,000 Class A ordinary shares, are [waiving] [releasing] a lock-up restriction with respect to the Company’s Class A ordinary shares held by [ARYA Sciences Holdings III, a Cayman Islands exempted limited company, the sponsor] [certain officers or directors] [an officer or director] of the Company. The [waiver] [release] will take effect on [Date], and the securities may be sold or otherwise disposed of on or after such date.</w:t>
      </w:r>
    </w:p>
    <w:p>
      <w:pPr>
        <w:spacing w:after="0" w:line="209" w:lineRule="exact"/>
        <w:rPr>
          <w:sz w:val="20"/>
          <w:szCs w:val="20"/>
          <w:color w:val="auto"/>
        </w:rPr>
      </w:pPr>
    </w:p>
    <w:p>
      <w:pPr>
        <w:jc w:val="both"/>
        <w:ind w:right="40"/>
        <w:spacing w:after="0" w:line="243" w:lineRule="auto"/>
        <w:rPr>
          <w:sz w:val="20"/>
          <w:szCs w:val="20"/>
          <w:color w:val="auto"/>
        </w:rPr>
      </w:pPr>
      <w:r>
        <w:rPr>
          <w:rFonts w:ascii="Arial" w:cs="Arial" w:eastAsia="Arial" w:hAnsi="Arial"/>
          <w:sz w:val="22"/>
          <w:szCs w:val="22"/>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Dated August 6, 2020</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Companies Law (Revised)</w:t>
      </w:r>
    </w:p>
    <w:p>
      <w:pPr>
        <w:spacing w:after="0" w:line="233"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165100</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AMENDED AND RESTATED</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MEMORANDUM OF ASSOCIATION</w:t>
      </w:r>
    </w:p>
    <w:p>
      <w:pPr>
        <w:jc w:val="center"/>
        <w:ind w:right="1120"/>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1"/>
          <w:szCs w:val="21"/>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3175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22"/>
          <w:szCs w:val="22"/>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836295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158750</wp:posOffset>
            </wp:positionV>
            <wp:extent cx="102870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28700" cy="411480"/>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color w:val="auto"/>
        </w:rPr>
        <w:t>Companies Law (Revised)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Limited by Shares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Memorandum of Association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Adopted by special resolution on August 6, 2020</w:t>
      </w:r>
    </w:p>
    <w:p>
      <w:pPr>
        <w:spacing w:after="0" w:line="200" w:lineRule="exact"/>
        <w:rPr>
          <w:sz w:val="20"/>
          <w:szCs w:val="20"/>
          <w:color w:val="auto"/>
        </w:rPr>
      </w:pPr>
    </w:p>
    <w:p>
      <w:pPr>
        <w:spacing w:after="0" w:line="283"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 of the Company is ARYA Sciences Acquisition Corp III.</w:t>
      </w:r>
    </w:p>
    <w:p>
      <w:pPr>
        <w:spacing w:after="0" w:line="252" w:lineRule="exact"/>
        <w:rPr>
          <w:sz w:val="20"/>
          <w:szCs w:val="20"/>
          <w:color w:val="auto"/>
        </w:rPr>
      </w:pPr>
    </w:p>
    <w:p>
      <w:pPr>
        <w:ind w:left="640" w:right="20" w:hanging="632"/>
        <w:spacing w:after="0" w:line="277"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197" w:lineRule="exact"/>
        <w:rPr>
          <w:sz w:val="20"/>
          <w:szCs w:val="20"/>
          <w:color w:val="auto"/>
        </w:rPr>
      </w:pPr>
    </w:p>
    <w:p>
      <w:pPr>
        <w:ind w:left="640" w:hanging="632"/>
        <w:spacing w:after="0" w:line="277"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objects are unrestricted. As provided by section 7(4) of the Companies Law (Revised), the Company has full power and authority to carry out any object not prohibited by any law of the Cayman Islands.</w:t>
      </w:r>
    </w:p>
    <w:p>
      <w:pPr>
        <w:spacing w:after="0" w:line="197" w:lineRule="exact"/>
        <w:rPr>
          <w:sz w:val="20"/>
          <w:szCs w:val="20"/>
          <w:color w:val="auto"/>
        </w:rPr>
      </w:pPr>
    </w:p>
    <w:p>
      <w:pPr>
        <w:jc w:val="both"/>
        <w:ind w:left="640" w:hanging="632"/>
        <w:spacing w:after="0" w:line="263" w:lineRule="auto"/>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211"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Nothing in any of the preceding paragraphs permits the Company to carry on any of the following businesses without being duly licensed, namely:</w:t>
      </w:r>
    </w:p>
    <w:p>
      <w:pPr>
        <w:spacing w:after="0" w:line="275" w:lineRule="exact"/>
        <w:rPr>
          <w:rFonts w:ascii="Arial" w:cs="Arial" w:eastAsia="Arial" w:hAnsi="Arial"/>
          <w:sz w:val="16"/>
          <w:szCs w:val="16"/>
          <w:color w:val="auto"/>
        </w:rPr>
      </w:pPr>
    </w:p>
    <w:p>
      <w:pPr>
        <w:ind w:left="1280" w:hanging="638"/>
        <w:spacing w:after="0"/>
        <w:tabs>
          <w:tab w:leader="none" w:pos="128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business of a bank or trust company without being licensed in that behalf under the Banks and Trust Companies Law (Revised); or</w:t>
      </w:r>
    </w:p>
    <w:p>
      <w:pPr>
        <w:spacing w:after="0" w:line="275" w:lineRule="exact"/>
        <w:rPr>
          <w:rFonts w:ascii="Arial" w:cs="Arial" w:eastAsia="Arial" w:hAnsi="Arial"/>
          <w:sz w:val="16"/>
          <w:szCs w:val="16"/>
          <w:color w:val="auto"/>
        </w:rPr>
      </w:pPr>
    </w:p>
    <w:p>
      <w:pPr>
        <w:ind w:left="1280" w:right="20" w:hanging="638"/>
        <w:spacing w:after="0" w:line="277" w:lineRule="auto"/>
        <w:tabs>
          <w:tab w:leader="none" w:pos="12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insurance business from within the Cayman Islands or the business of an insurance manager, agent, sub-agent or broker without being licensed in that behalf under the Insurance Law (Revised);or</w:t>
      </w:r>
    </w:p>
    <w:p>
      <w:pPr>
        <w:spacing w:after="0" w:line="197" w:lineRule="exact"/>
        <w:rPr>
          <w:rFonts w:ascii="Arial" w:cs="Arial" w:eastAsia="Arial" w:hAnsi="Arial"/>
          <w:sz w:val="18"/>
          <w:szCs w:val="18"/>
          <w:color w:val="auto"/>
        </w:rPr>
      </w:pPr>
    </w:p>
    <w:p>
      <w:pPr>
        <w:ind w:left="1280" w:hanging="638"/>
        <w:spacing w:after="0"/>
        <w:tabs>
          <w:tab w:leader="none" w:pos="128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the business of company management without being licensed in that behalf under the Companies Management Law (Revised).</w:t>
      </w:r>
    </w:p>
    <w:p>
      <w:pPr>
        <w:spacing w:after="0" w:line="264" w:lineRule="exact"/>
        <w:rPr>
          <w:sz w:val="20"/>
          <w:szCs w:val="20"/>
          <w:color w:val="auto"/>
        </w:rPr>
      </w:pPr>
    </w:p>
    <w:p>
      <w:pPr>
        <w:jc w:val="both"/>
        <w:ind w:left="640" w:hanging="632"/>
        <w:spacing w:after="0" w:line="263"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5" w:name="page46"/>
    <w:bookmarkEnd w:id="45"/>
    <w:p>
      <w:pPr>
        <w:ind w:left="640" w:hanging="632"/>
        <w:spacing w:after="0" w:line="27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is a company limited by shares and accordingly the liability of each member is limited to the amount (if any) unpaid on that member's shares.</w:t>
      </w:r>
    </w:p>
    <w:p>
      <w:pPr>
        <w:spacing w:after="0" w:line="197" w:lineRule="exact"/>
        <w:rPr>
          <w:sz w:val="20"/>
          <w:szCs w:val="20"/>
          <w:color w:val="auto"/>
        </w:rPr>
      </w:pPr>
    </w:p>
    <w:p>
      <w:pPr>
        <w:jc w:val="both"/>
        <w:ind w:left="640" w:hanging="632"/>
        <w:spacing w:after="0" w:line="259"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spacing w:after="0" w:line="213" w:lineRule="exact"/>
        <w:rPr>
          <w:rFonts w:ascii="Arial" w:cs="Arial" w:eastAsia="Arial" w:hAnsi="Arial"/>
          <w:sz w:val="18"/>
          <w:szCs w:val="18"/>
          <w:color w:val="auto"/>
        </w:rPr>
      </w:pPr>
    </w:p>
    <w:p>
      <w:pPr>
        <w:ind w:left="1280" w:hanging="638"/>
        <w:spacing w:after="0"/>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redeem or repurchase any of its shares;</w:t>
      </w:r>
    </w:p>
    <w:p>
      <w:pPr>
        <w:spacing w:after="0" w:line="252" w:lineRule="exact"/>
        <w:rPr>
          <w:rFonts w:ascii="Arial" w:cs="Arial" w:eastAsia="Arial" w:hAnsi="Arial"/>
          <w:sz w:val="18"/>
          <w:szCs w:val="18"/>
          <w:color w:val="auto"/>
        </w:rPr>
      </w:pPr>
    </w:p>
    <w:p>
      <w:pPr>
        <w:ind w:left="1280" w:hanging="638"/>
        <w:spacing w:after="0"/>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increase or reduce its capital;</w:t>
      </w:r>
    </w:p>
    <w:p>
      <w:pPr>
        <w:spacing w:after="0" w:line="252" w:lineRule="exact"/>
        <w:rPr>
          <w:rFonts w:ascii="Arial" w:cs="Arial" w:eastAsia="Arial" w:hAnsi="Arial"/>
          <w:sz w:val="18"/>
          <w:szCs w:val="18"/>
          <w:color w:val="auto"/>
        </w:rPr>
      </w:pPr>
    </w:p>
    <w:p>
      <w:pPr>
        <w:ind w:left="1280" w:hanging="638"/>
        <w:spacing w:after="0"/>
        <w:tabs>
          <w:tab w:leader="none" w:pos="12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issue any part of its capital (whether original, redeemed, increased or reduced):</w:t>
      </w:r>
    </w:p>
    <w:p>
      <w:pPr>
        <w:spacing w:after="0" w:line="252" w:lineRule="exact"/>
        <w:rPr>
          <w:rFonts w:ascii="Arial" w:cs="Arial" w:eastAsia="Arial" w:hAnsi="Arial"/>
          <w:sz w:val="18"/>
          <w:szCs w:val="18"/>
          <w:color w:val="auto"/>
        </w:rPr>
      </w:pPr>
    </w:p>
    <w:p>
      <w:pPr>
        <w:ind w:left="1920" w:hanging="643"/>
        <w:spacing w:after="0"/>
        <w:tabs>
          <w:tab w:leader="none" w:pos="19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with or without any preferential, deferred, qualified or special rights, privileges or conditions; or</w:t>
      </w:r>
    </w:p>
    <w:p>
      <w:pPr>
        <w:spacing w:after="0" w:line="252" w:lineRule="exact"/>
        <w:rPr>
          <w:rFonts w:ascii="Arial" w:cs="Arial" w:eastAsia="Arial" w:hAnsi="Arial"/>
          <w:sz w:val="18"/>
          <w:szCs w:val="18"/>
          <w:color w:val="auto"/>
        </w:rPr>
      </w:pPr>
    </w:p>
    <w:p>
      <w:pPr>
        <w:ind w:left="1920" w:hanging="643"/>
        <w:spacing w:after="0"/>
        <w:tabs>
          <w:tab w:leader="none" w:pos="192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subject to any limitations or restrictions</w:t>
      </w:r>
    </w:p>
    <w:p>
      <w:pPr>
        <w:spacing w:after="0" w:line="245" w:lineRule="exact"/>
        <w:rPr>
          <w:sz w:val="20"/>
          <w:szCs w:val="20"/>
          <w:color w:val="auto"/>
        </w:rPr>
      </w:pPr>
    </w:p>
    <w:p>
      <w:pPr>
        <w:ind w:left="1280"/>
        <w:spacing w:after="0" w:line="250" w:lineRule="auto"/>
        <w:rPr>
          <w:sz w:val="20"/>
          <w:szCs w:val="20"/>
          <w:color w:val="auto"/>
        </w:rPr>
      </w:pPr>
      <w:r>
        <w:rPr>
          <w:rFonts w:ascii="Arial" w:cs="Arial" w:eastAsia="Arial" w:hAnsi="Arial"/>
          <w:sz w:val="22"/>
          <w:szCs w:val="22"/>
          <w:color w:val="auto"/>
        </w:rPr>
        <w:t>and unless the condition of issue expressly declares otherwise, every issue of shares (whether declared to be ordinary, preference or otherwise) is subject to this power; and</w:t>
      </w:r>
    </w:p>
    <w:p>
      <w:pPr>
        <w:spacing w:after="0" w:line="209" w:lineRule="exact"/>
        <w:rPr>
          <w:sz w:val="20"/>
          <w:szCs w:val="20"/>
          <w:color w:val="auto"/>
        </w:rPr>
      </w:pPr>
    </w:p>
    <w:p>
      <w:pPr>
        <w:ind w:left="1280" w:hanging="638"/>
        <w:spacing w:after="0"/>
        <w:tabs>
          <w:tab w:leader="none" w:pos="12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alter any of those rights, privileges, conditions, limitations or restrictions.</w:t>
      </w:r>
    </w:p>
    <w:p>
      <w:pPr>
        <w:spacing w:after="0" w:line="252" w:lineRule="exact"/>
        <w:rPr>
          <w:sz w:val="20"/>
          <w:szCs w:val="20"/>
          <w:color w:val="auto"/>
        </w:rPr>
      </w:pPr>
    </w:p>
    <w:p>
      <w:pPr>
        <w:ind w:left="640" w:hanging="632"/>
        <w:spacing w:after="0" w:line="277"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22"/>
          <w:szCs w:val="22"/>
          <w:b w:val="1"/>
          <w:bCs w:val="1"/>
          <w:color w:val="auto"/>
        </w:rPr>
        <w:t>Companies Law (Revised)</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Company Limited by Shares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165100</wp:posOffset>
            </wp:positionV>
            <wp:extent cx="3566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AMENDED &amp;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172720</wp:posOffset>
            </wp:positionV>
            <wp:extent cx="3566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829945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2362835</wp:posOffset>
            </wp:positionH>
            <wp:positionV relativeFrom="paragraph">
              <wp:posOffset>161290</wp:posOffset>
            </wp:positionV>
            <wp:extent cx="1003300" cy="402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03300" cy="4025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81"/>
        </w:trPr>
        <w:tc>
          <w:tcPr>
            <w:tcW w:w="340" w:type="dxa"/>
            <w:vAlign w:val="bottom"/>
          </w:tcPr>
          <w:p>
            <w:pPr>
              <w:spacing w:after="0"/>
              <w:rPr>
                <w:sz w:val="24"/>
                <w:szCs w:val="24"/>
                <w:color w:val="auto"/>
              </w:rPr>
            </w:pPr>
          </w:p>
        </w:tc>
        <w:tc>
          <w:tcPr>
            <w:tcW w:w="8560" w:type="dxa"/>
            <w:vAlign w:val="bottom"/>
          </w:tcPr>
          <w:p>
            <w:pPr>
              <w:ind w:left="4680"/>
              <w:spacing w:after="0"/>
              <w:rPr>
                <w:sz w:val="20"/>
                <w:szCs w:val="20"/>
                <w:color w:val="auto"/>
              </w:rPr>
            </w:pPr>
            <w:r>
              <w:rPr>
                <w:rFonts w:ascii="Arial" w:cs="Arial" w:eastAsia="Arial" w:hAnsi="Arial"/>
                <w:sz w:val="22"/>
                <w:szCs w:val="22"/>
                <w:b w:val="1"/>
                <w:bCs w:val="1"/>
                <w:color w:val="auto"/>
              </w:rPr>
              <w:t>CONTENTS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4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1</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Definitions, interpretation and exclusion of Table A</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Interpretation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Exclusion of Table A Articles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2</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Commencement of Business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3</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Shares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 to issue Shares and options, with or without special rights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Power to issue fractions of a Share</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 to pay commissions and brokerage fees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Trusts not recognised</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 to vary class rights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Effect of new Share issue on existing class rights</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contributions without issue of further Shares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No bearer Shares or warrants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Treasury Shares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Rights attaching to Treasury Shares and related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4</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Register of Members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5</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Share certificates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Issue of share certificates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Renewal of lost or damaged share certificates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6</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Lien on Shares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Nature and scope of lien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Company may sell Shares to satisfy lien</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Authority to execute instrument of transfer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Consequences of sale of Shares to satisfy lien</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Application of proceeds of sale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7</w:t>
            </w: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Calls on Shares and forfeiture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Power to make calls and effect of calls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when call made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Liability of joint 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on unpaid calls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Deemed calls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 to accept early payment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Power to make different arrangements at time of issue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Notice of default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Forfeiture or surrender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Disposal of forfeited or surrendered Share and power to cancel forfeiture or surrender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Effect of forfeiture or surrender on former Member</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Evidence of forfeiture or surrender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Sale of forfeited or surrendered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8</w:t>
            </w:r>
          </w:p>
        </w:tc>
        <w:tc>
          <w:tcPr>
            <w:tcW w:w="8560" w:type="dxa"/>
            <w:vAlign w:val="bottom"/>
          </w:tcPr>
          <w:p>
            <w:pPr>
              <w:ind w:left="240"/>
              <w:spacing w:after="0"/>
              <w:rPr>
                <w:sz w:val="20"/>
                <w:szCs w:val="20"/>
                <w:color w:val="auto"/>
              </w:rPr>
            </w:pPr>
            <w:r>
              <w:rPr>
                <w:rFonts w:ascii="Arial" w:cs="Arial" w:eastAsia="Arial" w:hAnsi="Arial"/>
                <w:sz w:val="18"/>
                <w:szCs w:val="18"/>
                <w:b w:val="1"/>
                <w:bCs w:val="1"/>
                <w:color w:val="auto"/>
              </w:rPr>
              <w:t>Transfer of Shares</w:t>
            </w: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of transfer</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Power to refuse registration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Power to suspend registration</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560" w:type="dxa"/>
            <w:vAlign w:val="bottom"/>
          </w:tcPr>
          <w:p>
            <w:pPr>
              <w:ind w:left="240"/>
              <w:spacing w:after="0"/>
              <w:rPr>
                <w:sz w:val="20"/>
                <w:szCs w:val="20"/>
                <w:color w:val="auto"/>
              </w:rPr>
            </w:pPr>
            <w:r>
              <w:rPr>
                <w:rFonts w:ascii="Arial" w:cs="Arial" w:eastAsia="Arial" w:hAnsi="Arial"/>
                <w:sz w:val="18"/>
                <w:szCs w:val="18"/>
                <w:color w:val="auto"/>
              </w:rPr>
              <w:t>Company may retain instrument of transfer</w:t>
            </w:r>
          </w:p>
        </w:tc>
        <w:tc>
          <w:tcPr>
            <w:tcW w:w="23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4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9</w:t>
            </w: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Transmission of Shares</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r>
      <w:tr>
        <w:trPr>
          <w:trHeight w:val="216"/>
        </w:trPr>
        <w:tc>
          <w:tcPr>
            <w:tcW w:w="34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Persons entitled on death of a Member</w:t>
            </w:r>
          </w:p>
        </w:tc>
        <w:tc>
          <w:tcPr>
            <w:tcW w:w="30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shd w:val="clear" w:color="auto" w:fill="CCEEFF"/>
          </w:tcPr>
          <w:p>
            <w:pPr>
              <w:spacing w:after="0"/>
              <w:rPr>
                <w:sz w:val="18"/>
                <w:szCs w:val="18"/>
                <w:color w:val="auto"/>
              </w:rPr>
            </w:pP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Registration of transfer of a Share following death or bankruptcy</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40" w:type="dxa"/>
            <w:vAlign w:val="bottom"/>
          </w:tcPr>
          <w:p>
            <w:pPr>
              <w:spacing w:after="0"/>
              <w:rPr>
                <w:sz w:val="18"/>
                <w:szCs w:val="18"/>
                <w:color w:val="auto"/>
              </w:rPr>
            </w:pPr>
          </w:p>
        </w:tc>
        <w:tc>
          <w:tcPr>
            <w:tcW w:w="7860" w:type="dxa"/>
            <w:vAlign w:val="bottom"/>
          </w:tcPr>
          <w:p>
            <w:pPr>
              <w:ind w:left="240"/>
              <w:spacing w:after="0"/>
              <w:rPr>
                <w:sz w:val="20"/>
                <w:szCs w:val="20"/>
                <w:color w:val="auto"/>
              </w:rPr>
            </w:pPr>
            <w:r>
              <w:rPr>
                <w:rFonts w:ascii="Arial" w:cs="Arial" w:eastAsia="Arial" w:hAnsi="Arial"/>
                <w:sz w:val="18"/>
                <w:szCs w:val="18"/>
                <w:color w:val="auto"/>
              </w:rPr>
              <w:t>Indemnity</w:t>
            </w:r>
          </w:p>
        </w:tc>
        <w:tc>
          <w:tcPr>
            <w:tcW w:w="30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40" w:type="dxa"/>
            <w:vAlign w:val="bottom"/>
            <w:shd w:val="clear" w:color="auto" w:fill="CCEEFF"/>
          </w:tcPr>
          <w:p>
            <w:pPr>
              <w:spacing w:after="0"/>
              <w:rPr>
                <w:sz w:val="18"/>
                <w:szCs w:val="18"/>
                <w:color w:val="auto"/>
              </w:rPr>
            </w:pPr>
          </w:p>
        </w:tc>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Rights of person entitled to a Share following death or bankruptcy</w:t>
            </w:r>
          </w:p>
        </w:tc>
        <w:tc>
          <w:tcPr>
            <w:tcW w:w="3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10</w:t>
            </w: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Alteration of capital</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r>
      <w:tr>
        <w:trPr>
          <w:trHeight w:val="216"/>
        </w:trPr>
        <w:tc>
          <w:tcPr>
            <w:tcW w:w="38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Increasing, consolidating, converting, dividing and cancelling share capital</w:t>
            </w:r>
          </w:p>
        </w:tc>
        <w:tc>
          <w:tcPr>
            <w:tcW w:w="2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shd w:val="clear" w:color="auto" w:fill="CCEEFF"/>
          </w:tcPr>
          <w:p>
            <w:pPr>
              <w:spacing w:after="0"/>
              <w:rPr>
                <w:sz w:val="18"/>
                <w:szCs w:val="18"/>
                <w:color w:val="auto"/>
              </w:rPr>
            </w:pPr>
          </w:p>
        </w:tc>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Dealing with fractions resulting from consolidation of Shares</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tcPr>
          <w:p>
            <w:pPr>
              <w:spacing w:after="0"/>
              <w:rPr>
                <w:sz w:val="18"/>
                <w:szCs w:val="18"/>
                <w:color w:val="auto"/>
              </w:rPr>
            </w:pPr>
          </w:p>
        </w:tc>
        <w:tc>
          <w:tcPr>
            <w:tcW w:w="8140" w:type="dxa"/>
            <w:vAlign w:val="bottom"/>
          </w:tcPr>
          <w:p>
            <w:pPr>
              <w:ind w:left="200"/>
              <w:spacing w:after="0"/>
              <w:rPr>
                <w:sz w:val="20"/>
                <w:szCs w:val="20"/>
                <w:color w:val="auto"/>
              </w:rPr>
            </w:pPr>
            <w:r>
              <w:rPr>
                <w:rFonts w:ascii="Arial" w:cs="Arial" w:eastAsia="Arial" w:hAnsi="Arial"/>
                <w:sz w:val="18"/>
                <w:szCs w:val="18"/>
                <w:color w:val="auto"/>
              </w:rPr>
              <w:t>Reducing share capital</w:t>
            </w:r>
          </w:p>
        </w:tc>
        <w:tc>
          <w:tcPr>
            <w:tcW w:w="2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8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Redemption and purchase of own Shares</w:t>
            </w:r>
          </w:p>
        </w:tc>
        <w:tc>
          <w:tcPr>
            <w:tcW w:w="3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Power to issue redeemable Shares and to purchase own Shares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Power to pay for redemption or purchase in cash or in specie</w:t>
            </w:r>
          </w:p>
        </w:tc>
        <w:tc>
          <w:tcPr>
            <w:tcW w:w="31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redemption or purchase of a Share</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12</w:t>
            </w: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Class B Share Conversion</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13</w:t>
            </w: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Meetings of Members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Power to call meetings</w:t>
            </w:r>
          </w:p>
        </w:tc>
        <w:tc>
          <w:tcPr>
            <w:tcW w:w="31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Content of notice</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Period of notice</w:t>
            </w:r>
          </w:p>
        </w:tc>
        <w:tc>
          <w:tcPr>
            <w:tcW w:w="31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Persons entitled to receive notice</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Publication of notice on a website</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Time a website notice is deemed to be given</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Required duration of publication on a website</w:t>
            </w:r>
          </w:p>
        </w:tc>
        <w:tc>
          <w:tcPr>
            <w:tcW w:w="31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Accidental omission to give notice or non-receipt of notice</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14</w:t>
            </w: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Proceedings at meetings of Members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Quorum</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Lack of quorum</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Use of technology</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Chairman</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Right of a director to attend and speak</w:t>
            </w:r>
          </w:p>
        </w:tc>
        <w:tc>
          <w:tcPr>
            <w:tcW w:w="31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Adjournment</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Method of voting</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Taking of a poll</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Chairman's casting vote</w:t>
            </w:r>
          </w:p>
        </w:tc>
        <w:tc>
          <w:tcPr>
            <w:tcW w:w="31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Amendments to resolutions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Written resolutions</w:t>
            </w:r>
          </w:p>
        </w:tc>
        <w:tc>
          <w:tcPr>
            <w:tcW w:w="31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Sole-member company</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15</w:t>
            </w: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Voting rights of Members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 to vote</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Rights of joint holders</w:t>
            </w:r>
          </w:p>
        </w:tc>
        <w:tc>
          <w:tcPr>
            <w:tcW w:w="31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Representation of corporate Members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Member with mental disorder</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Objections to admissibility of votes</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Form of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How and when proxy is to be delivered</w:t>
            </w:r>
          </w:p>
        </w:tc>
        <w:tc>
          <w:tcPr>
            <w:tcW w:w="3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Voting by proxy</w:t>
            </w:r>
          </w:p>
        </w:tc>
        <w:tc>
          <w:tcPr>
            <w:tcW w:w="31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r>
              <w:rPr>
                <w:rFonts w:ascii="Arial" w:cs="Arial" w:eastAsia="Arial" w:hAnsi="Arial"/>
                <w:sz w:val="18"/>
                <w:szCs w:val="18"/>
                <w:b w:val="1"/>
                <w:bCs w:val="1"/>
                <w:color w:val="auto"/>
              </w:rPr>
              <w:t>16</w:t>
            </w:r>
          </w:p>
        </w:tc>
        <w:tc>
          <w:tcPr>
            <w:tcW w:w="7680" w:type="dxa"/>
            <w:vAlign w:val="bottom"/>
          </w:tcPr>
          <w:p>
            <w:pPr>
              <w:ind w:left="200"/>
              <w:spacing w:after="0"/>
              <w:rPr>
                <w:sz w:val="20"/>
                <w:szCs w:val="20"/>
                <w:color w:val="auto"/>
              </w:rPr>
            </w:pPr>
            <w:r>
              <w:rPr>
                <w:rFonts w:ascii="Arial" w:cs="Arial" w:eastAsia="Arial" w:hAnsi="Arial"/>
                <w:sz w:val="18"/>
                <w:szCs w:val="18"/>
                <w:b w:val="1"/>
                <w:bCs w:val="1"/>
                <w:color w:val="auto"/>
              </w:rPr>
              <w:t>Number of directors</w:t>
            </w:r>
          </w:p>
        </w:tc>
        <w:tc>
          <w:tcPr>
            <w:tcW w:w="318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17</w:t>
            </w: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Appointment, disqualification and removal of directors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r>
      <w:tr>
        <w:trPr>
          <w:trHeight w:val="216"/>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No age limit</w:t>
            </w:r>
          </w:p>
        </w:tc>
        <w:tc>
          <w:tcPr>
            <w:tcW w:w="3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shd w:val="clear" w:color="auto" w:fill="CCEEFF"/>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 directors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No shareholding qualification</w:t>
            </w:r>
          </w:p>
        </w:tc>
        <w:tc>
          <w:tcPr>
            <w:tcW w:w="33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shd w:val="clear" w:color="auto" w:fill="CCEEFF"/>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Appointment and removal of directors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380" w:type="dxa"/>
            <w:vAlign w:val="bottom"/>
          </w:tcPr>
          <w:p>
            <w:pPr>
              <w:spacing w:after="0"/>
              <w:rPr>
                <w:sz w:val="18"/>
                <w:szCs w:val="18"/>
                <w:color w:val="auto"/>
              </w:rPr>
            </w:pPr>
          </w:p>
        </w:tc>
        <w:tc>
          <w:tcPr>
            <w:tcW w:w="7560" w:type="dxa"/>
            <w:vAlign w:val="bottom"/>
          </w:tcPr>
          <w:p>
            <w:pPr>
              <w:ind w:left="200"/>
              <w:spacing w:after="0"/>
              <w:rPr>
                <w:sz w:val="20"/>
                <w:szCs w:val="20"/>
                <w:color w:val="auto"/>
              </w:rPr>
            </w:pPr>
            <w:r>
              <w:rPr>
                <w:rFonts w:ascii="Arial" w:cs="Arial" w:eastAsia="Arial" w:hAnsi="Arial"/>
                <w:sz w:val="18"/>
                <w:szCs w:val="18"/>
                <w:color w:val="auto"/>
              </w:rPr>
              <w:t>Resignation of directors</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80" w:type="dxa"/>
            <w:vAlign w:val="bottom"/>
            <w:shd w:val="clear" w:color="auto" w:fill="CCEEFF"/>
          </w:tcPr>
          <w:p>
            <w:pPr>
              <w:spacing w:after="0"/>
              <w:rPr>
                <w:sz w:val="18"/>
                <w:szCs w:val="18"/>
                <w:color w:val="auto"/>
              </w:rPr>
            </w:pPr>
          </w:p>
        </w:tc>
        <w:tc>
          <w:tcPr>
            <w:tcW w:w="7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Termination of the office of director</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18</w:t>
            </w: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Alternate directors</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16"/>
        </w:trPr>
        <w:tc>
          <w:tcPr>
            <w:tcW w:w="38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Appointment and removal</w:t>
            </w:r>
          </w:p>
        </w:tc>
        <w:tc>
          <w:tcPr>
            <w:tcW w:w="31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38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Notices</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8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Rights of alternate director</w:t>
            </w:r>
          </w:p>
        </w:tc>
        <w:tc>
          <w:tcPr>
            <w:tcW w:w="3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8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Appointment ceases when the appointor ceases to be a director</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8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8"/>
                <w:szCs w:val="18"/>
                <w:color w:val="auto"/>
              </w:rPr>
              <w:t>Status of alternate director</w:t>
            </w:r>
          </w:p>
        </w:tc>
        <w:tc>
          <w:tcPr>
            <w:tcW w:w="31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8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Status of the director making the appointment</w:t>
            </w:r>
          </w:p>
        </w:tc>
        <w:tc>
          <w:tcPr>
            <w:tcW w:w="3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19</w:t>
            </w: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Powers of directors</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r>
      <w:tr>
        <w:trPr>
          <w:trHeight w:val="216"/>
        </w:trPr>
        <w:tc>
          <w:tcPr>
            <w:tcW w:w="38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Powers of directors</w:t>
            </w:r>
          </w:p>
        </w:tc>
        <w:tc>
          <w:tcPr>
            <w:tcW w:w="4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80" w:type="dxa"/>
            <w:vAlign w:val="bottom"/>
            <w:shd w:val="clear" w:color="auto" w:fill="CCEEFF"/>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Appointments to office</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80" w:type="dxa"/>
            <w:vAlign w:val="bottom"/>
          </w:tcPr>
          <w:p>
            <w:pPr>
              <w:spacing w:after="0"/>
              <w:rPr>
                <w:sz w:val="18"/>
                <w:szCs w:val="18"/>
                <w:color w:val="auto"/>
              </w:rPr>
            </w:pPr>
          </w:p>
        </w:tc>
        <w:tc>
          <w:tcPr>
            <w:tcW w:w="6360" w:type="dxa"/>
            <w:vAlign w:val="bottom"/>
          </w:tcPr>
          <w:p>
            <w:pPr>
              <w:ind w:left="200"/>
              <w:spacing w:after="0"/>
              <w:rPr>
                <w:sz w:val="20"/>
                <w:szCs w:val="20"/>
                <w:color w:val="auto"/>
              </w:rPr>
            </w:pPr>
            <w:r>
              <w:rPr>
                <w:rFonts w:ascii="Arial" w:cs="Arial" w:eastAsia="Arial" w:hAnsi="Arial"/>
                <w:sz w:val="18"/>
                <w:szCs w:val="18"/>
                <w:color w:val="auto"/>
              </w:rPr>
              <w:t>Remuneration</w:t>
            </w:r>
          </w:p>
        </w:tc>
        <w:tc>
          <w:tcPr>
            <w:tcW w:w="4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80" w:type="dxa"/>
            <w:vAlign w:val="bottom"/>
            <w:shd w:val="clear" w:color="auto" w:fill="CCEEFF"/>
          </w:tcPr>
          <w:p>
            <w:pPr>
              <w:spacing w:after="0"/>
              <w:rPr>
                <w:sz w:val="18"/>
                <w:szCs w:val="18"/>
                <w:color w:val="auto"/>
              </w:rPr>
            </w:pPr>
          </w:p>
        </w:tc>
        <w:tc>
          <w:tcPr>
            <w:tcW w:w="6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Disclosure of information</w:t>
            </w:r>
          </w:p>
        </w:tc>
        <w:tc>
          <w:tcPr>
            <w:tcW w:w="4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20</w:t>
            </w: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Delegation of powers</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r>
      <w:tr>
        <w:trPr>
          <w:trHeight w:val="216"/>
        </w:trPr>
        <w:tc>
          <w:tcPr>
            <w:tcW w:w="3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Power to delegate any of the directors' powers to a committee</w:t>
            </w:r>
          </w:p>
        </w:tc>
        <w:tc>
          <w:tcPr>
            <w:tcW w:w="29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380" w:type="dxa"/>
            <w:vAlign w:val="bottom"/>
            <w:shd w:val="clear" w:color="auto" w:fill="CCEEFF"/>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Power to appoint an agent of the Company</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80" w:type="dxa"/>
            <w:vAlign w:val="bottom"/>
          </w:tcPr>
          <w:p>
            <w:pPr>
              <w:spacing w:after="0"/>
              <w:rPr>
                <w:sz w:val="18"/>
                <w:szCs w:val="18"/>
                <w:color w:val="auto"/>
              </w:rPr>
            </w:pPr>
          </w:p>
        </w:tc>
        <w:tc>
          <w:tcPr>
            <w:tcW w:w="7940" w:type="dxa"/>
            <w:vAlign w:val="bottom"/>
          </w:tcPr>
          <w:p>
            <w:pPr>
              <w:ind w:left="200"/>
              <w:spacing w:after="0"/>
              <w:rPr>
                <w:sz w:val="20"/>
                <w:szCs w:val="20"/>
                <w:color w:val="auto"/>
              </w:rPr>
            </w:pPr>
            <w:r>
              <w:rPr>
                <w:rFonts w:ascii="Arial" w:cs="Arial" w:eastAsia="Arial" w:hAnsi="Arial"/>
                <w:sz w:val="18"/>
                <w:szCs w:val="18"/>
                <w:color w:val="auto"/>
              </w:rPr>
              <w:t>Power to appoint an attorney or authorised signatory of the Company</w:t>
            </w:r>
          </w:p>
        </w:tc>
        <w:tc>
          <w:tcPr>
            <w:tcW w:w="2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380" w:type="dxa"/>
            <w:vAlign w:val="bottom"/>
            <w:shd w:val="clear" w:color="auto" w:fill="CCEEFF"/>
          </w:tcPr>
          <w:p>
            <w:pPr>
              <w:spacing w:after="0"/>
              <w:rPr>
                <w:sz w:val="18"/>
                <w:szCs w:val="18"/>
                <w:color w:val="auto"/>
              </w:rPr>
            </w:pPr>
          </w:p>
        </w:tc>
        <w:tc>
          <w:tcPr>
            <w:tcW w:w="7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Power to appoint a proxy</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21</w:t>
            </w: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Meetings of directors</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r>
      <w:tr>
        <w:trPr>
          <w:trHeight w:val="216"/>
        </w:trPr>
        <w:tc>
          <w:tcPr>
            <w:tcW w:w="38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Regulation of directors' meetings</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shd w:val="clear" w:color="auto" w:fill="CCEEFF"/>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Calling meetings</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Notice of meetings</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shd w:val="clear" w:color="auto" w:fill="CCEEFF"/>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Period of notice</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Use of technology</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shd w:val="clear" w:color="auto" w:fill="CCEEFF"/>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Place of meetings</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Quorum</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shd w:val="clear" w:color="auto" w:fill="CCEEFF"/>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Voting</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Validity</w:t>
            </w:r>
          </w:p>
        </w:tc>
        <w:tc>
          <w:tcPr>
            <w:tcW w:w="42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380" w:type="dxa"/>
            <w:vAlign w:val="bottom"/>
            <w:shd w:val="clear" w:color="auto" w:fill="CCEEFF"/>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Recording of dissent</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0" w:type="dxa"/>
            <w:vAlign w:val="bottom"/>
          </w:tcPr>
          <w:p>
            <w:pPr>
              <w:spacing w:after="0"/>
              <w:rPr>
                <w:sz w:val="18"/>
                <w:szCs w:val="18"/>
                <w:color w:val="auto"/>
              </w:rPr>
            </w:pPr>
          </w:p>
        </w:tc>
        <w:tc>
          <w:tcPr>
            <w:tcW w:w="6640" w:type="dxa"/>
            <w:vAlign w:val="bottom"/>
          </w:tcPr>
          <w:p>
            <w:pPr>
              <w:ind w:left="200"/>
              <w:spacing w:after="0"/>
              <w:rPr>
                <w:sz w:val="20"/>
                <w:szCs w:val="20"/>
                <w:color w:val="auto"/>
              </w:rPr>
            </w:pPr>
            <w:r>
              <w:rPr>
                <w:rFonts w:ascii="Arial" w:cs="Arial" w:eastAsia="Arial" w:hAnsi="Arial"/>
                <w:sz w:val="18"/>
                <w:szCs w:val="18"/>
                <w:color w:val="auto"/>
              </w:rPr>
              <w:t>Written resolutions</w:t>
            </w:r>
          </w:p>
        </w:tc>
        <w:tc>
          <w:tcPr>
            <w:tcW w:w="42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0" w:type="dxa"/>
            <w:vAlign w:val="bottom"/>
            <w:shd w:val="clear" w:color="auto" w:fill="CCEEFF"/>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Sole director's minute</w:t>
            </w:r>
          </w:p>
        </w:tc>
        <w:tc>
          <w:tcPr>
            <w:tcW w:w="4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22</w:t>
            </w: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Permissible directors' interests and disclosure</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16"/>
        </w:trPr>
        <w:tc>
          <w:tcPr>
            <w:tcW w:w="38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Permissible interests subject to disclosure</w:t>
            </w:r>
          </w:p>
        </w:tc>
        <w:tc>
          <w:tcPr>
            <w:tcW w:w="36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380" w:type="dxa"/>
            <w:vAlign w:val="bottom"/>
            <w:shd w:val="clear" w:color="auto" w:fill="CCEEFF"/>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Notification of interests</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8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Voting where a director is interested in a matter</w:t>
            </w:r>
          </w:p>
        </w:tc>
        <w:tc>
          <w:tcPr>
            <w:tcW w:w="36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38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23</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Minutes</w:t>
            </w:r>
          </w:p>
        </w:tc>
        <w:tc>
          <w:tcPr>
            <w:tcW w:w="33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24</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Accounts and audit</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Accounting and other records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No automatic right of inspection</w:t>
            </w: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Sending of accounts and reports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Time of receipt if documents are published on a website</w:t>
            </w:r>
          </w:p>
        </w:tc>
        <w:tc>
          <w:tcPr>
            <w:tcW w:w="334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Validity despite accidental error in publication on website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Audit</w:t>
            </w:r>
          </w:p>
        </w:tc>
        <w:tc>
          <w:tcPr>
            <w:tcW w:w="334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25</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Financial year</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26</w:t>
            </w:r>
          </w:p>
        </w:tc>
        <w:tc>
          <w:tcPr>
            <w:tcW w:w="7520" w:type="dxa"/>
            <w:vAlign w:val="bottom"/>
          </w:tcPr>
          <w:p>
            <w:pPr>
              <w:ind w:left="200"/>
              <w:spacing w:after="0"/>
              <w:rPr>
                <w:sz w:val="20"/>
                <w:szCs w:val="20"/>
                <w:color w:val="auto"/>
              </w:rPr>
            </w:pPr>
            <w:r>
              <w:rPr>
                <w:rFonts w:ascii="Arial" w:cs="Arial" w:eastAsia="Arial" w:hAnsi="Arial"/>
                <w:sz w:val="18"/>
                <w:szCs w:val="18"/>
                <w:b w:val="1"/>
                <w:bCs w:val="1"/>
                <w:color w:val="auto"/>
              </w:rPr>
              <w:t>Record dates</w:t>
            </w:r>
          </w:p>
        </w:tc>
        <w:tc>
          <w:tcPr>
            <w:tcW w:w="33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80" w:type="dxa"/>
            <w:vAlign w:val="bottom"/>
            <w:tcBorders>
              <w:bottom w:val="single" w:sz="8" w:color="auto"/>
            </w:tcBorders>
          </w:tcPr>
          <w:p>
            <w:pPr>
              <w:spacing w:after="0"/>
              <w:rPr>
                <w:sz w:val="24"/>
                <w:szCs w:val="24"/>
                <w:color w:val="auto"/>
              </w:rPr>
            </w:pPr>
          </w:p>
        </w:tc>
        <w:tc>
          <w:tcPr>
            <w:tcW w:w="75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27</w:t>
            </w: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Dividends</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r>
      <w:tr>
        <w:trPr>
          <w:trHeight w:val="216"/>
        </w:trPr>
        <w:tc>
          <w:tcPr>
            <w:tcW w:w="38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Declaration of dividends by Members</w:t>
            </w:r>
          </w:p>
        </w:tc>
        <w:tc>
          <w:tcPr>
            <w:tcW w:w="2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8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interim dividends and declaration of final dividends by directors</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8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Apportionment of dividends</w:t>
            </w:r>
          </w:p>
        </w:tc>
        <w:tc>
          <w:tcPr>
            <w:tcW w:w="2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 of set off</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Power to pay other than in cash</w:t>
            </w:r>
          </w:p>
        </w:tc>
        <w:tc>
          <w:tcPr>
            <w:tcW w:w="26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How payments may be made</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80" w:type="dxa"/>
            <w:vAlign w:val="bottom"/>
          </w:tcPr>
          <w:p>
            <w:pPr>
              <w:spacing w:after="0"/>
              <w:rPr>
                <w:sz w:val="18"/>
                <w:szCs w:val="18"/>
                <w:color w:val="auto"/>
              </w:rPr>
            </w:pPr>
          </w:p>
        </w:tc>
        <w:tc>
          <w:tcPr>
            <w:tcW w:w="8180" w:type="dxa"/>
            <w:vAlign w:val="bottom"/>
          </w:tcPr>
          <w:p>
            <w:pPr>
              <w:ind w:left="200"/>
              <w:spacing w:after="0"/>
              <w:rPr>
                <w:sz w:val="20"/>
                <w:szCs w:val="20"/>
                <w:color w:val="auto"/>
              </w:rPr>
            </w:pPr>
            <w:r>
              <w:rPr>
                <w:rFonts w:ascii="Arial" w:cs="Arial" w:eastAsia="Arial" w:hAnsi="Arial"/>
                <w:sz w:val="18"/>
                <w:szCs w:val="18"/>
                <w:color w:val="auto"/>
              </w:rPr>
              <w:t>Dividends or other moneys not to bear interest in absence of special rights</w:t>
            </w:r>
          </w:p>
        </w:tc>
        <w:tc>
          <w:tcPr>
            <w:tcW w:w="26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80" w:type="dxa"/>
            <w:vAlign w:val="bottom"/>
            <w:shd w:val="clear" w:color="auto" w:fill="CCEEFF"/>
          </w:tcPr>
          <w:p>
            <w:pPr>
              <w:spacing w:after="0"/>
              <w:rPr>
                <w:sz w:val="18"/>
                <w:szCs w:val="18"/>
                <w:color w:val="auto"/>
              </w:rPr>
            </w:pPr>
          </w:p>
        </w:tc>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unable to be paid or unclaimed</w:t>
            </w:r>
          </w:p>
        </w:tc>
        <w:tc>
          <w:tcPr>
            <w:tcW w:w="2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28</w:t>
            </w: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Capitalisation of profits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Capitalisation of profits or of any share premium account or capital redemption reserve</w:t>
            </w:r>
          </w:p>
        </w:tc>
        <w:tc>
          <w:tcPr>
            <w:tcW w:w="18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Applying an amount for the benefit of members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29</w:t>
            </w: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Share premium account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Directors to maintain share premium account</w:t>
            </w:r>
          </w:p>
        </w:tc>
        <w:tc>
          <w:tcPr>
            <w:tcW w:w="18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Debits to share premium account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30</w:t>
            </w: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Seal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Company seal</w:t>
            </w:r>
          </w:p>
        </w:tc>
        <w:tc>
          <w:tcPr>
            <w:tcW w:w="18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Duplicate seal</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When and how seal is to be used</w:t>
            </w:r>
          </w:p>
        </w:tc>
        <w:tc>
          <w:tcPr>
            <w:tcW w:w="18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If no seal is adopted or used</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Power to allow non-manual signatures and facsimile printing of seal</w:t>
            </w:r>
          </w:p>
        </w:tc>
        <w:tc>
          <w:tcPr>
            <w:tcW w:w="18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Validity of execution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31</w:t>
            </w: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Indemnity</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Indemnity</w:t>
            </w:r>
          </w:p>
        </w:tc>
        <w:tc>
          <w:tcPr>
            <w:tcW w:w="18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Release</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32</w:t>
            </w: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 of notices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Electronic communications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Persons authorised to give notices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Delivery of written 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Joint holders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Signatures</w:t>
            </w:r>
          </w:p>
        </w:tc>
        <w:tc>
          <w:tcPr>
            <w:tcW w:w="18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Evidence of transmission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Giving notice to a deceased or bankrupt Member</w:t>
            </w:r>
          </w:p>
        </w:tc>
        <w:tc>
          <w:tcPr>
            <w:tcW w:w="18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Date of giving notices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Saving provision</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33</w:t>
            </w: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Authentication of Electronic Records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Application of Articles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Authentication of documents sent by Members by Electronic means</w:t>
            </w:r>
          </w:p>
        </w:tc>
        <w:tc>
          <w:tcPr>
            <w:tcW w:w="186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Authentication of document sent by the Secretary or Officers of the Company by Electronic means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Manner of signing</w:t>
            </w:r>
          </w:p>
        </w:tc>
        <w:tc>
          <w:tcPr>
            <w:tcW w:w="186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 provision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34</w:t>
            </w: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Transfer by way of continuation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35</w:t>
            </w: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Winding up</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Distribution of assets in specie</w:t>
            </w: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 obligation to accept liability</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The directors are authorised to present a winding up petition</w:t>
            </w: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36</w:t>
            </w: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Amendment of Memorandum and Articles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Power to change name or amend Memorandum</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Power to amend these Articles</w:t>
            </w:r>
          </w:p>
        </w:tc>
        <w:tc>
          <w:tcPr>
            <w:tcW w:w="18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37</w:t>
            </w: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Mergers and Consolidations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38</w:t>
            </w: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Business Combination</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39</w:t>
            </w: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Certain Tax Filings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40</w:t>
            </w:r>
          </w:p>
        </w:tc>
        <w:tc>
          <w:tcPr>
            <w:tcW w:w="9000" w:type="dxa"/>
            <w:vAlign w:val="bottom"/>
          </w:tcPr>
          <w:p>
            <w:pPr>
              <w:ind w:left="200"/>
              <w:spacing w:after="0"/>
              <w:rPr>
                <w:sz w:val="20"/>
                <w:szCs w:val="20"/>
                <w:color w:val="auto"/>
              </w:rPr>
            </w:pPr>
            <w:r>
              <w:rPr>
                <w:rFonts w:ascii="Arial" w:cs="Arial" w:eastAsia="Arial" w:hAnsi="Arial"/>
                <w:sz w:val="18"/>
                <w:szCs w:val="18"/>
                <w:b w:val="1"/>
                <w:bCs w:val="1"/>
                <w:color w:val="auto"/>
              </w:rPr>
              <w:t>Business Opportunities</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7"/>
        </w:trPr>
        <w:tc>
          <w:tcPr>
            <w:tcW w:w="38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000" w:gutter="0" w:footer="0" w:header="0"/>
        </w:sectPr>
      </w:pPr>
    </w:p>
    <w:bookmarkStart w:id="51" w:name="page52"/>
    <w:bookmarkEnd w:id="51"/>
    <w:p>
      <w:pPr>
        <w:jc w:val="center"/>
        <w:spacing w:after="0"/>
        <w:rPr>
          <w:sz w:val="20"/>
          <w:szCs w:val="20"/>
          <w:color w:val="auto"/>
        </w:rPr>
      </w:pPr>
      <w:r>
        <w:rPr>
          <w:rFonts w:ascii="Arial" w:cs="Arial" w:eastAsia="Arial" w:hAnsi="Arial"/>
          <w:sz w:val="22"/>
          <w:szCs w:val="22"/>
          <w:b w:val="1"/>
          <w:bCs w:val="1"/>
          <w:color w:val="auto"/>
        </w:rPr>
        <w:t>Companies Law (Revised)</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Limited by Shares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&amp; Restated Articles of Association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Adopted by special resolution on August 6, 2020</w:t>
      </w:r>
    </w:p>
    <w:p>
      <w:pPr>
        <w:spacing w:after="0" w:line="236"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b w:val="1"/>
          <w:bCs w:val="1"/>
          <w:color w:val="010000"/>
        </w:rPr>
      </w:pPr>
      <w:r>
        <w:rPr>
          <w:rFonts w:ascii="Arial" w:cs="Arial" w:eastAsia="Arial" w:hAnsi="Arial"/>
          <w:sz w:val="18"/>
          <w:szCs w:val="18"/>
          <w:b w:val="1"/>
          <w:bCs w:val="1"/>
          <w:color w:val="auto"/>
        </w:rPr>
        <w:t>Definitions, interpretation and exclusion of Table A</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1.1</w:t>
      </w:r>
      <w:r>
        <w:rPr>
          <w:sz w:val="20"/>
          <w:szCs w:val="20"/>
          <w:color w:val="auto"/>
        </w:rPr>
        <w:tab/>
      </w:r>
      <w:r>
        <w:rPr>
          <w:rFonts w:ascii="Arial" w:cs="Arial" w:eastAsia="Arial" w:hAnsi="Arial"/>
          <w:sz w:val="16"/>
          <w:szCs w:val="16"/>
          <w:color w:val="auto"/>
        </w:rPr>
        <w:t>In these Articles, the following definitions apply:</w:t>
      </w:r>
    </w:p>
    <w:p>
      <w:pPr>
        <w:spacing w:after="0" w:line="248"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with respect to any person, all provisions of laws, statutes, ordinances, rules, regulations, permits, certificates,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decrees or orders of any governmental authority applicable to such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as appropriate:</w:t>
      </w:r>
    </w:p>
    <w:p>
      <w:pPr>
        <w:spacing w:after="0" w:line="256"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these Articles of Association as amended from time to time: or</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two or more particular Articles of these Articles;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and </w:t>
      </w:r>
      <w:r>
        <w:rPr>
          <w:rFonts w:ascii="Arial" w:cs="Arial" w:eastAsia="Arial" w:hAnsi="Arial"/>
          <w:sz w:val="22"/>
          <w:szCs w:val="22"/>
          <w:b w:val="1"/>
          <w:bCs w:val="1"/>
          <w:color w:val="auto"/>
        </w:rPr>
        <w:t>Article</w:t>
      </w:r>
      <w:r>
        <w:rPr>
          <w:rFonts w:ascii="Arial" w:cs="Arial" w:eastAsia="Arial" w:hAnsi="Arial"/>
          <w:sz w:val="22"/>
          <w:szCs w:val="22"/>
          <w:color w:val="auto"/>
        </w:rPr>
        <w:t xml:space="preserve"> refers to a particular Article of these Articles.</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means the audit committee of the Company formed pursuant to Article 24.8 hereof, or any successor audit committee.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means the person for the time being performing the duties of auditor of the Company.</w:t>
      </w:r>
    </w:p>
    <w:p>
      <w:pPr>
        <w:spacing w:after="0" w:line="252"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a merger, share exchange, asset acquisition, share purchase, reorganisation or similar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involving the Company, with one or more businesses or entities (each a </w:t>
      </w:r>
      <w:r>
        <w:rPr>
          <w:rFonts w:ascii="Arial" w:cs="Arial" w:eastAsia="Arial" w:hAnsi="Arial"/>
          <w:sz w:val="18"/>
          <w:szCs w:val="18"/>
          <w:b w:val="1"/>
          <w:bCs w:val="1"/>
          <w:color w:val="auto"/>
        </w:rPr>
        <w:t>target business</w:t>
      </w:r>
      <w:r>
        <w:rPr>
          <w:rFonts w:ascii="Arial" w:cs="Arial" w:eastAsia="Arial" w:hAnsi="Arial"/>
          <w:sz w:val="18"/>
          <w:szCs w:val="18"/>
          <w:color w:val="auto"/>
        </w:rPr>
        <w:t>), which Business Combination: (a) must occur with one or more target businesses that together have an aggregate fair market value of at least 80% of the net assets held in the Trust Account (excluding the deferred underwriting commissions and taxes payable on the income earned on the Trust Account) at the time of signing the agreement to enter into the Business Combination; and (b) must not be effectuated solely with another blank cheque company or a similar company with nominal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ind w:left="4" w:right="14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day on which banking institutions or trust companies are authorised or obligated by law to close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City, a Saturday or a Sunday.</w:t>
      </w:r>
    </w:p>
    <w:p>
      <w:pPr>
        <w:spacing w:after="0" w:line="189" w:lineRule="exact"/>
        <w:rPr>
          <w:sz w:val="20"/>
          <w:szCs w:val="20"/>
          <w:color w:val="auto"/>
        </w:rPr>
      </w:pPr>
    </w:p>
    <w:p>
      <w:pPr>
        <w:jc w:val="both"/>
        <w:ind w:left="4" w:right="2380"/>
        <w:spacing w:after="0" w:line="565" w:lineRule="auto"/>
        <w:rPr>
          <w:sz w:val="20"/>
          <w:szCs w:val="20"/>
          <w:color w:val="auto"/>
        </w:rPr>
      </w:pPr>
      <w:r>
        <w:rPr>
          <w:rFonts w:ascii="Arial" w:cs="Arial" w:eastAsia="Arial" w:hAnsi="Arial"/>
          <w:sz w:val="17"/>
          <w:szCs w:val="17"/>
          <w:b w:val="1"/>
          <w:bCs w:val="1"/>
          <w:color w:val="auto"/>
        </w:rPr>
        <w:t xml:space="preserve">Class A Share </w:t>
      </w:r>
      <w:r>
        <w:rPr>
          <w:rFonts w:ascii="Arial" w:cs="Arial" w:eastAsia="Arial" w:hAnsi="Arial"/>
          <w:sz w:val="17"/>
          <w:szCs w:val="17"/>
          <w:color w:val="auto"/>
        </w:rPr>
        <w:t>means a Class A ordinary share of a par value of US$0.0001 in the share capital of the Company.</w:t>
      </w:r>
      <w:r>
        <w:rPr>
          <w:rFonts w:ascii="Arial" w:cs="Arial" w:eastAsia="Arial" w:hAnsi="Arial"/>
          <w:sz w:val="17"/>
          <w:szCs w:val="17"/>
          <w:b w:val="1"/>
          <w:bCs w:val="1"/>
          <w:color w:val="auto"/>
        </w:rPr>
        <w:t xml:space="preserve"> Class B Share </w:t>
      </w:r>
      <w:r>
        <w:rPr>
          <w:rFonts w:ascii="Arial" w:cs="Arial" w:eastAsia="Arial" w:hAnsi="Arial"/>
          <w:sz w:val="17"/>
          <w:szCs w:val="17"/>
          <w:color w:val="auto"/>
        </w:rPr>
        <w:t>means a Class B ordinary share of a par value of US$0.0001 in the share capital of the Company.</w:t>
      </w:r>
      <w:r>
        <w:rPr>
          <w:rFonts w:ascii="Arial" w:cs="Arial" w:eastAsia="Arial" w:hAnsi="Arial"/>
          <w:sz w:val="17"/>
          <w:szCs w:val="17"/>
          <w:b w:val="1"/>
          <w:bCs w:val="1"/>
          <w:color w:val="auto"/>
        </w:rPr>
        <w:t xml:space="preserve"> Clear Days</w:t>
      </w:r>
      <w:r>
        <w:rPr>
          <w:rFonts w:ascii="Arial" w:cs="Arial" w:eastAsia="Arial" w:hAnsi="Arial"/>
          <w:sz w:val="17"/>
          <w:szCs w:val="17"/>
          <w:color w:val="auto"/>
        </w:rPr>
        <w:t>, in relation to a period of notice, means that period excluding:</w:t>
      </w: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day when the notice is given or deemed to be given; and</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day for which it is given or on which it is to take effect.</w:t>
      </w:r>
    </w:p>
    <w:p>
      <w:pPr>
        <w:spacing w:after="0" w:line="248"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Clearing House </w:t>
      </w:r>
      <w:r>
        <w:rPr>
          <w:rFonts w:ascii="Arial" w:cs="Arial" w:eastAsia="Arial" w:hAnsi="Arial"/>
          <w:sz w:val="18"/>
          <w:szCs w:val="18"/>
          <w:color w:val="auto"/>
        </w:rPr>
        <w:t>means a clearing house recognised by the laws of the jurisdiction in which the Shares (or depositary receipts therefor) are listed</w:t>
      </w:r>
      <w:r>
        <w:rPr>
          <w:rFonts w:ascii="Arial" w:cs="Arial" w:eastAsia="Arial" w:hAnsi="Arial"/>
          <w:sz w:val="18"/>
          <w:szCs w:val="18"/>
          <w:b w:val="1"/>
          <w:bCs w:val="1"/>
          <w:color w:val="auto"/>
        </w:rPr>
        <w:t xml:space="preserve"> </w:t>
      </w:r>
      <w:r>
        <w:rPr>
          <w:rFonts w:ascii="Arial" w:cs="Arial" w:eastAsia="Arial" w:hAnsi="Arial"/>
          <w:sz w:val="18"/>
          <w:szCs w:val="18"/>
          <w:color w:val="auto"/>
        </w:rPr>
        <w:t>or quoted on a stock exchange or interdealer quotation system in such jurisdiction.</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above-named company.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10% (ten per cent) per annum.</w:t>
      </w:r>
    </w:p>
    <w:p>
      <w:pPr>
        <w:spacing w:after="0" w:line="252"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Designated Stock Exchange </w:t>
      </w:r>
      <w:r>
        <w:rPr>
          <w:rFonts w:ascii="Arial" w:cs="Arial" w:eastAsia="Arial" w:hAnsi="Arial"/>
          <w:sz w:val="18"/>
          <w:szCs w:val="18"/>
          <w:color w:val="auto"/>
        </w:rPr>
        <w:t>means any national securities exchange, including the Nasdaq Stock Market LLC, the NYSE American LLC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Stock Exchange LLC or any OTC market on which the Shares are listed for trading.</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Electronic </w:t>
      </w:r>
      <w:r>
        <w:rPr>
          <w:rFonts w:ascii="Arial" w:cs="Arial" w:eastAsia="Arial" w:hAnsi="Arial"/>
          <w:sz w:val="18"/>
          <w:szCs w:val="18"/>
          <w:color w:val="auto"/>
        </w:rPr>
        <w:t>has the meaning given to that term in the Electronic Transactions Law (Revised).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Electronic Record </w:t>
      </w:r>
      <w:r>
        <w:rPr>
          <w:rFonts w:ascii="Arial" w:cs="Arial" w:eastAsia="Arial" w:hAnsi="Arial"/>
          <w:sz w:val="18"/>
          <w:szCs w:val="18"/>
          <w:color w:val="auto"/>
        </w:rPr>
        <w:t>has the meaning given to that term in the Electronic Transactions Law (Revised).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Electronic Signature </w:t>
      </w:r>
      <w:r>
        <w:rPr>
          <w:rFonts w:ascii="Arial" w:cs="Arial" w:eastAsia="Arial" w:hAnsi="Arial"/>
          <w:sz w:val="18"/>
          <w:szCs w:val="18"/>
          <w:color w:val="auto"/>
        </w:rPr>
        <w:t>has the meaning given to that term in the Electronic Transactions Law (Revised).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United States Securities Exchange Act of 1934, as amended.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Founders </w:t>
      </w:r>
      <w:r>
        <w:rPr>
          <w:rFonts w:ascii="Arial" w:cs="Arial" w:eastAsia="Arial" w:hAnsi="Arial"/>
          <w:sz w:val="18"/>
          <w:szCs w:val="18"/>
          <w:color w:val="auto"/>
        </w:rPr>
        <w:t>means all Members immediately prior to the consummation of the IPO.</w:t>
      </w:r>
    </w:p>
    <w:p>
      <w:pPr>
        <w:spacing w:after="0" w:line="200" w:lineRule="exact"/>
        <w:rPr>
          <w:sz w:val="20"/>
          <w:szCs w:val="20"/>
          <w:color w:val="auto"/>
        </w:rPr>
      </w:pPr>
    </w:p>
    <w:p>
      <w:pPr>
        <w:spacing w:after="0" w:line="227"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4"/>
          </w:cols>
          <w:pgMar w:left="976" w:top="121" w:right="419" w:bottom="1440" w:gutter="0" w:footer="0" w:header="0"/>
        </w:sectPr>
      </w:pPr>
    </w:p>
    <w:bookmarkStart w:id="53" w:name="page54"/>
    <w:bookmarkEnd w:id="53"/>
    <w:p>
      <w:pPr>
        <w:ind w:left="4"/>
        <w:spacing w:after="0"/>
        <w:rPr>
          <w:sz w:val="20"/>
          <w:szCs w:val="20"/>
          <w:color w:val="auto"/>
        </w:rPr>
      </w:pPr>
      <w:r>
        <w:rPr>
          <w:rFonts w:ascii="Arial" w:cs="Arial" w:eastAsia="Arial" w:hAnsi="Arial"/>
          <w:sz w:val="18"/>
          <w:szCs w:val="18"/>
          <w:b w:val="1"/>
          <w:bCs w:val="1"/>
          <w:color w:val="auto"/>
        </w:rPr>
        <w:t xml:space="preserve">Fully Paid </w:t>
      </w:r>
      <w:r>
        <w:rPr>
          <w:rFonts w:ascii="Arial" w:cs="Arial" w:eastAsia="Arial" w:hAnsi="Arial"/>
          <w:sz w:val="18"/>
          <w:szCs w:val="18"/>
          <w:color w:val="auto"/>
        </w:rPr>
        <w:t>and</w:t>
      </w:r>
      <w:r>
        <w:rPr>
          <w:rFonts w:ascii="Arial" w:cs="Arial" w:eastAsia="Arial" w:hAnsi="Arial"/>
          <w:sz w:val="18"/>
          <w:szCs w:val="18"/>
          <w:b w:val="1"/>
          <w:bCs w:val="1"/>
          <w:color w:val="auto"/>
        </w:rPr>
        <w:t xml:space="preserve"> Paid Up</w:t>
      </w:r>
      <w:r>
        <w:rPr>
          <w:rFonts w:ascii="Arial" w:cs="Arial" w:eastAsia="Arial" w:hAnsi="Arial"/>
          <w:sz w:val="18"/>
          <w:szCs w:val="18"/>
          <w:color w:val="auto"/>
        </w:rPr>
        <w:t>:</w:t>
      </w:r>
    </w:p>
    <w:p>
      <w:pPr>
        <w:spacing w:after="0" w:line="256" w:lineRule="exact"/>
        <w:rPr>
          <w:sz w:val="20"/>
          <w:szCs w:val="20"/>
          <w:color w:val="auto"/>
        </w:rPr>
      </w:pPr>
    </w:p>
    <w:p>
      <w:pPr>
        <w:ind w:left="644" w:right="420" w:hanging="644"/>
        <w:spacing w:after="0" w:line="277"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a Share with par value, means that the par value for that Share and any premium payable in respect of the issue of that Share, has been fully paid or credited as paid in money or money's worth;</w:t>
      </w:r>
    </w:p>
    <w:p>
      <w:pPr>
        <w:spacing w:after="0" w:line="197" w:lineRule="exact"/>
        <w:rPr>
          <w:rFonts w:ascii="Arial" w:cs="Arial" w:eastAsia="Arial" w:hAnsi="Arial"/>
          <w:sz w:val="18"/>
          <w:szCs w:val="18"/>
          <w:color w:val="auto"/>
        </w:rPr>
      </w:pPr>
    </w:p>
    <w:p>
      <w:pPr>
        <w:ind w:left="644" w:right="80" w:hanging="644"/>
        <w:spacing w:after="0" w:line="277" w:lineRule="auto"/>
        <w:tabs>
          <w:tab w:leader="none" w:pos="644"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relation to a Share without par value, means that the agreed issue price for that Share has been fully paid or credited as paid in money or money's worth.</w:t>
      </w:r>
    </w:p>
    <w:p>
      <w:pPr>
        <w:spacing w:after="0" w:line="193"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b w:val="1"/>
          <w:bCs w:val="1"/>
          <w:color w:val="auto"/>
        </w:rPr>
        <w:t xml:space="preserve">Independent Director </w:t>
      </w:r>
      <w:r>
        <w:rPr>
          <w:rFonts w:ascii="Arial" w:cs="Arial" w:eastAsia="Arial" w:hAnsi="Arial"/>
          <w:sz w:val="18"/>
          <w:szCs w:val="18"/>
          <w:color w:val="auto"/>
        </w:rPr>
        <w:t>means a director who is an independent director as defined in the rules and regulations of the Designated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directors.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Investor Group </w:t>
      </w:r>
      <w:r>
        <w:rPr>
          <w:rFonts w:ascii="Arial" w:cs="Arial" w:eastAsia="Arial" w:hAnsi="Arial"/>
          <w:sz w:val="18"/>
          <w:szCs w:val="18"/>
          <w:color w:val="auto"/>
        </w:rPr>
        <w:t>means the Sponsor, Perceptive Advisors LLC and their respective affiliates, successors and assigns.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w:t>
      </w:r>
      <w:r>
        <w:rPr>
          <w:rFonts w:ascii="Arial" w:cs="Arial" w:eastAsia="Arial" w:hAnsi="Arial"/>
          <w:sz w:val="18"/>
          <w:szCs w:val="18"/>
          <w:color w:val="auto"/>
        </w:rPr>
        <w:t>means the Company's initial public offering of securities.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Redemption </w:t>
      </w:r>
      <w:r>
        <w:rPr>
          <w:rFonts w:ascii="Arial" w:cs="Arial" w:eastAsia="Arial" w:hAnsi="Arial"/>
          <w:sz w:val="18"/>
          <w:szCs w:val="18"/>
          <w:color w:val="auto"/>
        </w:rPr>
        <w:t>has the meaning given to it in Article 38.6.</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Islands </w:t>
      </w:r>
      <w:r>
        <w:rPr>
          <w:rFonts w:ascii="Arial" w:cs="Arial" w:eastAsia="Arial" w:hAnsi="Arial"/>
          <w:sz w:val="18"/>
          <w:szCs w:val="18"/>
          <w:color w:val="auto"/>
        </w:rPr>
        <w:t>means the British Overseas Territory of the Cayman Islands.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the Companies Law (Revised).</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Member </w:t>
      </w:r>
      <w:r>
        <w:rPr>
          <w:rFonts w:ascii="Arial" w:cs="Arial" w:eastAsia="Arial" w:hAnsi="Arial"/>
          <w:sz w:val="18"/>
          <w:szCs w:val="18"/>
          <w:color w:val="auto"/>
        </w:rPr>
        <w:t>means any person or persons entered on the Register of Members from time to time as the holder of a Share.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Memorandum </w:t>
      </w:r>
      <w:r>
        <w:rPr>
          <w:rFonts w:ascii="Arial" w:cs="Arial" w:eastAsia="Arial" w:hAnsi="Arial"/>
          <w:sz w:val="18"/>
          <w:szCs w:val="18"/>
          <w:color w:val="auto"/>
        </w:rPr>
        <w:t>means the Memorandum of Association of the Company as amended from time to time.</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Officer </w:t>
      </w:r>
      <w:r>
        <w:rPr>
          <w:rFonts w:ascii="Arial" w:cs="Arial" w:eastAsia="Arial" w:hAnsi="Arial"/>
          <w:sz w:val="16"/>
          <w:szCs w:val="16"/>
          <w:color w:val="auto"/>
        </w:rPr>
        <w:t>means a person then appointed to hold an office in the Company; and the expression includes a director, alternate director or liquidator.</w:t>
      </w:r>
    </w:p>
    <w:p>
      <w:pPr>
        <w:spacing w:after="0" w:line="275"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Ordinary Resolution </w:t>
      </w:r>
      <w:r>
        <w:rPr>
          <w:rFonts w:ascii="Arial" w:cs="Arial" w:eastAsia="Arial" w:hAnsi="Arial"/>
          <w:sz w:val="18"/>
          <w:szCs w:val="18"/>
          <w:color w:val="auto"/>
        </w:rPr>
        <w:t>means a resolution of a duly constituted general meeting of the Company passed by a simple majority of the votes cast by,</w:t>
      </w:r>
      <w:r>
        <w:rPr>
          <w:rFonts w:ascii="Arial" w:cs="Arial" w:eastAsia="Arial" w:hAnsi="Arial"/>
          <w:sz w:val="18"/>
          <w:szCs w:val="18"/>
          <w:b w:val="1"/>
          <w:bCs w:val="1"/>
          <w:color w:val="auto"/>
        </w:rPr>
        <w:t xml:space="preserve"> </w:t>
      </w:r>
      <w:r>
        <w:rPr>
          <w:rFonts w:ascii="Arial" w:cs="Arial" w:eastAsia="Arial" w:hAnsi="Arial"/>
          <w:sz w:val="18"/>
          <w:szCs w:val="18"/>
          <w:color w:val="auto"/>
        </w:rPr>
        <w:t>or on behalf of, the Members entitled to vote thereon. The expression also includes a unanimous written resolution.</w:t>
      </w:r>
    </w:p>
    <w:p>
      <w:pPr>
        <w:spacing w:after="0" w:line="189"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b w:val="1"/>
          <w:bCs w:val="1"/>
          <w:color w:val="auto"/>
        </w:rPr>
        <w:t xml:space="preserve">Over-Allotment Option </w:t>
      </w:r>
      <w:r>
        <w:rPr>
          <w:rFonts w:ascii="Arial" w:cs="Arial" w:eastAsia="Arial" w:hAnsi="Arial"/>
          <w:sz w:val="18"/>
          <w:szCs w:val="18"/>
          <w:color w:val="auto"/>
        </w:rPr>
        <w:t>means the option of the Underwriters to purchase up to an additional 15% of the Class A Shares sold in the IPO at a</w:t>
      </w:r>
      <w:r>
        <w:rPr>
          <w:rFonts w:ascii="Arial" w:cs="Arial" w:eastAsia="Arial" w:hAnsi="Arial"/>
          <w:sz w:val="18"/>
          <w:szCs w:val="18"/>
          <w:b w:val="1"/>
          <w:bCs w:val="1"/>
          <w:color w:val="auto"/>
        </w:rPr>
        <w:t xml:space="preserve"> </w:t>
      </w:r>
      <w:r>
        <w:rPr>
          <w:rFonts w:ascii="Arial" w:cs="Arial" w:eastAsia="Arial" w:hAnsi="Arial"/>
          <w:sz w:val="18"/>
          <w:szCs w:val="18"/>
          <w:color w:val="auto"/>
        </w:rPr>
        <w:t>price equal to US$10.00 per share, less underwriting discount and commissions.</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Preference Share </w:t>
      </w:r>
      <w:r>
        <w:rPr>
          <w:rFonts w:ascii="Arial" w:cs="Arial" w:eastAsia="Arial" w:hAnsi="Arial"/>
          <w:sz w:val="18"/>
          <w:szCs w:val="18"/>
          <w:color w:val="auto"/>
        </w:rPr>
        <w:t>means a preference share of a par value of US$0.0001 in the share capital of the Company.</w:t>
      </w:r>
    </w:p>
    <w:p>
      <w:pPr>
        <w:spacing w:after="0" w:line="252"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Private Placement Shares </w:t>
      </w:r>
      <w:r>
        <w:rPr>
          <w:rFonts w:ascii="Arial" w:cs="Arial" w:eastAsia="Arial" w:hAnsi="Arial"/>
          <w:sz w:val="18"/>
          <w:szCs w:val="18"/>
          <w:color w:val="auto"/>
        </w:rPr>
        <w:t>means the Class A Shares issued to the Sponsor in a private placement simultaneously with the closing of the IPO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conversion of working capital loans (if any).</w:t>
      </w:r>
    </w:p>
    <w:p>
      <w:pPr>
        <w:spacing w:after="0" w:line="1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Public Share </w:t>
      </w:r>
      <w:r>
        <w:rPr>
          <w:rFonts w:ascii="Arial" w:cs="Arial" w:eastAsia="Arial" w:hAnsi="Arial"/>
          <w:sz w:val="18"/>
          <w:szCs w:val="18"/>
          <w:color w:val="auto"/>
        </w:rPr>
        <w:t>means a Class A Share issued in the IPO.</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Redemption Price </w:t>
      </w:r>
      <w:r>
        <w:rPr>
          <w:rFonts w:ascii="Arial" w:cs="Arial" w:eastAsia="Arial" w:hAnsi="Arial"/>
          <w:sz w:val="18"/>
          <w:szCs w:val="18"/>
          <w:color w:val="auto"/>
        </w:rPr>
        <w:t>has the meaning given to it in Article 38.6.</w:t>
      </w:r>
    </w:p>
    <w:p>
      <w:pPr>
        <w:spacing w:after="0" w:line="200" w:lineRule="exact"/>
        <w:rPr>
          <w:sz w:val="20"/>
          <w:szCs w:val="20"/>
          <w:color w:val="auto"/>
        </w:rPr>
      </w:pPr>
    </w:p>
    <w:p>
      <w:pPr>
        <w:spacing w:after="0" w:line="227" w:lineRule="exact"/>
        <w:rPr>
          <w:sz w:val="20"/>
          <w:szCs w:val="20"/>
          <w:color w:val="auto"/>
        </w:rPr>
      </w:pPr>
    </w:p>
    <w:p>
      <w:pPr>
        <w:ind w:left="49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121" w:right="399" w:bottom="1440" w:gutter="0" w:footer="0" w:header="0"/>
        </w:sectPr>
      </w:pPr>
    </w:p>
    <w:bookmarkStart w:id="54" w:name="page55"/>
    <w:bookmarkEnd w:id="54"/>
    <w:p>
      <w:pPr>
        <w:ind w:left="660" w:right="180"/>
        <w:spacing w:after="0" w:line="282" w:lineRule="auto"/>
        <w:rPr>
          <w:sz w:val="20"/>
          <w:szCs w:val="20"/>
          <w:color w:val="auto"/>
        </w:rPr>
      </w:pPr>
      <w:r>
        <w:rPr>
          <w:rFonts w:ascii="Arial" w:cs="Arial" w:eastAsia="Arial" w:hAnsi="Arial"/>
          <w:sz w:val="18"/>
          <w:szCs w:val="18"/>
          <w:b w:val="1"/>
          <w:bCs w:val="1"/>
          <w:color w:val="auto"/>
        </w:rPr>
        <w:t xml:space="preserve">Register of Members </w:t>
      </w:r>
      <w:r>
        <w:rPr>
          <w:rFonts w:ascii="Arial" w:cs="Arial" w:eastAsia="Arial" w:hAnsi="Arial"/>
          <w:sz w:val="18"/>
          <w:szCs w:val="18"/>
          <w:color w:val="auto"/>
        </w:rPr>
        <w:t>means the register of Members maintained in accordance with the Law and includes (except where otherwise stated) any</w:t>
      </w:r>
      <w:r>
        <w:rPr>
          <w:rFonts w:ascii="Arial" w:cs="Arial" w:eastAsia="Arial" w:hAnsi="Arial"/>
          <w:sz w:val="18"/>
          <w:szCs w:val="18"/>
          <w:b w:val="1"/>
          <w:bCs w:val="1"/>
          <w:color w:val="auto"/>
        </w:rPr>
        <w:t xml:space="preserve"> </w:t>
      </w:r>
      <w:r>
        <w:rPr>
          <w:rFonts w:ascii="Arial" w:cs="Arial" w:eastAsia="Arial" w:hAnsi="Arial"/>
          <w:sz w:val="18"/>
          <w:szCs w:val="18"/>
          <w:color w:val="auto"/>
        </w:rPr>
        <w:t>branch or duplicate register of Members.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Secretary </w:t>
      </w:r>
      <w:r>
        <w:rPr>
          <w:rFonts w:ascii="Arial" w:cs="Arial" w:eastAsia="Arial" w:hAnsi="Arial"/>
          <w:sz w:val="17"/>
          <w:szCs w:val="17"/>
          <w:color w:val="auto"/>
        </w:rPr>
        <w:t>means a person appointed to perform the duties of the secretary of the Company, including a joint, assistant or deputy secretary.</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Class A Share, a Class B Share or a Preference Share in the share capital of the Company; and the expression:</w:t>
      </w:r>
    </w:p>
    <w:p>
      <w:pPr>
        <w:spacing w:after="0" w:line="256"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stock (except where a distinction between shares and stock is expressed or implied); and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where the context permits, also includes a fraction of a share.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Special Resolution </w:t>
      </w:r>
      <w:r>
        <w:rPr>
          <w:rFonts w:ascii="Arial" w:cs="Arial" w:eastAsia="Arial" w:hAnsi="Arial"/>
          <w:sz w:val="18"/>
          <w:szCs w:val="18"/>
          <w:color w:val="auto"/>
        </w:rPr>
        <w:t>has the meaning given to that term in the Law; and the expression includes a unanimous written resolution.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means ARYA Sciences Holdings III, a Cayman Islands exempted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Filing Authorised Person </w:t>
      </w:r>
      <w:r>
        <w:rPr>
          <w:rFonts w:ascii="Arial" w:cs="Arial" w:eastAsia="Arial" w:hAnsi="Arial"/>
          <w:sz w:val="18"/>
          <w:szCs w:val="18"/>
          <w:color w:val="auto"/>
        </w:rPr>
        <w:t>means such person as any director shall designate from time to time, acting severally.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means Shares of the Company held in treasury pursuant to the Law and Article 3.14.</w:t>
      </w:r>
    </w:p>
    <w:p>
      <w:pPr>
        <w:spacing w:after="0" w:line="252" w:lineRule="exact"/>
        <w:rPr>
          <w:sz w:val="20"/>
          <w:szCs w:val="20"/>
          <w:color w:val="auto"/>
        </w:rPr>
      </w:pPr>
    </w:p>
    <w:p>
      <w:pPr>
        <w:ind w:left="660"/>
        <w:spacing w:after="0" w:line="312" w:lineRule="auto"/>
        <w:rPr>
          <w:sz w:val="20"/>
          <w:szCs w:val="20"/>
          <w:color w:val="auto"/>
        </w:rPr>
      </w:pPr>
      <w:r>
        <w:rPr>
          <w:rFonts w:ascii="Arial" w:cs="Arial" w:eastAsia="Arial" w:hAnsi="Arial"/>
          <w:sz w:val="17"/>
          <w:szCs w:val="17"/>
          <w:b w:val="1"/>
          <w:bCs w:val="1"/>
          <w:color w:val="auto"/>
        </w:rPr>
        <w:t xml:space="preserve">Trust Account </w:t>
      </w:r>
      <w:r>
        <w:rPr>
          <w:rFonts w:ascii="Arial" w:cs="Arial" w:eastAsia="Arial" w:hAnsi="Arial"/>
          <w:sz w:val="17"/>
          <w:szCs w:val="17"/>
          <w:color w:val="auto"/>
        </w:rPr>
        <w:t>means the trust account established by the Company upon the consummation of its IPO and into which a certain amount of the net</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the IPO, together with certain of the proceeds of the sale of the Private Placement Shares, will be deposited.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Underwriter </w:t>
      </w:r>
      <w:r>
        <w:rPr>
          <w:rFonts w:ascii="Arial" w:cs="Arial" w:eastAsia="Arial" w:hAnsi="Arial"/>
          <w:sz w:val="18"/>
          <w:szCs w:val="18"/>
          <w:color w:val="auto"/>
        </w:rPr>
        <w:t>means an underwriter of the IPO from time to time, and any successor underwriter.</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Interpretation</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1.2</w:t>
      </w:r>
      <w:r>
        <w:rPr>
          <w:sz w:val="20"/>
          <w:szCs w:val="20"/>
          <w:color w:val="auto"/>
        </w:rPr>
        <w:tab/>
      </w:r>
      <w:r>
        <w:rPr>
          <w:rFonts w:ascii="Arial" w:cs="Arial" w:eastAsia="Arial" w:hAnsi="Arial"/>
          <w:sz w:val="16"/>
          <w:szCs w:val="16"/>
          <w:color w:val="auto"/>
        </w:rPr>
        <w:t>In the interpretation of these Articles, the following provisions apply unless the context otherwise requires:</w:t>
      </w:r>
    </w:p>
    <w:p>
      <w:pPr>
        <w:spacing w:after="0" w:line="252"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010000"/>
        </w:rPr>
      </w:pPr>
      <w:r>
        <w:rPr>
          <w:rFonts w:ascii="Arial" w:cs="Arial" w:eastAsia="Arial" w:hAnsi="Arial"/>
          <w:sz w:val="18"/>
          <w:szCs w:val="18"/>
          <w:color w:val="auto"/>
        </w:rPr>
        <w:t>A reference in these Articles to a statute is a reference to a statute of the Islands as known by its short title, and includes:</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any statutory modification, amendment or re-enactment; and</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53"/>
        </w:numPr>
        <w:rPr>
          <w:rFonts w:ascii="Arial" w:cs="Arial" w:eastAsia="Arial" w:hAnsi="Arial"/>
          <w:sz w:val="18"/>
          <w:szCs w:val="18"/>
          <w:color w:val="010000"/>
        </w:rPr>
      </w:pPr>
      <w:r>
        <w:rPr>
          <w:rFonts w:ascii="Arial" w:cs="Arial" w:eastAsia="Arial" w:hAnsi="Arial"/>
          <w:sz w:val="18"/>
          <w:szCs w:val="18"/>
          <w:color w:val="auto"/>
        </w:rPr>
        <w:t>any subordinate legislation or regulations issued under that statute.</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5" w:name="page56"/>
    <w:bookmarkEnd w:id="55"/>
    <w:p>
      <w:pPr>
        <w:ind w:left="1300" w:right="180"/>
        <w:spacing w:after="0" w:line="329" w:lineRule="auto"/>
        <w:rPr>
          <w:sz w:val="20"/>
          <w:szCs w:val="20"/>
          <w:color w:val="auto"/>
        </w:rPr>
      </w:pPr>
      <w:r>
        <w:rPr>
          <w:rFonts w:ascii="Arial" w:cs="Arial" w:eastAsia="Arial" w:hAnsi="Arial"/>
          <w:sz w:val="19"/>
          <w:szCs w:val="19"/>
          <w:color w:val="auto"/>
        </w:rPr>
        <w:t>Without limitation to the preceding sentence, a reference to a revised Law of the Cayman Islands is taken to be a reference to the revision of that Law in force from time to time as amended from time to time.</w:t>
      </w:r>
    </w:p>
    <w:p>
      <w:pPr>
        <w:spacing w:after="0" w:line="138"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Headings are inserted for convenience only and do not affect the interpretation of these Articles, unless there is ambiguity.</w:t>
      </w:r>
    </w:p>
    <w:p>
      <w:pPr>
        <w:spacing w:after="0" w:line="252" w:lineRule="exact"/>
        <w:rPr>
          <w:rFonts w:ascii="Arial" w:cs="Arial" w:eastAsia="Arial" w:hAnsi="Arial"/>
          <w:sz w:val="18"/>
          <w:szCs w:val="18"/>
          <w:color w:val="010000"/>
        </w:rPr>
      </w:pPr>
    </w:p>
    <w:p>
      <w:pPr>
        <w:ind w:left="1300" w:right="180" w:hanging="644"/>
        <w:spacing w:after="0" w:line="277" w:lineRule="auto"/>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If a day on which any act, matter or thing is to be done under these Articles is not a Business Day, the act, matter or thing must be done on the next Business Day.</w:t>
      </w:r>
    </w:p>
    <w:p>
      <w:pPr>
        <w:spacing w:after="0" w:line="197" w:lineRule="exact"/>
        <w:rPr>
          <w:rFonts w:ascii="Arial" w:cs="Arial" w:eastAsia="Arial" w:hAnsi="Arial"/>
          <w:sz w:val="18"/>
          <w:szCs w:val="18"/>
          <w:color w:val="010000"/>
        </w:rPr>
      </w:pPr>
    </w:p>
    <w:p>
      <w:pPr>
        <w:ind w:left="1300" w:right="160" w:hanging="644"/>
        <w:spacing w:after="0" w:line="277" w:lineRule="auto"/>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A word which denotes the singular also denotes the plural, a word which denotes the plural also denotes the singular, and a reference to any gender also denotes the other genders.</w:t>
      </w:r>
    </w:p>
    <w:p>
      <w:pPr>
        <w:spacing w:after="0" w:line="197" w:lineRule="exact"/>
        <w:rPr>
          <w:rFonts w:ascii="Arial" w:cs="Arial" w:eastAsia="Arial" w:hAnsi="Arial"/>
          <w:sz w:val="18"/>
          <w:szCs w:val="18"/>
          <w:color w:val="010000"/>
        </w:rPr>
      </w:pPr>
    </w:p>
    <w:p>
      <w:pPr>
        <w:ind w:left="1300" w:right="140" w:hanging="644"/>
        <w:spacing w:after="0" w:line="277" w:lineRule="auto"/>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A reference to a person includes, as appropriate, a company, trust, partnership, joint venture, association, body corporate or government agency.</w:t>
      </w:r>
    </w:p>
    <w:p>
      <w:pPr>
        <w:spacing w:after="0" w:line="197" w:lineRule="exact"/>
        <w:rPr>
          <w:rFonts w:ascii="Arial" w:cs="Arial" w:eastAsia="Arial" w:hAnsi="Arial"/>
          <w:sz w:val="18"/>
          <w:szCs w:val="18"/>
          <w:color w:val="010000"/>
        </w:rPr>
      </w:pPr>
    </w:p>
    <w:p>
      <w:pPr>
        <w:ind w:left="1300" w:right="260" w:hanging="644"/>
        <w:spacing w:after="0" w:line="277" w:lineRule="auto"/>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Where a word or phrase is given a defined meaning another part of speech or grammatical form in respect to that word or phrase has a corresponding meaning.</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All references to time are to be calculated by reference to time in the place where the Company's registered office is located.</w:t>
      </w:r>
    </w:p>
    <w:p>
      <w:pPr>
        <w:spacing w:after="0" w:line="252" w:lineRule="exact"/>
        <w:rPr>
          <w:rFonts w:ascii="Arial" w:cs="Arial" w:eastAsia="Arial" w:hAnsi="Arial"/>
          <w:sz w:val="18"/>
          <w:szCs w:val="18"/>
          <w:color w:val="010000"/>
        </w:rPr>
      </w:pPr>
    </w:p>
    <w:p>
      <w:pPr>
        <w:ind w:left="1300" w:right="660" w:hanging="644"/>
        <w:spacing w:after="0" w:line="342" w:lineRule="auto"/>
        <w:tabs>
          <w:tab w:leader="none" w:pos="1300" w:val="left"/>
        </w:tabs>
        <w:numPr>
          <w:ilvl w:val="0"/>
          <w:numId w:val="54"/>
        </w:numPr>
        <w:rPr>
          <w:rFonts w:ascii="Arial" w:cs="Arial" w:eastAsia="Arial" w:hAnsi="Arial"/>
          <w:sz w:val="16"/>
          <w:szCs w:val="16"/>
          <w:color w:val="010000"/>
        </w:rPr>
      </w:pPr>
      <w:r>
        <w:rPr>
          <w:rFonts w:ascii="Arial" w:cs="Arial" w:eastAsia="Arial" w:hAnsi="Arial"/>
          <w:sz w:val="16"/>
          <w:szCs w:val="16"/>
          <w:color w:val="auto"/>
        </w:rPr>
        <w:t>The words written and in writing include all modes of representing or reproducing words in a visible form, but do not include an Electronic Record where the distinction between a document in writing and an Electronic Record is expressed or implied.</w:t>
      </w:r>
    </w:p>
    <w:p>
      <w:pPr>
        <w:spacing w:after="0" w:line="150" w:lineRule="exact"/>
        <w:rPr>
          <w:rFonts w:ascii="Arial" w:cs="Arial" w:eastAsia="Arial" w:hAnsi="Arial"/>
          <w:sz w:val="16"/>
          <w:szCs w:val="16"/>
          <w:color w:val="010000"/>
        </w:rPr>
      </w:pPr>
    </w:p>
    <w:p>
      <w:pPr>
        <w:ind w:left="1300" w:hanging="644"/>
        <w:spacing w:after="0"/>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color w:val="auto"/>
        </w:rPr>
        <w:t>The words including, include and in particular or any similar expression are to be construed without limitation.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Exclusion of Table A Articles</w:t>
      </w:r>
    </w:p>
    <w:p>
      <w:pPr>
        <w:spacing w:after="0" w:line="24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010000"/>
        </w:rPr>
        <w:t>1.3</w:t>
      </w:r>
      <w:r>
        <w:rPr>
          <w:sz w:val="20"/>
          <w:szCs w:val="20"/>
          <w:color w:val="auto"/>
        </w:rPr>
        <w:tab/>
      </w:r>
      <w:r>
        <w:rPr>
          <w:rFonts w:ascii="Arial" w:cs="Arial" w:eastAsia="Arial" w:hAnsi="Arial"/>
          <w:sz w:val="18"/>
          <w:szCs w:val="18"/>
          <w:color w:val="auto"/>
        </w:rPr>
        <w:t>The regulations contained in Table A in the First Schedule of the Law and any other regulations contained in any statute or subordinate legislation are expressly excluded and do not apply to the Company.</w:t>
      </w:r>
    </w:p>
    <w:p>
      <w:pPr>
        <w:spacing w:after="0" w:line="193" w:lineRule="exact"/>
        <w:rPr>
          <w:sz w:val="20"/>
          <w:szCs w:val="20"/>
          <w:color w:val="auto"/>
        </w:rPr>
      </w:pPr>
    </w:p>
    <w:p>
      <w:pPr>
        <w:ind w:left="660" w:hanging="652"/>
        <w:spacing w:after="0"/>
        <w:tabs>
          <w:tab w:leader="none" w:pos="660" w:val="left"/>
        </w:tabs>
        <w:numPr>
          <w:ilvl w:val="0"/>
          <w:numId w:val="55"/>
        </w:numPr>
        <w:rPr>
          <w:rFonts w:ascii="Arial" w:cs="Arial" w:eastAsia="Arial" w:hAnsi="Arial"/>
          <w:sz w:val="18"/>
          <w:szCs w:val="18"/>
          <w:b w:val="1"/>
          <w:bCs w:val="1"/>
          <w:color w:val="010000"/>
        </w:rPr>
      </w:pPr>
      <w:r>
        <w:rPr>
          <w:rFonts w:ascii="Arial" w:cs="Arial" w:eastAsia="Arial" w:hAnsi="Arial"/>
          <w:sz w:val="18"/>
          <w:szCs w:val="18"/>
          <w:b w:val="1"/>
          <w:bCs w:val="1"/>
          <w:color w:val="auto"/>
        </w:rPr>
        <w:t>Commencement of Business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see fit.</w:t>
      </w:r>
    </w:p>
    <w:p>
      <w:pPr>
        <w:spacing w:after="0" w:line="252"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6" w:name="page57"/>
    <w:bookmarkEnd w:id="56"/>
    <w:p>
      <w:pPr>
        <w:ind w:left="660" w:hanging="652"/>
        <w:spacing w:after="0"/>
        <w:tabs>
          <w:tab w:leader="none" w:pos="660" w:val="left"/>
        </w:tabs>
        <w:numPr>
          <w:ilvl w:val="0"/>
          <w:numId w:val="56"/>
        </w:numPr>
        <w:rPr>
          <w:rFonts w:ascii="Arial" w:cs="Arial" w:eastAsia="Arial" w:hAnsi="Arial"/>
          <w:sz w:val="18"/>
          <w:szCs w:val="18"/>
          <w:b w:val="1"/>
          <w:bCs w:val="1"/>
          <w:color w:val="010000"/>
        </w:rPr>
      </w:pPr>
      <w:r>
        <w:rPr>
          <w:rFonts w:ascii="Arial" w:cs="Arial" w:eastAsia="Arial" w:hAnsi="Arial"/>
          <w:sz w:val="18"/>
          <w:szCs w:val="18"/>
          <w:b w:val="1"/>
          <w:bCs w:val="1"/>
          <w:color w:val="auto"/>
        </w:rPr>
        <w:t>Shares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issue Shares and options, with or without special rights</w:t>
      </w:r>
    </w:p>
    <w:p>
      <w:pPr>
        <w:spacing w:after="0" w:line="246" w:lineRule="exact"/>
        <w:rPr>
          <w:sz w:val="20"/>
          <w:szCs w:val="20"/>
          <w:color w:val="auto"/>
        </w:rPr>
      </w:pPr>
    </w:p>
    <w:p>
      <w:pPr>
        <w:ind w:left="660" w:right="20" w:hanging="647"/>
        <w:spacing w:after="0" w:line="293" w:lineRule="auto"/>
        <w:tabs>
          <w:tab w:leader="none" w:pos="64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color w:val="auto"/>
        </w:rPr>
        <w:t>Subject to the provisions of the Law and these Articles and, where applicable, the rules of the Designated Stock Exchange and/or any competent regulatory authority, and without prejudice to any rights attached to any existing Shares, the directors have general and unconditional authority to allot (with or without confirming rights of renunciation), issue, grant options over or otherwise deal with any unissued Shares of the Company to such persons, at such times and on such terms and conditions as they may decide, save that the directors may not allot, issue, grant options over or otherwise deal with any unissued Shares to the extent that it may affect the ability of the Company to carry out a Class B Share Conversion described at Article 12. No Share may be issued at a discount except in accordance with the provisions of the Law.</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3.2</w:t>
      </w:r>
      <w:r>
        <w:rPr>
          <w:sz w:val="20"/>
          <w:szCs w:val="20"/>
          <w:color w:val="auto"/>
        </w:rPr>
        <w:tab/>
      </w:r>
      <w:r>
        <w:rPr>
          <w:rFonts w:ascii="Arial" w:cs="Arial" w:eastAsia="Arial" w:hAnsi="Arial"/>
          <w:sz w:val="16"/>
          <w:szCs w:val="16"/>
          <w:color w:val="auto"/>
        </w:rPr>
        <w:t>Without limitation to the preceding Article, the directors may so deal with the unissued Shares of the Company:</w:t>
      </w:r>
    </w:p>
    <w:p>
      <w:pPr>
        <w:spacing w:after="0" w:line="252"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either at a premium or at par;</w:t>
      </w:r>
    </w:p>
    <w:p>
      <w:pPr>
        <w:spacing w:after="0" w:line="252" w:lineRule="exact"/>
        <w:rPr>
          <w:rFonts w:ascii="Arial" w:cs="Arial" w:eastAsia="Arial" w:hAnsi="Arial"/>
          <w:sz w:val="18"/>
          <w:szCs w:val="18"/>
          <w:color w:val="010000"/>
        </w:rPr>
      </w:pPr>
    </w:p>
    <w:p>
      <w:pPr>
        <w:ind w:left="1300" w:right="580" w:hanging="644"/>
        <w:spacing w:after="0" w:line="277" w:lineRule="auto"/>
        <w:tabs>
          <w:tab w:leader="none" w:pos="1300"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with or without preferred, deferred or other special rights or restrictions whether in regard to dividend, voting, return of capital or otherwise.</w:t>
      </w:r>
    </w:p>
    <w:p>
      <w:pPr>
        <w:spacing w:after="0" w:line="197"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3.3</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211"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010000"/>
        </w:rPr>
        <w:t>3.4</w:t>
      </w:r>
      <w:r>
        <w:rPr>
          <w:sz w:val="20"/>
          <w:szCs w:val="20"/>
          <w:color w:val="auto"/>
        </w:rPr>
        <w:tab/>
      </w:r>
      <w:r>
        <w:rPr>
          <w:rFonts w:ascii="Arial" w:cs="Arial" w:eastAsia="Arial" w:hAnsi="Arial"/>
          <w:sz w:val="18"/>
          <w:szCs w:val="18"/>
          <w:color w:val="auto"/>
        </w:rPr>
        <w:t>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issue fractions of a Share</w:t>
      </w:r>
    </w:p>
    <w:p>
      <w:pPr>
        <w:spacing w:after="0" w:line="24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3.5</w:t>
      </w:r>
      <w:r>
        <w:rPr>
          <w:sz w:val="20"/>
          <w:szCs w:val="20"/>
          <w:color w:val="auto"/>
        </w:rPr>
        <w:tab/>
      </w:r>
      <w:r>
        <w:rPr>
          <w:rFonts w:ascii="Arial" w:cs="Arial" w:eastAsia="Arial" w:hAnsi="Arial"/>
          <w:sz w:val="18"/>
          <w:szCs w:val="18"/>
          <w:color w:val="auto"/>
        </w:rPr>
        <w:t>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pay commissions and brokerage fees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3.6</w:t>
      </w:r>
      <w:r>
        <w:rPr>
          <w:sz w:val="20"/>
          <w:szCs w:val="20"/>
          <w:color w:val="auto"/>
        </w:rPr>
        <w:tab/>
      </w:r>
      <w:r>
        <w:rPr>
          <w:rFonts w:ascii="Arial" w:cs="Arial" w:eastAsia="Arial" w:hAnsi="Arial"/>
          <w:sz w:val="16"/>
          <w:szCs w:val="16"/>
          <w:color w:val="auto"/>
        </w:rPr>
        <w:t>The Company may, in so far as the Law permits, pay a commission to any person in consideration of that person:</w:t>
      </w:r>
    </w:p>
    <w:p>
      <w:pPr>
        <w:spacing w:after="0" w:line="252"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subscribing or agreeing to subscribe, whether absolutely or conditionally;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procuring or agreeing to procure subscriptions, whether absolute or conditional</w:t>
      </w:r>
    </w:p>
    <w:p>
      <w:pPr>
        <w:spacing w:after="0" w:line="245" w:lineRule="exact"/>
        <w:rPr>
          <w:sz w:val="20"/>
          <w:szCs w:val="20"/>
          <w:color w:val="auto"/>
        </w:rPr>
      </w:pPr>
    </w:p>
    <w:p>
      <w:pPr>
        <w:ind w:left="660" w:right="100"/>
        <w:spacing w:after="0" w:line="250" w:lineRule="auto"/>
        <w:rPr>
          <w:sz w:val="20"/>
          <w:szCs w:val="20"/>
          <w:color w:val="auto"/>
        </w:rPr>
      </w:pPr>
      <w:r>
        <w:rPr>
          <w:rFonts w:ascii="Arial" w:cs="Arial" w:eastAsia="Arial" w:hAnsi="Arial"/>
          <w:sz w:val="22"/>
          <w:szCs w:val="22"/>
          <w:color w:val="auto"/>
        </w:rPr>
        <w:t>for any Shares in the Company. That commission may be satisfied by the payment of cash or the allotment of Fully Paid or partly-paid Shares or partly in one way and partly in another.</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3.7</w:t>
      </w:r>
      <w:r>
        <w:rPr>
          <w:sz w:val="20"/>
          <w:szCs w:val="20"/>
          <w:color w:val="auto"/>
        </w:rPr>
        <w:tab/>
      </w:r>
      <w:r>
        <w:rPr>
          <w:rFonts w:ascii="Arial" w:cs="Arial" w:eastAsia="Arial" w:hAnsi="Arial"/>
          <w:sz w:val="16"/>
          <w:szCs w:val="16"/>
          <w:color w:val="auto"/>
        </w:rPr>
        <w:t>The Company may employ a broker in the issue of its capital and pay him any proper commission or brokerage.</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7" w:name="page58"/>
    <w:bookmarkEnd w:id="57"/>
    <w:p>
      <w:pPr>
        <w:spacing w:after="0"/>
        <w:rPr>
          <w:sz w:val="20"/>
          <w:szCs w:val="20"/>
          <w:color w:val="auto"/>
        </w:rPr>
      </w:pPr>
      <w:r>
        <w:rPr>
          <w:rFonts w:ascii="Arial" w:cs="Arial" w:eastAsia="Arial" w:hAnsi="Arial"/>
          <w:sz w:val="22"/>
          <w:szCs w:val="22"/>
          <w:b w:val="1"/>
          <w:bCs w:val="1"/>
          <w:color w:val="auto"/>
        </w:rPr>
        <w:t>Trusts not recognised</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3.8</w:t>
      </w:r>
      <w:r>
        <w:rPr>
          <w:sz w:val="20"/>
          <w:szCs w:val="20"/>
          <w:color w:val="auto"/>
        </w:rPr>
        <w:tab/>
      </w:r>
      <w:r>
        <w:rPr>
          <w:rFonts w:ascii="Arial" w:cs="Arial" w:eastAsia="Arial" w:hAnsi="Arial"/>
          <w:sz w:val="16"/>
          <w:szCs w:val="16"/>
          <w:color w:val="auto"/>
        </w:rPr>
        <w:t>Except as required by Applicable Law:</w:t>
      </w:r>
    </w:p>
    <w:p>
      <w:pPr>
        <w:spacing w:after="0" w:line="252" w:lineRule="exact"/>
        <w:rPr>
          <w:sz w:val="20"/>
          <w:szCs w:val="20"/>
          <w:color w:val="auto"/>
        </w:rPr>
      </w:pPr>
    </w:p>
    <w:p>
      <w:pPr>
        <w:jc w:val="both"/>
        <w:ind w:left="1300" w:hanging="644"/>
        <w:spacing w:after="0" w:line="263" w:lineRule="auto"/>
        <w:tabs>
          <w:tab w:leader="none" w:pos="130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and</w:t>
      </w:r>
    </w:p>
    <w:p>
      <w:pPr>
        <w:spacing w:after="0" w:line="210" w:lineRule="exact"/>
        <w:rPr>
          <w:rFonts w:ascii="Arial" w:cs="Arial" w:eastAsia="Arial" w:hAnsi="Arial"/>
          <w:sz w:val="18"/>
          <w:szCs w:val="18"/>
          <w:color w:val="010000"/>
        </w:rPr>
      </w:pPr>
    </w:p>
    <w:p>
      <w:pPr>
        <w:ind w:left="1300" w:hanging="644"/>
        <w:spacing w:after="0"/>
        <w:tabs>
          <w:tab w:leader="none" w:pos="1300"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no person other than the Member shall be recognised by the Company as having any right in a Share.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vary class rights</w:t>
      </w:r>
    </w:p>
    <w:p>
      <w:pPr>
        <w:spacing w:after="0" w:line="246" w:lineRule="exact"/>
        <w:rPr>
          <w:sz w:val="20"/>
          <w:szCs w:val="20"/>
          <w:color w:val="auto"/>
        </w:rPr>
      </w:pPr>
    </w:p>
    <w:p>
      <w:pPr>
        <w:ind w:left="660" w:right="420" w:hanging="647"/>
        <w:spacing w:after="0" w:line="277" w:lineRule="auto"/>
        <w:tabs>
          <w:tab w:leader="none" w:pos="640" w:val="left"/>
        </w:tabs>
        <w:rPr>
          <w:sz w:val="20"/>
          <w:szCs w:val="20"/>
          <w:color w:val="auto"/>
        </w:rPr>
      </w:pPr>
      <w:r>
        <w:rPr>
          <w:rFonts w:ascii="Arial" w:cs="Arial" w:eastAsia="Arial" w:hAnsi="Arial"/>
          <w:sz w:val="18"/>
          <w:szCs w:val="18"/>
          <w:color w:val="010000"/>
        </w:rPr>
        <w:t>3.9</w:t>
      </w:r>
      <w:r>
        <w:rPr>
          <w:sz w:val="20"/>
          <w:szCs w:val="20"/>
          <w:color w:val="auto"/>
        </w:rPr>
        <w:tab/>
      </w:r>
      <w:r>
        <w:rPr>
          <w:rFonts w:ascii="Arial" w:cs="Arial" w:eastAsia="Arial" w:hAnsi="Arial"/>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97"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the Members holding two thirds of the issued Shares of that class consent in writing to the variation; or</w:t>
      </w:r>
    </w:p>
    <w:p>
      <w:pPr>
        <w:spacing w:after="0" w:line="252" w:lineRule="exact"/>
        <w:rPr>
          <w:rFonts w:ascii="Arial" w:cs="Arial" w:eastAsia="Arial" w:hAnsi="Arial"/>
          <w:sz w:val="18"/>
          <w:szCs w:val="18"/>
          <w:color w:val="010000"/>
        </w:rPr>
      </w:pPr>
    </w:p>
    <w:p>
      <w:pPr>
        <w:ind w:left="1300" w:right="220" w:hanging="644"/>
        <w:spacing w:after="0" w:line="277" w:lineRule="auto"/>
        <w:tabs>
          <w:tab w:leader="none" w:pos="1300" w:val="left"/>
        </w:tabs>
        <w:numPr>
          <w:ilvl w:val="0"/>
          <w:numId w:val="60"/>
        </w:numPr>
        <w:rPr>
          <w:rFonts w:ascii="Arial" w:cs="Arial" w:eastAsia="Arial" w:hAnsi="Arial"/>
          <w:sz w:val="18"/>
          <w:szCs w:val="18"/>
          <w:color w:val="010000"/>
        </w:rPr>
      </w:pPr>
      <w:r>
        <w:rPr>
          <w:rFonts w:ascii="Arial" w:cs="Arial" w:eastAsia="Arial" w:hAnsi="Arial"/>
          <w:sz w:val="18"/>
          <w:szCs w:val="18"/>
          <w:color w:val="auto"/>
        </w:rPr>
        <w:t>the variation is made with the sanction of a Special Resolution passed at a separate general meeting of the Members holding the issued Shares of that class.</w:t>
      </w:r>
    </w:p>
    <w:p>
      <w:pPr>
        <w:spacing w:after="0" w:line="197"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010000"/>
        </w:rPr>
        <w:t>3.10</w:t>
      </w:r>
      <w:r>
        <w:rPr>
          <w:sz w:val="20"/>
          <w:szCs w:val="20"/>
          <w:color w:val="auto"/>
        </w:rPr>
        <w:tab/>
      </w:r>
      <w:r>
        <w:rPr>
          <w:rFonts w:ascii="Arial" w:cs="Arial" w:eastAsia="Arial" w:hAnsi="Arial"/>
          <w:sz w:val="18"/>
          <w:szCs w:val="18"/>
          <w:color w:val="auto"/>
        </w:rPr>
        <w:t>For the purpose of paragraph (b) of the preceding Article, all the provisions of these Articles relating to general meetings apply, mutatis mutandis, to every such separate meeting except that:</w:t>
      </w:r>
    </w:p>
    <w:p>
      <w:pPr>
        <w:spacing w:after="0" w:line="197" w:lineRule="exact"/>
        <w:rPr>
          <w:sz w:val="20"/>
          <w:szCs w:val="20"/>
          <w:color w:val="auto"/>
        </w:rPr>
      </w:pPr>
    </w:p>
    <w:p>
      <w:pPr>
        <w:ind w:left="1300" w:right="180" w:hanging="644"/>
        <w:spacing w:after="0" w:line="277" w:lineRule="auto"/>
        <w:tabs>
          <w:tab w:leader="none" w:pos="130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the necessary quorum shall be one or more persons holding, or representing by proxy, not less than one third of the issued Shares of the class; and</w:t>
      </w:r>
    </w:p>
    <w:p>
      <w:pPr>
        <w:spacing w:after="0" w:line="197" w:lineRule="exact"/>
        <w:rPr>
          <w:rFonts w:ascii="Arial" w:cs="Arial" w:eastAsia="Arial" w:hAnsi="Arial"/>
          <w:sz w:val="18"/>
          <w:szCs w:val="18"/>
          <w:color w:val="010000"/>
        </w:rPr>
      </w:pPr>
    </w:p>
    <w:p>
      <w:pPr>
        <w:ind w:left="1300" w:right="760" w:hanging="644"/>
        <w:spacing w:after="0" w:line="277" w:lineRule="auto"/>
        <w:tabs>
          <w:tab w:leader="none" w:pos="1300" w:val="left"/>
        </w:tabs>
        <w:numPr>
          <w:ilvl w:val="0"/>
          <w:numId w:val="61"/>
        </w:numPr>
        <w:rPr>
          <w:rFonts w:ascii="Arial" w:cs="Arial" w:eastAsia="Arial" w:hAnsi="Arial"/>
          <w:sz w:val="18"/>
          <w:szCs w:val="18"/>
          <w:color w:val="010000"/>
        </w:rPr>
      </w:pPr>
      <w:r>
        <w:rPr>
          <w:rFonts w:ascii="Arial" w:cs="Arial" w:eastAsia="Arial" w:hAnsi="Arial"/>
          <w:sz w:val="18"/>
          <w:szCs w:val="18"/>
          <w:color w:val="auto"/>
        </w:rPr>
        <w:t>any Member holding issued Shares of the class, present in person or by proxy or, in the case of a corporate Member, by its duly authorised representative, may demand a poll.</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new Share issue on existing class rights</w:t>
      </w:r>
    </w:p>
    <w:p>
      <w:pPr>
        <w:spacing w:after="0" w:line="246" w:lineRule="exact"/>
        <w:rPr>
          <w:sz w:val="20"/>
          <w:szCs w:val="20"/>
          <w:color w:val="auto"/>
        </w:rPr>
      </w:pPr>
    </w:p>
    <w:p>
      <w:pPr>
        <w:ind w:left="660" w:right="160" w:hanging="647"/>
        <w:spacing w:after="0" w:line="308" w:lineRule="auto"/>
        <w:tabs>
          <w:tab w:leader="none" w:pos="640" w:val="left"/>
        </w:tabs>
        <w:rPr>
          <w:sz w:val="20"/>
          <w:szCs w:val="20"/>
          <w:color w:val="auto"/>
        </w:rPr>
      </w:pPr>
      <w:r>
        <w:rPr>
          <w:rFonts w:ascii="Arial" w:cs="Arial" w:eastAsia="Arial" w:hAnsi="Arial"/>
          <w:sz w:val="18"/>
          <w:szCs w:val="18"/>
          <w:color w:val="010000"/>
        </w:rPr>
        <w:t>3.11</w:t>
      </w:r>
      <w:r>
        <w:rPr>
          <w:sz w:val="20"/>
          <w:szCs w:val="20"/>
          <w:color w:val="auto"/>
        </w:rPr>
        <w:tab/>
      </w:r>
      <w:r>
        <w:rPr>
          <w:rFonts w:ascii="Arial" w:cs="Arial" w:eastAsia="Arial" w:hAnsi="Arial"/>
          <w:sz w:val="17"/>
          <w:szCs w:val="17"/>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contributions without issue of further Shares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3.12</w:t>
      </w:r>
      <w:r>
        <w:rPr>
          <w:sz w:val="20"/>
          <w:szCs w:val="20"/>
          <w:color w:val="auto"/>
        </w:rPr>
        <w:tab/>
      </w:r>
      <w:r>
        <w:rPr>
          <w:rFonts w:ascii="Arial" w:cs="Arial" w:eastAsia="Arial" w:hAnsi="Arial"/>
          <w:sz w:val="16"/>
          <w:szCs w:val="16"/>
          <w:color w:val="auto"/>
        </w:rPr>
        <w:t>With the consent of a Member, the directors may accept a voluntary contribution to the capital of the Company from that Member without issuing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in consideration for that contribution. In that event, the contribution shall be dealt with in the following manner:</w:t>
      </w:r>
    </w:p>
    <w:p>
      <w:pPr>
        <w:spacing w:after="0" w:line="238"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It shall be treated as if it were a share premium.</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62"/>
        </w:numPr>
        <w:rPr>
          <w:rFonts w:ascii="Arial" w:cs="Arial" w:eastAsia="Arial" w:hAnsi="Arial"/>
          <w:sz w:val="18"/>
          <w:szCs w:val="18"/>
          <w:color w:val="010000"/>
        </w:rPr>
      </w:pPr>
      <w:r>
        <w:rPr>
          <w:rFonts w:ascii="Arial" w:cs="Arial" w:eastAsia="Arial" w:hAnsi="Arial"/>
          <w:sz w:val="18"/>
          <w:szCs w:val="18"/>
          <w:color w:val="auto"/>
        </w:rPr>
        <w:t>Unless the Member agrees otherwise:</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62"/>
        </w:numPr>
        <w:rPr>
          <w:rFonts w:ascii="Arial" w:cs="Arial" w:eastAsia="Arial" w:hAnsi="Arial"/>
          <w:sz w:val="16"/>
          <w:szCs w:val="16"/>
          <w:color w:val="010000"/>
        </w:rPr>
      </w:pPr>
      <w:r>
        <w:rPr>
          <w:rFonts w:ascii="Arial" w:cs="Arial" w:eastAsia="Arial" w:hAnsi="Arial"/>
          <w:sz w:val="16"/>
          <w:szCs w:val="16"/>
          <w:color w:val="auto"/>
        </w:rPr>
        <w:t>if the Member holds Shares in a single class of Shares - it shall be credited to the share premium account for that class of Shares;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58" w:name="page59"/>
    <w:bookmarkEnd w:id="58"/>
    <w:p>
      <w:pPr>
        <w:ind w:left="1960" w:right="20" w:hanging="656"/>
        <w:spacing w:after="0" w:line="263" w:lineRule="auto"/>
        <w:tabs>
          <w:tab w:leader="none" w:pos="1960" w:val="left"/>
        </w:tabs>
        <w:numPr>
          <w:ilvl w:val="1"/>
          <w:numId w:val="63"/>
        </w:numPr>
        <w:rPr>
          <w:rFonts w:ascii="Arial" w:cs="Arial" w:eastAsia="Arial" w:hAnsi="Arial"/>
          <w:sz w:val="18"/>
          <w:szCs w:val="18"/>
          <w:color w:val="010000"/>
        </w:rPr>
      </w:pPr>
      <w:r>
        <w:rPr>
          <w:rFonts w:ascii="Arial" w:cs="Arial" w:eastAsia="Arial" w:hAnsi="Arial"/>
          <w:sz w:val="18"/>
          <w:szCs w:val="18"/>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210" w:lineRule="exact"/>
        <w:rPr>
          <w:rFonts w:ascii="Arial" w:cs="Arial" w:eastAsia="Arial" w:hAnsi="Arial"/>
          <w:sz w:val="18"/>
          <w:szCs w:val="18"/>
          <w:color w:val="010000"/>
        </w:rPr>
      </w:pPr>
    </w:p>
    <w:p>
      <w:pPr>
        <w:ind w:left="1300" w:hanging="644"/>
        <w:spacing w:after="0"/>
        <w:tabs>
          <w:tab w:leader="none" w:pos="1300" w:val="left"/>
        </w:tabs>
        <w:numPr>
          <w:ilvl w:val="0"/>
          <w:numId w:val="64"/>
        </w:numPr>
        <w:rPr>
          <w:rFonts w:ascii="Arial" w:cs="Arial" w:eastAsia="Arial" w:hAnsi="Arial"/>
          <w:sz w:val="18"/>
          <w:szCs w:val="18"/>
          <w:color w:val="010000"/>
        </w:rPr>
      </w:pPr>
      <w:r>
        <w:rPr>
          <w:rFonts w:ascii="Arial" w:cs="Arial" w:eastAsia="Arial" w:hAnsi="Arial"/>
          <w:sz w:val="18"/>
          <w:szCs w:val="18"/>
          <w:color w:val="auto"/>
        </w:rPr>
        <w:t>It shall be subject to the provisions of the Law and these Articles applicable to share premiums.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bearer Shares or warrants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3.13</w:t>
      </w:r>
      <w:r>
        <w:rPr>
          <w:sz w:val="20"/>
          <w:szCs w:val="20"/>
          <w:color w:val="auto"/>
        </w:rPr>
        <w:tab/>
      </w:r>
      <w:r>
        <w:rPr>
          <w:rFonts w:ascii="Arial" w:cs="Arial" w:eastAsia="Arial" w:hAnsi="Arial"/>
          <w:sz w:val="15"/>
          <w:szCs w:val="15"/>
          <w:color w:val="auto"/>
        </w:rPr>
        <w:t>The Company shall not issue Shares or warrants to bearers.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Treasury Shares</w:t>
      </w:r>
    </w:p>
    <w:p>
      <w:pPr>
        <w:spacing w:after="0" w:line="2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3.14</w:t>
      </w:r>
      <w:r>
        <w:rPr>
          <w:sz w:val="20"/>
          <w:szCs w:val="20"/>
          <w:color w:val="auto"/>
        </w:rPr>
        <w:tab/>
      </w:r>
      <w:r>
        <w:rPr>
          <w:rFonts w:ascii="Arial" w:cs="Arial" w:eastAsia="Arial" w:hAnsi="Arial"/>
          <w:sz w:val="18"/>
          <w:szCs w:val="18"/>
          <w:color w:val="auto"/>
        </w:rPr>
        <w:t>Shares that the Company purchases, redeems or acquires by way of surrender in accordance with the Law shall be held as Treasury Shares and not treated as cancelled if:</w:t>
      </w:r>
    </w:p>
    <w:p>
      <w:pPr>
        <w:spacing w:after="0" w:line="197"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the directors so determine prior to the purchase, redemption or surrender of those shares;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65"/>
        </w:numPr>
        <w:rPr>
          <w:rFonts w:ascii="Arial" w:cs="Arial" w:eastAsia="Arial" w:hAnsi="Arial"/>
          <w:sz w:val="18"/>
          <w:szCs w:val="18"/>
          <w:color w:val="010000"/>
        </w:rPr>
      </w:pPr>
      <w:r>
        <w:rPr>
          <w:rFonts w:ascii="Arial" w:cs="Arial" w:eastAsia="Arial" w:hAnsi="Arial"/>
          <w:sz w:val="18"/>
          <w:szCs w:val="18"/>
          <w:color w:val="auto"/>
        </w:rPr>
        <w:t>the relevant provisions of the Memorandum and Articles and the Law are otherwise complied with.</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attaching to Treasury Shares and related matters</w:t>
      </w:r>
    </w:p>
    <w:p>
      <w:pPr>
        <w:spacing w:after="0" w:line="24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010000"/>
        </w:rPr>
        <w:t>3.15</w:t>
      </w:r>
      <w:r>
        <w:rPr>
          <w:sz w:val="20"/>
          <w:szCs w:val="20"/>
          <w:color w:val="auto"/>
        </w:rPr>
        <w:tab/>
      </w: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3.16</w:t>
      </w:r>
      <w:r>
        <w:rPr>
          <w:sz w:val="20"/>
          <w:szCs w:val="20"/>
          <w:color w:val="auto"/>
        </w:rPr>
        <w:tab/>
      </w:r>
      <w:r>
        <w:rPr>
          <w:rFonts w:ascii="Arial" w:cs="Arial" w:eastAsia="Arial" w:hAnsi="Arial"/>
          <w:sz w:val="16"/>
          <w:szCs w:val="16"/>
          <w:color w:val="auto"/>
        </w:rPr>
        <w:t>The Company shall be entered in the Register as the holder of the Treasury Shares. However:</w:t>
      </w:r>
    </w:p>
    <w:p>
      <w:pPr>
        <w:spacing w:after="0" w:line="252" w:lineRule="exact"/>
        <w:rPr>
          <w:sz w:val="20"/>
          <w:szCs w:val="20"/>
          <w:color w:val="auto"/>
        </w:rPr>
      </w:pPr>
    </w:p>
    <w:p>
      <w:pPr>
        <w:ind w:left="1300" w:right="40" w:hanging="644"/>
        <w:spacing w:after="0" w:line="277" w:lineRule="auto"/>
        <w:tabs>
          <w:tab w:leader="none" w:pos="130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the Company shall not be treated as a member for any purpose and shall not exercise any right in respect of the Treasury Shares, and any purported exercise of such a right shall be void;</w:t>
      </w:r>
    </w:p>
    <w:p>
      <w:pPr>
        <w:spacing w:after="0" w:line="197" w:lineRule="exact"/>
        <w:rPr>
          <w:rFonts w:ascii="Arial" w:cs="Arial" w:eastAsia="Arial" w:hAnsi="Arial"/>
          <w:sz w:val="18"/>
          <w:szCs w:val="18"/>
          <w:color w:val="010000"/>
        </w:rPr>
      </w:pPr>
    </w:p>
    <w:p>
      <w:pPr>
        <w:ind w:left="1300" w:right="300" w:hanging="644"/>
        <w:spacing w:after="0" w:line="277" w:lineRule="auto"/>
        <w:tabs>
          <w:tab w:leader="none" w:pos="1300"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97"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010000"/>
        </w:rPr>
        <w:t>3.17</w:t>
      </w:r>
      <w:r>
        <w:rPr>
          <w:sz w:val="20"/>
          <w:szCs w:val="20"/>
          <w:color w:val="auto"/>
        </w:rPr>
        <w:tab/>
      </w:r>
      <w:r>
        <w:rPr>
          <w:rFonts w:ascii="Arial" w:cs="Arial" w:eastAsia="Arial" w:hAnsi="Arial"/>
          <w:sz w:val="18"/>
          <w:szCs w:val="18"/>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97"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010000"/>
        </w:rPr>
        <w:t>3.18</w:t>
      </w:r>
      <w:r>
        <w:rPr>
          <w:sz w:val="20"/>
          <w:szCs w:val="20"/>
          <w:color w:val="auto"/>
        </w:rPr>
        <w:tab/>
      </w:r>
      <w:r>
        <w:rPr>
          <w:rFonts w:ascii="Arial" w:cs="Arial" w:eastAsia="Arial" w:hAnsi="Arial"/>
          <w:sz w:val="18"/>
          <w:szCs w:val="18"/>
          <w:color w:val="auto"/>
        </w:rPr>
        <w:t>Treasury Shares may be disposed of by the Company in accordance with the Law and otherwise on such terms and conditions as the directors determine.</w:t>
      </w:r>
    </w:p>
    <w:p>
      <w:pPr>
        <w:spacing w:after="0" w:line="193"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b w:val="1"/>
          <w:bCs w:val="1"/>
          <w:color w:val="010000"/>
        </w:rPr>
      </w:pPr>
      <w:r>
        <w:rPr>
          <w:rFonts w:ascii="Arial" w:cs="Arial" w:eastAsia="Arial" w:hAnsi="Arial"/>
          <w:sz w:val="18"/>
          <w:szCs w:val="18"/>
          <w:b w:val="1"/>
          <w:bCs w:val="1"/>
          <w:color w:val="auto"/>
        </w:rPr>
        <w:t>Register of Members</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Law.</w:t>
      </w:r>
    </w:p>
    <w:p>
      <w:pPr>
        <w:spacing w:after="0" w:line="252"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Law. The directors may also determine which Register of Members shall constitute the principal register and which shall constitute the branch register or registers, and to vary such determination from time to time.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ind w:left="660" w:hanging="652"/>
        <w:spacing w:after="0"/>
        <w:tabs>
          <w:tab w:leader="none" w:pos="660" w:val="left"/>
        </w:tabs>
        <w:numPr>
          <w:ilvl w:val="0"/>
          <w:numId w:val="68"/>
        </w:numPr>
        <w:rPr>
          <w:rFonts w:ascii="Arial" w:cs="Arial" w:eastAsia="Arial" w:hAnsi="Arial"/>
          <w:sz w:val="18"/>
          <w:szCs w:val="18"/>
          <w:b w:val="1"/>
          <w:bCs w:val="1"/>
          <w:color w:val="010000"/>
        </w:rPr>
      </w:pPr>
      <w:r>
        <w:rPr>
          <w:rFonts w:ascii="Arial" w:cs="Arial" w:eastAsia="Arial" w:hAnsi="Arial"/>
          <w:sz w:val="18"/>
          <w:szCs w:val="18"/>
          <w:b w:val="1"/>
          <w:bCs w:val="1"/>
          <w:color w:val="auto"/>
        </w:rPr>
        <w:t>Share certificates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 of share certificates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5.1</w:t>
      </w:r>
      <w:r>
        <w:rPr>
          <w:sz w:val="20"/>
          <w:szCs w:val="20"/>
          <w:color w:val="auto"/>
        </w:rPr>
        <w:tab/>
      </w:r>
      <w:r>
        <w:rPr>
          <w:rFonts w:ascii="Arial" w:cs="Arial" w:eastAsia="Arial" w:hAnsi="Arial"/>
          <w:sz w:val="16"/>
          <w:szCs w:val="16"/>
          <w:color w:val="auto"/>
        </w:rPr>
        <w:t>Upon being entered in the Register of Members as the holder of a Share, a Member shall be entitled:</w:t>
      </w:r>
    </w:p>
    <w:p>
      <w:pPr>
        <w:spacing w:after="0" w:line="252" w:lineRule="exact"/>
        <w:rPr>
          <w:sz w:val="20"/>
          <w:szCs w:val="20"/>
          <w:color w:val="auto"/>
        </w:rPr>
      </w:pPr>
    </w:p>
    <w:p>
      <w:pPr>
        <w:ind w:left="1300" w:right="40" w:hanging="644"/>
        <w:spacing w:after="0" w:line="277" w:lineRule="auto"/>
        <w:tabs>
          <w:tab w:leader="none" w:pos="130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without payment, to one certificate for all the Shares of each class held by that Member (and, upon transferring a part of the Member's holding of Shares of any class, to a certificate for the balance of that holding); and</w:t>
      </w:r>
    </w:p>
    <w:p>
      <w:pPr>
        <w:spacing w:after="0" w:line="197"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69"/>
        </w:numPr>
        <w:rPr>
          <w:rFonts w:ascii="Arial" w:cs="Arial" w:eastAsia="Arial" w:hAnsi="Arial"/>
          <w:sz w:val="18"/>
          <w:szCs w:val="18"/>
          <w:color w:val="010000"/>
        </w:rPr>
      </w:pPr>
      <w:r>
        <w:rPr>
          <w:rFonts w:ascii="Arial" w:cs="Arial" w:eastAsia="Arial" w:hAnsi="Arial"/>
          <w:sz w:val="18"/>
          <w:szCs w:val="18"/>
          <w:color w:val="auto"/>
        </w:rPr>
        <w:t>upon payment of such reasonable sum as the directors may determine for every certificate after the first, to several certificates each for one or more of that Member's Shares.</w:t>
      </w:r>
    </w:p>
    <w:p>
      <w:pPr>
        <w:spacing w:after="0" w:line="197"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010000"/>
        </w:rPr>
        <w:t>5.2</w:t>
      </w:r>
      <w:r>
        <w:rPr>
          <w:sz w:val="20"/>
          <w:szCs w:val="20"/>
          <w:color w:val="auto"/>
        </w:rPr>
        <w:tab/>
      </w:r>
      <w:r>
        <w:rPr>
          <w:rFonts w:ascii="Arial" w:cs="Arial" w:eastAsia="Arial" w:hAnsi="Arial"/>
          <w:sz w:val="17"/>
          <w:szCs w:val="17"/>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173"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010000"/>
        </w:rPr>
        <w:t>5.3</w:t>
      </w:r>
      <w:r>
        <w:rPr>
          <w:sz w:val="20"/>
          <w:szCs w:val="20"/>
          <w:color w:val="auto"/>
        </w:rPr>
        <w:tab/>
      </w:r>
      <w:r>
        <w:rPr>
          <w:rFonts w:ascii="Arial" w:cs="Arial" w:eastAsia="Arial" w:hAnsi="Arial"/>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Renewal of lost or damaged share certificates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5.4</w:t>
      </w:r>
      <w:r>
        <w:rPr>
          <w:sz w:val="20"/>
          <w:szCs w:val="20"/>
          <w:color w:val="auto"/>
        </w:rPr>
        <w:tab/>
      </w:r>
      <w:r>
        <w:rPr>
          <w:rFonts w:ascii="Arial" w:cs="Arial" w:eastAsia="Arial" w:hAnsi="Arial"/>
          <w:sz w:val="16"/>
          <w:szCs w:val="16"/>
          <w:color w:val="auto"/>
        </w:rPr>
        <w:t>If a share certificate is defaced, worn-out, lost or destroyed, it may be renewed on such terms (if any) as to:</w:t>
      </w:r>
    </w:p>
    <w:p>
      <w:pPr>
        <w:spacing w:after="0" w:line="252"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evidence;</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indemnity;</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payment of the expenses reasonably incurred by the Company in investigating the evidence;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0"/>
        </w:numPr>
        <w:rPr>
          <w:rFonts w:ascii="Arial" w:cs="Arial" w:eastAsia="Arial" w:hAnsi="Arial"/>
          <w:sz w:val="18"/>
          <w:szCs w:val="18"/>
          <w:color w:val="010000"/>
        </w:rPr>
      </w:pPr>
      <w:r>
        <w:rPr>
          <w:rFonts w:ascii="Arial" w:cs="Arial" w:eastAsia="Arial" w:hAnsi="Arial"/>
          <w:sz w:val="18"/>
          <w:szCs w:val="18"/>
          <w:color w:val="auto"/>
        </w:rPr>
        <w:t>payment of a reasonable fee, if any, for issuing a replacement share certificate</w:t>
      </w:r>
    </w:p>
    <w:p>
      <w:pPr>
        <w:spacing w:after="0" w:line="245" w:lineRule="exact"/>
        <w:rPr>
          <w:sz w:val="20"/>
          <w:szCs w:val="20"/>
          <w:color w:val="auto"/>
        </w:rPr>
      </w:pPr>
    </w:p>
    <w:p>
      <w:pPr>
        <w:ind w:left="660" w:right="200"/>
        <w:spacing w:after="0" w:line="250" w:lineRule="auto"/>
        <w:rPr>
          <w:sz w:val="20"/>
          <w:szCs w:val="20"/>
          <w:color w:val="auto"/>
        </w:rPr>
      </w:pPr>
      <w:r>
        <w:rPr>
          <w:rFonts w:ascii="Arial" w:cs="Arial" w:eastAsia="Arial" w:hAnsi="Arial"/>
          <w:sz w:val="22"/>
          <w:szCs w:val="22"/>
          <w:color w:val="auto"/>
        </w:rPr>
        <w:t>as the directors may determine, and (in the case of defacement or wearing-out) on delivery to the Company of the old certificate.</w:t>
      </w:r>
    </w:p>
    <w:p>
      <w:pPr>
        <w:spacing w:after="0" w:line="205"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b w:val="1"/>
          <w:bCs w:val="1"/>
          <w:color w:val="010000"/>
        </w:rPr>
      </w:pPr>
      <w:r>
        <w:rPr>
          <w:rFonts w:ascii="Arial" w:cs="Arial" w:eastAsia="Arial" w:hAnsi="Arial"/>
          <w:sz w:val="18"/>
          <w:szCs w:val="18"/>
          <w:b w:val="1"/>
          <w:bCs w:val="1"/>
          <w:color w:val="auto"/>
        </w:rPr>
        <w:t>Lien on Shares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Nature and scope of lien</w:t>
      </w:r>
    </w:p>
    <w:p>
      <w:pPr>
        <w:spacing w:after="0" w:line="246" w:lineRule="exact"/>
        <w:rPr>
          <w:sz w:val="20"/>
          <w:szCs w:val="20"/>
          <w:color w:val="auto"/>
        </w:rPr>
      </w:pPr>
    </w:p>
    <w:p>
      <w:pPr>
        <w:ind w:left="660" w:right="200" w:hanging="647"/>
        <w:spacing w:after="0" w:line="308" w:lineRule="auto"/>
        <w:tabs>
          <w:tab w:leader="none" w:pos="640" w:val="left"/>
        </w:tabs>
        <w:rPr>
          <w:sz w:val="20"/>
          <w:szCs w:val="20"/>
          <w:color w:val="auto"/>
        </w:rPr>
      </w:pPr>
      <w:r>
        <w:rPr>
          <w:rFonts w:ascii="Arial" w:cs="Arial" w:eastAsia="Arial" w:hAnsi="Arial"/>
          <w:sz w:val="18"/>
          <w:szCs w:val="18"/>
          <w:color w:val="010000"/>
        </w:rPr>
        <w:t>6.1</w:t>
      </w:r>
      <w:r>
        <w:rPr>
          <w:sz w:val="20"/>
          <w:szCs w:val="20"/>
          <w:color w:val="auto"/>
        </w:rPr>
        <w:tab/>
      </w:r>
      <w:r>
        <w:rPr>
          <w:rFonts w:ascii="Arial" w:cs="Arial" w:eastAsia="Arial" w:hAnsi="Arial"/>
          <w:sz w:val="17"/>
          <w:szCs w:val="17"/>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173"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either alone or jointly with any other person, whether or not that other person is a Member; and</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60" w:name="page61"/>
    <w:bookmarkEnd w:id="60"/>
    <w:p>
      <w:pPr>
        <w:ind w:left="1300" w:hanging="644"/>
        <w:spacing w:after="0"/>
        <w:tabs>
          <w:tab w:leader="none" w:pos="1300"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whether or not those moneys are presently payable.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6.2</w:t>
      </w:r>
      <w:r>
        <w:rPr>
          <w:sz w:val="20"/>
          <w:szCs w:val="20"/>
          <w:color w:val="auto"/>
        </w:rPr>
        <w:tab/>
      </w:r>
      <w:r>
        <w:rPr>
          <w:rFonts w:ascii="Arial" w:cs="Arial" w:eastAsia="Arial" w:hAnsi="Arial"/>
          <w:sz w:val="16"/>
          <w:szCs w:val="16"/>
          <w:color w:val="auto"/>
        </w:rPr>
        <w:t>At any time the directors may declare any Share to be wholly or partly exempt from the provisions of this Article.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may sell Shares to satisfy lien</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6.3</w:t>
      </w:r>
      <w:r>
        <w:rPr>
          <w:sz w:val="20"/>
          <w:szCs w:val="20"/>
          <w:color w:val="auto"/>
        </w:rPr>
        <w:tab/>
      </w:r>
      <w:r>
        <w:rPr>
          <w:rFonts w:ascii="Arial" w:cs="Arial" w:eastAsia="Arial" w:hAnsi="Arial"/>
          <w:sz w:val="16"/>
          <w:szCs w:val="16"/>
          <w:color w:val="auto"/>
        </w:rPr>
        <w:t>The Company may sell any Shares over which it has a lien if all of the following conditions are met:</w:t>
      </w:r>
    </w:p>
    <w:p>
      <w:pPr>
        <w:spacing w:after="0" w:line="252"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the sum in respect of which the lien exists is presently payable;</w:t>
      </w:r>
    </w:p>
    <w:p>
      <w:pPr>
        <w:spacing w:after="0" w:line="252" w:lineRule="exact"/>
        <w:rPr>
          <w:rFonts w:ascii="Arial" w:cs="Arial" w:eastAsia="Arial" w:hAnsi="Arial"/>
          <w:sz w:val="18"/>
          <w:szCs w:val="18"/>
          <w:color w:val="010000"/>
        </w:rPr>
      </w:pPr>
    </w:p>
    <w:p>
      <w:pPr>
        <w:ind w:left="1300" w:right="220" w:hanging="644"/>
        <w:spacing w:after="0" w:line="308" w:lineRule="auto"/>
        <w:tabs>
          <w:tab w:leader="none" w:pos="1300" w:val="left"/>
        </w:tabs>
        <w:numPr>
          <w:ilvl w:val="0"/>
          <w:numId w:val="74"/>
        </w:numPr>
        <w:rPr>
          <w:rFonts w:ascii="Arial" w:cs="Arial" w:eastAsia="Arial" w:hAnsi="Arial"/>
          <w:sz w:val="17"/>
          <w:szCs w:val="17"/>
          <w:color w:val="010000"/>
        </w:rPr>
      </w:pPr>
      <w:r>
        <w:rPr>
          <w:rFonts w:ascii="Arial" w:cs="Arial" w:eastAsia="Arial" w:hAnsi="Arial"/>
          <w:sz w:val="17"/>
          <w:szCs w:val="17"/>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173" w:lineRule="exact"/>
        <w:rPr>
          <w:rFonts w:ascii="Arial" w:cs="Arial" w:eastAsia="Arial" w:hAnsi="Arial"/>
          <w:sz w:val="17"/>
          <w:szCs w:val="17"/>
          <w:color w:val="010000"/>
        </w:rPr>
      </w:pPr>
    </w:p>
    <w:p>
      <w:pPr>
        <w:ind w:left="1300" w:hanging="644"/>
        <w:spacing w:after="0"/>
        <w:tabs>
          <w:tab w:leader="none" w:pos="1300" w:val="left"/>
        </w:tabs>
        <w:numPr>
          <w:ilvl w:val="0"/>
          <w:numId w:val="74"/>
        </w:numPr>
        <w:rPr>
          <w:rFonts w:ascii="Arial" w:cs="Arial" w:eastAsia="Arial" w:hAnsi="Arial"/>
          <w:sz w:val="18"/>
          <w:szCs w:val="18"/>
          <w:color w:val="010000"/>
        </w:rPr>
      </w:pPr>
      <w:r>
        <w:rPr>
          <w:rFonts w:ascii="Arial" w:cs="Arial" w:eastAsia="Arial" w:hAnsi="Arial"/>
          <w:sz w:val="18"/>
          <w:szCs w:val="18"/>
          <w:color w:val="auto"/>
        </w:rPr>
        <w:t>that sum is not paid within 14 Clear Days after that notice is deemed to be given under these Articles.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6.4</w:t>
      </w:r>
      <w:r>
        <w:rPr>
          <w:sz w:val="20"/>
          <w:szCs w:val="20"/>
          <w:color w:val="auto"/>
        </w:rPr>
        <w:tab/>
      </w:r>
      <w:r>
        <w:rPr>
          <w:rFonts w:ascii="Arial" w:cs="Arial" w:eastAsia="Arial" w:hAnsi="Arial"/>
          <w:sz w:val="15"/>
          <w:szCs w:val="15"/>
          <w:color w:val="auto"/>
        </w:rPr>
        <w:t>The Shares may be sold in such manner as the directors determine.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6.5</w:t>
      </w:r>
      <w:r>
        <w:rPr>
          <w:sz w:val="20"/>
          <w:szCs w:val="20"/>
          <w:color w:val="auto"/>
        </w:rPr>
        <w:tab/>
      </w:r>
      <w:r>
        <w:rPr>
          <w:rFonts w:ascii="Arial" w:cs="Arial" w:eastAsia="Arial" w:hAnsi="Arial"/>
          <w:sz w:val="16"/>
          <w:szCs w:val="16"/>
          <w:color w:val="auto"/>
        </w:rPr>
        <w:t>To the maximum extent permitted by Applicable Law, the directors shall incur no personal liability to the Member concerned in respect of the sale.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Authority to execute instrument of transfer</w:t>
      </w:r>
    </w:p>
    <w:p>
      <w:pPr>
        <w:spacing w:after="0" w:line="246"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010000"/>
        </w:rPr>
        <w:t>6.6</w:t>
      </w:r>
      <w:r>
        <w:rPr>
          <w:sz w:val="20"/>
          <w:szCs w:val="20"/>
          <w:color w:val="auto"/>
        </w:rPr>
        <w:tab/>
      </w:r>
      <w:r>
        <w:rPr>
          <w:rFonts w:ascii="Arial" w:cs="Arial" w:eastAsia="Arial" w:hAnsi="Arial"/>
          <w:sz w:val="18"/>
          <w:szCs w:val="18"/>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Consequences of sale of Shares to satisfy lien</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6.7</w:t>
      </w:r>
      <w:r>
        <w:rPr>
          <w:sz w:val="20"/>
          <w:szCs w:val="20"/>
          <w:color w:val="auto"/>
        </w:rPr>
        <w:tab/>
      </w:r>
      <w:r>
        <w:rPr>
          <w:rFonts w:ascii="Arial" w:cs="Arial" w:eastAsia="Arial" w:hAnsi="Arial"/>
          <w:sz w:val="16"/>
          <w:szCs w:val="16"/>
          <w:color w:val="auto"/>
        </w:rPr>
        <w:t>On sale pursuant to the preceding Articles:</w:t>
      </w:r>
    </w:p>
    <w:p>
      <w:pPr>
        <w:spacing w:after="0" w:line="252"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the name of the Member concerned shall be removed from the Register of Members as the holder of those Shares;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5"/>
        </w:numPr>
        <w:rPr>
          <w:rFonts w:ascii="Arial" w:cs="Arial" w:eastAsia="Arial" w:hAnsi="Arial"/>
          <w:sz w:val="18"/>
          <w:szCs w:val="18"/>
          <w:color w:val="010000"/>
        </w:rPr>
      </w:pPr>
      <w:r>
        <w:rPr>
          <w:rFonts w:ascii="Arial" w:cs="Arial" w:eastAsia="Arial" w:hAnsi="Arial"/>
          <w:sz w:val="18"/>
          <w:szCs w:val="18"/>
          <w:color w:val="auto"/>
        </w:rPr>
        <w:t>that person shall deliver to the Company for cancellation the certificate for those Shares.</w:t>
      </w:r>
    </w:p>
    <w:p>
      <w:pPr>
        <w:spacing w:after="0" w:line="245" w:lineRule="exact"/>
        <w:rPr>
          <w:sz w:val="20"/>
          <w:szCs w:val="20"/>
          <w:color w:val="auto"/>
        </w:rPr>
      </w:pPr>
    </w:p>
    <w:p>
      <w:pPr>
        <w:ind w:left="660" w:right="140"/>
        <w:spacing w:after="0" w:line="282" w:lineRule="auto"/>
        <w:rPr>
          <w:sz w:val="20"/>
          <w:szCs w:val="20"/>
          <w:color w:val="auto"/>
        </w:rPr>
      </w:pPr>
      <w:r>
        <w:rPr>
          <w:rFonts w:ascii="Arial" w:cs="Arial" w:eastAsia="Arial" w:hAnsi="Arial"/>
          <w:sz w:val="19"/>
          <w:szCs w:val="19"/>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22"/>
          <w:szCs w:val="22"/>
          <w:b w:val="1"/>
          <w:bCs w:val="1"/>
          <w:color w:val="auto"/>
        </w:rPr>
        <w:t>Application of proceeds of sale</w:t>
      </w:r>
    </w:p>
    <w:p>
      <w:pPr>
        <w:spacing w:after="0" w:line="24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6.8</w:t>
      </w:r>
      <w:r>
        <w:rPr>
          <w:sz w:val="20"/>
          <w:szCs w:val="20"/>
          <w:color w:val="auto"/>
        </w:rPr>
        <w:tab/>
      </w:r>
      <w:r>
        <w:rPr>
          <w:rFonts w:ascii="Arial" w:cs="Arial" w:eastAsia="Arial" w:hAnsi="Arial"/>
          <w:sz w:val="18"/>
          <w:szCs w:val="18"/>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97" w:lineRule="exact"/>
        <w:rPr>
          <w:sz w:val="20"/>
          <w:szCs w:val="20"/>
          <w:color w:val="auto"/>
        </w:rPr>
      </w:pPr>
    </w:p>
    <w:p>
      <w:pPr>
        <w:ind w:left="1300" w:hanging="644"/>
        <w:spacing w:after="0"/>
        <w:tabs>
          <w:tab w:leader="none" w:pos="130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if no certificate for the Shares was issued, at the date of the sale;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6"/>
        </w:numPr>
        <w:rPr>
          <w:rFonts w:ascii="Arial" w:cs="Arial" w:eastAsia="Arial" w:hAnsi="Arial"/>
          <w:sz w:val="18"/>
          <w:szCs w:val="18"/>
          <w:color w:val="010000"/>
        </w:rPr>
      </w:pPr>
      <w:r>
        <w:rPr>
          <w:rFonts w:ascii="Arial" w:cs="Arial" w:eastAsia="Arial" w:hAnsi="Arial"/>
          <w:sz w:val="18"/>
          <w:szCs w:val="18"/>
          <w:color w:val="auto"/>
        </w:rPr>
        <w:t>if a certificate for the Shares was issued, upon surrender to the Company of that certificate for cancellation</w:t>
      </w:r>
    </w:p>
    <w:p>
      <w:pPr>
        <w:spacing w:after="0" w:line="245" w:lineRule="exact"/>
        <w:rPr>
          <w:sz w:val="20"/>
          <w:szCs w:val="20"/>
          <w:color w:val="auto"/>
        </w:rPr>
      </w:pPr>
    </w:p>
    <w:p>
      <w:pPr>
        <w:ind w:left="660" w:right="20"/>
        <w:spacing w:after="0" w:line="250" w:lineRule="auto"/>
        <w:rPr>
          <w:sz w:val="20"/>
          <w:szCs w:val="20"/>
          <w:color w:val="auto"/>
        </w:rPr>
      </w:pPr>
      <w:r>
        <w:rPr>
          <w:rFonts w:ascii="Arial" w:cs="Arial" w:eastAsia="Arial" w:hAnsi="Arial"/>
          <w:sz w:val="22"/>
          <w:szCs w:val="22"/>
          <w:color w:val="auto"/>
        </w:rPr>
        <w:t>but, in either case, subject to the Company retaining a like lien for all sums not presently payable as existed on the Shares before the sale.</w:t>
      </w:r>
    </w:p>
    <w:p>
      <w:pPr>
        <w:spacing w:after="0" w:line="20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b w:val="1"/>
          <w:bCs w:val="1"/>
          <w:color w:val="010000"/>
        </w:rPr>
      </w:pPr>
      <w:r>
        <w:rPr>
          <w:rFonts w:ascii="Arial" w:cs="Arial" w:eastAsia="Arial" w:hAnsi="Arial"/>
          <w:sz w:val="18"/>
          <w:szCs w:val="18"/>
          <w:b w:val="1"/>
          <w:bCs w:val="1"/>
          <w:color w:val="auto"/>
        </w:rPr>
        <w:t>Calls on Shares and forfeiture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make calls and effect of calls</w:t>
      </w:r>
    </w:p>
    <w:p>
      <w:pPr>
        <w:spacing w:after="0" w:line="246"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Arial" w:cs="Arial" w:eastAsia="Arial" w:hAnsi="Arial"/>
          <w:sz w:val="18"/>
          <w:szCs w:val="18"/>
          <w:color w:val="010000"/>
        </w:rPr>
        <w:t>7.1</w:t>
      </w:r>
      <w:r>
        <w:rPr>
          <w:sz w:val="20"/>
          <w:szCs w:val="20"/>
          <w:color w:val="auto"/>
        </w:rPr>
        <w:tab/>
      </w:r>
      <w:r>
        <w:rPr>
          <w:rFonts w:ascii="Arial" w:cs="Arial" w:eastAsia="Arial" w:hAnsi="Arial"/>
          <w:sz w:val="17"/>
          <w:szCs w:val="17"/>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192"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010000"/>
        </w:rPr>
        <w:t>7.2</w:t>
      </w:r>
      <w:r>
        <w:rPr>
          <w:sz w:val="20"/>
          <w:szCs w:val="20"/>
          <w:color w:val="auto"/>
        </w:rPr>
        <w:tab/>
      </w:r>
      <w:r>
        <w:rPr>
          <w:rFonts w:ascii="Arial" w:cs="Arial" w:eastAsia="Arial" w:hAnsi="Arial"/>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211" w:lineRule="exact"/>
        <w:rPr>
          <w:sz w:val="20"/>
          <w:szCs w:val="20"/>
          <w:color w:val="auto"/>
        </w:rPr>
      </w:pPr>
    </w:p>
    <w:p>
      <w:pPr>
        <w:ind w:left="660" w:right="160" w:hanging="647"/>
        <w:spacing w:after="0" w:line="342" w:lineRule="auto"/>
        <w:tabs>
          <w:tab w:leader="none" w:pos="640" w:val="left"/>
        </w:tabs>
        <w:rPr>
          <w:sz w:val="20"/>
          <w:szCs w:val="20"/>
          <w:color w:val="auto"/>
        </w:rPr>
      </w:pPr>
      <w:r>
        <w:rPr>
          <w:rFonts w:ascii="Arial" w:cs="Arial" w:eastAsia="Arial" w:hAnsi="Arial"/>
          <w:sz w:val="18"/>
          <w:szCs w:val="18"/>
          <w:color w:val="010000"/>
        </w:rPr>
        <w:t>7.3</w:t>
      </w:r>
      <w:r>
        <w:rPr>
          <w:sz w:val="20"/>
          <w:szCs w:val="20"/>
          <w:color w:val="auto"/>
        </w:rPr>
        <w:tab/>
      </w:r>
      <w:r>
        <w:rPr>
          <w:rFonts w:ascii="Arial" w:cs="Arial" w:eastAsia="Arial" w:hAnsi="Arial"/>
          <w:sz w:val="16"/>
          <w:szCs w:val="16"/>
          <w:color w:val="auto"/>
        </w:rPr>
        <w:t>A Member on whom a call is made shall remain liable for that call notwithstanding the subsequent transfer of the Shares in respect of which the call was made. A person shall not be liable for calls made after such person is no longer registered as Member in respect of those Shares.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when call made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7.4</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the call was passed.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Liability of joint holders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7.5</w:t>
      </w:r>
      <w:r>
        <w:rPr>
          <w:sz w:val="20"/>
          <w:szCs w:val="20"/>
          <w:color w:val="auto"/>
        </w:rPr>
        <w:tab/>
      </w:r>
      <w:r>
        <w:rPr>
          <w:rFonts w:ascii="Arial" w:cs="Arial" w:eastAsia="Arial" w:hAnsi="Arial"/>
          <w:sz w:val="16"/>
          <w:szCs w:val="16"/>
          <w:color w:val="auto"/>
        </w:rPr>
        <w:t>Members registered as the joint holders of a Share shall be jointly and severally liable to pay all calls in respect of the Share.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on unpaid calls</w:t>
      </w:r>
    </w:p>
    <w:p>
      <w:pPr>
        <w:spacing w:after="0" w:line="246"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010000"/>
        </w:rPr>
        <w:t>7.6</w:t>
      </w:r>
      <w:r>
        <w:rPr>
          <w:sz w:val="20"/>
          <w:szCs w:val="20"/>
          <w:color w:val="auto"/>
        </w:rPr>
        <w:tab/>
      </w: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62" w:name="page63"/>
    <w:bookmarkEnd w:id="62"/>
    <w:p>
      <w:pPr>
        <w:ind w:left="1300" w:hanging="644"/>
        <w:spacing w:after="0"/>
        <w:tabs>
          <w:tab w:leader="none" w:pos="1300"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at the rate fixed by the terms of allotment of the Share or in the notice of the call;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if no rate is fixed, at the Default Rate.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directors may waive payment of the interest wholly or in part.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Deemed calls</w:t>
      </w:r>
    </w:p>
    <w:p>
      <w:pPr>
        <w:spacing w:after="0" w:line="246" w:lineRule="exact"/>
        <w:rPr>
          <w:sz w:val="20"/>
          <w:szCs w:val="20"/>
          <w:color w:val="auto"/>
        </w:rPr>
      </w:pPr>
    </w:p>
    <w:p>
      <w:pPr>
        <w:ind w:left="660" w:right="280" w:hanging="647"/>
        <w:spacing w:after="0" w:line="342" w:lineRule="auto"/>
        <w:tabs>
          <w:tab w:leader="none" w:pos="640" w:val="left"/>
        </w:tabs>
        <w:rPr>
          <w:sz w:val="20"/>
          <w:szCs w:val="20"/>
          <w:color w:val="auto"/>
        </w:rPr>
      </w:pPr>
      <w:r>
        <w:rPr>
          <w:rFonts w:ascii="Arial" w:cs="Arial" w:eastAsia="Arial" w:hAnsi="Arial"/>
          <w:sz w:val="18"/>
          <w:szCs w:val="18"/>
          <w:color w:val="010000"/>
        </w:rPr>
        <w:t>7.7</w:t>
      </w:r>
      <w:r>
        <w:rPr>
          <w:sz w:val="20"/>
          <w:szCs w:val="20"/>
          <w:color w:val="auto"/>
        </w:rPr>
        <w:tab/>
      </w:r>
      <w:r>
        <w:rPr>
          <w:rFonts w:ascii="Arial" w:cs="Arial" w:eastAsia="Arial" w:hAnsi="Arial"/>
          <w:sz w:val="16"/>
          <w:szCs w:val="16"/>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accept early payment</w:t>
      </w:r>
    </w:p>
    <w:p>
      <w:pPr>
        <w:spacing w:after="0" w:line="246"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010000"/>
        </w:rPr>
        <w:t>7.8</w:t>
      </w:r>
      <w:r>
        <w:rPr>
          <w:sz w:val="20"/>
          <w:szCs w:val="20"/>
          <w:color w:val="auto"/>
        </w:rPr>
        <w:tab/>
      </w:r>
      <w:r>
        <w:rPr>
          <w:rFonts w:ascii="Arial" w:cs="Arial" w:eastAsia="Arial" w:hAnsi="Arial"/>
          <w:sz w:val="18"/>
          <w:szCs w:val="18"/>
          <w:color w:val="auto"/>
        </w:rPr>
        <w:t>The Company may accept from a Member the whole or a part of the amount remaining unpaid on Shares held by him although no part of that amount has been called up.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make different arrangements at time of issue of Shares</w:t>
      </w:r>
    </w:p>
    <w:p>
      <w:pPr>
        <w:spacing w:after="0" w:line="2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7.9</w:t>
      </w:r>
      <w:r>
        <w:rPr>
          <w:sz w:val="20"/>
          <w:szCs w:val="20"/>
          <w:color w:val="auto"/>
        </w:rPr>
        <w:tab/>
      </w:r>
      <w:r>
        <w:rPr>
          <w:rFonts w:ascii="Arial" w:cs="Arial" w:eastAsia="Arial" w:hAnsi="Arial"/>
          <w:sz w:val="18"/>
          <w:szCs w:val="18"/>
          <w:color w:val="auto"/>
        </w:rPr>
        <w:t>Subject to the terms of allotment, the directors may make arrangements on the issue of Shares to distinguish between Members in the amounts and times of payment of calls on their Shares.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default</w:t>
      </w:r>
    </w:p>
    <w:p>
      <w:pPr>
        <w:spacing w:after="0" w:line="24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010000"/>
        </w:rPr>
        <w:t>7.10</w:t>
      </w:r>
      <w:r>
        <w:rPr>
          <w:sz w:val="20"/>
          <w:szCs w:val="20"/>
          <w:color w:val="auto"/>
        </w:rPr>
        <w:tab/>
      </w:r>
      <w:r>
        <w:rPr>
          <w:rFonts w:ascii="Arial" w:cs="Arial" w:eastAsia="Arial" w:hAnsi="Arial"/>
          <w:sz w:val="18"/>
          <w:szCs w:val="18"/>
          <w:color w:val="auto"/>
        </w:rPr>
        <w:t>If a call remains unpaid after it has become due and payable the directors may give to the person from whom it is due not less than 14 Clear Days' notice requiring payment of:</w:t>
      </w:r>
    </w:p>
    <w:p>
      <w:pPr>
        <w:spacing w:after="0" w:line="197"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the amount unpaid;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any interest which may have accrued;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any expenses which have been incurred by the Company due to that person's default.</w:t>
      </w:r>
    </w:p>
    <w:p>
      <w:pPr>
        <w:spacing w:after="0" w:line="252"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18"/>
          <w:szCs w:val="18"/>
          <w:color w:val="010000"/>
        </w:rPr>
        <w:t>7.11</w:t>
      </w:r>
      <w:r>
        <w:rPr>
          <w:rFonts w:ascii="Arial" w:cs="Arial" w:eastAsia="Arial" w:hAnsi="Arial"/>
          <w:sz w:val="16"/>
          <w:szCs w:val="16"/>
          <w:color w:val="auto"/>
        </w:rPr>
        <w:t>The notice shall state the following:</w:t>
      </w:r>
    </w:p>
    <w:p>
      <w:pPr>
        <w:spacing w:after="0" w:line="252"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the place where payment is to be made;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80"/>
        </w:numPr>
        <w:rPr>
          <w:rFonts w:ascii="Arial" w:cs="Arial" w:eastAsia="Arial" w:hAnsi="Arial"/>
          <w:sz w:val="18"/>
          <w:szCs w:val="18"/>
          <w:color w:val="010000"/>
        </w:rPr>
      </w:pPr>
      <w:r>
        <w:rPr>
          <w:rFonts w:ascii="Arial" w:cs="Arial" w:eastAsia="Arial" w:hAnsi="Arial"/>
          <w:sz w:val="18"/>
          <w:szCs w:val="18"/>
          <w:color w:val="auto"/>
        </w:rPr>
        <w:t>a warning that if the notice is not complied with the Shares in respect of which the call is made will be liable to be forfeited.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Forfeiture or surrender of Shares</w:t>
      </w:r>
    </w:p>
    <w:p>
      <w:pPr>
        <w:spacing w:after="0" w:line="246" w:lineRule="exact"/>
        <w:rPr>
          <w:sz w:val="20"/>
          <w:szCs w:val="20"/>
          <w:color w:val="auto"/>
        </w:rPr>
      </w:pPr>
    </w:p>
    <w:p>
      <w:pPr>
        <w:ind w:left="660" w:right="140" w:hanging="647"/>
        <w:spacing w:after="0" w:line="279" w:lineRule="auto"/>
        <w:tabs>
          <w:tab w:leader="none" w:pos="640" w:val="left"/>
        </w:tabs>
        <w:rPr>
          <w:sz w:val="20"/>
          <w:szCs w:val="20"/>
          <w:color w:val="auto"/>
        </w:rPr>
      </w:pPr>
      <w:r>
        <w:rPr>
          <w:rFonts w:ascii="Arial" w:cs="Arial" w:eastAsia="Arial" w:hAnsi="Arial"/>
          <w:sz w:val="18"/>
          <w:szCs w:val="18"/>
          <w:color w:val="010000"/>
        </w:rPr>
        <w:t>7.12</w:t>
      </w:r>
      <w:r>
        <w:rPr>
          <w:sz w:val="20"/>
          <w:szCs w:val="20"/>
          <w:color w:val="auto"/>
        </w:rPr>
        <w:tab/>
      </w:r>
      <w:r>
        <w:rPr>
          <w:rFonts w:ascii="Arial" w:cs="Arial" w:eastAsia="Arial" w:hAnsi="Arial"/>
          <w:sz w:val="17"/>
          <w:szCs w:val="17"/>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7.13</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Disposal of forfeited or surrendered Share and power to cancel forfeiture or surrender</w:t>
      </w:r>
    </w:p>
    <w:p>
      <w:pPr>
        <w:spacing w:after="0" w:line="247" w:lineRule="exact"/>
        <w:rPr>
          <w:sz w:val="20"/>
          <w:szCs w:val="20"/>
          <w:color w:val="auto"/>
        </w:rPr>
      </w:pPr>
    </w:p>
    <w:p>
      <w:pPr>
        <w:ind w:left="660" w:hanging="647"/>
        <w:spacing w:after="0" w:line="301" w:lineRule="auto"/>
        <w:tabs>
          <w:tab w:leader="none" w:pos="640" w:val="left"/>
        </w:tabs>
        <w:rPr>
          <w:sz w:val="20"/>
          <w:szCs w:val="20"/>
          <w:color w:val="auto"/>
        </w:rPr>
      </w:pPr>
      <w:r>
        <w:rPr>
          <w:rFonts w:ascii="Arial" w:cs="Arial" w:eastAsia="Arial" w:hAnsi="Arial"/>
          <w:sz w:val="18"/>
          <w:szCs w:val="18"/>
          <w:color w:val="010000"/>
        </w:rPr>
        <w:t>7.14</w:t>
      </w:r>
      <w:r>
        <w:rPr>
          <w:sz w:val="20"/>
          <w:szCs w:val="20"/>
          <w:color w:val="auto"/>
        </w:rPr>
        <w:tab/>
      </w:r>
      <w:r>
        <w:rPr>
          <w:rFonts w:ascii="Arial" w:cs="Arial" w:eastAsia="Arial" w:hAnsi="Arial"/>
          <w:sz w:val="16"/>
          <w:szCs w:val="16"/>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forfeiture or surrender on former Member</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7.15</w:t>
      </w:r>
      <w:r>
        <w:rPr>
          <w:sz w:val="20"/>
          <w:szCs w:val="20"/>
          <w:color w:val="auto"/>
        </w:rPr>
        <w:tab/>
      </w:r>
      <w:r>
        <w:rPr>
          <w:rFonts w:ascii="Arial" w:cs="Arial" w:eastAsia="Arial" w:hAnsi="Arial"/>
          <w:sz w:val="16"/>
          <w:szCs w:val="16"/>
          <w:color w:val="auto"/>
        </w:rPr>
        <w:t>On forfeiture or surrender:</w:t>
      </w:r>
    </w:p>
    <w:p>
      <w:pPr>
        <w:spacing w:after="0" w:line="252" w:lineRule="exact"/>
        <w:rPr>
          <w:sz w:val="20"/>
          <w:szCs w:val="20"/>
          <w:color w:val="auto"/>
        </w:rPr>
      </w:pPr>
    </w:p>
    <w:p>
      <w:pPr>
        <w:ind w:left="1300" w:right="220" w:hanging="644"/>
        <w:spacing w:after="0" w:line="277" w:lineRule="auto"/>
        <w:tabs>
          <w:tab w:leader="none" w:pos="130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the name of the Member concerned shall be removed from the Register of Members as the holder of those Shares and that person shall cease to be a Member in respect of those Shares;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81"/>
        </w:numPr>
        <w:rPr>
          <w:rFonts w:ascii="Arial" w:cs="Arial" w:eastAsia="Arial" w:hAnsi="Arial"/>
          <w:sz w:val="18"/>
          <w:szCs w:val="18"/>
          <w:color w:val="010000"/>
        </w:rPr>
      </w:pPr>
      <w:r>
        <w:rPr>
          <w:rFonts w:ascii="Arial" w:cs="Arial" w:eastAsia="Arial" w:hAnsi="Arial"/>
          <w:sz w:val="18"/>
          <w:szCs w:val="18"/>
          <w:color w:val="auto"/>
        </w:rPr>
        <w:t>that person shall surrender to the Company for cancellation the certificate (if any) for the forfeited or surrendered Shares.</w:t>
      </w:r>
    </w:p>
    <w:p>
      <w:pPr>
        <w:spacing w:after="0" w:line="252"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010000"/>
        </w:rPr>
        <w:t>7.16</w:t>
      </w:r>
      <w:r>
        <w:rPr>
          <w:sz w:val="20"/>
          <w:szCs w:val="20"/>
          <w:color w:val="auto"/>
        </w:rPr>
        <w:tab/>
      </w:r>
      <w:r>
        <w:rPr>
          <w:rFonts w:ascii="Arial" w:cs="Arial" w:eastAsia="Arial" w:hAnsi="Arial"/>
          <w:sz w:val="18"/>
          <w:szCs w:val="18"/>
          <w:color w:val="auto"/>
        </w:rPr>
        <w:t>Despite the forfeiture or surrender of his Shares, that person shall remain liable to the Company for all moneys which at the date of forfeiture or surrender were presently payable by him to the Company in respect of those Shares together with:</w:t>
      </w:r>
    </w:p>
    <w:p>
      <w:pPr>
        <w:spacing w:after="0" w:line="197"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all expenses;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82"/>
        </w:numPr>
        <w:rPr>
          <w:rFonts w:ascii="Arial" w:cs="Arial" w:eastAsia="Arial" w:hAnsi="Arial"/>
          <w:sz w:val="18"/>
          <w:szCs w:val="18"/>
          <w:color w:val="010000"/>
        </w:rPr>
      </w:pPr>
      <w:r>
        <w:rPr>
          <w:rFonts w:ascii="Arial" w:cs="Arial" w:eastAsia="Arial" w:hAnsi="Arial"/>
          <w:sz w:val="18"/>
          <w:szCs w:val="18"/>
          <w:color w:val="auto"/>
        </w:rPr>
        <w:t>interest from the date of forfeiture or surrender until payment:</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at the rate of which interest was payable on those moneys before forfeiture; or</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82"/>
        </w:numPr>
        <w:rPr>
          <w:rFonts w:ascii="Arial" w:cs="Arial" w:eastAsia="Arial" w:hAnsi="Arial"/>
          <w:sz w:val="18"/>
          <w:szCs w:val="18"/>
          <w:color w:val="010000"/>
        </w:rPr>
      </w:pPr>
      <w:r>
        <w:rPr>
          <w:rFonts w:ascii="Arial" w:cs="Arial" w:eastAsia="Arial" w:hAnsi="Arial"/>
          <w:sz w:val="18"/>
          <w:szCs w:val="18"/>
          <w:color w:val="auto"/>
        </w:rPr>
        <w:t>if no interest was so payable, at the Default Rate.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directors, however, may waive payment wholly or in part.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Evidence of forfeiture or surrender</w:t>
      </w:r>
    </w:p>
    <w:p>
      <w:pPr>
        <w:spacing w:after="0" w:line="246"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010000"/>
        </w:rPr>
        <w:t>7.17</w:t>
      </w:r>
      <w:r>
        <w:rPr>
          <w:sz w:val="20"/>
          <w:szCs w:val="20"/>
          <w:color w:val="auto"/>
        </w:rPr>
        <w:tab/>
      </w:r>
      <w:r>
        <w:rPr>
          <w:rFonts w:ascii="Arial" w:cs="Arial" w:eastAsia="Arial" w:hAnsi="Arial"/>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97"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that the person making the declaration is a director or Secretary of the Company,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83"/>
        </w:numPr>
        <w:rPr>
          <w:rFonts w:ascii="Arial" w:cs="Arial" w:eastAsia="Arial" w:hAnsi="Arial"/>
          <w:sz w:val="18"/>
          <w:szCs w:val="18"/>
          <w:color w:val="010000"/>
        </w:rPr>
      </w:pPr>
      <w:r>
        <w:rPr>
          <w:rFonts w:ascii="Arial" w:cs="Arial" w:eastAsia="Arial" w:hAnsi="Arial"/>
          <w:sz w:val="18"/>
          <w:szCs w:val="18"/>
          <w:color w:val="auto"/>
        </w:rPr>
        <w:t>that the particular Shares have been forfeited or surrendered on a particular date.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execution of an instrument of transfer, if necessary, the declaration shall constitute good title to the Shares.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64" w:name="page65"/>
    <w:bookmarkEnd w:id="64"/>
    <w:p>
      <w:pPr>
        <w:spacing w:after="0"/>
        <w:rPr>
          <w:sz w:val="20"/>
          <w:szCs w:val="20"/>
          <w:color w:val="auto"/>
        </w:rPr>
      </w:pPr>
      <w:r>
        <w:rPr>
          <w:rFonts w:ascii="Arial" w:cs="Arial" w:eastAsia="Arial" w:hAnsi="Arial"/>
          <w:sz w:val="22"/>
          <w:szCs w:val="22"/>
          <w:b w:val="1"/>
          <w:bCs w:val="1"/>
          <w:color w:val="auto"/>
        </w:rPr>
        <w:t>Sale of forfeited or surrendered Shares</w:t>
      </w:r>
    </w:p>
    <w:p>
      <w:pPr>
        <w:spacing w:after="0" w:line="247" w:lineRule="exact"/>
        <w:rPr>
          <w:sz w:val="20"/>
          <w:szCs w:val="20"/>
          <w:color w:val="auto"/>
        </w:rPr>
      </w:pPr>
    </w:p>
    <w:p>
      <w:pPr>
        <w:jc w:val="center"/>
        <w:ind w:right="20"/>
        <w:spacing w:after="0"/>
        <w:tabs>
          <w:tab w:leader="none" w:pos="320" w:val="left"/>
        </w:tabs>
        <w:rPr>
          <w:sz w:val="20"/>
          <w:szCs w:val="20"/>
          <w:color w:val="auto"/>
        </w:rPr>
      </w:pPr>
      <w:r>
        <w:rPr>
          <w:rFonts w:ascii="Arial" w:cs="Arial" w:eastAsia="Arial" w:hAnsi="Arial"/>
          <w:sz w:val="18"/>
          <w:szCs w:val="18"/>
          <w:color w:val="010000"/>
        </w:rPr>
        <w:t>7.18</w:t>
      </w:r>
      <w:r>
        <w:rPr>
          <w:sz w:val="20"/>
          <w:szCs w:val="20"/>
          <w:color w:val="auto"/>
        </w:rPr>
        <w:tab/>
      </w:r>
      <w:r>
        <w:rPr>
          <w:rFonts w:ascii="Arial" w:cs="Arial" w:eastAsia="Arial" w:hAnsi="Arial"/>
          <w:sz w:val="16"/>
          <w:szCs w:val="16"/>
          <w:color w:val="auto"/>
        </w:rPr>
        <w:t>Any person to whom the forfeited or surrendered Shares are disposed of shall not be bound to see to the application of the consideration, if any, of</w:t>
      </w:r>
    </w:p>
    <w:p>
      <w:pPr>
        <w:spacing w:after="0" w:line="23" w:lineRule="exact"/>
        <w:rPr>
          <w:sz w:val="20"/>
          <w:szCs w:val="20"/>
          <w:color w:val="auto"/>
        </w:rPr>
      </w:pPr>
    </w:p>
    <w:p>
      <w:pPr>
        <w:ind w:left="660" w:right="640"/>
        <w:spacing w:after="0" w:line="260" w:lineRule="auto"/>
        <w:rPr>
          <w:sz w:val="20"/>
          <w:szCs w:val="20"/>
          <w:color w:val="auto"/>
        </w:rPr>
      </w:pPr>
      <w:r>
        <w:rPr>
          <w:rFonts w:ascii="Arial" w:cs="Arial" w:eastAsia="Arial" w:hAnsi="Arial"/>
          <w:sz w:val="18"/>
          <w:szCs w:val="18"/>
          <w:color w:val="auto"/>
        </w:rPr>
        <w:t>those Shares nor shall his title to the Shares be affected by any irregularity in, or invalidity of the proceedings in respect of, the forfeiture, surrender or disposal of those Shares.</w:t>
      </w:r>
    </w:p>
    <w:p>
      <w:pPr>
        <w:spacing w:after="0" w:line="208"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b w:val="1"/>
          <w:bCs w:val="1"/>
          <w:color w:val="010000"/>
        </w:rPr>
      </w:pPr>
      <w:r>
        <w:rPr>
          <w:rFonts w:ascii="Arial" w:cs="Arial" w:eastAsia="Arial" w:hAnsi="Arial"/>
          <w:sz w:val="18"/>
          <w:szCs w:val="18"/>
          <w:b w:val="1"/>
          <w:bCs w:val="1"/>
          <w:color w:val="auto"/>
        </w:rPr>
        <w:t>Transfer of Shares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transfer</w:t>
      </w:r>
    </w:p>
    <w:p>
      <w:pPr>
        <w:spacing w:after="0" w:line="246" w:lineRule="exact"/>
        <w:rPr>
          <w:sz w:val="20"/>
          <w:szCs w:val="20"/>
          <w:color w:val="auto"/>
        </w:rPr>
      </w:pPr>
    </w:p>
    <w:p>
      <w:pPr>
        <w:ind w:left="660" w:hanging="647"/>
        <w:spacing w:after="0" w:line="311" w:lineRule="auto"/>
        <w:tabs>
          <w:tab w:leader="none" w:pos="640" w:val="left"/>
        </w:tabs>
        <w:rPr>
          <w:sz w:val="20"/>
          <w:szCs w:val="20"/>
          <w:color w:val="auto"/>
        </w:rPr>
      </w:pPr>
      <w:r>
        <w:rPr>
          <w:rFonts w:ascii="Arial" w:cs="Arial" w:eastAsia="Arial" w:hAnsi="Arial"/>
          <w:sz w:val="18"/>
          <w:szCs w:val="18"/>
          <w:color w:val="010000"/>
        </w:rPr>
        <w:t>8.1</w:t>
      </w:r>
      <w:r>
        <w:rPr>
          <w:sz w:val="20"/>
          <w:szCs w:val="20"/>
          <w:color w:val="auto"/>
        </w:rPr>
        <w:tab/>
      </w:r>
      <w:r>
        <w:rPr>
          <w:rFonts w:ascii="Arial" w:cs="Arial" w:eastAsia="Arial" w:hAnsi="Arial"/>
          <w:sz w:val="16"/>
          <w:szCs w:val="16"/>
          <w:color w:val="auto"/>
        </w:rPr>
        <w:t>Subject to the following Articles about the transfer of Shares, and provided that such transfer complies with applicable rules of the SEC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spacing w:after="0" w:line="176"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where the Shares are Fully Paid, by or on behalf of that Member;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85"/>
        </w:numPr>
        <w:rPr>
          <w:rFonts w:ascii="Arial" w:cs="Arial" w:eastAsia="Arial" w:hAnsi="Arial"/>
          <w:sz w:val="18"/>
          <w:szCs w:val="18"/>
          <w:color w:val="010000"/>
        </w:rPr>
      </w:pPr>
      <w:r>
        <w:rPr>
          <w:rFonts w:ascii="Arial" w:cs="Arial" w:eastAsia="Arial" w:hAnsi="Arial"/>
          <w:sz w:val="18"/>
          <w:szCs w:val="18"/>
          <w:color w:val="auto"/>
        </w:rPr>
        <w:t>where the Shares are partly paid, by or on behalf of that Member and the transferee.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8.2</w:t>
      </w:r>
      <w:r>
        <w:rPr>
          <w:sz w:val="20"/>
          <w:szCs w:val="20"/>
          <w:color w:val="auto"/>
        </w:rPr>
        <w:tab/>
      </w:r>
      <w:r>
        <w:rPr>
          <w:rFonts w:ascii="Arial" w:cs="Arial" w:eastAsia="Arial" w:hAnsi="Arial"/>
          <w:sz w:val="16"/>
          <w:szCs w:val="16"/>
          <w:color w:val="auto"/>
        </w:rPr>
        <w:t>The transferor shall be deemed to remain the holder of a Share until the name of the transferee is entered into the Register of Members.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refuse registration</w:t>
      </w:r>
    </w:p>
    <w:p>
      <w:pPr>
        <w:spacing w:after="0" w:line="246" w:lineRule="exact"/>
        <w:rPr>
          <w:sz w:val="20"/>
          <w:szCs w:val="20"/>
          <w:color w:val="auto"/>
        </w:rPr>
      </w:pPr>
    </w:p>
    <w:p>
      <w:pPr>
        <w:ind w:left="660" w:right="160" w:hanging="647"/>
        <w:spacing w:after="0" w:line="263" w:lineRule="auto"/>
        <w:tabs>
          <w:tab w:leader="none" w:pos="640" w:val="left"/>
        </w:tabs>
        <w:rPr>
          <w:sz w:val="20"/>
          <w:szCs w:val="20"/>
          <w:color w:val="auto"/>
        </w:rPr>
      </w:pPr>
      <w:r>
        <w:rPr>
          <w:rFonts w:ascii="Arial" w:cs="Arial" w:eastAsia="Arial" w:hAnsi="Arial"/>
          <w:sz w:val="18"/>
          <w:szCs w:val="18"/>
          <w:color w:val="010000"/>
        </w:rPr>
        <w:t>8.3</w:t>
      </w:r>
      <w:r>
        <w:rPr>
          <w:sz w:val="20"/>
          <w:szCs w:val="20"/>
          <w:color w:val="auto"/>
        </w:rPr>
        <w:tab/>
      </w:r>
      <w:r>
        <w:rPr>
          <w:rFonts w:ascii="Arial" w:cs="Arial" w:eastAsia="Arial" w:hAnsi="Arial"/>
          <w:sz w:val="18"/>
          <w:szCs w:val="18"/>
          <w:color w:val="auto"/>
        </w:rPr>
        <w:t>If the Shares in question were issued in conjunction with rights, options or warrants issued pursuant to Article 3.4 on terms that one cannot be transferred without the other, the directors shall refuse to register the transfer of any such Share without evidence satisfactory to them of the like transfer of such option or warrant.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suspend registration</w:t>
      </w:r>
    </w:p>
    <w:p>
      <w:pPr>
        <w:spacing w:after="0" w:line="246"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010000"/>
        </w:rPr>
        <w:t>8.4</w:t>
      </w:r>
      <w:r>
        <w:rPr>
          <w:sz w:val="20"/>
          <w:szCs w:val="20"/>
          <w:color w:val="auto"/>
        </w:rPr>
        <w:tab/>
      </w:r>
      <w:r>
        <w:rPr>
          <w:rFonts w:ascii="Arial" w:cs="Arial" w:eastAsia="Arial" w:hAnsi="Arial"/>
          <w:sz w:val="18"/>
          <w:szCs w:val="18"/>
          <w:color w:val="auto"/>
        </w:rPr>
        <w:t>The directors may suspend registration of the transfer of Shares at such times and for such periods, not exceeding 30 days in any calendar year, as they determine.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may retain instrument of transfer</w:t>
      </w:r>
    </w:p>
    <w:p>
      <w:pPr>
        <w:spacing w:after="0" w:line="246"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8.5</w:t>
      </w:r>
      <w:r>
        <w:rPr>
          <w:sz w:val="20"/>
          <w:szCs w:val="20"/>
          <w:color w:val="auto"/>
        </w:rPr>
        <w:tab/>
      </w:r>
      <w:r>
        <w:rPr>
          <w:rFonts w:ascii="Arial" w:cs="Arial" w:eastAsia="Arial" w:hAnsi="Arial"/>
          <w:sz w:val="18"/>
          <w:szCs w:val="18"/>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93"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color w:val="010000"/>
        </w:rPr>
      </w:pPr>
      <w:r>
        <w:rPr>
          <w:rFonts w:ascii="Arial" w:cs="Arial" w:eastAsia="Arial" w:hAnsi="Arial"/>
          <w:sz w:val="18"/>
          <w:szCs w:val="18"/>
          <w:b w:val="1"/>
          <w:bCs w:val="1"/>
          <w:color w:val="auto"/>
        </w:rPr>
        <w:t>Transmission of Shares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Persons entitled on death of a Member</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9.1</w:t>
      </w:r>
      <w:r>
        <w:rPr>
          <w:sz w:val="20"/>
          <w:szCs w:val="20"/>
          <w:color w:val="auto"/>
        </w:rPr>
        <w:tab/>
      </w:r>
      <w:r>
        <w:rPr>
          <w:rFonts w:ascii="Arial" w:cs="Arial" w:eastAsia="Arial" w:hAnsi="Arial"/>
          <w:sz w:val="16"/>
          <w:szCs w:val="16"/>
          <w:color w:val="auto"/>
        </w:rPr>
        <w:t>If a Member dies, the only persons recognised by the Company as having any title to the deceased Members' interest are the following:</w:t>
      </w:r>
    </w:p>
    <w:p>
      <w:pPr>
        <w:spacing w:after="0" w:line="252"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18"/>
          <w:szCs w:val="18"/>
          <w:color w:val="010000"/>
        </w:rPr>
      </w:pPr>
      <w:r>
        <w:rPr>
          <w:rFonts w:ascii="Arial" w:cs="Arial" w:eastAsia="Arial" w:hAnsi="Arial"/>
          <w:sz w:val="18"/>
          <w:szCs w:val="18"/>
          <w:color w:val="auto"/>
        </w:rPr>
        <w:t>where the deceased Member was a joint holder, the survivor or survivors; and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2" w:right="379" w:bottom="1440" w:gutter="0" w:footer="0" w:header="0"/>
        </w:sectPr>
      </w:pPr>
    </w:p>
    <w:bookmarkStart w:id="65" w:name="page66"/>
    <w:bookmarkEnd w:id="65"/>
    <w:p>
      <w:pPr>
        <w:ind w:left="1300" w:hanging="644"/>
        <w:spacing w:after="0"/>
        <w:tabs>
          <w:tab w:leader="none" w:pos="1300" w:val="left"/>
        </w:tabs>
        <w:numPr>
          <w:ilvl w:val="0"/>
          <w:numId w:val="88"/>
        </w:numPr>
        <w:rPr>
          <w:rFonts w:ascii="Arial" w:cs="Arial" w:eastAsia="Arial" w:hAnsi="Arial"/>
          <w:sz w:val="18"/>
          <w:szCs w:val="18"/>
          <w:color w:val="010000"/>
        </w:rPr>
      </w:pPr>
      <w:r>
        <w:rPr>
          <w:rFonts w:ascii="Arial" w:cs="Arial" w:eastAsia="Arial" w:hAnsi="Arial"/>
          <w:sz w:val="18"/>
          <w:szCs w:val="18"/>
          <w:color w:val="auto"/>
        </w:rPr>
        <w:t>where the deceased Member was a sole holder, that Member's personal representative or representatives.</w:t>
      </w:r>
    </w:p>
    <w:p>
      <w:pPr>
        <w:spacing w:after="0" w:line="252"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010000"/>
        </w:rPr>
        <w:t>9.2</w:t>
      </w:r>
      <w:r>
        <w:rPr>
          <w:sz w:val="20"/>
          <w:szCs w:val="20"/>
          <w:color w:val="auto"/>
        </w:rPr>
        <w:tab/>
      </w:r>
      <w:r>
        <w:rPr>
          <w:rFonts w:ascii="Arial" w:cs="Arial" w:eastAsia="Arial" w:hAnsi="Arial"/>
          <w:sz w:val="18"/>
          <w:szCs w:val="18"/>
          <w:color w:val="auto"/>
        </w:rPr>
        <w:t>Nothing in these Articles shall release the deceased Member's estate from any liability in respect of any Share, whether the deceased was a sole holder or a joint holder.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of transfer of a Share following death or bankruptcy</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9.3</w:t>
      </w:r>
      <w:r>
        <w:rPr>
          <w:sz w:val="20"/>
          <w:szCs w:val="20"/>
          <w:color w:val="auto"/>
        </w:rPr>
        <w:tab/>
      </w:r>
      <w:r>
        <w:rPr>
          <w:rFonts w:ascii="Arial" w:cs="Arial" w:eastAsia="Arial" w:hAnsi="Arial"/>
          <w:sz w:val="16"/>
          <w:szCs w:val="16"/>
          <w:color w:val="auto"/>
        </w:rPr>
        <w:t>A person becoming entitled to a Share in consequence of the death or bankruptcy of a Member may elect to do either of the following:</w:t>
      </w:r>
    </w:p>
    <w:p>
      <w:pPr>
        <w:spacing w:after="0" w:line="252"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to become the holder of the Share;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to transfer the Share to another person.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9.4</w:t>
      </w:r>
      <w:r>
        <w:rPr>
          <w:sz w:val="20"/>
          <w:szCs w:val="20"/>
          <w:color w:val="auto"/>
        </w:rPr>
        <w:tab/>
      </w:r>
      <w:r>
        <w:rPr>
          <w:rFonts w:ascii="Arial" w:cs="Arial" w:eastAsia="Arial" w:hAnsi="Arial"/>
          <w:sz w:val="16"/>
          <w:szCs w:val="16"/>
          <w:color w:val="auto"/>
        </w:rPr>
        <w:t>That person must produce such evidence of his entitlement as the directors may properly require.</w:t>
      </w:r>
    </w:p>
    <w:p>
      <w:pPr>
        <w:spacing w:after="0" w:line="252"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010000"/>
        </w:rPr>
        <w:t>9.5</w:t>
      </w:r>
      <w:r>
        <w:rPr>
          <w:sz w:val="20"/>
          <w:szCs w:val="20"/>
          <w:color w:val="auto"/>
        </w:rPr>
        <w:tab/>
      </w:r>
      <w:r>
        <w:rPr>
          <w:rFonts w:ascii="Arial" w:cs="Arial" w:eastAsia="Arial" w:hAnsi="Arial"/>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9.6</w:t>
      </w:r>
      <w:r>
        <w:rPr>
          <w:sz w:val="20"/>
          <w:szCs w:val="20"/>
          <w:color w:val="auto"/>
        </w:rPr>
        <w:tab/>
      </w:r>
      <w:r>
        <w:rPr>
          <w:rFonts w:ascii="Arial" w:cs="Arial" w:eastAsia="Arial" w:hAnsi="Arial"/>
          <w:sz w:val="16"/>
          <w:szCs w:val="16"/>
          <w:color w:val="auto"/>
        </w:rPr>
        <w:t>If the person elects to transfer the Share to another person then:</w:t>
      </w:r>
    </w:p>
    <w:p>
      <w:pPr>
        <w:spacing w:after="0" w:line="252" w:lineRule="exact"/>
        <w:rPr>
          <w:sz w:val="20"/>
          <w:szCs w:val="20"/>
          <w:color w:val="auto"/>
        </w:rPr>
      </w:pPr>
    </w:p>
    <w:p>
      <w:pPr>
        <w:ind w:left="1300" w:hanging="644"/>
        <w:spacing w:after="0"/>
        <w:tabs>
          <w:tab w:leader="none" w:pos="1300"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if the Share is Fully Paid, the transferor must execute an instrument of transfer;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90"/>
        </w:numPr>
        <w:rPr>
          <w:rFonts w:ascii="Arial" w:cs="Arial" w:eastAsia="Arial" w:hAnsi="Arial"/>
          <w:sz w:val="18"/>
          <w:szCs w:val="18"/>
          <w:color w:val="010000"/>
        </w:rPr>
      </w:pPr>
      <w:r>
        <w:rPr>
          <w:rFonts w:ascii="Arial" w:cs="Arial" w:eastAsia="Arial" w:hAnsi="Arial"/>
          <w:sz w:val="18"/>
          <w:szCs w:val="18"/>
          <w:color w:val="auto"/>
        </w:rPr>
        <w:t>if the Share is partly paid, the transferor and the transferee must execute an instrument of transfer.</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9.7</w:t>
      </w:r>
      <w:r>
        <w:rPr>
          <w:sz w:val="20"/>
          <w:szCs w:val="20"/>
          <w:color w:val="auto"/>
        </w:rPr>
        <w:tab/>
      </w:r>
      <w:r>
        <w:rPr>
          <w:rFonts w:ascii="Arial" w:cs="Arial" w:eastAsia="Arial" w:hAnsi="Arial"/>
          <w:sz w:val="16"/>
          <w:szCs w:val="16"/>
          <w:color w:val="auto"/>
        </w:rPr>
        <w:t>All the Articles relating to the transfer of Shares shall apply to the notice or, as appropriate, the instrument of transfer.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Indemnity</w:t>
      </w:r>
    </w:p>
    <w:p>
      <w:pPr>
        <w:spacing w:after="0" w:line="2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9.8</w:t>
      </w:r>
      <w:r>
        <w:rPr>
          <w:sz w:val="20"/>
          <w:szCs w:val="20"/>
          <w:color w:val="auto"/>
        </w:rPr>
        <w:tab/>
      </w:r>
      <w:r>
        <w:rPr>
          <w:rFonts w:ascii="Arial" w:cs="Arial" w:eastAsia="Arial" w:hAnsi="Arial"/>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of person entitled to a Share following death or bankruptcy</w:t>
      </w:r>
    </w:p>
    <w:p>
      <w:pPr>
        <w:spacing w:after="0" w:line="246" w:lineRule="exact"/>
        <w:rPr>
          <w:sz w:val="20"/>
          <w:szCs w:val="20"/>
          <w:color w:val="auto"/>
        </w:rPr>
      </w:pPr>
    </w:p>
    <w:p>
      <w:pPr>
        <w:jc w:val="both"/>
        <w:ind w:left="660" w:right="40" w:hanging="647"/>
        <w:spacing w:after="0" w:line="286" w:lineRule="auto"/>
        <w:tabs>
          <w:tab w:leader="none" w:pos="640" w:val="left"/>
        </w:tabs>
        <w:rPr>
          <w:sz w:val="20"/>
          <w:szCs w:val="20"/>
          <w:color w:val="auto"/>
        </w:rPr>
      </w:pPr>
      <w:r>
        <w:rPr>
          <w:rFonts w:ascii="Arial" w:cs="Arial" w:eastAsia="Arial" w:hAnsi="Arial"/>
          <w:sz w:val="18"/>
          <w:szCs w:val="18"/>
          <w:color w:val="010000"/>
        </w:rPr>
        <w:t>9.9</w:t>
      </w:r>
      <w:r>
        <w:rPr>
          <w:sz w:val="20"/>
          <w:szCs w:val="20"/>
          <w:color w:val="auto"/>
        </w:rPr>
        <w:tab/>
      </w:r>
      <w:r>
        <w:rPr>
          <w:rFonts w:ascii="Arial" w:cs="Arial" w:eastAsia="Arial" w:hAnsi="Arial"/>
          <w:sz w:val="17"/>
          <w:szCs w:val="17"/>
          <w:color w:val="auto"/>
        </w:rPr>
        <w:t>A person becoming entitled to a Share by reason of the death or bankruptcy of a Member shall have the rights to which he would be entitled if he were registered as the holder of the Share. However, until he is registered as Member in respect of the Share, he shall not be entitled to attend or vote at any meeting of the Company or at any separate meeting of the holders of that class of Shares in the Company.</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66" w:name="page67"/>
    <w:bookmarkEnd w:id="66"/>
    <w:p>
      <w:pPr>
        <w:ind w:left="660" w:hanging="652"/>
        <w:spacing w:after="0"/>
        <w:tabs>
          <w:tab w:leader="none" w:pos="660" w:val="left"/>
        </w:tabs>
        <w:numPr>
          <w:ilvl w:val="0"/>
          <w:numId w:val="91"/>
        </w:numPr>
        <w:rPr>
          <w:rFonts w:ascii="Arial" w:cs="Arial" w:eastAsia="Arial" w:hAnsi="Arial"/>
          <w:sz w:val="18"/>
          <w:szCs w:val="18"/>
          <w:b w:val="1"/>
          <w:bCs w:val="1"/>
          <w:color w:val="010000"/>
        </w:rPr>
      </w:pPr>
      <w:r>
        <w:rPr>
          <w:rFonts w:ascii="Arial" w:cs="Arial" w:eastAsia="Arial" w:hAnsi="Arial"/>
          <w:sz w:val="18"/>
          <w:szCs w:val="18"/>
          <w:b w:val="1"/>
          <w:bCs w:val="1"/>
          <w:color w:val="auto"/>
        </w:rPr>
        <w:t>Alteration of capital</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Increasing, consolidating, converting, dividing and cancelling share capital</w:t>
      </w:r>
    </w:p>
    <w:p>
      <w:pPr>
        <w:spacing w:after="0" w:line="2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10.1</w:t>
      </w:r>
      <w:r>
        <w:rPr>
          <w:sz w:val="20"/>
          <w:szCs w:val="20"/>
          <w:color w:val="auto"/>
        </w:rPr>
        <w:tab/>
      </w:r>
      <w:r>
        <w:rPr>
          <w:rFonts w:ascii="Arial" w:cs="Arial" w:eastAsia="Arial" w:hAnsi="Arial"/>
          <w:sz w:val="18"/>
          <w:szCs w:val="18"/>
          <w:color w:val="auto"/>
        </w:rPr>
        <w:t>To the fullest extent permitted by the Law, the Company may by Ordinary Resolution do any of the following and amend its Memorandum for that purpose:</w:t>
      </w:r>
    </w:p>
    <w:p>
      <w:pPr>
        <w:spacing w:after="0" w:line="197" w:lineRule="exact"/>
        <w:rPr>
          <w:sz w:val="20"/>
          <w:szCs w:val="20"/>
          <w:color w:val="auto"/>
        </w:rPr>
      </w:pPr>
    </w:p>
    <w:p>
      <w:pPr>
        <w:ind w:left="1300" w:right="500" w:hanging="644"/>
        <w:spacing w:after="0" w:line="277" w:lineRule="auto"/>
        <w:tabs>
          <w:tab w:leader="none" w:pos="130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increase its share capital by new Shares of the amount fixed by that Ordinary Resolution and with the attached rights, priorities and privileges set out in that Ordinary Resolution;</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consolidate and divide all or any of its share capital into Shares of larger amount than its existing Shares;</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convert all or any of its Paid Up Shares into stock, and reconvert that stock into Paid Up Shares of any denomination;</w:t>
      </w:r>
    </w:p>
    <w:p>
      <w:pPr>
        <w:spacing w:after="0" w:line="252" w:lineRule="exact"/>
        <w:rPr>
          <w:rFonts w:ascii="Arial" w:cs="Arial" w:eastAsia="Arial" w:hAnsi="Arial"/>
          <w:sz w:val="18"/>
          <w:szCs w:val="18"/>
          <w:color w:val="010000"/>
        </w:rPr>
      </w:pPr>
    </w:p>
    <w:p>
      <w:pPr>
        <w:ind w:left="1300" w:right="20" w:hanging="644"/>
        <w:spacing w:after="0" w:line="263" w:lineRule="auto"/>
        <w:tabs>
          <w:tab w:leader="none" w:pos="130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210" w:lineRule="exact"/>
        <w:rPr>
          <w:rFonts w:ascii="Arial" w:cs="Arial" w:eastAsia="Arial" w:hAnsi="Arial"/>
          <w:sz w:val="18"/>
          <w:szCs w:val="18"/>
          <w:color w:val="010000"/>
        </w:rPr>
      </w:pPr>
    </w:p>
    <w:p>
      <w:pPr>
        <w:ind w:left="1300" w:right="80" w:hanging="644"/>
        <w:spacing w:after="0" w:line="263" w:lineRule="auto"/>
        <w:tabs>
          <w:tab w:leader="none" w:pos="1300"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Dealing with fractions resulting from consolidation of Shares</w:t>
      </w:r>
    </w:p>
    <w:p>
      <w:pPr>
        <w:spacing w:after="0" w:line="246"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010000"/>
        </w:rPr>
        <w:t>10.2</w:t>
      </w:r>
      <w:r>
        <w:rPr>
          <w:sz w:val="20"/>
          <w:szCs w:val="20"/>
          <w:color w:val="auto"/>
        </w:rPr>
        <w:tab/>
      </w:r>
      <w:r>
        <w:rPr>
          <w:rFonts w:ascii="Arial" w:cs="Arial" w:eastAsia="Arial" w:hAnsi="Arial"/>
          <w:sz w:val="18"/>
          <w:szCs w:val="18"/>
          <w:color w:val="auto"/>
        </w:rPr>
        <w:t>Whenever, as a result of a consolidation of Shares, any Members would become entitled to fractions of a Share the directors may on behalf of those Members:</w:t>
      </w:r>
    </w:p>
    <w:p>
      <w:pPr>
        <w:spacing w:after="0" w:line="197" w:lineRule="exact"/>
        <w:rPr>
          <w:sz w:val="20"/>
          <w:szCs w:val="20"/>
          <w:color w:val="auto"/>
        </w:rPr>
      </w:pPr>
    </w:p>
    <w:p>
      <w:pPr>
        <w:ind w:left="1300" w:right="40" w:hanging="644"/>
        <w:spacing w:after="0" w:line="277" w:lineRule="auto"/>
        <w:tabs>
          <w:tab w:leader="none" w:pos="130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sell the Shares representing the fractions for the best price reasonably obtainable to any person (including, subject to the provisions of the Law, the Company);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93"/>
        </w:numPr>
        <w:rPr>
          <w:rFonts w:ascii="Arial" w:cs="Arial" w:eastAsia="Arial" w:hAnsi="Arial"/>
          <w:sz w:val="18"/>
          <w:szCs w:val="18"/>
          <w:color w:val="010000"/>
        </w:rPr>
      </w:pPr>
      <w:r>
        <w:rPr>
          <w:rFonts w:ascii="Arial" w:cs="Arial" w:eastAsia="Arial" w:hAnsi="Arial"/>
          <w:sz w:val="18"/>
          <w:szCs w:val="18"/>
          <w:color w:val="auto"/>
        </w:rPr>
        <w:t>distribute the net proceeds in due proportion among those Members.</w:t>
      </w:r>
    </w:p>
    <w:p>
      <w:pPr>
        <w:spacing w:after="0" w:line="245" w:lineRule="exact"/>
        <w:rPr>
          <w:sz w:val="20"/>
          <w:szCs w:val="20"/>
          <w:color w:val="auto"/>
        </w:rPr>
      </w:pPr>
    </w:p>
    <w:p>
      <w:pPr>
        <w:ind w:left="660" w:right="540"/>
        <w:spacing w:after="0" w:line="238" w:lineRule="auto"/>
        <w:rPr>
          <w:sz w:val="20"/>
          <w:szCs w:val="20"/>
          <w:color w:val="auto"/>
        </w:rPr>
      </w:pPr>
      <w:r>
        <w:rPr>
          <w:rFonts w:ascii="Arial" w:cs="Arial" w:eastAsia="Arial" w:hAnsi="Arial"/>
          <w:sz w:val="22"/>
          <w:szCs w:val="22"/>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Reducing share capital</w:t>
      </w:r>
    </w:p>
    <w:p>
      <w:pPr>
        <w:spacing w:after="0" w:line="246"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010000"/>
        </w:rPr>
        <w:t>10.3</w:t>
      </w:r>
      <w:r>
        <w:rPr>
          <w:sz w:val="20"/>
          <w:szCs w:val="20"/>
          <w:color w:val="auto"/>
        </w:rPr>
        <w:tab/>
      </w:r>
      <w:r>
        <w:rPr>
          <w:rFonts w:ascii="Arial" w:cs="Arial" w:eastAsia="Arial" w:hAnsi="Arial"/>
          <w:sz w:val="18"/>
          <w:szCs w:val="18"/>
          <w:color w:val="auto"/>
        </w:rPr>
        <w:t>Subject to the Law and to any rights for the time being conferred on the Members holding a particular class of Shares, the Company may, by Special Resolution, reduce its share capital in any way.</w:t>
      </w:r>
    </w:p>
    <w:p>
      <w:pPr>
        <w:spacing w:after="0" w:line="193"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010000"/>
        </w:rPr>
      </w:pPr>
      <w:r>
        <w:rPr>
          <w:rFonts w:ascii="Arial" w:cs="Arial" w:eastAsia="Arial" w:hAnsi="Arial"/>
          <w:sz w:val="18"/>
          <w:szCs w:val="18"/>
          <w:b w:val="1"/>
          <w:bCs w:val="1"/>
          <w:color w:val="auto"/>
        </w:rPr>
        <w:t>Redemption and purchase of own Shares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issue redeemable Shares and to purchase own Shares</w:t>
      </w:r>
    </w:p>
    <w:p>
      <w:pPr>
        <w:spacing w:after="0" w:line="246" w:lineRule="exact"/>
        <w:rPr>
          <w:sz w:val="20"/>
          <w:szCs w:val="20"/>
          <w:color w:val="auto"/>
        </w:rPr>
      </w:pPr>
    </w:p>
    <w:p>
      <w:pPr>
        <w:ind w:left="660" w:right="140" w:hanging="647"/>
        <w:spacing w:after="0" w:line="342" w:lineRule="auto"/>
        <w:tabs>
          <w:tab w:leader="none" w:pos="640" w:val="left"/>
        </w:tabs>
        <w:rPr>
          <w:sz w:val="20"/>
          <w:szCs w:val="20"/>
          <w:color w:val="auto"/>
        </w:rPr>
      </w:pPr>
      <w:r>
        <w:rPr>
          <w:rFonts w:ascii="Arial" w:cs="Arial" w:eastAsia="Arial" w:hAnsi="Arial"/>
          <w:sz w:val="18"/>
          <w:szCs w:val="18"/>
          <w:color w:val="010000"/>
        </w:rPr>
        <w:t>11.1</w:t>
      </w:r>
      <w:r>
        <w:rPr>
          <w:sz w:val="20"/>
          <w:szCs w:val="20"/>
          <w:color w:val="auto"/>
        </w:rPr>
        <w:tab/>
      </w:r>
      <w:r>
        <w:rPr>
          <w:rFonts w:ascii="Arial" w:cs="Arial" w:eastAsia="Arial" w:hAnsi="Arial"/>
          <w:sz w:val="16"/>
          <w:szCs w:val="16"/>
          <w:color w:val="auto"/>
        </w:rPr>
        <w:t>Subject to the Law and Article 38, and to any rights for the time being conferred on the Members holding a particular class of Shares, and, where applicable, the rules of the Designated Stock Exchange and/or any competent regulatory authority, the Company may by its directors: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1300" w:right="260" w:hanging="644"/>
        <w:spacing w:after="0" w:line="277" w:lineRule="auto"/>
        <w:tabs>
          <w:tab w:leader="none" w:pos="130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97" w:lineRule="exact"/>
        <w:rPr>
          <w:rFonts w:ascii="Arial" w:cs="Arial" w:eastAsia="Arial" w:hAnsi="Arial"/>
          <w:sz w:val="18"/>
          <w:szCs w:val="18"/>
          <w:color w:val="010000"/>
        </w:rPr>
      </w:pPr>
    </w:p>
    <w:p>
      <w:pPr>
        <w:ind w:left="1300" w:right="80" w:hanging="644"/>
        <w:spacing w:after="0" w:line="263" w:lineRule="auto"/>
        <w:tabs>
          <w:tab w:leader="none" w:pos="130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210" w:lineRule="exact"/>
        <w:rPr>
          <w:rFonts w:ascii="Arial" w:cs="Arial" w:eastAsia="Arial" w:hAnsi="Arial"/>
          <w:sz w:val="18"/>
          <w:szCs w:val="18"/>
          <w:color w:val="010000"/>
        </w:rPr>
      </w:pPr>
    </w:p>
    <w:p>
      <w:pPr>
        <w:ind w:left="1300" w:right="180" w:hanging="644"/>
        <w:spacing w:after="0" w:line="277" w:lineRule="auto"/>
        <w:tabs>
          <w:tab w:leader="none" w:pos="1300" w:val="left"/>
        </w:tabs>
        <w:numPr>
          <w:ilvl w:val="0"/>
          <w:numId w:val="95"/>
        </w:numPr>
        <w:rPr>
          <w:rFonts w:ascii="Arial" w:cs="Arial" w:eastAsia="Arial" w:hAnsi="Arial"/>
          <w:sz w:val="18"/>
          <w:szCs w:val="18"/>
          <w:color w:val="010000"/>
        </w:rPr>
      </w:pPr>
      <w:r>
        <w:rPr>
          <w:rFonts w:ascii="Arial" w:cs="Arial" w:eastAsia="Arial" w:hAnsi="Arial"/>
          <w:sz w:val="18"/>
          <w:szCs w:val="18"/>
          <w:color w:val="auto"/>
        </w:rPr>
        <w:t>purchase all or any of its own Shares of any class including any redeemable Shares on the terms and in the manner which the directors determine at the time of such purchase.</w:t>
      </w:r>
    </w:p>
    <w:p>
      <w:pPr>
        <w:spacing w:after="0" w:line="190" w:lineRule="exact"/>
        <w:rPr>
          <w:sz w:val="20"/>
          <w:szCs w:val="20"/>
          <w:color w:val="auto"/>
        </w:rPr>
      </w:pPr>
    </w:p>
    <w:p>
      <w:pPr>
        <w:ind w:left="660" w:right="60"/>
        <w:spacing w:after="0"/>
        <w:rPr>
          <w:sz w:val="20"/>
          <w:szCs w:val="20"/>
          <w:color w:val="auto"/>
        </w:rPr>
      </w:pPr>
      <w:r>
        <w:rPr>
          <w:rFonts w:ascii="Arial" w:cs="Arial" w:eastAsia="Arial" w:hAnsi="Arial"/>
          <w:sz w:val="22"/>
          <w:szCs w:val="22"/>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11.2</w:t>
      </w:r>
      <w:r>
        <w:rPr>
          <w:sz w:val="20"/>
          <w:szCs w:val="20"/>
          <w:color w:val="auto"/>
        </w:rPr>
        <w:tab/>
      </w:r>
      <w:r>
        <w:rPr>
          <w:rFonts w:ascii="Arial" w:cs="Arial" w:eastAsia="Arial" w:hAnsi="Arial"/>
          <w:sz w:val="16"/>
          <w:szCs w:val="16"/>
          <w:color w:val="auto"/>
        </w:rPr>
        <w:t>With respect to redeeming or repurchasing the Shares:</w:t>
      </w:r>
    </w:p>
    <w:p>
      <w:pPr>
        <w:spacing w:after="0" w:line="252" w:lineRule="exact"/>
        <w:rPr>
          <w:sz w:val="20"/>
          <w:szCs w:val="20"/>
          <w:color w:val="auto"/>
        </w:rPr>
      </w:pPr>
    </w:p>
    <w:p>
      <w:pPr>
        <w:ind w:left="1300" w:hanging="644"/>
        <w:spacing w:after="0"/>
        <w:tabs>
          <w:tab w:leader="none" w:pos="1300" w:val="left"/>
        </w:tabs>
        <w:numPr>
          <w:ilvl w:val="0"/>
          <w:numId w:val="96"/>
        </w:numPr>
        <w:rPr>
          <w:rFonts w:ascii="Arial" w:cs="Arial" w:eastAsia="Arial" w:hAnsi="Arial"/>
          <w:sz w:val="16"/>
          <w:szCs w:val="16"/>
          <w:color w:val="010000"/>
        </w:rPr>
      </w:pPr>
      <w:r>
        <w:rPr>
          <w:rFonts w:ascii="Arial" w:cs="Arial" w:eastAsia="Arial" w:hAnsi="Arial"/>
          <w:sz w:val="16"/>
          <w:szCs w:val="16"/>
          <w:color w:val="auto"/>
        </w:rPr>
        <w:t>Members who hold Public Shares are entitled to request the redemption of such Shares in the circumstances described in Article 38.3;</w:t>
      </w:r>
    </w:p>
    <w:p>
      <w:pPr>
        <w:spacing w:after="0" w:line="275" w:lineRule="exact"/>
        <w:rPr>
          <w:rFonts w:ascii="Arial" w:cs="Arial" w:eastAsia="Arial" w:hAnsi="Arial"/>
          <w:sz w:val="16"/>
          <w:szCs w:val="16"/>
          <w:color w:val="010000"/>
        </w:rPr>
      </w:pPr>
    </w:p>
    <w:p>
      <w:pPr>
        <w:ind w:left="1300" w:right="260" w:hanging="644"/>
        <w:spacing w:after="0" w:line="263" w:lineRule="auto"/>
        <w:tabs>
          <w:tab w:leader="none" w:pos="1300"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Class B Shares held by the Sponsor shall be surrendered by the Sponsor on a pro rata basis for no consideration to the extent that the Over-Allotment Option is not exercised in full so that the Class B shares will represent 20% of the Company’s issued Shares after the IPO; and</w:t>
      </w:r>
    </w:p>
    <w:p>
      <w:pPr>
        <w:spacing w:after="0" w:line="210" w:lineRule="exact"/>
        <w:rPr>
          <w:rFonts w:ascii="Arial" w:cs="Arial" w:eastAsia="Arial" w:hAnsi="Arial"/>
          <w:sz w:val="18"/>
          <w:szCs w:val="18"/>
          <w:color w:val="010000"/>
        </w:rPr>
      </w:pPr>
    </w:p>
    <w:p>
      <w:pPr>
        <w:ind w:left="1300" w:hanging="644"/>
        <w:spacing w:after="0"/>
        <w:tabs>
          <w:tab w:leader="none" w:pos="1300" w:val="left"/>
        </w:tabs>
        <w:numPr>
          <w:ilvl w:val="0"/>
          <w:numId w:val="96"/>
        </w:numPr>
        <w:rPr>
          <w:rFonts w:ascii="Arial" w:cs="Arial" w:eastAsia="Arial" w:hAnsi="Arial"/>
          <w:sz w:val="18"/>
          <w:szCs w:val="18"/>
          <w:color w:val="010000"/>
        </w:rPr>
      </w:pPr>
      <w:r>
        <w:rPr>
          <w:rFonts w:ascii="Arial" w:cs="Arial" w:eastAsia="Arial" w:hAnsi="Arial"/>
          <w:sz w:val="18"/>
          <w:szCs w:val="18"/>
          <w:color w:val="auto"/>
        </w:rPr>
        <w:t>Public Shares shall be repurchased by way of tender offer in the circumstances set out in Article 38.2(b).</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pay for redemption or purchase in cash or in specie</w:t>
      </w:r>
    </w:p>
    <w:p>
      <w:pPr>
        <w:spacing w:after="0" w:line="24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8"/>
          <w:szCs w:val="18"/>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11.1, or otherwise by agreement with the Member holding those Shares.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 of redemption or purchase of a Share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11.4</w:t>
      </w:r>
      <w:r>
        <w:rPr>
          <w:sz w:val="20"/>
          <w:szCs w:val="20"/>
          <w:color w:val="auto"/>
        </w:rPr>
        <w:tab/>
      </w:r>
      <w:r>
        <w:rPr>
          <w:rFonts w:ascii="Arial" w:cs="Arial" w:eastAsia="Arial" w:hAnsi="Arial"/>
          <w:sz w:val="16"/>
          <w:szCs w:val="16"/>
          <w:color w:val="auto"/>
        </w:rPr>
        <w:t>Upon the date of redemption or purchase of a Share:</w:t>
      </w:r>
    </w:p>
    <w:p>
      <w:pPr>
        <w:spacing w:after="0" w:line="252"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the Member holding that Share shall cease to be entitled to any rights in respect of the Share other than the right to receive:</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97"/>
        </w:numPr>
        <w:rPr>
          <w:rFonts w:ascii="Arial" w:cs="Arial" w:eastAsia="Arial" w:hAnsi="Arial"/>
          <w:sz w:val="18"/>
          <w:szCs w:val="18"/>
          <w:color w:val="010000"/>
        </w:rPr>
      </w:pPr>
      <w:r>
        <w:rPr>
          <w:rFonts w:ascii="Arial" w:cs="Arial" w:eastAsia="Arial" w:hAnsi="Arial"/>
          <w:sz w:val="18"/>
          <w:szCs w:val="18"/>
          <w:color w:val="auto"/>
        </w:rPr>
        <w:t>the price for the Share; and</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97"/>
        </w:numPr>
        <w:rPr>
          <w:rFonts w:ascii="Arial" w:cs="Arial" w:eastAsia="Arial" w:hAnsi="Arial"/>
          <w:sz w:val="18"/>
          <w:szCs w:val="18"/>
          <w:color w:val="010000"/>
        </w:rPr>
      </w:pPr>
      <w:r>
        <w:rPr>
          <w:rFonts w:ascii="Arial" w:cs="Arial" w:eastAsia="Arial" w:hAnsi="Arial"/>
          <w:sz w:val="18"/>
          <w:szCs w:val="18"/>
          <w:color w:val="auto"/>
        </w:rPr>
        <w:t>any dividend declared in respect of the Share prior to the date of redemption or purchase;</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the Member's name shall be removed from the Register of Members with respect to the Share; and</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8" w:name="page69"/>
    <w:bookmarkEnd w:id="68"/>
    <w:p>
      <w:pPr>
        <w:ind w:left="1292" w:hanging="644"/>
        <w:spacing w:after="0"/>
        <w:tabs>
          <w:tab w:leader="none" w:pos="1292"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the Share shall be cancelled or held as a Treasury Shares, as the directors may determine.</w:t>
      </w:r>
    </w:p>
    <w:p>
      <w:pPr>
        <w:spacing w:after="0" w:line="245" w:lineRule="exact"/>
        <w:rPr>
          <w:sz w:val="20"/>
          <w:szCs w:val="20"/>
          <w:color w:val="auto"/>
        </w:rPr>
      </w:pPr>
    </w:p>
    <w:p>
      <w:pPr>
        <w:ind w:left="1292" w:right="320"/>
        <w:spacing w:after="0" w:line="250" w:lineRule="auto"/>
        <w:rPr>
          <w:sz w:val="20"/>
          <w:szCs w:val="20"/>
          <w:color w:val="auto"/>
        </w:rPr>
      </w:pPr>
      <w:r>
        <w:rPr>
          <w:rFonts w:ascii="Arial" w:cs="Arial" w:eastAsia="Arial" w:hAnsi="Arial"/>
          <w:sz w:val="22"/>
          <w:szCs w:val="22"/>
          <w:color w:val="auto"/>
        </w:rPr>
        <w:t>For the purpose of this Article, the date of redemption or purchase is the date when the redemption or purchase falls due.</w:t>
      </w:r>
    </w:p>
    <w:p>
      <w:pPr>
        <w:spacing w:after="0" w:line="209" w:lineRule="exact"/>
        <w:rPr>
          <w:sz w:val="20"/>
          <w:szCs w:val="20"/>
          <w:color w:val="auto"/>
        </w:rPr>
      </w:pPr>
    </w:p>
    <w:p>
      <w:pPr>
        <w:ind w:left="652" w:right="180" w:hanging="647"/>
        <w:spacing w:after="0" w:line="277" w:lineRule="auto"/>
        <w:tabs>
          <w:tab w:leader="none" w:pos="632" w:val="left"/>
        </w:tabs>
        <w:rPr>
          <w:sz w:val="20"/>
          <w:szCs w:val="20"/>
          <w:color w:val="auto"/>
        </w:rPr>
      </w:pPr>
      <w:r>
        <w:rPr>
          <w:rFonts w:ascii="Arial" w:cs="Arial" w:eastAsia="Arial" w:hAnsi="Arial"/>
          <w:sz w:val="18"/>
          <w:szCs w:val="18"/>
          <w:color w:val="010000"/>
        </w:rPr>
        <w:t>11.5</w:t>
      </w:r>
      <w:r>
        <w:rPr>
          <w:sz w:val="20"/>
          <w:szCs w:val="20"/>
          <w:color w:val="auto"/>
        </w:rPr>
        <w:tab/>
      </w:r>
      <w:r>
        <w:rPr>
          <w:rFonts w:ascii="Arial" w:cs="Arial" w:eastAsia="Arial" w:hAnsi="Arial"/>
          <w:sz w:val="18"/>
          <w:szCs w:val="18"/>
          <w:color w:val="auto"/>
        </w:rPr>
        <w:t>For the avoidance of doubt, redemptions and repurchases of Shares in the circumstances described in Articles 11.2(a), 11.2(b) and 11.2(c) above shall not require further approval of the Members.</w:t>
      </w:r>
    </w:p>
    <w:p>
      <w:pPr>
        <w:spacing w:after="0" w:line="193" w:lineRule="exact"/>
        <w:rPr>
          <w:sz w:val="20"/>
          <w:szCs w:val="20"/>
          <w:color w:val="auto"/>
        </w:rPr>
      </w:pPr>
    </w:p>
    <w:p>
      <w:pPr>
        <w:ind w:left="652" w:hanging="652"/>
        <w:spacing w:after="0"/>
        <w:tabs>
          <w:tab w:leader="none" w:pos="652" w:val="left"/>
        </w:tabs>
        <w:numPr>
          <w:ilvl w:val="0"/>
          <w:numId w:val="99"/>
        </w:numPr>
        <w:rPr>
          <w:rFonts w:ascii="Arial" w:cs="Arial" w:eastAsia="Arial" w:hAnsi="Arial"/>
          <w:sz w:val="18"/>
          <w:szCs w:val="18"/>
          <w:b w:val="1"/>
          <w:bCs w:val="1"/>
          <w:color w:val="010000"/>
        </w:rPr>
      </w:pPr>
      <w:r>
        <w:rPr>
          <w:rFonts w:ascii="Arial" w:cs="Arial" w:eastAsia="Arial" w:hAnsi="Arial"/>
          <w:sz w:val="18"/>
          <w:szCs w:val="18"/>
          <w:b w:val="1"/>
          <w:bCs w:val="1"/>
          <w:color w:val="auto"/>
        </w:rPr>
        <w:t>Class B Share Conversion</w:t>
      </w:r>
    </w:p>
    <w:p>
      <w:pPr>
        <w:spacing w:after="0" w:line="256" w:lineRule="exact"/>
        <w:rPr>
          <w:sz w:val="20"/>
          <w:szCs w:val="20"/>
          <w:color w:val="auto"/>
        </w:rPr>
      </w:pPr>
    </w:p>
    <w:p>
      <w:pPr>
        <w:jc w:val="both"/>
        <w:ind w:left="652" w:right="180" w:hanging="647"/>
        <w:spacing w:after="0" w:line="263" w:lineRule="auto"/>
        <w:tabs>
          <w:tab w:leader="none" w:pos="632"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8"/>
          <w:szCs w:val="18"/>
          <w:color w:val="auto"/>
        </w:rPr>
        <w:t>Save and except for the conversion rights referred to in this Article 12 and as otherwise set out in these Articles, subject to Article 3.9, the rights attaching to all Shares shall rank pari passu in all respects, and the Class A Shares and Class B Shares shall vote together as a single class on all matters.</w:t>
      </w:r>
    </w:p>
    <w:p>
      <w:pPr>
        <w:spacing w:after="0" w:line="211" w:lineRule="exact"/>
        <w:rPr>
          <w:sz w:val="20"/>
          <w:szCs w:val="20"/>
          <w:color w:val="auto"/>
        </w:rPr>
      </w:pPr>
    </w:p>
    <w:p>
      <w:pPr>
        <w:ind w:left="652" w:right="460" w:hanging="647"/>
        <w:spacing w:after="0" w:line="342" w:lineRule="auto"/>
        <w:tabs>
          <w:tab w:leader="none" w:pos="632" w:val="left"/>
        </w:tabs>
        <w:rPr>
          <w:sz w:val="20"/>
          <w:szCs w:val="20"/>
          <w:color w:val="auto"/>
        </w:rPr>
      </w:pPr>
      <w:r>
        <w:rPr>
          <w:rFonts w:ascii="Arial" w:cs="Arial" w:eastAsia="Arial" w:hAnsi="Arial"/>
          <w:sz w:val="18"/>
          <w:szCs w:val="18"/>
          <w:color w:val="010000"/>
        </w:rPr>
        <w:t>12.2</w:t>
      </w:r>
      <w:r>
        <w:rPr>
          <w:sz w:val="20"/>
          <w:szCs w:val="20"/>
          <w:color w:val="auto"/>
        </w:rPr>
        <w:tab/>
      </w:r>
      <w:r>
        <w:rPr>
          <w:rFonts w:ascii="Arial" w:cs="Arial" w:eastAsia="Arial" w:hAnsi="Arial"/>
          <w:sz w:val="16"/>
          <w:szCs w:val="16"/>
          <w:color w:val="auto"/>
        </w:rPr>
        <w:t>On the first business day following the consummation of the Company’s initial Business Combination, the issued Class B Shares shall automatically be converted into such number of Class A Shares as is equal, in the aggregate, on an as-converted basis, to 20% of the sum of:</w:t>
      </w:r>
    </w:p>
    <w:p>
      <w:pPr>
        <w:spacing w:after="0" w:line="151" w:lineRule="exact"/>
        <w:rPr>
          <w:sz w:val="20"/>
          <w:szCs w:val="20"/>
          <w:color w:val="auto"/>
        </w:rPr>
      </w:pPr>
    </w:p>
    <w:p>
      <w:pPr>
        <w:ind w:left="1292" w:right="660" w:hanging="644"/>
        <w:spacing w:after="0" w:line="277" w:lineRule="auto"/>
        <w:tabs>
          <w:tab w:leader="none" w:pos="1292" w:val="left"/>
        </w:tabs>
        <w:numPr>
          <w:ilvl w:val="0"/>
          <w:numId w:val="100"/>
        </w:numPr>
        <w:rPr>
          <w:rFonts w:ascii="Arial" w:cs="Arial" w:eastAsia="Arial" w:hAnsi="Arial"/>
          <w:sz w:val="18"/>
          <w:szCs w:val="18"/>
          <w:color w:val="010000"/>
        </w:rPr>
      </w:pPr>
      <w:r>
        <w:rPr>
          <w:rFonts w:ascii="Arial" w:cs="Arial" w:eastAsia="Arial" w:hAnsi="Arial"/>
          <w:sz w:val="18"/>
          <w:szCs w:val="18"/>
          <w:color w:val="auto"/>
        </w:rPr>
        <w:t>the total number of Class A Shares issued and outstanding (excluding the Private Placement Shares) upon completion of the IPO (including pursuant to the Over-Allotment Option, if applicable), plus</w:t>
      </w:r>
    </w:p>
    <w:p>
      <w:pPr>
        <w:spacing w:after="0" w:line="197" w:lineRule="exact"/>
        <w:rPr>
          <w:rFonts w:ascii="Arial" w:cs="Arial" w:eastAsia="Arial" w:hAnsi="Arial"/>
          <w:sz w:val="18"/>
          <w:szCs w:val="18"/>
          <w:color w:val="010000"/>
        </w:rPr>
      </w:pPr>
    </w:p>
    <w:p>
      <w:pPr>
        <w:ind w:left="1292" w:hanging="644"/>
        <w:spacing w:after="0" w:line="273" w:lineRule="auto"/>
        <w:tabs>
          <w:tab w:leader="none" w:pos="1292" w:val="left"/>
        </w:tabs>
        <w:numPr>
          <w:ilvl w:val="0"/>
          <w:numId w:val="100"/>
        </w:numPr>
        <w:rPr>
          <w:rFonts w:ascii="Arial" w:cs="Arial" w:eastAsia="Arial" w:hAnsi="Arial"/>
          <w:sz w:val="17"/>
          <w:szCs w:val="17"/>
          <w:color w:val="010000"/>
        </w:rPr>
      </w:pPr>
      <w:r>
        <w:rPr>
          <w:rFonts w:ascii="Arial" w:cs="Arial" w:eastAsia="Arial" w:hAnsi="Arial"/>
          <w:sz w:val="17"/>
          <w:szCs w:val="17"/>
          <w:color w:val="auto"/>
        </w:rPr>
        <w:t>the sum of (i)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exercisable for or convertible into Class A Shares issued, deemed issued, or to be issued, to any seller in the initial Business Combination and any Private Placement Shares issued to the Sponsor, members of the Company’s management team or their affiliates upon conversion of working capital loans, if any, minus (ii) the total number of Public Shares repurchased pursuant to the IPO Redemption.</w:t>
      </w:r>
    </w:p>
    <w:p>
      <w:pPr>
        <w:spacing w:after="0" w:line="201" w:lineRule="exact"/>
        <w:rPr>
          <w:sz w:val="20"/>
          <w:szCs w:val="20"/>
          <w:color w:val="auto"/>
        </w:rPr>
      </w:pPr>
    </w:p>
    <w:p>
      <w:pPr>
        <w:ind w:left="652" w:right="60" w:hanging="647"/>
        <w:spacing w:after="0" w:line="298" w:lineRule="auto"/>
        <w:tabs>
          <w:tab w:leader="none" w:pos="632" w:val="left"/>
        </w:tabs>
        <w:rPr>
          <w:sz w:val="20"/>
          <w:szCs w:val="20"/>
          <w:color w:val="auto"/>
        </w:rPr>
      </w:pPr>
      <w:r>
        <w:rPr>
          <w:rFonts w:ascii="Arial" w:cs="Arial" w:eastAsia="Arial" w:hAnsi="Arial"/>
          <w:sz w:val="18"/>
          <w:szCs w:val="18"/>
          <w:color w:val="010000"/>
        </w:rPr>
        <w:t>12.3</w:t>
      </w:r>
      <w:r>
        <w:rPr>
          <w:sz w:val="20"/>
          <w:szCs w:val="20"/>
          <w:color w:val="auto"/>
        </w:rPr>
        <w:tab/>
      </w:r>
      <w:r>
        <w:rPr>
          <w:rFonts w:ascii="Arial" w:cs="Arial" w:eastAsia="Arial" w:hAnsi="Arial"/>
          <w:sz w:val="16"/>
          <w:szCs w:val="16"/>
          <w:color w:val="auto"/>
        </w:rPr>
        <w:t xml:space="preserve">References in this Article to </w:t>
      </w:r>
      <w:r>
        <w:rPr>
          <w:rFonts w:ascii="Arial" w:cs="Arial" w:eastAsia="Arial" w:hAnsi="Arial"/>
          <w:sz w:val="16"/>
          <w:szCs w:val="16"/>
          <w:b w:val="1"/>
          <w:bCs w:val="1"/>
          <w:color w:val="auto"/>
        </w:rPr>
        <w:t>converted</w:t>
      </w:r>
      <w:r>
        <w:rPr>
          <w:rFonts w:ascii="Arial" w:cs="Arial" w:eastAsia="Arial" w:hAnsi="Arial"/>
          <w:sz w:val="16"/>
          <w:szCs w:val="16"/>
          <w:color w:val="auto"/>
        </w:rPr>
        <w:t xml:space="preserve">, </w:t>
      </w:r>
      <w:r>
        <w:rPr>
          <w:rFonts w:ascii="Arial" w:cs="Arial" w:eastAsia="Arial" w:hAnsi="Arial"/>
          <w:sz w:val="16"/>
          <w:szCs w:val="16"/>
          <w:b w:val="1"/>
          <w:bCs w:val="1"/>
          <w:color w:val="auto"/>
        </w:rPr>
        <w:t>conversion</w:t>
      </w:r>
      <w:r>
        <w:rPr>
          <w:rFonts w:ascii="Arial" w:cs="Arial" w:eastAsia="Arial" w:hAnsi="Arial"/>
          <w:sz w:val="16"/>
          <w:szCs w:val="16"/>
          <w:color w:val="auto"/>
        </w:rPr>
        <w:t xml:space="preserve"> or </w:t>
      </w:r>
      <w:r>
        <w:rPr>
          <w:rFonts w:ascii="Arial" w:cs="Arial" w:eastAsia="Arial" w:hAnsi="Arial"/>
          <w:sz w:val="16"/>
          <w:szCs w:val="16"/>
          <w:b w:val="1"/>
          <w:bCs w:val="1"/>
          <w:color w:val="auto"/>
        </w:rPr>
        <w:t>exchange</w:t>
      </w:r>
      <w:r>
        <w:rPr>
          <w:rFonts w:ascii="Arial" w:cs="Arial" w:eastAsia="Arial" w:hAnsi="Arial"/>
          <w:sz w:val="16"/>
          <w:szCs w:val="16"/>
          <w:color w:val="auto"/>
        </w:rPr>
        <w:t xml:space="preserv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85" w:lineRule="exact"/>
        <w:rPr>
          <w:sz w:val="20"/>
          <w:szCs w:val="20"/>
          <w:color w:val="auto"/>
        </w:rPr>
      </w:pPr>
    </w:p>
    <w:p>
      <w:pPr>
        <w:ind w:left="652" w:right="40" w:hanging="647"/>
        <w:spacing w:after="0" w:line="255" w:lineRule="auto"/>
        <w:tabs>
          <w:tab w:leader="none" w:pos="632" w:val="left"/>
        </w:tabs>
        <w:rPr>
          <w:sz w:val="20"/>
          <w:szCs w:val="20"/>
          <w:color w:val="auto"/>
        </w:rPr>
      </w:pPr>
      <w:r>
        <w:rPr>
          <w:rFonts w:ascii="Arial" w:cs="Arial" w:eastAsia="Arial" w:hAnsi="Arial"/>
          <w:sz w:val="18"/>
          <w:szCs w:val="18"/>
          <w:color w:val="010000"/>
        </w:rPr>
        <w:t>12.4</w:t>
      </w:r>
      <w:r>
        <w:rPr>
          <w:sz w:val="20"/>
          <w:szCs w:val="20"/>
          <w:color w:val="auto"/>
        </w:rPr>
        <w:tab/>
      </w:r>
      <w:r>
        <w:rPr>
          <w:rFonts w:ascii="Arial" w:cs="Arial" w:eastAsia="Arial" w:hAnsi="Arial"/>
          <w:sz w:val="18"/>
          <w:szCs w:val="18"/>
          <w:color w:val="auto"/>
        </w:rPr>
        <w:t>Notwithstanding anything to the contrary in this Article 12, in no event may any Class B Share convert into Class A Shares at a ratio that is less than one-for-one. Each Class B Share shall convert into its pro rata number of Class A Shares as set forth in this Article 12.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issued Class B Shares shall be converted pursuant to this Article and the denominator of which shall be the total number of issued Class B Shares at the time of conversion.</w:t>
      </w:r>
    </w:p>
    <w:p>
      <w:pPr>
        <w:spacing w:after="0" w:line="391"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69" w:name="page70"/>
    <w:bookmarkEnd w:id="69"/>
    <w:p>
      <w:pPr>
        <w:ind w:left="660" w:right="680" w:hanging="647"/>
        <w:spacing w:after="0" w:line="277" w:lineRule="auto"/>
        <w:tabs>
          <w:tab w:leader="none" w:pos="640" w:val="left"/>
        </w:tabs>
        <w:rPr>
          <w:sz w:val="20"/>
          <w:szCs w:val="20"/>
          <w:color w:val="auto"/>
        </w:rPr>
      </w:pPr>
      <w:r>
        <w:rPr>
          <w:rFonts w:ascii="Arial" w:cs="Arial" w:eastAsia="Arial" w:hAnsi="Arial"/>
          <w:sz w:val="18"/>
          <w:szCs w:val="18"/>
          <w:color w:val="010000"/>
        </w:rPr>
        <w:t>12.5</w:t>
      </w:r>
      <w:r>
        <w:rPr>
          <w:sz w:val="20"/>
          <w:szCs w:val="20"/>
          <w:color w:val="auto"/>
        </w:rPr>
        <w:tab/>
      </w:r>
      <w:r>
        <w:rPr>
          <w:rFonts w:ascii="Arial" w:cs="Arial" w:eastAsia="Arial" w:hAnsi="Arial"/>
          <w:sz w:val="18"/>
          <w:szCs w:val="18"/>
          <w:color w:val="auto"/>
        </w:rPr>
        <w:t>The directors shall not allot or issue Class A Shares such that the number of authorised but unissued Class A Shares would at any time be insufficient to permit the conversion of all Class B Shares from time to time issued into Class A Shares.</w:t>
      </w:r>
    </w:p>
    <w:p>
      <w:pPr>
        <w:spacing w:after="0" w:line="193"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color w:val="010000"/>
        </w:rPr>
      </w:pPr>
      <w:r>
        <w:rPr>
          <w:rFonts w:ascii="Arial" w:cs="Arial" w:eastAsia="Arial" w:hAnsi="Arial"/>
          <w:sz w:val="18"/>
          <w:szCs w:val="18"/>
          <w:b w:val="1"/>
          <w:bCs w:val="1"/>
          <w:color w:val="auto"/>
        </w:rPr>
        <w:t>Meetings of Members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call meetings</w:t>
      </w:r>
    </w:p>
    <w:p>
      <w:pPr>
        <w:spacing w:after="0" w:line="246"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010000"/>
        </w:rPr>
        <w:t>13.1</w:t>
      </w:r>
      <w:r>
        <w:rPr>
          <w:sz w:val="20"/>
          <w:szCs w:val="20"/>
          <w:color w:val="auto"/>
        </w:rPr>
        <w:tab/>
      </w:r>
      <w:r>
        <w:rPr>
          <w:rFonts w:ascii="Arial" w:cs="Arial" w:eastAsia="Arial" w:hAnsi="Arial"/>
          <w:sz w:val="18"/>
          <w:szCs w:val="18"/>
          <w:color w:val="auto"/>
        </w:rPr>
        <w:t>To the extent required by the Designated Stock Exchange, an annual general meeting of the Company shall be held no later than one year after the first financial year end occurring after the IPO, and shall be held in each year thereafter at such time as determined by the directors and the Company may, but shall not (unless required by the Law or the rules and regulations of the Designated Stock Exchange) be obliged to, in each year hold any other general meeting.</w:t>
      </w:r>
    </w:p>
    <w:p>
      <w:pPr>
        <w:spacing w:after="0" w:line="214"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13.2</w:t>
      </w:r>
      <w:r>
        <w:rPr>
          <w:sz w:val="20"/>
          <w:szCs w:val="20"/>
          <w:color w:val="auto"/>
        </w:rPr>
        <w:tab/>
      </w:r>
      <w:r>
        <w:rPr>
          <w:rFonts w:ascii="Arial" w:cs="Arial" w:eastAsia="Arial" w:hAnsi="Arial"/>
          <w:sz w:val="18"/>
          <w:szCs w:val="18"/>
          <w:color w:val="auto"/>
        </w:rPr>
        <w:t>The agenda of the annual general meeting shall be set by the directors and shall include the presentation of the Company’s annual accounts and the report of the directors (if any).</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13.3</w:t>
      </w:r>
      <w:r>
        <w:rPr>
          <w:sz w:val="20"/>
          <w:szCs w:val="20"/>
          <w:color w:val="auto"/>
        </w:rPr>
        <w:tab/>
      </w:r>
      <w:r>
        <w:rPr>
          <w:rFonts w:ascii="Arial" w:cs="Arial" w:eastAsia="Arial" w:hAnsi="Arial"/>
          <w:sz w:val="16"/>
          <w:szCs w:val="16"/>
          <w:color w:val="auto"/>
        </w:rPr>
        <w:t>Annual general meetings shall be held in New York, USA or in such other places as the directors may determine.</w:t>
      </w:r>
    </w:p>
    <w:p>
      <w:pPr>
        <w:spacing w:after="0" w:line="252"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13.4</w:t>
      </w:r>
      <w:r>
        <w:rPr>
          <w:sz w:val="20"/>
          <w:szCs w:val="20"/>
          <w:color w:val="auto"/>
        </w:rPr>
        <w:tab/>
      </w:r>
      <w:r>
        <w:rPr>
          <w:rFonts w:ascii="Arial" w:cs="Arial" w:eastAsia="Arial" w:hAnsi="Arial"/>
          <w:sz w:val="18"/>
          <w:szCs w:val="18"/>
          <w:color w:val="auto"/>
        </w:rPr>
        <w:t>All general meetings other than annual general meetings shall be called extraordinary general meetings and the Company shall specify the meeting as such in the notices calling it.</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13.5</w:t>
      </w:r>
      <w:r>
        <w:rPr>
          <w:sz w:val="20"/>
          <w:szCs w:val="20"/>
          <w:color w:val="auto"/>
        </w:rPr>
        <w:tab/>
      </w:r>
      <w:r>
        <w:rPr>
          <w:rFonts w:ascii="Arial" w:cs="Arial" w:eastAsia="Arial" w:hAnsi="Arial"/>
          <w:sz w:val="16"/>
          <w:szCs w:val="16"/>
          <w:color w:val="auto"/>
        </w:rPr>
        <w:t>The directors may call a general meeting at any time.</w:t>
      </w:r>
    </w:p>
    <w:p>
      <w:pPr>
        <w:spacing w:after="0" w:line="252"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010000"/>
        </w:rPr>
        <w:t>13.6</w:t>
      </w:r>
      <w:r>
        <w:rPr>
          <w:sz w:val="20"/>
          <w:szCs w:val="20"/>
          <w:color w:val="auto"/>
        </w:rPr>
        <w:tab/>
      </w:r>
      <w:r>
        <w:rPr>
          <w:rFonts w:ascii="Arial" w:cs="Arial" w:eastAsia="Arial" w:hAnsi="Arial"/>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13.7</w:t>
      </w:r>
      <w:r>
        <w:rPr>
          <w:sz w:val="20"/>
          <w:szCs w:val="20"/>
          <w:color w:val="auto"/>
        </w:rPr>
        <w:tab/>
      </w:r>
      <w:r>
        <w:rPr>
          <w:rFonts w:ascii="Arial" w:cs="Arial" w:eastAsia="Arial" w:hAnsi="Arial"/>
          <w:sz w:val="16"/>
          <w:szCs w:val="16"/>
          <w:color w:val="auto"/>
        </w:rPr>
        <w:t>The directors must also call a general meeting if requisitioned in the manner set out in the next two Articles.</w:t>
      </w:r>
    </w:p>
    <w:p>
      <w:pPr>
        <w:spacing w:after="0" w:line="252" w:lineRule="exact"/>
        <w:rPr>
          <w:sz w:val="20"/>
          <w:szCs w:val="20"/>
          <w:color w:val="auto"/>
        </w:rPr>
      </w:pPr>
    </w:p>
    <w:p>
      <w:pPr>
        <w:ind w:left="660" w:right="640" w:hanging="647"/>
        <w:spacing w:after="0" w:line="277" w:lineRule="auto"/>
        <w:tabs>
          <w:tab w:leader="none" w:pos="640" w:val="left"/>
        </w:tabs>
        <w:rPr>
          <w:sz w:val="20"/>
          <w:szCs w:val="20"/>
          <w:color w:val="auto"/>
        </w:rPr>
      </w:pPr>
      <w:r>
        <w:rPr>
          <w:rFonts w:ascii="Arial" w:cs="Arial" w:eastAsia="Arial" w:hAnsi="Arial"/>
          <w:sz w:val="18"/>
          <w:szCs w:val="18"/>
          <w:color w:val="010000"/>
        </w:rPr>
        <w:t>13.8</w:t>
      </w:r>
      <w:r>
        <w:rPr>
          <w:sz w:val="20"/>
          <w:szCs w:val="20"/>
          <w:color w:val="auto"/>
        </w:rPr>
        <w:tab/>
      </w:r>
      <w:r>
        <w:rPr>
          <w:rFonts w:ascii="Arial" w:cs="Arial" w:eastAsia="Arial" w:hAnsi="Arial"/>
          <w:sz w:val="18"/>
          <w:szCs w:val="18"/>
          <w:color w:val="auto"/>
        </w:rPr>
        <w:t>The requisition must be in writing and given by one or more Members who together hold at least 40% of the rights to vote at such general meeting.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13.9</w:t>
      </w:r>
      <w:r>
        <w:rPr>
          <w:sz w:val="20"/>
          <w:szCs w:val="20"/>
          <w:color w:val="auto"/>
        </w:rPr>
        <w:tab/>
      </w:r>
      <w:r>
        <w:rPr>
          <w:rFonts w:ascii="Arial" w:cs="Arial" w:eastAsia="Arial" w:hAnsi="Arial"/>
          <w:sz w:val="16"/>
          <w:szCs w:val="16"/>
          <w:color w:val="auto"/>
        </w:rPr>
        <w:t>The requisition must also:</w:t>
      </w:r>
    </w:p>
    <w:p>
      <w:pPr>
        <w:spacing w:after="0" w:line="252"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specify the purpose of the meeting.</w:t>
      </w:r>
    </w:p>
    <w:p>
      <w:pPr>
        <w:spacing w:after="0" w:line="252" w:lineRule="exact"/>
        <w:rPr>
          <w:rFonts w:ascii="Arial" w:cs="Arial" w:eastAsia="Arial" w:hAnsi="Arial"/>
          <w:sz w:val="18"/>
          <w:szCs w:val="18"/>
          <w:color w:val="010000"/>
        </w:rPr>
      </w:pPr>
    </w:p>
    <w:p>
      <w:pPr>
        <w:ind w:left="1300" w:right="420" w:hanging="644"/>
        <w:spacing w:after="0" w:line="277" w:lineRule="auto"/>
        <w:tabs>
          <w:tab w:leader="none" w:pos="1300"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be delivered in accordance with the notice provisions.</w:t>
      </w:r>
    </w:p>
    <w:p>
      <w:pPr>
        <w:spacing w:after="0" w:line="252"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13.10</w:t>
      </w:r>
      <w:r>
        <w:rPr>
          <w:rFonts w:ascii="Arial" w:cs="Arial" w:eastAsia="Arial" w:hAnsi="Arial"/>
          <w:sz w:val="18"/>
          <w:szCs w:val="18"/>
          <w:color w:val="auto"/>
        </w:rPr>
        <w:tab/>
        <w:t>Should the directors fail to call a general meeting within 21 Clear Days from the date of receipt of a requisition, the requisitioners or any of them may call a general meeting within three months after the end of that period.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0" w:name="page71"/>
    <w:bookmarkEnd w:id="70"/>
    <w:p>
      <w:pPr>
        <w:ind w:left="660" w:hanging="647"/>
        <w:spacing w:after="0" w:line="259" w:lineRule="auto"/>
        <w:tabs>
          <w:tab w:leader="none" w:pos="640" w:val="left"/>
        </w:tabs>
        <w:rPr>
          <w:sz w:val="20"/>
          <w:szCs w:val="20"/>
          <w:color w:val="auto"/>
        </w:rPr>
      </w:pPr>
      <w:r>
        <w:rPr>
          <w:rFonts w:ascii="Arial" w:cs="Arial" w:eastAsia="Arial" w:hAnsi="Arial"/>
          <w:sz w:val="18"/>
          <w:szCs w:val="18"/>
          <w:color w:val="010000"/>
        </w:rPr>
        <w:t>13.11</w:t>
      </w:r>
      <w:r>
        <w:rPr>
          <w:rFonts w:ascii="Arial" w:cs="Arial" w:eastAsia="Arial" w:hAnsi="Arial"/>
          <w:sz w:val="18"/>
          <w:szCs w:val="18"/>
          <w:color w:val="auto"/>
        </w:rPr>
        <w:tab/>
        <w:t>Without limitation to the foregoing, if there are insufficient directors to constitute a quorum and the remaining directors are unable to agree on the appointment of additional directors, any one or more Members who together hold at least 40% of the rights to vote at a general meeting may call a general meeting for the purpose of considering the business specified in the notice of meeting which shall include as an item of business the appointment of additional directors.</w:t>
      </w:r>
    </w:p>
    <w:p>
      <w:pPr>
        <w:spacing w:after="0" w:line="214"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010000"/>
        </w:rPr>
        <w:t>13.12</w:t>
      </w:r>
      <w:r>
        <w:rPr>
          <w:rFonts w:ascii="Arial" w:cs="Arial" w:eastAsia="Arial" w:hAnsi="Arial"/>
          <w:sz w:val="18"/>
          <w:szCs w:val="18"/>
          <w:color w:val="auto"/>
        </w:rPr>
        <w:tab/>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Content of notice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13.13</w:t>
      </w:r>
      <w:r>
        <w:rPr>
          <w:sz w:val="20"/>
          <w:szCs w:val="20"/>
          <w:color w:val="auto"/>
        </w:rPr>
        <w:tab/>
      </w:r>
      <w:r>
        <w:rPr>
          <w:rFonts w:ascii="Arial" w:cs="Arial" w:eastAsia="Arial" w:hAnsi="Arial"/>
          <w:sz w:val="16"/>
          <w:szCs w:val="16"/>
          <w:color w:val="auto"/>
        </w:rPr>
        <w:t>Notice of a general meeting shall specify each of the following:</w:t>
      </w:r>
    </w:p>
    <w:p>
      <w:pPr>
        <w:spacing w:after="0" w:line="252"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the place, the date and the hour of the meeting;</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if the meeting is to be held in two or more places, the technology that will be used to facilitate the meeting;</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subject to paragraph (d), the general nature of the business to be transacted;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3"/>
        </w:numPr>
        <w:rPr>
          <w:rFonts w:ascii="Arial" w:cs="Arial" w:eastAsia="Arial" w:hAnsi="Arial"/>
          <w:sz w:val="18"/>
          <w:szCs w:val="18"/>
          <w:color w:val="010000"/>
        </w:rPr>
      </w:pPr>
      <w:r>
        <w:rPr>
          <w:rFonts w:ascii="Arial" w:cs="Arial" w:eastAsia="Arial" w:hAnsi="Arial"/>
          <w:sz w:val="18"/>
          <w:szCs w:val="18"/>
          <w:color w:val="auto"/>
        </w:rPr>
        <w:t>if a resolution is proposed as a Special Resolution, the text of that resolution.</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13.14</w:t>
      </w:r>
      <w:r>
        <w:rPr>
          <w:sz w:val="20"/>
          <w:szCs w:val="20"/>
          <w:color w:val="auto"/>
        </w:rPr>
        <w:tab/>
      </w:r>
      <w:r>
        <w:rPr>
          <w:rFonts w:ascii="Arial" w:cs="Arial" w:eastAsia="Arial" w:hAnsi="Arial"/>
          <w:sz w:val="16"/>
          <w:szCs w:val="16"/>
          <w:color w:val="auto"/>
        </w:rPr>
        <w:t>In each notice there shall appear with reasonable prominence the following statements:</w:t>
      </w:r>
    </w:p>
    <w:p>
      <w:pPr>
        <w:spacing w:after="0" w:line="252"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6"/>
          <w:szCs w:val="16"/>
          <w:color w:val="010000"/>
        </w:rPr>
      </w:pPr>
      <w:r>
        <w:rPr>
          <w:rFonts w:ascii="Arial" w:cs="Arial" w:eastAsia="Arial" w:hAnsi="Arial"/>
          <w:sz w:val="16"/>
          <w:szCs w:val="16"/>
          <w:color w:val="auto"/>
        </w:rPr>
        <w:t>that a Member who is entitled to attend and vote is entitled to appoint one or more proxies to attend and vote instead of that Member; and</w:t>
      </w:r>
    </w:p>
    <w:p>
      <w:pPr>
        <w:spacing w:after="0" w:line="275" w:lineRule="exact"/>
        <w:rPr>
          <w:rFonts w:ascii="Arial" w:cs="Arial" w:eastAsia="Arial" w:hAnsi="Arial"/>
          <w:sz w:val="16"/>
          <w:szCs w:val="16"/>
          <w:color w:val="010000"/>
        </w:rPr>
      </w:pPr>
    </w:p>
    <w:p>
      <w:pPr>
        <w:ind w:left="1300" w:hanging="644"/>
        <w:spacing w:after="0"/>
        <w:tabs>
          <w:tab w:leader="none" w:pos="1300" w:val="left"/>
        </w:tabs>
        <w:numPr>
          <w:ilvl w:val="0"/>
          <w:numId w:val="104"/>
        </w:numPr>
        <w:rPr>
          <w:rFonts w:ascii="Arial" w:cs="Arial" w:eastAsia="Arial" w:hAnsi="Arial"/>
          <w:sz w:val="18"/>
          <w:szCs w:val="18"/>
          <w:color w:val="010000"/>
        </w:rPr>
      </w:pPr>
      <w:r>
        <w:rPr>
          <w:rFonts w:ascii="Arial" w:cs="Arial" w:eastAsia="Arial" w:hAnsi="Arial"/>
          <w:sz w:val="18"/>
          <w:szCs w:val="18"/>
          <w:color w:val="auto"/>
        </w:rPr>
        <w:t>that a proxyholder need not be a Member.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Period of notice</w:t>
      </w:r>
    </w:p>
    <w:p>
      <w:pPr>
        <w:spacing w:after="0" w:line="24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13.15</w:t>
      </w:r>
      <w:r>
        <w:rPr>
          <w:rFonts w:ascii="Arial" w:cs="Arial" w:eastAsia="Arial" w:hAnsi="Arial"/>
          <w:sz w:val="18"/>
          <w:szCs w:val="18"/>
          <w:color w:val="auto"/>
        </w:rPr>
        <w:tab/>
        <w:t>At least five Clear Days' notice of a general meeting must be given to Members,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211"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in the case of an annual general meeting, by all of the Members entitled to attend and vote thereat; and</w:t>
      </w:r>
    </w:p>
    <w:p>
      <w:pPr>
        <w:spacing w:after="0" w:line="252" w:lineRule="exact"/>
        <w:rPr>
          <w:rFonts w:ascii="Arial" w:cs="Arial" w:eastAsia="Arial" w:hAnsi="Arial"/>
          <w:sz w:val="18"/>
          <w:szCs w:val="18"/>
          <w:color w:val="010000"/>
        </w:rPr>
      </w:pPr>
    </w:p>
    <w:p>
      <w:pPr>
        <w:ind w:left="1300" w:right="20" w:hanging="644"/>
        <w:spacing w:after="0" w:line="277" w:lineRule="auto"/>
        <w:tabs>
          <w:tab w:leader="none" w:pos="1300" w:val="left"/>
        </w:tabs>
        <w:numPr>
          <w:ilvl w:val="0"/>
          <w:numId w:val="105"/>
        </w:numPr>
        <w:rPr>
          <w:rFonts w:ascii="Arial" w:cs="Arial" w:eastAsia="Arial" w:hAnsi="Arial"/>
          <w:sz w:val="18"/>
          <w:szCs w:val="18"/>
          <w:color w:val="010000"/>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95% in par value of the Shares giving that right.</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spacing w:after="0"/>
        <w:rPr>
          <w:sz w:val="20"/>
          <w:szCs w:val="20"/>
          <w:color w:val="auto"/>
        </w:rPr>
      </w:pPr>
      <w:r>
        <w:rPr>
          <w:rFonts w:ascii="Arial" w:cs="Arial" w:eastAsia="Arial" w:hAnsi="Arial"/>
          <w:sz w:val="22"/>
          <w:szCs w:val="22"/>
          <w:b w:val="1"/>
          <w:bCs w:val="1"/>
          <w:color w:val="auto"/>
        </w:rPr>
        <w:t>Persons entitled to receive notice</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13.16</w:t>
      </w:r>
      <w:r>
        <w:rPr>
          <w:sz w:val="20"/>
          <w:szCs w:val="20"/>
          <w:color w:val="auto"/>
        </w:rPr>
        <w:tab/>
      </w:r>
      <w:r>
        <w:rPr>
          <w:rFonts w:ascii="Arial" w:cs="Arial" w:eastAsia="Arial" w:hAnsi="Arial"/>
          <w:sz w:val="16"/>
          <w:szCs w:val="16"/>
          <w:color w:val="auto"/>
        </w:rPr>
        <w:t>Subject to the provisions of these Articles and to any restrictions imposed on any Shares, the notice shall be given to the following people:</w:t>
      </w:r>
    </w:p>
    <w:p>
      <w:pPr>
        <w:spacing w:after="0" w:line="252"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the Members;</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persons entitled to a Share in consequence of the death or bankruptcy of a Member;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6"/>
        </w:numPr>
        <w:rPr>
          <w:rFonts w:ascii="Arial" w:cs="Arial" w:eastAsia="Arial" w:hAnsi="Arial"/>
          <w:sz w:val="18"/>
          <w:szCs w:val="18"/>
          <w:color w:val="010000"/>
        </w:rPr>
      </w:pPr>
      <w:r>
        <w:rPr>
          <w:rFonts w:ascii="Arial" w:cs="Arial" w:eastAsia="Arial" w:hAnsi="Arial"/>
          <w:sz w:val="18"/>
          <w:szCs w:val="18"/>
          <w:color w:val="auto"/>
        </w:rPr>
        <w:t>the directors.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Publication of notice on a website</w:t>
      </w:r>
    </w:p>
    <w:p>
      <w:pPr>
        <w:spacing w:after="0" w:line="246"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010000"/>
        </w:rPr>
        <w:t>13.17</w:t>
      </w:r>
      <w:r>
        <w:rPr>
          <w:rFonts w:ascii="Arial" w:cs="Arial" w:eastAsia="Arial" w:hAnsi="Arial"/>
          <w:sz w:val="18"/>
          <w:szCs w:val="18"/>
          <w:color w:val="auto"/>
        </w:rPr>
        <w:tab/>
        <w:t>Subject to the Law or the rules of the Designated Stock Exchange, a notice of a general meeting may be published on a website providing the recipient is given separate notice of:</w:t>
      </w:r>
    </w:p>
    <w:p>
      <w:pPr>
        <w:spacing w:after="0" w:line="197"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the publication of the notice on the website;</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the place on the website where the notice may be accessed;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how it may be accessed;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7"/>
        </w:numPr>
        <w:rPr>
          <w:rFonts w:ascii="Arial" w:cs="Arial" w:eastAsia="Arial" w:hAnsi="Arial"/>
          <w:sz w:val="18"/>
          <w:szCs w:val="18"/>
          <w:color w:val="010000"/>
        </w:rPr>
      </w:pPr>
      <w:r>
        <w:rPr>
          <w:rFonts w:ascii="Arial" w:cs="Arial" w:eastAsia="Arial" w:hAnsi="Arial"/>
          <w:sz w:val="18"/>
          <w:szCs w:val="18"/>
          <w:color w:val="auto"/>
        </w:rPr>
        <w:t>the place, date and time of the general meeting.</w:t>
      </w:r>
    </w:p>
    <w:p>
      <w:pPr>
        <w:spacing w:after="0" w:line="252"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13.18</w:t>
      </w:r>
      <w:r>
        <w:rPr>
          <w:rFonts w:ascii="Arial" w:cs="Arial" w:eastAsia="Arial" w:hAnsi="Arial"/>
          <w:sz w:val="18"/>
          <w:szCs w:val="18"/>
          <w:color w:val="auto"/>
        </w:rPr>
        <w:tab/>
        <w:t>If a Member notifies the Company that he is unable for any reason to access the website, the Company must as soon as practicable give notice of the meeting to that Member by any other means permitted by these Articles. This will not affect when that Member is deemed to have received notice of the meeting.</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a website notice is deemed to be given</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13.19</w:t>
      </w:r>
      <w:r>
        <w:rPr>
          <w:sz w:val="20"/>
          <w:szCs w:val="20"/>
          <w:color w:val="auto"/>
        </w:rPr>
        <w:tab/>
      </w:r>
      <w:r>
        <w:rPr>
          <w:rFonts w:ascii="Arial" w:cs="Arial" w:eastAsia="Arial" w:hAnsi="Arial"/>
          <w:sz w:val="16"/>
          <w:szCs w:val="16"/>
          <w:color w:val="auto"/>
        </w:rPr>
        <w:t>A website notice is deemed to be given when the Member is given notice of its publication.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Required duration of publication on a website</w:t>
      </w:r>
    </w:p>
    <w:p>
      <w:pPr>
        <w:spacing w:after="0" w:line="246"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010000"/>
        </w:rPr>
        <w:t>13.20</w:t>
      </w:r>
      <w:r>
        <w:rPr>
          <w:rFonts w:ascii="Arial" w:cs="Arial" w:eastAsia="Arial" w:hAnsi="Arial"/>
          <w:sz w:val="18"/>
          <w:szCs w:val="18"/>
          <w:color w:val="auto"/>
        </w:rPr>
        <w:tab/>
        <w:t>Where the notice of meeting is published on a website, it shall continue to be published in the same place on that website from the date of the notification until at least the conclusion of the meeting to which the notice relates.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Accidental omission to give notice or non-receipt of notice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13.21</w:t>
      </w:r>
      <w:r>
        <w:rPr>
          <w:sz w:val="20"/>
          <w:szCs w:val="20"/>
          <w:color w:val="auto"/>
        </w:rPr>
        <w:tab/>
      </w:r>
      <w:r>
        <w:rPr>
          <w:rFonts w:ascii="Arial" w:cs="Arial" w:eastAsia="Arial" w:hAnsi="Arial"/>
          <w:sz w:val="16"/>
          <w:szCs w:val="16"/>
          <w:color w:val="auto"/>
        </w:rPr>
        <w:t>Proceedings at a meeting shall not be invalidated by the following:</w:t>
      </w:r>
    </w:p>
    <w:p>
      <w:pPr>
        <w:spacing w:after="0" w:line="252" w:lineRule="exact"/>
        <w:rPr>
          <w:sz w:val="20"/>
          <w:szCs w:val="20"/>
          <w:color w:val="auto"/>
        </w:rPr>
      </w:pPr>
    </w:p>
    <w:p>
      <w:pPr>
        <w:ind w:left="1300" w:hanging="644"/>
        <w:spacing w:after="0"/>
        <w:tabs>
          <w:tab w:leader="none" w:pos="1300" w:val="left"/>
        </w:tabs>
        <w:numPr>
          <w:ilvl w:val="0"/>
          <w:numId w:val="108"/>
        </w:numPr>
        <w:rPr>
          <w:rFonts w:ascii="Arial" w:cs="Arial" w:eastAsia="Arial" w:hAnsi="Arial"/>
          <w:sz w:val="18"/>
          <w:szCs w:val="18"/>
          <w:color w:val="010000"/>
        </w:rPr>
      </w:pPr>
      <w:r>
        <w:rPr>
          <w:rFonts w:ascii="Arial" w:cs="Arial" w:eastAsia="Arial" w:hAnsi="Arial"/>
          <w:sz w:val="18"/>
          <w:szCs w:val="18"/>
          <w:color w:val="auto"/>
        </w:rPr>
        <w:t>an accidental failure to give notice of the meeting to any person entitled to notice;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8"/>
        </w:numPr>
        <w:rPr>
          <w:rFonts w:ascii="Arial" w:cs="Arial" w:eastAsia="Arial" w:hAnsi="Arial"/>
          <w:sz w:val="18"/>
          <w:szCs w:val="18"/>
          <w:color w:val="010000"/>
        </w:rPr>
      </w:pPr>
      <w:r>
        <w:rPr>
          <w:rFonts w:ascii="Arial" w:cs="Arial" w:eastAsia="Arial" w:hAnsi="Arial"/>
          <w:sz w:val="18"/>
          <w:szCs w:val="18"/>
          <w:color w:val="auto"/>
        </w:rPr>
        <w:t>non-receipt of notice of the meeting by any person entitled to notice.</w:t>
      </w:r>
    </w:p>
    <w:p>
      <w:pPr>
        <w:spacing w:after="0" w:line="252" w:lineRule="exact"/>
        <w:rPr>
          <w:sz w:val="20"/>
          <w:szCs w:val="20"/>
          <w:color w:val="auto"/>
        </w:rPr>
      </w:pPr>
    </w:p>
    <w:p>
      <w:pPr>
        <w:ind w:left="660" w:right="620" w:hanging="647"/>
        <w:spacing w:after="0" w:line="277" w:lineRule="auto"/>
        <w:tabs>
          <w:tab w:leader="none" w:pos="640" w:val="left"/>
        </w:tabs>
        <w:rPr>
          <w:sz w:val="20"/>
          <w:szCs w:val="20"/>
          <w:color w:val="auto"/>
        </w:rPr>
      </w:pPr>
      <w:r>
        <w:rPr>
          <w:rFonts w:ascii="Arial" w:cs="Arial" w:eastAsia="Arial" w:hAnsi="Arial"/>
          <w:sz w:val="18"/>
          <w:szCs w:val="18"/>
          <w:color w:val="010000"/>
        </w:rPr>
        <w:t>13.22</w:t>
      </w:r>
      <w:r>
        <w:rPr>
          <w:rFonts w:ascii="Arial" w:cs="Arial" w:eastAsia="Arial" w:hAnsi="Arial"/>
          <w:sz w:val="18"/>
          <w:szCs w:val="18"/>
          <w:color w:val="auto"/>
        </w:rPr>
        <w:tab/>
        <w:t>In addition, where a notice of meeting is published on a website, proceedings at the meeting shall not be invalidated merely because it is accidentally published:</w:t>
      </w:r>
    </w:p>
    <w:p>
      <w:pPr>
        <w:spacing w:after="0" w:line="197"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in a different place on the website;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09"/>
        </w:numPr>
        <w:rPr>
          <w:rFonts w:ascii="Arial" w:cs="Arial" w:eastAsia="Arial" w:hAnsi="Arial"/>
          <w:sz w:val="18"/>
          <w:szCs w:val="18"/>
          <w:color w:val="010000"/>
        </w:rPr>
      </w:pPr>
      <w:r>
        <w:rPr>
          <w:rFonts w:ascii="Arial" w:cs="Arial" w:eastAsia="Arial" w:hAnsi="Arial"/>
          <w:sz w:val="18"/>
          <w:szCs w:val="18"/>
          <w:color w:val="auto"/>
        </w:rPr>
        <w:t>for part only of the period from the date of the notification until the conclusion of the meeting to which the notice relates.</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2" w:right="499" w:bottom="1440" w:gutter="0" w:footer="0" w:header="0"/>
        </w:sectPr>
      </w:pPr>
    </w:p>
    <w:bookmarkStart w:id="72" w:name="page73"/>
    <w:bookmarkEnd w:id="72"/>
    <w:p>
      <w:pPr>
        <w:ind w:left="660" w:hanging="652"/>
        <w:spacing w:after="0"/>
        <w:tabs>
          <w:tab w:leader="none" w:pos="660" w:val="left"/>
        </w:tabs>
        <w:numPr>
          <w:ilvl w:val="0"/>
          <w:numId w:val="110"/>
        </w:numPr>
        <w:rPr>
          <w:rFonts w:ascii="Arial" w:cs="Arial" w:eastAsia="Arial" w:hAnsi="Arial"/>
          <w:sz w:val="18"/>
          <w:szCs w:val="18"/>
          <w:b w:val="1"/>
          <w:bCs w:val="1"/>
          <w:color w:val="010000"/>
        </w:rPr>
      </w:pPr>
      <w:r>
        <w:rPr>
          <w:rFonts w:ascii="Arial" w:cs="Arial" w:eastAsia="Arial" w:hAnsi="Arial"/>
          <w:sz w:val="18"/>
          <w:szCs w:val="18"/>
          <w:b w:val="1"/>
          <w:bCs w:val="1"/>
          <w:color w:val="auto"/>
        </w:rPr>
        <w:t>Proceedings at meetings of Members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w:t>
      </w:r>
    </w:p>
    <w:p>
      <w:pPr>
        <w:spacing w:after="0" w:line="246" w:lineRule="exact"/>
        <w:rPr>
          <w:sz w:val="20"/>
          <w:szCs w:val="20"/>
          <w:color w:val="auto"/>
        </w:rPr>
      </w:pPr>
    </w:p>
    <w:p>
      <w:pPr>
        <w:ind w:left="660" w:right="40" w:hanging="647"/>
        <w:spacing w:after="0" w:line="273" w:lineRule="auto"/>
        <w:tabs>
          <w:tab w:leader="none" w:pos="640" w:val="left"/>
        </w:tabs>
        <w:rPr>
          <w:sz w:val="20"/>
          <w:szCs w:val="20"/>
          <w:color w:val="auto"/>
        </w:rPr>
      </w:pPr>
      <w:r>
        <w:rPr>
          <w:rFonts w:ascii="Arial" w:cs="Arial" w:eastAsia="Arial" w:hAnsi="Arial"/>
          <w:sz w:val="18"/>
          <w:szCs w:val="18"/>
          <w:color w:val="010000"/>
        </w:rPr>
        <w:t>14.1</w:t>
      </w:r>
      <w:r>
        <w:rPr>
          <w:sz w:val="20"/>
          <w:szCs w:val="20"/>
          <w:color w:val="auto"/>
        </w:rPr>
        <w:tab/>
      </w:r>
      <w:r>
        <w:rPr>
          <w:rFonts w:ascii="Arial" w:cs="Arial" w:eastAsia="Arial" w:hAnsi="Arial"/>
          <w:sz w:val="17"/>
          <w:szCs w:val="17"/>
          <w:color w:val="auto"/>
        </w:rPr>
        <w:t>Save as provided in the following Article, no business shall be transacted at any meeting unless a quorum is present in person or by proxy. One or more Members who together hold not less than one-third of the Shares entitled to vote at such meeting being individuals present in person or by proxy or if a corporation or other non-natural person by its duly authorised representative or proxy shall be a quorum; provided that a quorum in connection with any meeting that is convened to vote on a Business Combination or any meeting convened with regards to an amendment described in Article 38.9 shall be a majority of the Shares entitled to vote at such meeting being individuals present in person or by proxy or if a corporation or other non-natural person by its duly authorised representative or proxy.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Lack of quorum</w:t>
      </w:r>
    </w:p>
    <w:p>
      <w:pPr>
        <w:spacing w:after="0" w:line="24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010000"/>
        </w:rPr>
        <w:t>14.2</w:t>
      </w:r>
      <w:r>
        <w:rPr>
          <w:sz w:val="20"/>
          <w:szCs w:val="20"/>
          <w:color w:val="auto"/>
        </w:rPr>
        <w:tab/>
      </w:r>
      <w:r>
        <w:rPr>
          <w:rFonts w:ascii="Arial" w:cs="Arial" w:eastAsia="Arial" w:hAnsi="Arial"/>
          <w:sz w:val="18"/>
          <w:szCs w:val="18"/>
          <w:color w:val="auto"/>
        </w:rPr>
        <w:t>If a quorum is not present within 15 minutes of the time appointed for the meeting, or if at any time during the meeting it becomes inquorate, then the following provisions apply:</w:t>
      </w:r>
    </w:p>
    <w:p>
      <w:pPr>
        <w:spacing w:after="0" w:line="197"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If the meeting was requisitioned by Members, it shall be cancelled.</w:t>
      </w:r>
    </w:p>
    <w:p>
      <w:pPr>
        <w:spacing w:after="0" w:line="252" w:lineRule="exact"/>
        <w:rPr>
          <w:rFonts w:ascii="Arial" w:cs="Arial" w:eastAsia="Arial" w:hAnsi="Arial"/>
          <w:sz w:val="18"/>
          <w:szCs w:val="18"/>
          <w:color w:val="010000"/>
        </w:rPr>
      </w:pPr>
    </w:p>
    <w:p>
      <w:pPr>
        <w:ind w:left="1300" w:right="400" w:hanging="644"/>
        <w:spacing w:after="0" w:line="263" w:lineRule="auto"/>
        <w:tabs>
          <w:tab w:leader="none" w:pos="1300" w:val="left"/>
        </w:tabs>
        <w:numPr>
          <w:ilvl w:val="0"/>
          <w:numId w:val="111"/>
        </w:numPr>
        <w:rPr>
          <w:rFonts w:ascii="Arial" w:cs="Arial" w:eastAsia="Arial" w:hAnsi="Arial"/>
          <w:sz w:val="18"/>
          <w:szCs w:val="18"/>
          <w:color w:val="010000"/>
        </w:rPr>
      </w:pPr>
      <w:r>
        <w:rPr>
          <w:rFonts w:ascii="Arial" w:cs="Arial" w:eastAsia="Arial" w:hAnsi="Arial"/>
          <w:sz w:val="18"/>
          <w:szCs w:val="18"/>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meeting shall be dissolved.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technology</w:t>
      </w:r>
    </w:p>
    <w:p>
      <w:pPr>
        <w:spacing w:after="0" w:line="246" w:lineRule="exact"/>
        <w:rPr>
          <w:sz w:val="20"/>
          <w:szCs w:val="20"/>
          <w:color w:val="auto"/>
        </w:rPr>
      </w:pPr>
    </w:p>
    <w:p>
      <w:pPr>
        <w:jc w:val="both"/>
        <w:ind w:left="660" w:right="760" w:hanging="647"/>
        <w:spacing w:after="0" w:line="263" w:lineRule="auto"/>
        <w:tabs>
          <w:tab w:leader="none" w:pos="640" w:val="left"/>
        </w:tabs>
        <w:rPr>
          <w:sz w:val="20"/>
          <w:szCs w:val="20"/>
          <w:color w:val="auto"/>
        </w:rPr>
      </w:pPr>
      <w:r>
        <w:rPr>
          <w:rFonts w:ascii="Arial" w:cs="Arial" w:eastAsia="Arial" w:hAnsi="Arial"/>
          <w:sz w:val="18"/>
          <w:szCs w:val="18"/>
          <w:color w:val="010000"/>
        </w:rPr>
        <w:t>14.3</w:t>
      </w:r>
      <w:r>
        <w:rPr>
          <w:sz w:val="20"/>
          <w:szCs w:val="20"/>
          <w:color w:val="auto"/>
        </w:rPr>
        <w:tab/>
      </w:r>
      <w:r>
        <w:rPr>
          <w:rFonts w:ascii="Arial" w:cs="Arial" w:eastAsia="Arial" w:hAnsi="Arial"/>
          <w:sz w:val="18"/>
          <w:szCs w:val="18"/>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Chairman</w:t>
      </w:r>
    </w:p>
    <w:p>
      <w:pPr>
        <w:spacing w:after="0" w:line="246" w:lineRule="exact"/>
        <w:rPr>
          <w:sz w:val="20"/>
          <w:szCs w:val="20"/>
          <w:color w:val="auto"/>
        </w:rPr>
      </w:pPr>
    </w:p>
    <w:p>
      <w:pPr>
        <w:ind w:left="660" w:right="480" w:hanging="647"/>
        <w:spacing w:after="0" w:line="263" w:lineRule="auto"/>
        <w:tabs>
          <w:tab w:leader="none" w:pos="640" w:val="left"/>
        </w:tabs>
        <w:rPr>
          <w:sz w:val="20"/>
          <w:szCs w:val="20"/>
          <w:color w:val="auto"/>
        </w:rPr>
      </w:pPr>
      <w:r>
        <w:rPr>
          <w:rFonts w:ascii="Arial" w:cs="Arial" w:eastAsia="Arial" w:hAnsi="Arial"/>
          <w:sz w:val="18"/>
          <w:szCs w:val="18"/>
          <w:color w:val="010000"/>
        </w:rPr>
        <w:t>14.4</w:t>
      </w:r>
      <w:r>
        <w:rPr>
          <w:sz w:val="20"/>
          <w:szCs w:val="20"/>
          <w:color w:val="auto"/>
        </w:rPr>
        <w:tab/>
      </w:r>
      <w:r>
        <w:rPr>
          <w:rFonts w:ascii="Arial" w:cs="Arial" w:eastAsia="Arial" w:hAnsi="Arial"/>
          <w:sz w:val="18"/>
          <w:szCs w:val="18"/>
          <w:color w:val="auto"/>
        </w:rPr>
        <w:t>The chairman of a general meeting shall be the chairman of the board or such other director as the directors have nominated to chair board meetings in the absence of the chairman of the board. Absent any such person being present within 15 minutes of the time appointed for the meeting, the directors present shall elect one of their number to chair the meeting.</w:t>
      </w:r>
    </w:p>
    <w:p>
      <w:pPr>
        <w:spacing w:after="0" w:line="211" w:lineRule="exact"/>
        <w:rPr>
          <w:sz w:val="20"/>
          <w:szCs w:val="20"/>
          <w:color w:val="auto"/>
        </w:rPr>
      </w:pPr>
    </w:p>
    <w:p>
      <w:pPr>
        <w:ind w:left="660" w:right="520" w:hanging="647"/>
        <w:spacing w:after="0" w:line="277" w:lineRule="auto"/>
        <w:tabs>
          <w:tab w:leader="none" w:pos="640" w:val="left"/>
        </w:tabs>
        <w:rPr>
          <w:sz w:val="20"/>
          <w:szCs w:val="20"/>
          <w:color w:val="auto"/>
        </w:rPr>
      </w:pPr>
      <w:r>
        <w:rPr>
          <w:rFonts w:ascii="Arial" w:cs="Arial" w:eastAsia="Arial" w:hAnsi="Arial"/>
          <w:sz w:val="18"/>
          <w:szCs w:val="18"/>
          <w:color w:val="010000"/>
        </w:rPr>
        <w:t>14.5</w:t>
      </w:r>
      <w:r>
        <w:rPr>
          <w:sz w:val="20"/>
          <w:szCs w:val="20"/>
          <w:color w:val="auto"/>
        </w:rPr>
        <w:tab/>
      </w:r>
      <w:r>
        <w:rPr>
          <w:rFonts w:ascii="Arial" w:cs="Arial" w:eastAsia="Arial" w:hAnsi="Arial"/>
          <w:sz w:val="18"/>
          <w:szCs w:val="18"/>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of a director to attend and speak</w:t>
      </w:r>
    </w:p>
    <w:p>
      <w:pPr>
        <w:spacing w:after="0" w:line="2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14.6</w:t>
      </w:r>
      <w:r>
        <w:rPr>
          <w:sz w:val="20"/>
          <w:szCs w:val="20"/>
          <w:color w:val="auto"/>
        </w:rPr>
        <w:tab/>
      </w:r>
      <w:r>
        <w:rPr>
          <w:rFonts w:ascii="Arial" w:cs="Arial" w:eastAsia="Arial" w:hAnsi="Arial"/>
          <w:sz w:val="18"/>
          <w:szCs w:val="18"/>
          <w:color w:val="auto"/>
        </w:rPr>
        <w:t>Even if a director is not a Member, he shall be entitled to attend and speak at any general meeting and at any separate meeting of Members holding a particular class of Shares in the Company.</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22"/>
          <w:szCs w:val="22"/>
          <w:b w:val="1"/>
          <w:bCs w:val="1"/>
          <w:color w:val="auto"/>
        </w:rPr>
        <w:t>Adjournment</w:t>
      </w:r>
    </w:p>
    <w:p>
      <w:pPr>
        <w:spacing w:after="0" w:line="247" w:lineRule="exact"/>
        <w:rPr>
          <w:sz w:val="20"/>
          <w:szCs w:val="20"/>
          <w:color w:val="auto"/>
        </w:rPr>
      </w:pPr>
    </w:p>
    <w:p>
      <w:pPr>
        <w:ind w:left="660" w:right="160" w:hanging="647"/>
        <w:spacing w:after="0" w:line="342" w:lineRule="auto"/>
        <w:tabs>
          <w:tab w:leader="none" w:pos="640" w:val="left"/>
        </w:tabs>
        <w:rPr>
          <w:sz w:val="20"/>
          <w:szCs w:val="20"/>
          <w:color w:val="auto"/>
        </w:rPr>
      </w:pPr>
      <w:r>
        <w:rPr>
          <w:rFonts w:ascii="Arial" w:cs="Arial" w:eastAsia="Arial" w:hAnsi="Arial"/>
          <w:sz w:val="18"/>
          <w:szCs w:val="18"/>
          <w:color w:val="010000"/>
        </w:rPr>
        <w:t>14.7</w:t>
      </w:r>
      <w:r>
        <w:rPr>
          <w:sz w:val="20"/>
          <w:szCs w:val="20"/>
          <w:color w:val="auto"/>
        </w:rPr>
        <w:tab/>
      </w:r>
      <w:r>
        <w:rPr>
          <w:rFonts w:ascii="Arial" w:cs="Arial" w:eastAsia="Arial" w:hAnsi="Arial"/>
          <w:sz w:val="16"/>
          <w:szCs w:val="16"/>
          <w:color w:val="auto"/>
        </w:rPr>
        <w:t>The chairman may at any time adjourn a meeting. The chairman must adjourn the meeting if so directed by the meeting. No business, however, can be transacted at an adjourned meeting other than business which might properly have been transacted at the original meeting.</w:t>
      </w:r>
    </w:p>
    <w:p>
      <w:pPr>
        <w:spacing w:after="0" w:line="151" w:lineRule="exact"/>
        <w:rPr>
          <w:sz w:val="20"/>
          <w:szCs w:val="20"/>
          <w:color w:val="auto"/>
        </w:rPr>
      </w:pPr>
    </w:p>
    <w:p>
      <w:pPr>
        <w:ind w:left="660" w:right="240" w:hanging="647"/>
        <w:spacing w:after="0" w:line="263" w:lineRule="auto"/>
        <w:tabs>
          <w:tab w:leader="none" w:pos="640" w:val="left"/>
        </w:tabs>
        <w:rPr>
          <w:sz w:val="20"/>
          <w:szCs w:val="20"/>
          <w:color w:val="auto"/>
        </w:rPr>
      </w:pPr>
      <w:r>
        <w:rPr>
          <w:rFonts w:ascii="Arial" w:cs="Arial" w:eastAsia="Arial" w:hAnsi="Arial"/>
          <w:sz w:val="18"/>
          <w:szCs w:val="18"/>
          <w:color w:val="010000"/>
        </w:rPr>
        <w:t>14.8</w:t>
      </w:r>
      <w:r>
        <w:rPr>
          <w:sz w:val="20"/>
          <w:szCs w:val="20"/>
          <w:color w:val="auto"/>
        </w:rPr>
        <w:tab/>
      </w:r>
      <w:r>
        <w:rPr>
          <w:rFonts w:ascii="Arial" w:cs="Arial" w:eastAsia="Arial" w:hAnsi="Arial"/>
          <w:sz w:val="18"/>
          <w:szCs w:val="18"/>
          <w:color w:val="auto"/>
        </w:rPr>
        <w:t>Should a meeting be adjourned for more than twenty Clear Days, whether because of a lack of quorum or otherwise, Members shall be given at least five Clear Days' notice of the date, time and place of the adjourned meeting and the general nature of the business to be transacted. Otherwise it shall not be necessary to give any notice of the adjournment.</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Method of voting</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14.9</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Taking of a poll</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14.10</w:t>
      </w:r>
      <w:r>
        <w:rPr>
          <w:sz w:val="20"/>
          <w:szCs w:val="20"/>
          <w:color w:val="auto"/>
        </w:rPr>
        <w:tab/>
      </w:r>
      <w:r>
        <w:rPr>
          <w:rFonts w:ascii="Arial" w:cs="Arial" w:eastAsia="Arial" w:hAnsi="Arial"/>
          <w:sz w:val="16"/>
          <w:szCs w:val="16"/>
          <w:color w:val="auto"/>
        </w:rPr>
        <w:t>A poll demanded on the question of adjournment shall be taken immediately.</w:t>
      </w:r>
    </w:p>
    <w:p>
      <w:pPr>
        <w:spacing w:after="0" w:line="252"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010000"/>
        </w:rPr>
        <w:t>14.11</w:t>
      </w:r>
      <w:r>
        <w:rPr>
          <w:rFonts w:ascii="Arial" w:cs="Arial" w:eastAsia="Arial" w:hAnsi="Arial"/>
          <w:sz w:val="18"/>
          <w:szCs w:val="18"/>
          <w:color w:val="auto"/>
        </w:rPr>
        <w:tab/>
        <w:t>A poll demanded on any other question shall be taken either immediately or at an adjourned meeting at such time and place as the chairman directs, not being more than 30 Clear Days after the poll was demanded.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14.12</w:t>
      </w:r>
      <w:r>
        <w:rPr>
          <w:sz w:val="20"/>
          <w:szCs w:val="20"/>
          <w:color w:val="auto"/>
        </w:rPr>
        <w:tab/>
      </w:r>
      <w:r>
        <w:rPr>
          <w:rFonts w:ascii="Arial" w:cs="Arial" w:eastAsia="Arial" w:hAnsi="Arial"/>
          <w:sz w:val="16"/>
          <w:szCs w:val="16"/>
          <w:color w:val="auto"/>
        </w:rPr>
        <w:t>The demand for a poll shall not prevent the meeting continuing to transact any business other than the question on which the poll was demanded.</w:t>
      </w:r>
    </w:p>
    <w:p>
      <w:pPr>
        <w:spacing w:after="0" w:line="252"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010000"/>
        </w:rPr>
        <w:t>14.13</w:t>
      </w:r>
      <w:r>
        <w:rPr>
          <w:rFonts w:ascii="Arial" w:cs="Arial" w:eastAsia="Arial" w:hAnsi="Arial"/>
          <w:sz w:val="18"/>
          <w:szCs w:val="18"/>
          <w:color w:val="auto"/>
        </w:rPr>
        <w:tab/>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Chairman's casting vote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14.14</w:t>
      </w:r>
      <w:r>
        <w:rPr>
          <w:sz w:val="20"/>
          <w:szCs w:val="20"/>
          <w:color w:val="auto"/>
        </w:rPr>
        <w:tab/>
      </w:r>
      <w:r>
        <w:rPr>
          <w:rFonts w:ascii="Arial" w:cs="Arial" w:eastAsia="Arial" w:hAnsi="Arial"/>
          <w:sz w:val="16"/>
          <w:szCs w:val="16"/>
          <w:color w:val="auto"/>
        </w:rPr>
        <w:t>If the votes on a resolution are equal, the chairman may if he wishes exercise a casting vote.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Amendments to resolutions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14.15</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252" w:lineRule="exact"/>
        <w:rPr>
          <w:sz w:val="20"/>
          <w:szCs w:val="20"/>
          <w:color w:val="auto"/>
        </w:rPr>
      </w:pPr>
    </w:p>
    <w:p>
      <w:pPr>
        <w:ind w:left="1300" w:right="40" w:hanging="644"/>
        <w:spacing w:after="0" w:line="308" w:lineRule="auto"/>
        <w:tabs>
          <w:tab w:leader="none" w:pos="1300" w:val="left"/>
        </w:tabs>
        <w:numPr>
          <w:ilvl w:val="0"/>
          <w:numId w:val="112"/>
        </w:numPr>
        <w:rPr>
          <w:rFonts w:ascii="Arial" w:cs="Arial" w:eastAsia="Arial" w:hAnsi="Arial"/>
          <w:sz w:val="17"/>
          <w:szCs w:val="17"/>
          <w:color w:val="010000"/>
        </w:rPr>
      </w:pPr>
      <w:r>
        <w:rPr>
          <w:rFonts w:ascii="Arial" w:cs="Arial" w:eastAsia="Arial" w:hAnsi="Arial"/>
          <w:sz w:val="17"/>
          <w:szCs w:val="17"/>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173" w:lineRule="exact"/>
        <w:rPr>
          <w:rFonts w:ascii="Arial" w:cs="Arial" w:eastAsia="Arial" w:hAnsi="Arial"/>
          <w:sz w:val="17"/>
          <w:szCs w:val="17"/>
          <w:color w:val="010000"/>
        </w:rPr>
      </w:pPr>
    </w:p>
    <w:p>
      <w:pPr>
        <w:ind w:left="1300" w:hanging="644"/>
        <w:spacing w:after="0"/>
        <w:tabs>
          <w:tab w:leader="none" w:pos="1300" w:val="left"/>
        </w:tabs>
        <w:numPr>
          <w:ilvl w:val="0"/>
          <w:numId w:val="112"/>
        </w:numPr>
        <w:rPr>
          <w:rFonts w:ascii="Arial" w:cs="Arial" w:eastAsia="Arial" w:hAnsi="Arial"/>
          <w:sz w:val="16"/>
          <w:szCs w:val="16"/>
          <w:color w:val="010000"/>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27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010000"/>
        </w:rPr>
        <w:t xml:space="preserve">14.16   </w:t>
      </w:r>
      <w:r>
        <w:rPr>
          <w:rFonts w:ascii="Arial" w:cs="Arial" w:eastAsia="Arial" w:hAnsi="Arial"/>
          <w:sz w:val="18"/>
          <w:szCs w:val="18"/>
          <w:color w:val="000000"/>
        </w:rPr>
        <w:t>A Special Resolution to be proposed at a general meeting may be amended by Ordinary Resolution, if: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74" w:name="page75"/>
    <w:bookmarkEnd w:id="74"/>
    <w:p>
      <w:pPr>
        <w:ind w:left="1300" w:hanging="644"/>
        <w:spacing w:after="0"/>
        <w:tabs>
          <w:tab w:leader="none" w:pos="1300"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the chairman of the meeting proposes the amendment at the general meeting at which the resolution is to be proposed, and</w:t>
      </w:r>
    </w:p>
    <w:p>
      <w:pPr>
        <w:spacing w:after="0" w:line="252" w:lineRule="exact"/>
        <w:rPr>
          <w:rFonts w:ascii="Arial" w:cs="Arial" w:eastAsia="Arial" w:hAnsi="Arial"/>
          <w:sz w:val="18"/>
          <w:szCs w:val="18"/>
          <w:color w:val="010000"/>
        </w:rPr>
      </w:pPr>
    </w:p>
    <w:p>
      <w:pPr>
        <w:ind w:left="1300" w:right="140" w:hanging="644"/>
        <w:spacing w:after="0" w:line="277" w:lineRule="auto"/>
        <w:tabs>
          <w:tab w:leader="none" w:pos="1300" w:val="left"/>
        </w:tabs>
        <w:numPr>
          <w:ilvl w:val="0"/>
          <w:numId w:val="113"/>
        </w:numPr>
        <w:rPr>
          <w:rFonts w:ascii="Arial" w:cs="Arial" w:eastAsia="Arial" w:hAnsi="Arial"/>
          <w:sz w:val="18"/>
          <w:szCs w:val="18"/>
          <w:color w:val="010000"/>
        </w:rPr>
      </w:pPr>
      <w:r>
        <w:rPr>
          <w:rFonts w:ascii="Arial" w:cs="Arial" w:eastAsia="Arial" w:hAnsi="Arial"/>
          <w:sz w:val="18"/>
          <w:szCs w:val="18"/>
          <w:color w:val="auto"/>
        </w:rPr>
        <w:t>the amendment does not go beyond what the chairman considers is necessary to correct a grammatical or other non-substantive error in the resolution.</w:t>
      </w:r>
    </w:p>
    <w:p>
      <w:pPr>
        <w:spacing w:after="0" w:line="197"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14.17</w:t>
      </w:r>
      <w:r>
        <w:rPr>
          <w:rFonts w:ascii="Arial" w:cs="Arial" w:eastAsia="Arial" w:hAnsi="Arial"/>
          <w:sz w:val="18"/>
          <w:szCs w:val="18"/>
          <w:color w:val="auto"/>
        </w:rPr>
        <w:tab/>
        <w:t>If the chairman of the meeting, acting in good faith, wrongly decides that an amendment to a resolution is out of order, the chairman's error does not invalidate the vote on that resolution.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Written resolutions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14.18</w:t>
      </w:r>
      <w:r>
        <w:rPr>
          <w:sz w:val="20"/>
          <w:szCs w:val="20"/>
          <w:color w:val="auto"/>
        </w:rPr>
        <w:tab/>
      </w:r>
      <w:r>
        <w:rPr>
          <w:rFonts w:ascii="Arial" w:cs="Arial" w:eastAsia="Arial" w:hAnsi="Arial"/>
          <w:sz w:val="16"/>
          <w:szCs w:val="16"/>
          <w:color w:val="auto"/>
        </w:rPr>
        <w:t>Members may pass a resolution in writing without holding a meeting if the following conditions are met:</w:t>
      </w:r>
    </w:p>
    <w:p>
      <w:pPr>
        <w:spacing w:after="0" w:line="252" w:lineRule="exact"/>
        <w:rPr>
          <w:sz w:val="20"/>
          <w:szCs w:val="20"/>
          <w:color w:val="auto"/>
        </w:rPr>
      </w:pPr>
    </w:p>
    <w:p>
      <w:pPr>
        <w:ind w:left="1300" w:hanging="644"/>
        <w:spacing w:after="0"/>
        <w:tabs>
          <w:tab w:leader="none" w:pos="1300" w:val="left"/>
        </w:tabs>
        <w:numPr>
          <w:ilvl w:val="0"/>
          <w:numId w:val="114"/>
        </w:numPr>
        <w:rPr>
          <w:rFonts w:ascii="Arial" w:cs="Arial" w:eastAsia="Arial" w:hAnsi="Arial"/>
          <w:sz w:val="17"/>
          <w:szCs w:val="17"/>
          <w:color w:val="010000"/>
        </w:rPr>
      </w:pPr>
      <w:r>
        <w:rPr>
          <w:rFonts w:ascii="Arial" w:cs="Arial" w:eastAsia="Arial" w:hAnsi="Arial"/>
          <w:sz w:val="17"/>
          <w:szCs w:val="17"/>
          <w:color w:val="auto"/>
        </w:rPr>
        <w:t>all Members entitled so to vote are given notice of the resolution as if the same were being proposed at a meeting of Members;</w:t>
      </w:r>
    </w:p>
    <w:p>
      <w:pPr>
        <w:spacing w:after="0" w:line="263" w:lineRule="exact"/>
        <w:rPr>
          <w:rFonts w:ascii="Arial" w:cs="Arial" w:eastAsia="Arial" w:hAnsi="Arial"/>
          <w:sz w:val="17"/>
          <w:szCs w:val="17"/>
          <w:color w:val="010000"/>
        </w:rPr>
      </w:pPr>
    </w:p>
    <w:p>
      <w:pPr>
        <w:ind w:left="1300" w:hanging="644"/>
        <w:spacing w:after="0"/>
        <w:tabs>
          <w:tab w:leader="none" w:pos="1300"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all Members entitled so to vote :</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sign a document; or</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sign several documents in the like form each signed by one or more of those Members; and</w:t>
      </w:r>
    </w:p>
    <w:p>
      <w:pPr>
        <w:spacing w:after="0" w:line="252" w:lineRule="exact"/>
        <w:rPr>
          <w:rFonts w:ascii="Arial" w:cs="Arial" w:eastAsia="Arial" w:hAnsi="Arial"/>
          <w:sz w:val="18"/>
          <w:szCs w:val="18"/>
          <w:color w:val="010000"/>
        </w:rPr>
      </w:pPr>
    </w:p>
    <w:p>
      <w:pPr>
        <w:ind w:left="1300" w:right="520" w:hanging="644"/>
        <w:spacing w:after="0" w:line="277" w:lineRule="auto"/>
        <w:tabs>
          <w:tab w:leader="none" w:pos="1300" w:val="left"/>
        </w:tabs>
        <w:numPr>
          <w:ilvl w:val="0"/>
          <w:numId w:val="114"/>
        </w:numPr>
        <w:rPr>
          <w:rFonts w:ascii="Arial" w:cs="Arial" w:eastAsia="Arial" w:hAnsi="Arial"/>
          <w:sz w:val="18"/>
          <w:szCs w:val="18"/>
          <w:color w:val="010000"/>
        </w:rPr>
      </w:pPr>
      <w:r>
        <w:rPr>
          <w:rFonts w:ascii="Arial" w:cs="Arial" w:eastAsia="Arial" w:hAnsi="Arial"/>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90" w:lineRule="exact"/>
        <w:rPr>
          <w:sz w:val="20"/>
          <w:szCs w:val="20"/>
          <w:color w:val="auto"/>
        </w:rPr>
      </w:pPr>
    </w:p>
    <w:p>
      <w:pPr>
        <w:ind w:left="660" w:right="380"/>
        <w:spacing w:after="0" w:line="250" w:lineRule="auto"/>
        <w:rPr>
          <w:sz w:val="20"/>
          <w:szCs w:val="20"/>
          <w:color w:val="auto"/>
        </w:rPr>
      </w:pPr>
      <w:r>
        <w:rPr>
          <w:rFonts w:ascii="Arial" w:cs="Arial" w:eastAsia="Arial" w:hAnsi="Arial"/>
          <w:sz w:val="22"/>
          <w:szCs w:val="22"/>
          <w:color w:val="auto"/>
        </w:rPr>
        <w:t>Such written resolution shall be as effective as if it had been passed at a meeting of the Members entitled to vote duly convened and held.</w:t>
      </w:r>
    </w:p>
    <w:p>
      <w:pPr>
        <w:spacing w:after="0" w:line="20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14.19</w:t>
      </w:r>
      <w:r>
        <w:rPr>
          <w:sz w:val="20"/>
          <w:szCs w:val="20"/>
          <w:color w:val="auto"/>
        </w:rPr>
        <w:tab/>
      </w:r>
      <w:r>
        <w:rPr>
          <w:rFonts w:ascii="Arial" w:cs="Arial" w:eastAsia="Arial" w:hAnsi="Arial"/>
          <w:sz w:val="16"/>
          <w:szCs w:val="16"/>
          <w:color w:val="auto"/>
        </w:rPr>
        <w:t>If a written resolution is described as a Special Resolution or as an Ordinary Resolution, it has effect accordingly.</w:t>
      </w:r>
    </w:p>
    <w:p>
      <w:pPr>
        <w:spacing w:after="0" w:line="252"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010000"/>
        </w:rPr>
        <w:t>14.20</w:t>
      </w:r>
      <w:r>
        <w:rPr>
          <w:sz w:val="20"/>
          <w:szCs w:val="20"/>
          <w:color w:val="auto"/>
        </w:rPr>
        <w:tab/>
      </w:r>
      <w:r>
        <w:rPr>
          <w:rFonts w:ascii="Arial" w:cs="Arial" w:eastAsia="Arial" w:hAnsi="Arial"/>
          <w:sz w:val="16"/>
          <w:szCs w:val="16"/>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 of any such written resolution shall be determined on the same basis as on a poll.</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Sole-member company</w:t>
      </w:r>
    </w:p>
    <w:p>
      <w:pPr>
        <w:spacing w:after="0" w:line="24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010000"/>
        </w:rPr>
        <w:t>14.21</w:t>
      </w:r>
      <w:r>
        <w:rPr>
          <w:rFonts w:ascii="Arial" w:cs="Arial" w:eastAsia="Arial" w:hAnsi="Arial"/>
          <w:sz w:val="18"/>
          <w:szCs w:val="18"/>
          <w:color w:val="auto"/>
        </w:rPr>
        <w:tab/>
        <w:t>If the Company has only one Member, and the Member records in writing his decision on a question, that record shall constitute both the passing of a resolution and the minute of it.</w:t>
      </w:r>
    </w:p>
    <w:p>
      <w:pPr>
        <w:spacing w:after="0" w:line="193"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010000"/>
        </w:rPr>
      </w:pPr>
      <w:r>
        <w:rPr>
          <w:rFonts w:ascii="Arial" w:cs="Arial" w:eastAsia="Arial" w:hAnsi="Arial"/>
          <w:sz w:val="18"/>
          <w:szCs w:val="18"/>
          <w:b w:val="1"/>
          <w:bCs w:val="1"/>
          <w:color w:val="auto"/>
        </w:rPr>
        <w:t>Voting rights of Members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to vote</w:t>
      </w:r>
    </w:p>
    <w:p>
      <w:pPr>
        <w:spacing w:after="0" w:line="246"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010000"/>
        </w:rPr>
        <w:t>15.1</w:t>
      </w:r>
      <w:r>
        <w:rPr>
          <w:sz w:val="20"/>
          <w:szCs w:val="20"/>
          <w:color w:val="auto"/>
        </w:rPr>
        <w:tab/>
      </w:r>
      <w:r>
        <w:rPr>
          <w:rFonts w:ascii="Arial" w:cs="Arial" w:eastAsia="Arial" w:hAnsi="Arial"/>
          <w:sz w:val="18"/>
          <w:szCs w:val="18"/>
          <w:color w:val="auto"/>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5" w:name="page76"/>
    <w:bookmarkEnd w:id="75"/>
    <w:p>
      <w:pPr>
        <w:spacing w:after="0"/>
        <w:tabs>
          <w:tab w:leader="none" w:pos="640" w:val="left"/>
        </w:tabs>
        <w:rPr>
          <w:sz w:val="20"/>
          <w:szCs w:val="20"/>
          <w:color w:val="auto"/>
        </w:rPr>
      </w:pPr>
      <w:r>
        <w:rPr>
          <w:rFonts w:ascii="Arial" w:cs="Arial" w:eastAsia="Arial" w:hAnsi="Arial"/>
          <w:sz w:val="18"/>
          <w:szCs w:val="18"/>
          <w:color w:val="010000"/>
        </w:rPr>
        <w:t>15.2</w:t>
      </w:r>
      <w:r>
        <w:rPr>
          <w:sz w:val="20"/>
          <w:szCs w:val="20"/>
          <w:color w:val="auto"/>
        </w:rPr>
        <w:tab/>
      </w:r>
      <w:r>
        <w:rPr>
          <w:rFonts w:ascii="Arial" w:cs="Arial" w:eastAsia="Arial" w:hAnsi="Arial"/>
          <w:sz w:val="16"/>
          <w:szCs w:val="16"/>
          <w:color w:val="auto"/>
        </w:rPr>
        <w:t>Members may vote in person or by proxy.</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15.3</w:t>
      </w:r>
      <w:r>
        <w:rPr>
          <w:sz w:val="20"/>
          <w:szCs w:val="20"/>
          <w:color w:val="auto"/>
        </w:rPr>
        <w:tab/>
      </w:r>
      <w:r>
        <w:rPr>
          <w:rFonts w:ascii="Arial" w:cs="Arial" w:eastAsia="Arial" w:hAnsi="Arial"/>
          <w:sz w:val="16"/>
          <w:szCs w:val="16"/>
          <w:color w:val="auto"/>
        </w:rPr>
        <w:t>Every Member shall have one vote for each Share he holds, unless any Share carries special voting rights.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15.4</w:t>
      </w:r>
      <w:r>
        <w:rPr>
          <w:sz w:val="20"/>
          <w:szCs w:val="20"/>
          <w:color w:val="auto"/>
        </w:rPr>
        <w:tab/>
      </w:r>
      <w:r>
        <w:rPr>
          <w:rFonts w:ascii="Arial" w:cs="Arial" w:eastAsia="Arial" w:hAnsi="Arial"/>
          <w:sz w:val="16"/>
          <w:szCs w:val="16"/>
          <w:color w:val="auto"/>
        </w:rPr>
        <w:t>A fraction of a Share shall entitle its holder to an equivalent fraction of one vote.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15.5</w:t>
      </w:r>
      <w:r>
        <w:rPr>
          <w:sz w:val="20"/>
          <w:szCs w:val="20"/>
          <w:color w:val="auto"/>
        </w:rPr>
        <w:tab/>
      </w:r>
      <w:r>
        <w:rPr>
          <w:rFonts w:ascii="Arial" w:cs="Arial" w:eastAsia="Arial" w:hAnsi="Arial"/>
          <w:sz w:val="16"/>
          <w:szCs w:val="16"/>
          <w:color w:val="auto"/>
        </w:rPr>
        <w:t>No Member is bound to vote on his Shares or any of them; nor is he bound to vote each of his Shares in the same way.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of joint holders</w:t>
      </w:r>
    </w:p>
    <w:p>
      <w:pPr>
        <w:spacing w:after="0" w:line="246" w:lineRule="exact"/>
        <w:rPr>
          <w:sz w:val="20"/>
          <w:szCs w:val="20"/>
          <w:color w:val="auto"/>
        </w:rPr>
      </w:pPr>
    </w:p>
    <w:p>
      <w:pPr>
        <w:ind w:left="660" w:right="60" w:hanging="647"/>
        <w:spacing w:after="0" w:line="342" w:lineRule="auto"/>
        <w:tabs>
          <w:tab w:leader="none" w:pos="640" w:val="left"/>
        </w:tabs>
        <w:rPr>
          <w:sz w:val="20"/>
          <w:szCs w:val="20"/>
          <w:color w:val="auto"/>
        </w:rPr>
      </w:pPr>
      <w:r>
        <w:rPr>
          <w:rFonts w:ascii="Arial" w:cs="Arial" w:eastAsia="Arial" w:hAnsi="Arial"/>
          <w:sz w:val="18"/>
          <w:szCs w:val="18"/>
          <w:color w:val="010000"/>
        </w:rPr>
        <w:t>15.6</w:t>
      </w:r>
      <w:r>
        <w:rPr>
          <w:sz w:val="20"/>
          <w:szCs w:val="20"/>
          <w:color w:val="auto"/>
        </w:rPr>
        <w:tab/>
      </w:r>
      <w:r>
        <w:rPr>
          <w:rFonts w:ascii="Arial" w:cs="Arial" w:eastAsia="Arial" w:hAnsi="Arial"/>
          <w:sz w:val="16"/>
          <w:szCs w:val="16"/>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Representation of corporate Members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15.7</w:t>
      </w:r>
      <w:r>
        <w:rPr>
          <w:sz w:val="20"/>
          <w:szCs w:val="20"/>
          <w:color w:val="auto"/>
        </w:rPr>
        <w:tab/>
      </w:r>
      <w:r>
        <w:rPr>
          <w:rFonts w:ascii="Arial" w:cs="Arial" w:eastAsia="Arial" w:hAnsi="Arial"/>
          <w:sz w:val="16"/>
          <w:szCs w:val="16"/>
          <w:color w:val="auto"/>
        </w:rPr>
        <w:t>Save where otherwise provided, a corporate Member must act by a duly authorised representative.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15.8</w:t>
      </w:r>
      <w:r>
        <w:rPr>
          <w:sz w:val="20"/>
          <w:szCs w:val="20"/>
          <w:color w:val="auto"/>
        </w:rPr>
        <w:tab/>
      </w:r>
      <w:r>
        <w:rPr>
          <w:rFonts w:ascii="Arial" w:cs="Arial" w:eastAsia="Arial" w:hAnsi="Arial"/>
          <w:sz w:val="16"/>
          <w:szCs w:val="16"/>
          <w:color w:val="auto"/>
        </w:rPr>
        <w:t>A corporate Member wishing to act by a duly authorised representative must identify that person to the Company by notice in writing.</w:t>
      </w:r>
    </w:p>
    <w:p>
      <w:pPr>
        <w:spacing w:after="0" w:line="252"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15.9</w:t>
      </w:r>
      <w:r>
        <w:rPr>
          <w:sz w:val="20"/>
          <w:szCs w:val="20"/>
          <w:color w:val="auto"/>
        </w:rPr>
        <w:tab/>
      </w:r>
      <w:r>
        <w:rPr>
          <w:rFonts w:ascii="Arial" w:cs="Arial" w:eastAsia="Arial" w:hAnsi="Arial"/>
          <w:sz w:val="18"/>
          <w:szCs w:val="18"/>
          <w:color w:val="auto"/>
        </w:rPr>
        <w:t>The authorisation may be for any period of time, and must be delivered to the Company not less than two hours before the commencement of the meeting at which it is first used.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15.10</w:t>
      </w:r>
      <w:r>
        <w:rPr>
          <w:sz w:val="20"/>
          <w:szCs w:val="20"/>
          <w:color w:val="auto"/>
        </w:rPr>
        <w:tab/>
      </w:r>
      <w:r>
        <w:rPr>
          <w:rFonts w:ascii="Arial" w:cs="Arial" w:eastAsia="Arial" w:hAnsi="Arial"/>
          <w:sz w:val="16"/>
          <w:szCs w:val="16"/>
          <w:color w:val="auto"/>
        </w:rPr>
        <w:t>The directors of the Company may require the production of any evidence which they consider necessary to determine the validity of the notice.</w:t>
      </w:r>
    </w:p>
    <w:p>
      <w:pPr>
        <w:spacing w:after="0" w:line="252"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15.11</w:t>
      </w:r>
      <w:r>
        <w:rPr>
          <w:rFonts w:ascii="Arial" w:cs="Arial" w:eastAsia="Arial" w:hAnsi="Arial"/>
          <w:sz w:val="18"/>
          <w:szCs w:val="18"/>
          <w:color w:val="auto"/>
        </w:rPr>
        <w:tab/>
        <w:t>Where a duly authorised representative is present at a meeting that Member is deemed to be present in person; and the acts of the duly authorised representative are personal acts of that Member.</w:t>
      </w:r>
    </w:p>
    <w:p>
      <w:pPr>
        <w:spacing w:after="0" w:line="197"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15.12</w:t>
      </w:r>
      <w:r>
        <w:rPr>
          <w:rFonts w:ascii="Arial" w:cs="Arial" w:eastAsia="Arial" w:hAnsi="Arial"/>
          <w:sz w:val="18"/>
          <w:szCs w:val="18"/>
          <w:color w:val="auto"/>
        </w:rPr>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211" w:lineRule="exact"/>
        <w:rPr>
          <w:sz w:val="20"/>
          <w:szCs w:val="20"/>
          <w:color w:val="auto"/>
        </w:rPr>
      </w:pPr>
    </w:p>
    <w:p>
      <w:pPr>
        <w:ind w:left="660" w:right="140" w:hanging="647"/>
        <w:spacing w:after="0" w:line="296" w:lineRule="auto"/>
        <w:tabs>
          <w:tab w:leader="none" w:pos="640" w:val="left"/>
        </w:tabs>
        <w:rPr>
          <w:sz w:val="20"/>
          <w:szCs w:val="20"/>
          <w:color w:val="auto"/>
        </w:rPr>
      </w:pPr>
      <w:r>
        <w:rPr>
          <w:rFonts w:ascii="Arial" w:cs="Arial" w:eastAsia="Arial" w:hAnsi="Arial"/>
          <w:sz w:val="18"/>
          <w:szCs w:val="18"/>
          <w:color w:val="010000"/>
        </w:rPr>
        <w:t>15.13</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22"/>
          <w:szCs w:val="22"/>
          <w:b w:val="1"/>
          <w:bCs w:val="1"/>
          <w:color w:val="auto"/>
        </w:rPr>
        <w:t>Member with mental disorder</w:t>
      </w:r>
    </w:p>
    <w:p>
      <w:pPr>
        <w:spacing w:after="0" w:line="247" w:lineRule="exact"/>
        <w:rPr>
          <w:sz w:val="20"/>
          <w:szCs w:val="20"/>
          <w:color w:val="auto"/>
        </w:rPr>
      </w:pPr>
    </w:p>
    <w:p>
      <w:pPr>
        <w:ind w:left="660" w:right="220" w:hanging="647"/>
        <w:spacing w:after="0" w:line="342" w:lineRule="auto"/>
        <w:tabs>
          <w:tab w:leader="none" w:pos="640" w:val="left"/>
        </w:tabs>
        <w:rPr>
          <w:sz w:val="20"/>
          <w:szCs w:val="20"/>
          <w:color w:val="auto"/>
        </w:rPr>
      </w:pPr>
      <w:r>
        <w:rPr>
          <w:rFonts w:ascii="Arial" w:cs="Arial" w:eastAsia="Arial" w:hAnsi="Arial"/>
          <w:sz w:val="18"/>
          <w:szCs w:val="18"/>
          <w:color w:val="010000"/>
        </w:rPr>
        <w:t>15.14</w:t>
      </w:r>
      <w:r>
        <w:rPr>
          <w:sz w:val="20"/>
          <w:szCs w:val="20"/>
          <w:color w:val="auto"/>
        </w:rPr>
        <w:tab/>
      </w:r>
      <w:r>
        <w:rPr>
          <w:rFonts w:ascii="Arial" w:cs="Arial" w:eastAsia="Arial" w:hAnsi="Arial"/>
          <w:sz w:val="16"/>
          <w:szCs w:val="16"/>
          <w:color w:val="auto"/>
        </w:rPr>
        <w:t>A Member in respect of whom an order has been made by any court having jurisdiction (whether in the Islands or elsewhere) in matters concerning mental disorder may vote, by that Member's receiver, curator bonis or other person authorised in that behalf appointed by that court.</w:t>
      </w:r>
    </w:p>
    <w:p>
      <w:pPr>
        <w:spacing w:after="0" w:line="151"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010000"/>
        </w:rPr>
        <w:t>15.15</w:t>
      </w:r>
      <w:r>
        <w:rPr>
          <w:sz w:val="20"/>
          <w:szCs w:val="20"/>
          <w:color w:val="auto"/>
        </w:rPr>
        <w:tab/>
      </w:r>
      <w:r>
        <w:rPr>
          <w:rFonts w:ascii="Arial" w:cs="Arial" w:eastAsia="Arial" w:hAnsi="Arial"/>
          <w:sz w:val="16"/>
          <w:szCs w:val="16"/>
          <w:color w:val="auto"/>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Objections to admissibility of votes</w:t>
      </w:r>
    </w:p>
    <w:p>
      <w:pPr>
        <w:spacing w:after="0" w:line="246" w:lineRule="exact"/>
        <w:rPr>
          <w:sz w:val="20"/>
          <w:szCs w:val="20"/>
          <w:color w:val="auto"/>
        </w:rPr>
      </w:pPr>
    </w:p>
    <w:p>
      <w:pPr>
        <w:ind w:left="660" w:right="420" w:hanging="647"/>
        <w:spacing w:after="0" w:line="308" w:lineRule="auto"/>
        <w:tabs>
          <w:tab w:leader="none" w:pos="640" w:val="left"/>
        </w:tabs>
        <w:rPr>
          <w:sz w:val="20"/>
          <w:szCs w:val="20"/>
          <w:color w:val="auto"/>
        </w:rPr>
      </w:pPr>
      <w:r>
        <w:rPr>
          <w:rFonts w:ascii="Arial" w:cs="Arial" w:eastAsia="Arial" w:hAnsi="Arial"/>
          <w:sz w:val="18"/>
          <w:szCs w:val="18"/>
          <w:color w:val="010000"/>
        </w:rPr>
        <w:t>15.16</w:t>
      </w:r>
      <w:r>
        <w:rPr>
          <w:sz w:val="20"/>
          <w:szCs w:val="20"/>
          <w:color w:val="auto"/>
        </w:rPr>
        <w:tab/>
      </w:r>
      <w:r>
        <w:rPr>
          <w:rFonts w:ascii="Arial" w:cs="Arial" w:eastAsia="Arial" w:hAnsi="Arial"/>
          <w:sz w:val="17"/>
          <w:szCs w:val="17"/>
          <w:color w:val="auto"/>
        </w:rPr>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proxy</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15.17</w:t>
      </w:r>
      <w:r>
        <w:rPr>
          <w:sz w:val="20"/>
          <w:szCs w:val="20"/>
          <w:color w:val="auto"/>
        </w:rPr>
        <w:tab/>
      </w:r>
      <w:r>
        <w:rPr>
          <w:rFonts w:ascii="Arial" w:cs="Arial" w:eastAsia="Arial" w:hAnsi="Arial"/>
          <w:sz w:val="16"/>
          <w:szCs w:val="16"/>
          <w:color w:val="auto"/>
        </w:rPr>
        <w:t>An instrument appointing a proxy shall be in any common form or in any other form approved by the directors.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15.18</w:t>
      </w:r>
      <w:r>
        <w:rPr>
          <w:sz w:val="20"/>
          <w:szCs w:val="20"/>
          <w:color w:val="auto"/>
        </w:rPr>
        <w:tab/>
      </w:r>
      <w:r>
        <w:rPr>
          <w:rFonts w:ascii="Arial" w:cs="Arial" w:eastAsia="Arial" w:hAnsi="Arial"/>
          <w:sz w:val="16"/>
          <w:szCs w:val="16"/>
          <w:color w:val="auto"/>
        </w:rPr>
        <w:t>The instrument must be in writing and signed in one of the following ways:</w:t>
      </w:r>
    </w:p>
    <w:p>
      <w:pPr>
        <w:spacing w:after="0" w:line="252"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by the Member;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by the Member's authorised attorney;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16"/>
        </w:numPr>
        <w:rPr>
          <w:rFonts w:ascii="Arial" w:cs="Arial" w:eastAsia="Arial" w:hAnsi="Arial"/>
          <w:sz w:val="18"/>
          <w:szCs w:val="18"/>
          <w:color w:val="010000"/>
        </w:rPr>
      </w:pPr>
      <w:r>
        <w:rPr>
          <w:rFonts w:ascii="Arial" w:cs="Arial" w:eastAsia="Arial" w:hAnsi="Arial"/>
          <w:sz w:val="18"/>
          <w:szCs w:val="18"/>
          <w:color w:val="auto"/>
        </w:rPr>
        <w:t>if the Member is a corporation or other body corporate, under seal or signed by an authorised officer, secretary or attorney.</w:t>
      </w:r>
    </w:p>
    <w:p>
      <w:pPr>
        <w:spacing w:after="0" w:line="245" w:lineRule="exact"/>
        <w:rPr>
          <w:sz w:val="20"/>
          <w:szCs w:val="20"/>
          <w:color w:val="auto"/>
        </w:rPr>
      </w:pPr>
    </w:p>
    <w:p>
      <w:pPr>
        <w:ind w:left="660" w:right="500"/>
        <w:spacing w:after="0" w:line="274" w:lineRule="auto"/>
        <w:rPr>
          <w:sz w:val="20"/>
          <w:szCs w:val="20"/>
          <w:color w:val="auto"/>
        </w:rPr>
      </w:pPr>
      <w:r>
        <w:rPr>
          <w:rFonts w:ascii="Arial" w:cs="Arial" w:eastAsia="Arial" w:hAnsi="Arial"/>
          <w:sz w:val="21"/>
          <w:szCs w:val="21"/>
          <w:color w:val="auto"/>
        </w:rPr>
        <w:t>If the directors so resolve, the Company may accept an Electronic Record of that instrument delivered in the manner specified below and otherwise satisfying the Articles about authentication of Electronic Records.</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15.19</w:t>
      </w:r>
      <w:r>
        <w:rPr>
          <w:sz w:val="20"/>
          <w:szCs w:val="20"/>
          <w:color w:val="auto"/>
        </w:rPr>
        <w:tab/>
      </w:r>
      <w:r>
        <w:rPr>
          <w:rFonts w:ascii="Arial" w:cs="Arial" w:eastAsia="Arial" w:hAnsi="Arial"/>
          <w:sz w:val="16"/>
          <w:szCs w:val="16"/>
          <w:color w:val="auto"/>
        </w:rPr>
        <w:t>The directors may require the production of any evidence which they consider necessary to determine the validity of any appointment of a proxy.</w:t>
      </w:r>
    </w:p>
    <w:p>
      <w:pPr>
        <w:spacing w:after="0" w:line="252"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010000"/>
        </w:rPr>
        <w:t>15.20</w:t>
      </w:r>
      <w:r>
        <w:rPr>
          <w:rFonts w:ascii="Arial" w:cs="Arial" w:eastAsia="Arial" w:hAnsi="Arial"/>
          <w:sz w:val="18"/>
          <w:szCs w:val="18"/>
          <w:color w:val="auto"/>
        </w:rPr>
        <w:tab/>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and when proxy is to be delivered</w:t>
      </w:r>
    </w:p>
    <w:p>
      <w:pPr>
        <w:spacing w:after="0" w:line="246"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Arial" w:cs="Arial" w:eastAsia="Arial" w:hAnsi="Arial"/>
          <w:sz w:val="18"/>
          <w:szCs w:val="18"/>
          <w:color w:val="010000"/>
        </w:rPr>
        <w:t>15.21</w:t>
      </w:r>
      <w:r>
        <w:rPr>
          <w:rFonts w:ascii="Arial" w:cs="Arial" w:eastAsia="Arial" w:hAnsi="Arial"/>
          <w:sz w:val="18"/>
          <w:szCs w:val="18"/>
          <w:color w:val="auto"/>
        </w:rPr>
        <w:tab/>
        <w:t>Subject to the following Articles, the form of appointment of a proxy and any authority under which it is signed (or a copy of the authority certified notarially or in any other way approved by the directors) must be delivered so that it is received by the Company not less than 48 hours before the time for holding the meeting or adjourned meeting at which the person named in the form of appointment of proxy proposes to vote. They must be delivered in either of the following ways: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77" w:name="page78"/>
    <w:bookmarkEnd w:id="77"/>
    <w:p>
      <w:pPr>
        <w:ind w:left="1300" w:hanging="644"/>
        <w:spacing w:after="0"/>
        <w:tabs>
          <w:tab w:leader="none" w:pos="130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In the case of an instrument in writing, it must be left at or sent by post:</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to the registered office of the Company; or</w:t>
      </w:r>
    </w:p>
    <w:p>
      <w:pPr>
        <w:spacing w:after="0" w:line="252" w:lineRule="exact"/>
        <w:rPr>
          <w:rFonts w:ascii="Arial" w:cs="Arial" w:eastAsia="Arial" w:hAnsi="Arial"/>
          <w:sz w:val="18"/>
          <w:szCs w:val="18"/>
          <w:color w:val="010000"/>
        </w:rPr>
      </w:pPr>
    </w:p>
    <w:p>
      <w:pPr>
        <w:ind w:left="1960" w:right="620" w:hanging="656"/>
        <w:spacing w:after="0" w:line="277" w:lineRule="auto"/>
        <w:tabs>
          <w:tab w:leader="none" w:pos="1960"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to such other place specified in the notice convening the meeting or in any form of appointment of proxy sent out by the Company in relation to the meeting.</w:t>
      </w:r>
    </w:p>
    <w:p>
      <w:pPr>
        <w:spacing w:after="0" w:line="197" w:lineRule="exact"/>
        <w:rPr>
          <w:rFonts w:ascii="Arial" w:cs="Arial" w:eastAsia="Arial" w:hAnsi="Arial"/>
          <w:sz w:val="18"/>
          <w:szCs w:val="18"/>
          <w:color w:val="010000"/>
        </w:rPr>
      </w:pPr>
    </w:p>
    <w:p>
      <w:pPr>
        <w:ind w:left="1300" w:right="480" w:hanging="644"/>
        <w:spacing w:after="0" w:line="263" w:lineRule="auto"/>
        <w:tabs>
          <w:tab w:leader="none" w:pos="1300" w:val="left"/>
        </w:tabs>
        <w:numPr>
          <w:ilvl w:val="0"/>
          <w:numId w:val="117"/>
        </w:numPr>
        <w:rPr>
          <w:rFonts w:ascii="Arial" w:cs="Arial" w:eastAsia="Arial" w:hAnsi="Arial"/>
          <w:sz w:val="18"/>
          <w:szCs w:val="18"/>
          <w:color w:val="010000"/>
        </w:rPr>
      </w:pPr>
      <w:r>
        <w:rPr>
          <w:rFonts w:ascii="Arial" w:cs="Arial" w:eastAsia="Arial" w:hAnsi="Arial"/>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210" w:lineRule="exact"/>
        <w:rPr>
          <w:rFonts w:ascii="Arial" w:cs="Arial" w:eastAsia="Arial" w:hAnsi="Arial"/>
          <w:sz w:val="18"/>
          <w:szCs w:val="18"/>
          <w:color w:val="010000"/>
        </w:rPr>
      </w:pPr>
    </w:p>
    <w:p>
      <w:pPr>
        <w:ind w:left="1960" w:hanging="656"/>
        <w:spacing w:after="0"/>
        <w:tabs>
          <w:tab w:leader="none" w:pos="1960"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in the notice convening the meeting; or</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in any form of appointment of a proxy sent out by the Company in relation to the meeting; or</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in any invitation to appoint a proxy issued by the Company in relation to the meeting.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15.22</w:t>
      </w:r>
      <w:r>
        <w:rPr>
          <w:sz w:val="20"/>
          <w:szCs w:val="20"/>
          <w:color w:val="auto"/>
        </w:rPr>
        <w:tab/>
      </w:r>
      <w:r>
        <w:rPr>
          <w:rFonts w:ascii="Arial" w:cs="Arial" w:eastAsia="Arial" w:hAnsi="Arial"/>
          <w:sz w:val="16"/>
          <w:szCs w:val="16"/>
          <w:color w:val="auto"/>
        </w:rPr>
        <w:t>Where a poll is taken:</w:t>
      </w:r>
    </w:p>
    <w:p>
      <w:pPr>
        <w:spacing w:after="0" w:line="252" w:lineRule="exact"/>
        <w:rPr>
          <w:sz w:val="20"/>
          <w:szCs w:val="20"/>
          <w:color w:val="auto"/>
        </w:rPr>
      </w:pPr>
    </w:p>
    <w:p>
      <w:pPr>
        <w:jc w:val="both"/>
        <w:ind w:left="1300" w:hanging="644"/>
        <w:spacing w:after="0" w:line="263" w:lineRule="auto"/>
        <w:tabs>
          <w:tab w:leader="none" w:pos="130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p>
    <w:p>
      <w:pPr>
        <w:spacing w:after="0" w:line="210" w:lineRule="exact"/>
        <w:rPr>
          <w:rFonts w:ascii="Arial" w:cs="Arial" w:eastAsia="Arial" w:hAnsi="Arial"/>
          <w:sz w:val="18"/>
          <w:szCs w:val="18"/>
          <w:color w:val="010000"/>
        </w:rPr>
      </w:pPr>
    </w:p>
    <w:p>
      <w:pPr>
        <w:jc w:val="both"/>
        <w:ind w:left="1300" w:right="60" w:hanging="644"/>
        <w:spacing w:after="0" w:line="263" w:lineRule="auto"/>
        <w:tabs>
          <w:tab w:leader="none" w:pos="1300"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21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15.23</w:t>
      </w:r>
      <w:r>
        <w:rPr>
          <w:sz w:val="20"/>
          <w:szCs w:val="20"/>
          <w:color w:val="auto"/>
        </w:rPr>
        <w:tab/>
      </w:r>
      <w:r>
        <w:rPr>
          <w:rFonts w:ascii="Arial" w:cs="Arial" w:eastAsia="Arial" w:hAnsi="Arial"/>
          <w:sz w:val="16"/>
          <w:szCs w:val="16"/>
          <w:color w:val="auto"/>
        </w:rPr>
        <w:t>If the form of appointment of proxy is not delivered on time, it is invalid.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by proxy</w:t>
      </w:r>
    </w:p>
    <w:p>
      <w:pPr>
        <w:spacing w:after="0" w:line="246" w:lineRule="exact"/>
        <w:rPr>
          <w:sz w:val="20"/>
          <w:szCs w:val="20"/>
          <w:color w:val="auto"/>
        </w:rPr>
      </w:pPr>
    </w:p>
    <w:p>
      <w:pPr>
        <w:ind w:left="660" w:right="60" w:hanging="647"/>
        <w:spacing w:after="0" w:line="259" w:lineRule="auto"/>
        <w:tabs>
          <w:tab w:leader="none" w:pos="640" w:val="left"/>
        </w:tabs>
        <w:rPr>
          <w:sz w:val="20"/>
          <w:szCs w:val="20"/>
          <w:color w:val="auto"/>
        </w:rPr>
      </w:pPr>
      <w:r>
        <w:rPr>
          <w:rFonts w:ascii="Arial" w:cs="Arial" w:eastAsia="Arial" w:hAnsi="Arial"/>
          <w:sz w:val="18"/>
          <w:szCs w:val="18"/>
          <w:color w:val="010000"/>
        </w:rPr>
        <w:t>15.24</w:t>
      </w:r>
      <w:r>
        <w:rPr>
          <w:rFonts w:ascii="Arial" w:cs="Arial" w:eastAsia="Arial" w:hAnsi="Arial"/>
          <w:sz w:val="18"/>
          <w:szCs w:val="18"/>
          <w:color w:val="auto"/>
        </w:rPr>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210"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010000"/>
        </w:rPr>
      </w:pPr>
      <w:r>
        <w:rPr>
          <w:rFonts w:ascii="Arial" w:cs="Arial" w:eastAsia="Arial" w:hAnsi="Arial"/>
          <w:sz w:val="18"/>
          <w:szCs w:val="18"/>
          <w:b w:val="1"/>
          <w:bCs w:val="1"/>
          <w:color w:val="auto"/>
        </w:rPr>
        <w:t>Number of directors</w:t>
      </w:r>
    </w:p>
    <w:p>
      <w:pPr>
        <w:spacing w:after="0" w:line="249" w:lineRule="exact"/>
        <w:rPr>
          <w:sz w:val="20"/>
          <w:szCs w:val="20"/>
          <w:color w:val="auto"/>
        </w:rPr>
      </w:pPr>
    </w:p>
    <w:p>
      <w:pPr>
        <w:ind w:left="660" w:right="240"/>
        <w:spacing w:after="0" w:line="250" w:lineRule="auto"/>
        <w:rPr>
          <w:sz w:val="20"/>
          <w:szCs w:val="20"/>
          <w:color w:val="auto"/>
        </w:rPr>
      </w:pPr>
      <w:r>
        <w:rPr>
          <w:rFonts w:ascii="Arial" w:cs="Arial" w:eastAsia="Arial" w:hAnsi="Arial"/>
          <w:sz w:val="22"/>
          <w:szCs w:val="22"/>
          <w:color w:val="auto"/>
        </w:rPr>
        <w:t>Unless otherwise determined by Ordinary Resolution, the minimum number of directors shall be one and the maximum shall be ten.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ind w:left="660" w:hanging="652"/>
        <w:spacing w:after="0"/>
        <w:tabs>
          <w:tab w:leader="none" w:pos="660" w:val="left"/>
        </w:tabs>
        <w:numPr>
          <w:ilvl w:val="0"/>
          <w:numId w:val="120"/>
        </w:numPr>
        <w:rPr>
          <w:rFonts w:ascii="Arial" w:cs="Arial" w:eastAsia="Arial" w:hAnsi="Arial"/>
          <w:sz w:val="18"/>
          <w:szCs w:val="18"/>
          <w:b w:val="1"/>
          <w:bCs w:val="1"/>
          <w:color w:val="010000"/>
        </w:rPr>
      </w:pPr>
      <w:r>
        <w:rPr>
          <w:rFonts w:ascii="Arial" w:cs="Arial" w:eastAsia="Arial" w:hAnsi="Arial"/>
          <w:sz w:val="18"/>
          <w:szCs w:val="18"/>
          <w:b w:val="1"/>
          <w:bCs w:val="1"/>
          <w:color w:val="auto"/>
        </w:rPr>
        <w:t>Appointment, disqualification and removal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age limit</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17.1</w:t>
      </w:r>
      <w:r>
        <w:rPr>
          <w:sz w:val="20"/>
          <w:szCs w:val="20"/>
          <w:color w:val="auto"/>
        </w:rPr>
        <w:tab/>
      </w:r>
      <w:r>
        <w:rPr>
          <w:rFonts w:ascii="Arial" w:cs="Arial" w:eastAsia="Arial" w:hAnsi="Arial"/>
          <w:sz w:val="16"/>
          <w:szCs w:val="16"/>
          <w:color w:val="auto"/>
        </w:rPr>
        <w:t>There is no age limit for directors save that they must be aged at least 18 years.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directors</w:t>
      </w:r>
    </w:p>
    <w:p>
      <w:pPr>
        <w:spacing w:after="0" w:line="246"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010000"/>
        </w:rPr>
        <w:t>17.2</w:t>
      </w:r>
      <w:r>
        <w:rPr>
          <w:sz w:val="20"/>
          <w:szCs w:val="20"/>
          <w:color w:val="auto"/>
        </w:rPr>
        <w:tab/>
      </w:r>
      <w:r>
        <w:rPr>
          <w:rFonts w:ascii="Arial" w:cs="Arial" w:eastAsia="Arial" w:hAnsi="Arial"/>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shareholding qualification</w:t>
      </w:r>
    </w:p>
    <w:p>
      <w:pPr>
        <w:spacing w:after="0" w:line="246"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010000"/>
        </w:rPr>
        <w:t>17.3</w:t>
      </w:r>
      <w:r>
        <w:rPr>
          <w:sz w:val="20"/>
          <w:szCs w:val="20"/>
          <w:color w:val="auto"/>
        </w:rPr>
        <w:tab/>
      </w:r>
      <w:r>
        <w:rPr>
          <w:rFonts w:ascii="Arial" w:cs="Arial" w:eastAsia="Arial" w:hAnsi="Arial"/>
          <w:sz w:val="18"/>
          <w:szCs w:val="18"/>
          <w:color w:val="auto"/>
        </w:rPr>
        <w:t>Unless a shareholding qualification for directors is fixed by Ordinary Resolution, no director shall be required to own Shares as a condition of his appointment.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and removal of directors</w:t>
      </w:r>
    </w:p>
    <w:p>
      <w:pPr>
        <w:spacing w:after="0" w:line="246" w:lineRule="exact"/>
        <w:rPr>
          <w:sz w:val="20"/>
          <w:szCs w:val="20"/>
          <w:color w:val="auto"/>
        </w:rPr>
      </w:pPr>
    </w:p>
    <w:p>
      <w:pPr>
        <w:ind w:left="660" w:hanging="647"/>
        <w:spacing w:after="0" w:line="271" w:lineRule="auto"/>
        <w:tabs>
          <w:tab w:leader="none" w:pos="640" w:val="left"/>
        </w:tabs>
        <w:rPr>
          <w:sz w:val="20"/>
          <w:szCs w:val="20"/>
          <w:color w:val="auto"/>
        </w:rPr>
      </w:pPr>
      <w:r>
        <w:rPr>
          <w:rFonts w:ascii="Arial" w:cs="Arial" w:eastAsia="Arial" w:hAnsi="Arial"/>
          <w:sz w:val="18"/>
          <w:szCs w:val="18"/>
          <w:color w:val="010000"/>
        </w:rPr>
        <w:t>17.4</w:t>
      </w:r>
      <w:r>
        <w:rPr>
          <w:sz w:val="20"/>
          <w:szCs w:val="20"/>
          <w:color w:val="auto"/>
        </w:rPr>
        <w:tab/>
      </w:r>
      <w:r>
        <w:rPr>
          <w:rFonts w:ascii="Arial" w:cs="Arial" w:eastAsia="Arial" w:hAnsi="Arial"/>
          <w:sz w:val="17"/>
          <w:szCs w:val="17"/>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spacing w:after="0" w:line="205" w:lineRule="exact"/>
        <w:rPr>
          <w:sz w:val="20"/>
          <w:szCs w:val="20"/>
          <w:color w:val="auto"/>
        </w:rPr>
      </w:pPr>
    </w:p>
    <w:p>
      <w:pPr>
        <w:ind w:left="660" w:right="20" w:hanging="647"/>
        <w:spacing w:after="0" w:line="311" w:lineRule="auto"/>
        <w:tabs>
          <w:tab w:leader="none" w:pos="640" w:val="left"/>
        </w:tabs>
        <w:rPr>
          <w:sz w:val="20"/>
          <w:szCs w:val="20"/>
          <w:color w:val="auto"/>
        </w:rPr>
      </w:pPr>
      <w:r>
        <w:rPr>
          <w:rFonts w:ascii="Arial" w:cs="Arial" w:eastAsia="Arial" w:hAnsi="Arial"/>
          <w:sz w:val="18"/>
          <w:szCs w:val="18"/>
          <w:color w:val="010000"/>
        </w:rPr>
        <w:t>17.5</w:t>
      </w:r>
      <w:r>
        <w:rPr>
          <w:sz w:val="20"/>
          <w:szCs w:val="20"/>
          <w:color w:val="auto"/>
        </w:rPr>
        <w:tab/>
      </w:r>
      <w:r>
        <w:rPr>
          <w:rFonts w:ascii="Arial" w:cs="Arial" w:eastAsia="Arial" w:hAnsi="Arial"/>
          <w:sz w:val="16"/>
          <w:szCs w:val="16"/>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176"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010000"/>
        </w:rPr>
        <w:t>17.6</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17.7</w:t>
      </w:r>
      <w:r>
        <w:rPr>
          <w:sz w:val="20"/>
          <w:szCs w:val="20"/>
          <w:color w:val="auto"/>
        </w:rPr>
        <w:tab/>
      </w:r>
      <w:r>
        <w:rPr>
          <w:rFonts w:ascii="Arial" w:cs="Arial" w:eastAsia="Arial" w:hAnsi="Arial"/>
          <w:sz w:val="16"/>
          <w:szCs w:val="16"/>
          <w:color w:val="auto"/>
        </w:rPr>
        <w:t>Article 17.5 may only be amended by a Special Resolution passed by holders representing at least two-thirds of the outstanding Class B Shares.</w:t>
      </w:r>
    </w:p>
    <w:p>
      <w:pPr>
        <w:spacing w:after="0" w:line="252" w:lineRule="exact"/>
        <w:rPr>
          <w:sz w:val="20"/>
          <w:szCs w:val="20"/>
          <w:color w:val="auto"/>
        </w:rPr>
      </w:pPr>
    </w:p>
    <w:p>
      <w:pPr>
        <w:ind w:left="660" w:right="280" w:hanging="647"/>
        <w:spacing w:after="0" w:line="279" w:lineRule="auto"/>
        <w:tabs>
          <w:tab w:leader="none" w:pos="640" w:val="left"/>
        </w:tabs>
        <w:rPr>
          <w:sz w:val="20"/>
          <w:szCs w:val="20"/>
          <w:color w:val="auto"/>
        </w:rPr>
      </w:pPr>
      <w:r>
        <w:rPr>
          <w:rFonts w:ascii="Arial" w:cs="Arial" w:eastAsia="Arial" w:hAnsi="Arial"/>
          <w:sz w:val="18"/>
          <w:szCs w:val="18"/>
          <w:color w:val="010000"/>
        </w:rPr>
        <w:t>17.8</w:t>
      </w:r>
      <w:r>
        <w:rPr>
          <w:sz w:val="20"/>
          <w:szCs w:val="20"/>
          <w:color w:val="auto"/>
        </w:rPr>
        <w:tab/>
      </w:r>
      <w:r>
        <w:rPr>
          <w:rFonts w:ascii="Arial" w:cs="Arial" w:eastAsia="Arial" w:hAnsi="Arial"/>
          <w:sz w:val="17"/>
          <w:szCs w:val="17"/>
          <w:color w:val="auto"/>
        </w:rPr>
        <w:t>Without prejudice to the Company's power to appoint a person to be a director pursuant to these Articles, the directors shall have power at any time to appoint any person who is willing to act as a director, either to fill a vacancy or as an additional director.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98"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010000"/>
        </w:rPr>
        <w:t>17.9</w:t>
      </w:r>
      <w:r>
        <w:rPr>
          <w:sz w:val="20"/>
          <w:szCs w:val="20"/>
          <w:color w:val="auto"/>
        </w:rPr>
        <w:tab/>
      </w:r>
      <w:r>
        <w:rPr>
          <w:rFonts w:ascii="Arial" w:cs="Arial" w:eastAsia="Arial" w:hAnsi="Arial"/>
          <w:sz w:val="18"/>
          <w:szCs w:val="18"/>
          <w:color w:val="auto"/>
        </w:rPr>
        <w:t>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ind w:left="1300" w:right="120" w:hanging="644"/>
        <w:spacing w:after="0" w:line="277" w:lineRule="auto"/>
        <w:tabs>
          <w:tab w:leader="none" w:pos="1300"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where two or more shareholders die in circumstances rendering it uncertain who was the last to die, a younger shareholder is deemed to have survived an older shareholder;</w:t>
      </w:r>
    </w:p>
    <w:p>
      <w:pPr>
        <w:spacing w:after="0" w:line="197"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21"/>
        </w:numPr>
        <w:rPr>
          <w:rFonts w:ascii="Arial" w:cs="Arial" w:eastAsia="Arial" w:hAnsi="Arial"/>
          <w:sz w:val="18"/>
          <w:szCs w:val="18"/>
          <w:color w:val="010000"/>
        </w:rPr>
      </w:pPr>
      <w:r>
        <w:rPr>
          <w:rFonts w:ascii="Arial" w:cs="Arial" w:eastAsia="Arial" w:hAnsi="Arial"/>
          <w:sz w:val="18"/>
          <w:szCs w:val="18"/>
          <w:color w:val="auto"/>
        </w:rPr>
        <w:t>if the last shareholder died leaving a will which disposes of that shareholder’s shares in the Company (whether by way of specific gift, as part of the residuary estate, or otherwise):</w:t>
      </w:r>
    </w:p>
    <w:p>
      <w:pPr>
        <w:spacing w:after="0" w:line="197" w:lineRule="exact"/>
        <w:rPr>
          <w:rFonts w:ascii="Arial" w:cs="Arial" w:eastAsia="Arial" w:hAnsi="Arial"/>
          <w:sz w:val="18"/>
          <w:szCs w:val="18"/>
          <w:color w:val="010000"/>
        </w:rPr>
      </w:pPr>
    </w:p>
    <w:p>
      <w:pPr>
        <w:ind w:left="1960" w:hanging="656"/>
        <w:spacing w:after="0"/>
        <w:tabs>
          <w:tab w:leader="none" w:pos="1960" w:val="left"/>
        </w:tabs>
        <w:numPr>
          <w:ilvl w:val="1"/>
          <w:numId w:val="121"/>
        </w:numPr>
        <w:rPr>
          <w:rFonts w:ascii="Arial" w:cs="Arial" w:eastAsia="Arial" w:hAnsi="Arial"/>
          <w:sz w:val="18"/>
          <w:szCs w:val="18"/>
          <w:color w:val="010000"/>
        </w:rPr>
      </w:pPr>
      <w:r>
        <w:rPr>
          <w:rFonts w:ascii="Arial" w:cs="Arial" w:eastAsia="Arial" w:hAnsi="Arial"/>
          <w:sz w:val="18"/>
          <w:szCs w:val="18"/>
          <w:color w:val="auto"/>
        </w:rPr>
        <w:t>the expression personal representatives of the last shareholder means:</w:t>
      </w:r>
    </w:p>
    <w:p>
      <w:pPr>
        <w:spacing w:after="0" w:line="252" w:lineRule="exact"/>
        <w:rPr>
          <w:rFonts w:ascii="Arial" w:cs="Arial" w:eastAsia="Arial" w:hAnsi="Arial"/>
          <w:sz w:val="18"/>
          <w:szCs w:val="18"/>
          <w:color w:val="010000"/>
        </w:rPr>
      </w:pPr>
    </w:p>
    <w:p>
      <w:pPr>
        <w:ind w:left="2600" w:right="20" w:hanging="648"/>
        <w:spacing w:after="0" w:line="342" w:lineRule="auto"/>
        <w:tabs>
          <w:tab w:leader="none" w:pos="2600" w:val="left"/>
        </w:tabs>
        <w:numPr>
          <w:ilvl w:val="2"/>
          <w:numId w:val="121"/>
        </w:numPr>
        <w:rPr>
          <w:rFonts w:ascii="Arial" w:cs="Arial" w:eastAsia="Arial" w:hAnsi="Arial"/>
          <w:sz w:val="16"/>
          <w:szCs w:val="16"/>
          <w:color w:val="010000"/>
        </w:rPr>
      </w:pPr>
      <w:r>
        <w:rPr>
          <w:rFonts w:ascii="Arial" w:cs="Arial" w:eastAsia="Arial" w:hAnsi="Arial"/>
          <w:sz w:val="16"/>
          <w:szCs w:val="16"/>
          <w:color w:val="auto"/>
        </w:rPr>
        <w:t>until a grant of probate in respect of that will has been obtained from the Grand Court of the Cayman Islands, all of the executors named in that will who are living at the time the power of appointment under this Article is exercised; and</w:t>
      </w:r>
    </w:p>
    <w:p>
      <w:pPr>
        <w:spacing w:after="0" w:line="150" w:lineRule="exact"/>
        <w:rPr>
          <w:rFonts w:ascii="Arial" w:cs="Arial" w:eastAsia="Arial" w:hAnsi="Arial"/>
          <w:sz w:val="16"/>
          <w:szCs w:val="16"/>
          <w:color w:val="010000"/>
        </w:rPr>
      </w:pPr>
    </w:p>
    <w:p>
      <w:pPr>
        <w:ind w:left="2600" w:hanging="648"/>
        <w:spacing w:after="0"/>
        <w:tabs>
          <w:tab w:leader="none" w:pos="2600" w:val="left"/>
        </w:tabs>
        <w:numPr>
          <w:ilvl w:val="2"/>
          <w:numId w:val="121"/>
        </w:numPr>
        <w:rPr>
          <w:rFonts w:ascii="Arial" w:cs="Arial" w:eastAsia="Arial" w:hAnsi="Arial"/>
          <w:sz w:val="18"/>
          <w:szCs w:val="18"/>
          <w:color w:val="010000"/>
        </w:rPr>
      </w:pPr>
      <w:r>
        <w:rPr>
          <w:rFonts w:ascii="Arial" w:cs="Arial" w:eastAsia="Arial" w:hAnsi="Arial"/>
          <w:sz w:val="18"/>
          <w:szCs w:val="18"/>
          <w:color w:val="auto"/>
        </w:rPr>
        <w:t>after such grant of probate has been obtained, only such of those executors who have proved that will;</w:t>
      </w:r>
    </w:p>
    <w:p>
      <w:pPr>
        <w:spacing w:after="0" w:line="252" w:lineRule="exact"/>
        <w:rPr>
          <w:rFonts w:ascii="Arial" w:cs="Arial" w:eastAsia="Arial" w:hAnsi="Arial"/>
          <w:sz w:val="18"/>
          <w:szCs w:val="18"/>
          <w:color w:val="010000"/>
        </w:rPr>
      </w:pPr>
    </w:p>
    <w:p>
      <w:pPr>
        <w:ind w:left="1960" w:right="20" w:hanging="656"/>
        <w:spacing w:after="0" w:line="277" w:lineRule="auto"/>
        <w:tabs>
          <w:tab w:leader="none" w:pos="1960" w:val="left"/>
        </w:tabs>
        <w:numPr>
          <w:ilvl w:val="1"/>
          <w:numId w:val="121"/>
        </w:numPr>
        <w:rPr>
          <w:rFonts w:ascii="Arial" w:cs="Arial" w:eastAsia="Arial" w:hAnsi="Arial"/>
          <w:sz w:val="18"/>
          <w:szCs w:val="18"/>
          <w:color w:val="010000"/>
        </w:rPr>
      </w:pPr>
      <w:r>
        <w:rPr>
          <w:rFonts w:ascii="Arial" w:cs="Arial" w:eastAsia="Arial" w:hAnsi="Arial"/>
          <w:sz w:val="18"/>
          <w:szCs w:val="18"/>
          <w:color w:val="auto"/>
        </w:rPr>
        <w:t>without derogating from section 3(1) of the Succession Law (Revised), the executors named in that will may exercise the power of appointment under this Article without first obtaining a grant of probate.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17.10</w:t>
      </w:r>
      <w:r>
        <w:rPr>
          <w:sz w:val="20"/>
          <w:szCs w:val="20"/>
          <w:color w:val="auto"/>
        </w:rPr>
        <w:tab/>
      </w:r>
      <w:r>
        <w:rPr>
          <w:rFonts w:ascii="Arial" w:cs="Arial" w:eastAsia="Arial" w:hAnsi="Arial"/>
          <w:sz w:val="16"/>
          <w:szCs w:val="16"/>
          <w:color w:val="auto"/>
        </w:rPr>
        <w:t>A remaining director may appoint a director even though there is not a quorum of directors.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17.11</w:t>
      </w:r>
      <w:r>
        <w:rPr>
          <w:sz w:val="20"/>
          <w:szCs w:val="20"/>
          <w:color w:val="auto"/>
        </w:rPr>
        <w:tab/>
      </w:r>
      <w:r>
        <w:rPr>
          <w:rFonts w:ascii="Arial" w:cs="Arial" w:eastAsia="Arial" w:hAnsi="Arial"/>
          <w:sz w:val="16"/>
          <w:szCs w:val="16"/>
          <w:color w:val="auto"/>
        </w:rPr>
        <w:t>No appointment can cause the number of directors to exceed the maximum; and any such appointment shall be invalid.</w:t>
      </w:r>
    </w:p>
    <w:p>
      <w:pPr>
        <w:spacing w:after="0" w:line="252" w:lineRule="exact"/>
        <w:rPr>
          <w:sz w:val="20"/>
          <w:szCs w:val="20"/>
          <w:color w:val="auto"/>
        </w:rPr>
      </w:pPr>
    </w:p>
    <w:p>
      <w:pPr>
        <w:jc w:val="both"/>
        <w:ind w:left="660" w:right="360" w:hanging="647"/>
        <w:spacing w:after="0" w:line="263" w:lineRule="auto"/>
        <w:tabs>
          <w:tab w:leader="none" w:pos="640" w:val="left"/>
        </w:tabs>
        <w:rPr>
          <w:sz w:val="20"/>
          <w:szCs w:val="20"/>
          <w:color w:val="auto"/>
        </w:rPr>
      </w:pPr>
      <w:r>
        <w:rPr>
          <w:rFonts w:ascii="Arial" w:cs="Arial" w:eastAsia="Arial" w:hAnsi="Arial"/>
          <w:sz w:val="18"/>
          <w:szCs w:val="18"/>
          <w:color w:val="010000"/>
        </w:rPr>
        <w:t>17.12</w:t>
      </w:r>
      <w:r>
        <w:rPr>
          <w:rFonts w:ascii="Arial" w:cs="Arial" w:eastAsia="Arial" w:hAnsi="Arial"/>
          <w:sz w:val="18"/>
          <w:szCs w:val="18"/>
          <w:color w:val="auto"/>
        </w:rPr>
        <w:tab/>
        <w:t>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Resignation of directors</w:t>
      </w:r>
    </w:p>
    <w:p>
      <w:pPr>
        <w:spacing w:after="0" w:line="246" w:lineRule="exact"/>
        <w:rPr>
          <w:sz w:val="20"/>
          <w:szCs w:val="20"/>
          <w:color w:val="auto"/>
        </w:rPr>
      </w:pPr>
    </w:p>
    <w:p>
      <w:pPr>
        <w:ind w:left="660" w:right="520" w:hanging="647"/>
        <w:spacing w:after="0" w:line="277" w:lineRule="auto"/>
        <w:tabs>
          <w:tab w:leader="none" w:pos="640" w:val="left"/>
        </w:tabs>
        <w:rPr>
          <w:sz w:val="20"/>
          <w:szCs w:val="20"/>
          <w:color w:val="auto"/>
        </w:rPr>
      </w:pPr>
      <w:r>
        <w:rPr>
          <w:rFonts w:ascii="Arial" w:cs="Arial" w:eastAsia="Arial" w:hAnsi="Arial"/>
          <w:sz w:val="18"/>
          <w:szCs w:val="18"/>
          <w:color w:val="010000"/>
        </w:rPr>
        <w:t>17.13</w:t>
      </w:r>
      <w:r>
        <w:rPr>
          <w:rFonts w:ascii="Arial" w:cs="Arial" w:eastAsia="Arial" w:hAnsi="Arial"/>
          <w:sz w:val="18"/>
          <w:szCs w:val="18"/>
          <w:color w:val="auto"/>
        </w:rPr>
        <w:tab/>
        <w:t>A director may at any time resign office by giving to the Company notice in writing or, if permitted pursuant to the notice provisions, in an Electronic Record delivered in either case in accordance with those provisions.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17.14</w:t>
      </w:r>
      <w:r>
        <w:rPr>
          <w:sz w:val="20"/>
          <w:szCs w:val="20"/>
          <w:color w:val="auto"/>
        </w:rPr>
        <w:tab/>
      </w:r>
      <w:r>
        <w:rPr>
          <w:rFonts w:ascii="Arial" w:cs="Arial" w:eastAsia="Arial" w:hAnsi="Arial"/>
          <w:sz w:val="16"/>
          <w:szCs w:val="16"/>
          <w:color w:val="auto"/>
        </w:rPr>
        <w:t>Unless the notice specifies a different date, the director shall be deemed to have resigned on the date that the notice is delivered to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the office of director</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17.15</w:t>
      </w:r>
      <w:r>
        <w:rPr>
          <w:sz w:val="20"/>
          <w:szCs w:val="20"/>
          <w:color w:val="auto"/>
        </w:rPr>
        <w:tab/>
      </w:r>
      <w:r>
        <w:rPr>
          <w:rFonts w:ascii="Arial" w:cs="Arial" w:eastAsia="Arial" w:hAnsi="Arial"/>
          <w:sz w:val="16"/>
          <w:szCs w:val="16"/>
          <w:color w:val="auto"/>
        </w:rPr>
        <w:t>A director's office shall be terminated forthwith if:</w:t>
      </w:r>
    </w:p>
    <w:p>
      <w:pPr>
        <w:spacing w:after="0" w:line="252" w:lineRule="exact"/>
        <w:rPr>
          <w:sz w:val="20"/>
          <w:szCs w:val="20"/>
          <w:color w:val="auto"/>
        </w:rPr>
      </w:pPr>
    </w:p>
    <w:p>
      <w:pPr>
        <w:ind w:left="1300" w:hanging="644"/>
        <w:spacing w:after="0"/>
        <w:tabs>
          <w:tab w:leader="none" w:pos="130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he is prohibited by the law of the Islands from acting as a director;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22"/>
        </w:numPr>
        <w:rPr>
          <w:rFonts w:ascii="Arial" w:cs="Arial" w:eastAsia="Arial" w:hAnsi="Arial"/>
          <w:sz w:val="18"/>
          <w:szCs w:val="18"/>
          <w:color w:val="010000"/>
        </w:rPr>
      </w:pPr>
      <w:r>
        <w:rPr>
          <w:rFonts w:ascii="Arial" w:cs="Arial" w:eastAsia="Arial" w:hAnsi="Arial"/>
          <w:sz w:val="18"/>
          <w:szCs w:val="18"/>
          <w:color w:val="auto"/>
        </w:rPr>
        <w:t>he is made bankrupt or makes an arrangement or composition with his creditors generally; or</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0" w:name="page81"/>
    <w:bookmarkEnd w:id="80"/>
    <w:p>
      <w:pPr>
        <w:ind w:left="1300" w:right="20" w:hanging="644"/>
        <w:spacing w:after="0" w:line="277" w:lineRule="auto"/>
        <w:tabs>
          <w:tab w:leader="none" w:pos="130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in the opinion of a registered medical practitioner by whom he is being treated he becomes physically or mentally incapable of acting as a director; or</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he is made subject to any law relating to mental health or incompetence, whether by court order or otherwise;</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without the consent of the other directors, he is absent from meetings of directors for a continuous period of six months; or</w:t>
      </w:r>
    </w:p>
    <w:p>
      <w:pPr>
        <w:spacing w:after="0" w:line="252" w:lineRule="exact"/>
        <w:rPr>
          <w:rFonts w:ascii="Arial" w:cs="Arial" w:eastAsia="Arial" w:hAnsi="Arial"/>
          <w:sz w:val="18"/>
          <w:szCs w:val="18"/>
          <w:color w:val="010000"/>
        </w:rPr>
      </w:pPr>
    </w:p>
    <w:p>
      <w:pPr>
        <w:ind w:left="1300" w:right="40" w:hanging="644"/>
        <w:spacing w:after="0" w:line="263" w:lineRule="auto"/>
        <w:tabs>
          <w:tab w:leader="none" w:pos="1300" w:val="left"/>
        </w:tabs>
        <w:numPr>
          <w:ilvl w:val="0"/>
          <w:numId w:val="123"/>
        </w:numPr>
        <w:rPr>
          <w:rFonts w:ascii="Arial" w:cs="Arial" w:eastAsia="Arial" w:hAnsi="Arial"/>
          <w:sz w:val="18"/>
          <w:szCs w:val="18"/>
          <w:color w:val="010000"/>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207"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010000"/>
        </w:rPr>
      </w:pPr>
      <w:r>
        <w:rPr>
          <w:rFonts w:ascii="Arial" w:cs="Arial" w:eastAsia="Arial" w:hAnsi="Arial"/>
          <w:sz w:val="18"/>
          <w:szCs w:val="18"/>
          <w:b w:val="1"/>
          <w:bCs w:val="1"/>
          <w:color w:val="auto"/>
        </w:rPr>
        <w:t>Alternate directors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and removal</w:t>
      </w:r>
    </w:p>
    <w:p>
      <w:pPr>
        <w:spacing w:after="0" w:line="246"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010000"/>
        </w:rPr>
        <w:t>18.1</w:t>
      </w:r>
      <w:r>
        <w:rPr>
          <w:sz w:val="20"/>
          <w:szCs w:val="20"/>
          <w:color w:val="auto"/>
        </w:rPr>
        <w:tab/>
      </w:r>
      <w:r>
        <w:rPr>
          <w:rFonts w:ascii="Arial" w:cs="Arial" w:eastAsia="Arial" w:hAnsi="Arial"/>
          <w:sz w:val="18"/>
          <w:szCs w:val="18"/>
          <w:color w:val="auto"/>
        </w:rPr>
        <w:t>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spacing w:after="0" w:line="211" w:lineRule="exact"/>
        <w:rPr>
          <w:sz w:val="20"/>
          <w:szCs w:val="20"/>
          <w:color w:val="auto"/>
        </w:rPr>
      </w:pPr>
    </w:p>
    <w:p>
      <w:pPr>
        <w:ind w:left="1300" w:hanging="644"/>
        <w:spacing w:after="0"/>
        <w:tabs>
          <w:tab w:leader="none" w:pos="130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by notice in writing in accordance with the notice provisions;</w:t>
      </w:r>
    </w:p>
    <w:p>
      <w:pPr>
        <w:spacing w:after="0" w:line="252" w:lineRule="exact"/>
        <w:rPr>
          <w:rFonts w:ascii="Arial" w:cs="Arial" w:eastAsia="Arial" w:hAnsi="Arial"/>
          <w:sz w:val="18"/>
          <w:szCs w:val="18"/>
          <w:color w:val="010000"/>
        </w:rPr>
      </w:pPr>
    </w:p>
    <w:p>
      <w:pPr>
        <w:ind w:left="1300" w:right="20" w:hanging="644"/>
        <w:spacing w:after="0" w:line="259" w:lineRule="auto"/>
        <w:tabs>
          <w:tab w:leader="none" w:pos="1300" w:val="left"/>
        </w:tabs>
        <w:numPr>
          <w:ilvl w:val="0"/>
          <w:numId w:val="125"/>
        </w:numPr>
        <w:rPr>
          <w:rFonts w:ascii="Arial" w:cs="Arial" w:eastAsia="Arial" w:hAnsi="Arial"/>
          <w:sz w:val="18"/>
          <w:szCs w:val="18"/>
          <w:color w:val="010000"/>
        </w:rPr>
      </w:pPr>
      <w:r>
        <w:rPr>
          <w:rFonts w:ascii="Arial" w:cs="Arial" w:eastAsia="Arial" w:hAnsi="Arial"/>
          <w:sz w:val="18"/>
          <w:szCs w:val="18"/>
          <w:color w:val="auto"/>
        </w:rPr>
        <w:t>if the other director has an email address, by emailing to that address a scanned copy of the notice as a PDF attachment (the PDF version being deemed to be the notice unless Article 33.7 applies), in which event notice shall be taken to be given on the date of receipt by the recipient in readable form. For the avoidance of doubt, the same email may be sent to the email address of more than one director (and to the email address of the Company pursuant to Article 18.4(c)).</w:t>
      </w:r>
    </w:p>
    <w:p>
      <w:pPr>
        <w:spacing w:after="0" w:line="214" w:lineRule="exact"/>
        <w:rPr>
          <w:sz w:val="20"/>
          <w:szCs w:val="20"/>
          <w:color w:val="auto"/>
        </w:rPr>
      </w:pPr>
    </w:p>
    <w:p>
      <w:pPr>
        <w:ind w:left="660" w:right="60" w:hanging="647"/>
        <w:spacing w:after="0" w:line="286" w:lineRule="auto"/>
        <w:tabs>
          <w:tab w:leader="none" w:pos="640" w:val="left"/>
        </w:tabs>
        <w:rPr>
          <w:sz w:val="20"/>
          <w:szCs w:val="20"/>
          <w:color w:val="auto"/>
        </w:rPr>
      </w:pPr>
      <w:r>
        <w:rPr>
          <w:rFonts w:ascii="Arial" w:cs="Arial" w:eastAsia="Arial" w:hAnsi="Arial"/>
          <w:sz w:val="18"/>
          <w:szCs w:val="18"/>
          <w:color w:val="010000"/>
        </w:rPr>
        <w:t>18.2</w:t>
      </w:r>
      <w:r>
        <w:rPr>
          <w:sz w:val="20"/>
          <w:szCs w:val="20"/>
          <w:color w:val="auto"/>
        </w:rPr>
        <w:tab/>
      </w:r>
      <w:r>
        <w:rPr>
          <w:rFonts w:ascii="Arial" w:cs="Arial" w:eastAsia="Arial" w:hAnsi="Arial"/>
          <w:sz w:val="17"/>
          <w:szCs w:val="17"/>
          <w:color w:val="auto"/>
        </w:rPr>
        <w:t>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18.4.</w:t>
      </w:r>
    </w:p>
    <w:p>
      <w:pPr>
        <w:spacing w:after="0" w:line="192" w:lineRule="exact"/>
        <w:rPr>
          <w:sz w:val="20"/>
          <w:szCs w:val="20"/>
          <w:color w:val="auto"/>
        </w:rPr>
      </w:pPr>
    </w:p>
    <w:p>
      <w:pPr>
        <w:ind w:left="660" w:right="580" w:hanging="647"/>
        <w:spacing w:after="0" w:line="277" w:lineRule="auto"/>
        <w:tabs>
          <w:tab w:leader="none" w:pos="640" w:val="left"/>
        </w:tabs>
        <w:rPr>
          <w:sz w:val="20"/>
          <w:szCs w:val="20"/>
          <w:color w:val="auto"/>
        </w:rPr>
      </w:pPr>
      <w:r>
        <w:rPr>
          <w:rFonts w:ascii="Arial" w:cs="Arial" w:eastAsia="Arial" w:hAnsi="Arial"/>
          <w:sz w:val="18"/>
          <w:szCs w:val="18"/>
          <w:color w:val="010000"/>
        </w:rPr>
        <w:t>18.3</w:t>
      </w:r>
      <w:r>
        <w:rPr>
          <w:sz w:val="20"/>
          <w:szCs w:val="20"/>
          <w:color w:val="auto"/>
        </w:rPr>
        <w:tab/>
      </w:r>
      <w:r>
        <w:rPr>
          <w:rFonts w:ascii="Arial" w:cs="Arial" w:eastAsia="Arial" w:hAnsi="Arial"/>
          <w:sz w:val="18"/>
          <w:szCs w:val="18"/>
          <w:color w:val="auto"/>
        </w:rPr>
        <w:t>A director may revoke his appointment of an alternate at any time. No revocation shall take effect until the director has given notice of the revocation to the other directors. Such notice must be given by either of the methods specified in Article 18.1.</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18.4</w:t>
      </w:r>
      <w:r>
        <w:rPr>
          <w:sz w:val="20"/>
          <w:szCs w:val="20"/>
          <w:color w:val="auto"/>
        </w:rPr>
        <w:tab/>
      </w:r>
      <w:r>
        <w:rPr>
          <w:rFonts w:ascii="Arial" w:cs="Arial" w:eastAsia="Arial" w:hAnsi="Arial"/>
          <w:sz w:val="16"/>
          <w:szCs w:val="16"/>
          <w:color w:val="auto"/>
        </w:rPr>
        <w:t>A notice of appointment or removal of an alternate director must also be given to the Company by any of the following methods:</w:t>
      </w:r>
    </w:p>
    <w:p>
      <w:pPr>
        <w:spacing w:after="0" w:line="252"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by notice in writing in accordance with the notice provisions;</w:t>
      </w:r>
    </w:p>
    <w:p>
      <w:pPr>
        <w:spacing w:after="0" w:line="252" w:lineRule="exact"/>
        <w:rPr>
          <w:rFonts w:ascii="Arial" w:cs="Arial" w:eastAsia="Arial" w:hAnsi="Arial"/>
          <w:sz w:val="18"/>
          <w:szCs w:val="18"/>
          <w:color w:val="010000"/>
        </w:rPr>
      </w:pPr>
    </w:p>
    <w:p>
      <w:pPr>
        <w:jc w:val="both"/>
        <w:ind w:left="1300" w:hanging="644"/>
        <w:spacing w:after="0" w:line="259" w:lineRule="auto"/>
        <w:tabs>
          <w:tab w:leader="none" w:pos="1300"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33.7 applies), in which event notice shall be taken to be given on the date of an error-free transmission report from the sender’s fax machine;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ind w:left="1300" w:hanging="644"/>
        <w:spacing w:after="0" w:line="301" w:lineRule="auto"/>
        <w:tabs>
          <w:tab w:leader="none" w:pos="1300" w:val="left"/>
        </w:tabs>
        <w:numPr>
          <w:ilvl w:val="0"/>
          <w:numId w:val="127"/>
        </w:numPr>
        <w:rPr>
          <w:rFonts w:ascii="Arial" w:cs="Arial" w:eastAsia="Arial" w:hAnsi="Arial"/>
          <w:sz w:val="16"/>
          <w:szCs w:val="16"/>
          <w:color w:val="010000"/>
        </w:rPr>
      </w:pPr>
      <w:r>
        <w:rPr>
          <w:rFonts w:ascii="Arial" w:cs="Arial" w:eastAsia="Arial" w:hAnsi="Arial"/>
          <w:sz w:val="16"/>
          <w:szCs w:val="16"/>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33.7 applies), in which event notice shall be taken to be given on the date of receipt by the Company or the Company's registered office (as appropriate) in readable form; or</w:t>
      </w:r>
    </w:p>
    <w:p>
      <w:pPr>
        <w:spacing w:after="0" w:line="184" w:lineRule="exact"/>
        <w:rPr>
          <w:rFonts w:ascii="Arial" w:cs="Arial" w:eastAsia="Arial" w:hAnsi="Arial"/>
          <w:sz w:val="16"/>
          <w:szCs w:val="16"/>
          <w:color w:val="010000"/>
        </w:rPr>
      </w:pPr>
    </w:p>
    <w:p>
      <w:pPr>
        <w:ind w:left="1300" w:right="420" w:hanging="644"/>
        <w:spacing w:after="0" w:line="277" w:lineRule="auto"/>
        <w:tabs>
          <w:tab w:leader="none" w:pos="1300" w:val="left"/>
        </w:tabs>
        <w:numPr>
          <w:ilvl w:val="0"/>
          <w:numId w:val="127"/>
        </w:numPr>
        <w:rPr>
          <w:rFonts w:ascii="Arial" w:cs="Arial" w:eastAsia="Arial" w:hAnsi="Arial"/>
          <w:sz w:val="18"/>
          <w:szCs w:val="18"/>
          <w:color w:val="010000"/>
        </w:rPr>
      </w:pPr>
      <w:r>
        <w:rPr>
          <w:rFonts w:ascii="Arial" w:cs="Arial" w:eastAsia="Arial" w:hAnsi="Arial"/>
          <w:sz w:val="18"/>
          <w:szCs w:val="18"/>
          <w:color w:val="auto"/>
        </w:rPr>
        <w:t>if permitted pursuant to the notice provisions, in some other form of approved Electronic Record delivered in accordance with those provisions in writing.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18.5</w:t>
      </w:r>
      <w:r>
        <w:rPr>
          <w:sz w:val="20"/>
          <w:szCs w:val="20"/>
          <w:color w:val="auto"/>
        </w:rPr>
        <w:tab/>
      </w:r>
      <w:r>
        <w:rPr>
          <w:rFonts w:ascii="Arial" w:cs="Arial" w:eastAsia="Arial" w:hAnsi="Arial"/>
          <w:sz w:val="16"/>
          <w:szCs w:val="16"/>
          <w:color w:val="auto"/>
        </w:rPr>
        <w:t>All notices of meetings of directors shall continue to be given to the appointing director and not to the alternate.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Rights of alternate director</w:t>
      </w:r>
    </w:p>
    <w:p>
      <w:pPr>
        <w:spacing w:after="0" w:line="246" w:lineRule="exact"/>
        <w:rPr>
          <w:sz w:val="20"/>
          <w:szCs w:val="20"/>
          <w:color w:val="auto"/>
        </w:rPr>
      </w:pPr>
    </w:p>
    <w:p>
      <w:pPr>
        <w:ind w:left="660" w:right="180" w:hanging="647"/>
        <w:spacing w:after="0" w:line="308" w:lineRule="auto"/>
        <w:tabs>
          <w:tab w:leader="none" w:pos="640" w:val="left"/>
        </w:tabs>
        <w:rPr>
          <w:sz w:val="20"/>
          <w:szCs w:val="20"/>
          <w:color w:val="auto"/>
        </w:rPr>
      </w:pPr>
      <w:r>
        <w:rPr>
          <w:rFonts w:ascii="Arial" w:cs="Arial" w:eastAsia="Arial" w:hAnsi="Arial"/>
          <w:sz w:val="18"/>
          <w:szCs w:val="18"/>
          <w:color w:val="010000"/>
        </w:rPr>
        <w:t>18.6</w:t>
      </w:r>
      <w:r>
        <w:rPr>
          <w:sz w:val="20"/>
          <w:szCs w:val="20"/>
          <w:color w:val="auto"/>
        </w:rPr>
        <w:tab/>
      </w:r>
      <w:r>
        <w:rPr>
          <w:rFonts w:ascii="Arial" w:cs="Arial" w:eastAsia="Arial" w:hAnsi="Arial"/>
          <w:sz w:val="17"/>
          <w:szCs w:val="17"/>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spacing w:after="0" w:line="17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18.7</w:t>
      </w:r>
      <w:r>
        <w:rPr>
          <w:sz w:val="20"/>
          <w:szCs w:val="20"/>
          <w:color w:val="auto"/>
        </w:rPr>
        <w:tab/>
      </w:r>
      <w:r>
        <w:rPr>
          <w:rFonts w:ascii="Arial" w:cs="Arial" w:eastAsia="Arial" w:hAnsi="Arial"/>
          <w:sz w:val="16"/>
          <w:szCs w:val="16"/>
          <w:color w:val="auto"/>
        </w:rPr>
        <w:t>For the avoidance of doubt:</w:t>
      </w:r>
    </w:p>
    <w:p>
      <w:pPr>
        <w:spacing w:after="0" w:line="252" w:lineRule="exact"/>
        <w:rPr>
          <w:sz w:val="20"/>
          <w:szCs w:val="20"/>
          <w:color w:val="auto"/>
        </w:rPr>
      </w:pPr>
    </w:p>
    <w:p>
      <w:pPr>
        <w:ind w:left="1300" w:right="320" w:hanging="644"/>
        <w:spacing w:after="0" w:line="277" w:lineRule="auto"/>
        <w:tabs>
          <w:tab w:leader="none" w:pos="1300"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if another director has been appointed an alternate director for one or more directors, he shall be entitled to a separate vote in his own right as a director and in right of each other director for whom he has been appointed an alternate; and</w:t>
      </w:r>
    </w:p>
    <w:p>
      <w:pPr>
        <w:spacing w:after="0" w:line="197" w:lineRule="exact"/>
        <w:rPr>
          <w:rFonts w:ascii="Arial" w:cs="Arial" w:eastAsia="Arial" w:hAnsi="Arial"/>
          <w:sz w:val="18"/>
          <w:szCs w:val="18"/>
          <w:color w:val="010000"/>
        </w:rPr>
      </w:pPr>
    </w:p>
    <w:p>
      <w:pPr>
        <w:ind w:left="1300" w:right="80" w:hanging="644"/>
        <w:spacing w:after="0" w:line="277" w:lineRule="auto"/>
        <w:tabs>
          <w:tab w:leader="none" w:pos="1300" w:val="left"/>
        </w:tabs>
        <w:numPr>
          <w:ilvl w:val="0"/>
          <w:numId w:val="128"/>
        </w:numPr>
        <w:rPr>
          <w:rFonts w:ascii="Arial" w:cs="Arial" w:eastAsia="Arial" w:hAnsi="Arial"/>
          <w:sz w:val="18"/>
          <w:szCs w:val="18"/>
          <w:color w:val="010000"/>
        </w:rPr>
      </w:pPr>
      <w:r>
        <w:rPr>
          <w:rFonts w:ascii="Arial" w:cs="Arial" w:eastAsia="Arial" w:hAnsi="Arial"/>
          <w:sz w:val="18"/>
          <w:szCs w:val="18"/>
          <w:color w:val="auto"/>
        </w:rPr>
        <w:t>if a person other than a director has been appointed an alternate director for more than one director, he shall be entitled to a separate vote in right of each director for whom he has been appointed an alternate.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18.8</w:t>
      </w:r>
      <w:r>
        <w:rPr>
          <w:sz w:val="20"/>
          <w:szCs w:val="20"/>
          <w:color w:val="auto"/>
        </w:rPr>
        <w:tab/>
      </w:r>
      <w:r>
        <w:rPr>
          <w:rFonts w:ascii="Arial" w:cs="Arial" w:eastAsia="Arial" w:hAnsi="Arial"/>
          <w:sz w:val="16"/>
          <w:szCs w:val="16"/>
          <w:color w:val="auto"/>
        </w:rPr>
        <w:t>An alternate director, however, is not entitled to receive any remuneration from the Company for services rendered as an alternate director.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 ceases when the appointor ceases to be a director</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18.9</w:t>
      </w:r>
      <w:r>
        <w:rPr>
          <w:sz w:val="20"/>
          <w:szCs w:val="20"/>
          <w:color w:val="auto"/>
        </w:rPr>
        <w:tab/>
      </w:r>
      <w:r>
        <w:rPr>
          <w:rFonts w:ascii="Arial" w:cs="Arial" w:eastAsia="Arial" w:hAnsi="Arial"/>
          <w:sz w:val="16"/>
          <w:szCs w:val="16"/>
          <w:color w:val="auto"/>
        </w:rPr>
        <w:t>An alternate director shall cease to be an alternate director if the director who appointed him ceases to be a director.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Status of alternate director</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18.10</w:t>
      </w:r>
      <w:r>
        <w:rPr>
          <w:sz w:val="20"/>
          <w:szCs w:val="20"/>
          <w:color w:val="auto"/>
        </w:rPr>
        <w:tab/>
      </w:r>
      <w:r>
        <w:rPr>
          <w:rFonts w:ascii="Arial" w:cs="Arial" w:eastAsia="Arial" w:hAnsi="Arial"/>
          <w:sz w:val="16"/>
          <w:szCs w:val="16"/>
          <w:color w:val="auto"/>
        </w:rPr>
        <w:t>An alternate director shall carry out all functions of the director who made the appointment.</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18.11</w:t>
      </w:r>
      <w:r>
        <w:rPr>
          <w:sz w:val="20"/>
          <w:szCs w:val="20"/>
          <w:color w:val="auto"/>
        </w:rPr>
        <w:tab/>
      </w:r>
      <w:r>
        <w:rPr>
          <w:rFonts w:ascii="Arial" w:cs="Arial" w:eastAsia="Arial" w:hAnsi="Arial"/>
          <w:sz w:val="16"/>
          <w:szCs w:val="16"/>
          <w:color w:val="auto"/>
        </w:rPr>
        <w:t>Save where otherwise expressed, an alternate director shall be treated as a director under these Articles.</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18.12</w:t>
      </w:r>
      <w:r>
        <w:rPr>
          <w:sz w:val="20"/>
          <w:szCs w:val="20"/>
          <w:color w:val="auto"/>
        </w:rPr>
        <w:tab/>
      </w:r>
      <w:r>
        <w:rPr>
          <w:rFonts w:ascii="Arial" w:cs="Arial" w:eastAsia="Arial" w:hAnsi="Arial"/>
          <w:sz w:val="16"/>
          <w:szCs w:val="16"/>
          <w:color w:val="auto"/>
        </w:rPr>
        <w:t>An alternate director is not the agent of the director appointing him.</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18.13</w:t>
      </w:r>
      <w:r>
        <w:rPr>
          <w:sz w:val="20"/>
          <w:szCs w:val="20"/>
          <w:color w:val="auto"/>
        </w:rPr>
        <w:tab/>
      </w:r>
      <w:r>
        <w:rPr>
          <w:rFonts w:ascii="Arial" w:cs="Arial" w:eastAsia="Arial" w:hAnsi="Arial"/>
          <w:sz w:val="16"/>
          <w:szCs w:val="16"/>
          <w:color w:val="auto"/>
        </w:rPr>
        <w:t>An alternate director is not entitled to any remuneration for acting as alternate director.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22"/>
          <w:szCs w:val="22"/>
          <w:b w:val="1"/>
          <w:bCs w:val="1"/>
          <w:color w:val="auto"/>
        </w:rPr>
        <w:t>Status of the director making the appointment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18.14</w:t>
      </w:r>
      <w:r>
        <w:rPr>
          <w:sz w:val="20"/>
          <w:szCs w:val="20"/>
          <w:color w:val="auto"/>
        </w:rPr>
        <w:tab/>
      </w:r>
      <w:r>
        <w:rPr>
          <w:rFonts w:ascii="Arial" w:cs="Arial" w:eastAsia="Arial" w:hAnsi="Arial"/>
          <w:sz w:val="16"/>
          <w:szCs w:val="16"/>
          <w:color w:val="auto"/>
        </w:rPr>
        <w:t>A director who has appointed an alternate is not thereby relieved from the duties which he owes the Company.</w:t>
      </w:r>
    </w:p>
    <w:p>
      <w:pPr>
        <w:spacing w:after="0" w:line="248"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010000"/>
        </w:rPr>
      </w:pPr>
      <w:r>
        <w:rPr>
          <w:rFonts w:ascii="Arial" w:cs="Arial" w:eastAsia="Arial" w:hAnsi="Arial"/>
          <w:sz w:val="18"/>
          <w:szCs w:val="18"/>
          <w:b w:val="1"/>
          <w:bCs w:val="1"/>
          <w:color w:val="auto"/>
        </w:rPr>
        <w:t>Powers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Powers of directors</w:t>
      </w:r>
    </w:p>
    <w:p>
      <w:pPr>
        <w:spacing w:after="0" w:line="246"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010000"/>
        </w:rPr>
        <w:t>19.1</w:t>
      </w:r>
      <w:r>
        <w:rPr>
          <w:sz w:val="20"/>
          <w:szCs w:val="20"/>
          <w:color w:val="auto"/>
        </w:rPr>
        <w:tab/>
      </w:r>
      <w:r>
        <w:rPr>
          <w:rFonts w:ascii="Arial" w:cs="Arial" w:eastAsia="Arial" w:hAnsi="Arial"/>
          <w:sz w:val="18"/>
          <w:szCs w:val="18"/>
          <w:color w:val="auto"/>
        </w:rPr>
        <w:t>Subject to the provisions of the Law, the Memorandum and these Articles, the business of the Company shall be managed by the directors who may for that purpose exercise all the powers of the Company.</w:t>
      </w:r>
    </w:p>
    <w:p>
      <w:pPr>
        <w:spacing w:after="0" w:line="197"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19.2</w:t>
      </w:r>
      <w:r>
        <w:rPr>
          <w:sz w:val="20"/>
          <w:szCs w:val="20"/>
          <w:color w:val="auto"/>
        </w:rPr>
        <w:tab/>
      </w:r>
      <w:r>
        <w:rPr>
          <w:rFonts w:ascii="Arial" w:cs="Arial" w:eastAsia="Arial" w:hAnsi="Arial"/>
          <w:sz w:val="18"/>
          <w:szCs w:val="18"/>
          <w:color w:val="auto"/>
        </w:rPr>
        <w:t>No prior act of the directors shall be invalidated by any subsequent alteration of the Memorandum or these Articles. However, to the extent allowed by the Law, following the consummation of the IPO Members may by Special Resolution validate any prior or future act of the directors which would otherwise be in breach of their duties.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Appointments to office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19.3</w:t>
      </w:r>
      <w:r>
        <w:rPr>
          <w:sz w:val="20"/>
          <w:szCs w:val="20"/>
          <w:color w:val="auto"/>
        </w:rPr>
        <w:tab/>
      </w:r>
      <w:r>
        <w:rPr>
          <w:rFonts w:ascii="Arial" w:cs="Arial" w:eastAsia="Arial" w:hAnsi="Arial"/>
          <w:sz w:val="16"/>
          <w:szCs w:val="16"/>
          <w:color w:val="auto"/>
        </w:rPr>
        <w:t>The directors may appoint a director:</w:t>
      </w:r>
    </w:p>
    <w:p>
      <w:pPr>
        <w:spacing w:after="0" w:line="252" w:lineRule="exact"/>
        <w:rPr>
          <w:sz w:val="20"/>
          <w:szCs w:val="20"/>
          <w:color w:val="auto"/>
        </w:rPr>
      </w:pPr>
    </w:p>
    <w:p>
      <w:pPr>
        <w:ind w:left="1300" w:hanging="644"/>
        <w:spacing w:after="0"/>
        <w:tabs>
          <w:tab w:leader="none" w:pos="130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as chairman of the board of directors;</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as vice-chairman of the board of directors;</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as managing director;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0"/>
        </w:numPr>
        <w:rPr>
          <w:rFonts w:ascii="Arial" w:cs="Arial" w:eastAsia="Arial" w:hAnsi="Arial"/>
          <w:sz w:val="18"/>
          <w:szCs w:val="18"/>
          <w:color w:val="010000"/>
        </w:rPr>
      </w:pPr>
      <w:r>
        <w:rPr>
          <w:rFonts w:ascii="Arial" w:cs="Arial" w:eastAsia="Arial" w:hAnsi="Arial"/>
          <w:sz w:val="18"/>
          <w:szCs w:val="18"/>
          <w:color w:val="auto"/>
        </w:rPr>
        <w:t>to any other executive office</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such period and on such terms, including as to remuneration, as they think fit.</w:t>
      </w:r>
    </w:p>
    <w:p>
      <w:pPr>
        <w:spacing w:after="0" w:line="2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19.4</w:t>
      </w:r>
      <w:r>
        <w:rPr>
          <w:sz w:val="20"/>
          <w:szCs w:val="20"/>
          <w:color w:val="auto"/>
        </w:rPr>
        <w:tab/>
      </w:r>
      <w:r>
        <w:rPr>
          <w:rFonts w:ascii="Arial" w:cs="Arial" w:eastAsia="Arial" w:hAnsi="Arial"/>
          <w:sz w:val="16"/>
          <w:szCs w:val="16"/>
          <w:color w:val="auto"/>
        </w:rPr>
        <w:t>The appointee must consent in writing to holding that office.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19.5</w:t>
      </w:r>
      <w:r>
        <w:rPr>
          <w:sz w:val="20"/>
          <w:szCs w:val="20"/>
          <w:color w:val="auto"/>
        </w:rPr>
        <w:tab/>
      </w:r>
      <w:r>
        <w:rPr>
          <w:rFonts w:ascii="Arial" w:cs="Arial" w:eastAsia="Arial" w:hAnsi="Arial"/>
          <w:sz w:val="16"/>
          <w:szCs w:val="16"/>
          <w:color w:val="auto"/>
        </w:rPr>
        <w:t>Where a chairman is appointed he shall, unless unable to do so, preside at every meeting of directors.</w:t>
      </w:r>
    </w:p>
    <w:p>
      <w:pPr>
        <w:spacing w:after="0" w:line="252" w:lineRule="exact"/>
        <w:rPr>
          <w:sz w:val="20"/>
          <w:szCs w:val="20"/>
          <w:color w:val="auto"/>
        </w:rPr>
      </w:pPr>
    </w:p>
    <w:p>
      <w:pPr>
        <w:ind w:left="660" w:right="460" w:hanging="647"/>
        <w:spacing w:after="0" w:line="277" w:lineRule="auto"/>
        <w:tabs>
          <w:tab w:leader="none" w:pos="640" w:val="left"/>
        </w:tabs>
        <w:rPr>
          <w:sz w:val="20"/>
          <w:szCs w:val="20"/>
          <w:color w:val="auto"/>
        </w:rPr>
      </w:pPr>
      <w:r>
        <w:rPr>
          <w:rFonts w:ascii="Arial" w:cs="Arial" w:eastAsia="Arial" w:hAnsi="Arial"/>
          <w:sz w:val="18"/>
          <w:szCs w:val="18"/>
          <w:color w:val="010000"/>
        </w:rPr>
        <w:t>19.6</w:t>
      </w:r>
      <w:r>
        <w:rPr>
          <w:sz w:val="20"/>
          <w:szCs w:val="20"/>
          <w:color w:val="auto"/>
        </w:rPr>
        <w:tab/>
      </w:r>
      <w:r>
        <w:rPr>
          <w:rFonts w:ascii="Arial" w:cs="Arial" w:eastAsia="Arial" w:hAnsi="Arial"/>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19.7</w:t>
      </w:r>
      <w:r>
        <w:rPr>
          <w:sz w:val="20"/>
          <w:szCs w:val="20"/>
          <w:color w:val="auto"/>
        </w:rPr>
        <w:tab/>
      </w:r>
      <w:r>
        <w:rPr>
          <w:rFonts w:ascii="Arial" w:cs="Arial" w:eastAsia="Arial" w:hAnsi="Arial"/>
          <w:sz w:val="16"/>
          <w:szCs w:val="16"/>
          <w:color w:val="auto"/>
        </w:rPr>
        <w:t>Subject to the provisions of the Law, the directors may also appoint any person, who need not be a director:</w:t>
      </w:r>
    </w:p>
    <w:p>
      <w:pPr>
        <w:spacing w:after="0" w:line="252" w:lineRule="exact"/>
        <w:rPr>
          <w:sz w:val="20"/>
          <w:szCs w:val="20"/>
          <w:color w:val="auto"/>
        </w:rPr>
      </w:pPr>
    </w:p>
    <w:p>
      <w:pPr>
        <w:ind w:left="1300" w:hanging="644"/>
        <w:spacing w:after="0"/>
        <w:tabs>
          <w:tab w:leader="none" w:pos="1300" w:val="left"/>
        </w:tabs>
        <w:numPr>
          <w:ilvl w:val="0"/>
          <w:numId w:val="131"/>
        </w:numPr>
        <w:rPr>
          <w:rFonts w:ascii="Arial" w:cs="Arial" w:eastAsia="Arial" w:hAnsi="Arial"/>
          <w:sz w:val="18"/>
          <w:szCs w:val="18"/>
          <w:color w:val="010000"/>
        </w:rPr>
      </w:pPr>
      <w:r>
        <w:rPr>
          <w:rFonts w:ascii="Arial" w:cs="Arial" w:eastAsia="Arial" w:hAnsi="Arial"/>
          <w:sz w:val="18"/>
          <w:szCs w:val="18"/>
          <w:color w:val="auto"/>
        </w:rPr>
        <w:t>as Secretary; and</w:t>
      </w:r>
    </w:p>
    <w:p>
      <w:pPr>
        <w:spacing w:after="0" w:line="252" w:lineRule="exact"/>
        <w:rPr>
          <w:rFonts w:ascii="Arial" w:cs="Arial" w:eastAsia="Arial" w:hAnsi="Arial"/>
          <w:sz w:val="18"/>
          <w:szCs w:val="18"/>
          <w:color w:val="010000"/>
        </w:rPr>
      </w:pPr>
    </w:p>
    <w:p>
      <w:pPr>
        <w:ind w:left="1300" w:right="320" w:hanging="644"/>
        <w:spacing w:after="0" w:line="263" w:lineRule="auto"/>
        <w:tabs>
          <w:tab w:leader="none" w:pos="1300" w:val="left"/>
        </w:tabs>
        <w:numPr>
          <w:ilvl w:val="0"/>
          <w:numId w:val="131"/>
        </w:numPr>
        <w:rPr>
          <w:rFonts w:ascii="Arial" w:cs="Arial" w:eastAsia="Arial" w:hAnsi="Arial"/>
          <w:sz w:val="18"/>
          <w:szCs w:val="18"/>
          <w:color w:val="010000"/>
        </w:rPr>
      </w:pPr>
      <w:r>
        <w:rPr>
          <w:rFonts w:ascii="Arial" w:cs="Arial" w:eastAsia="Arial" w:hAnsi="Arial"/>
          <w:sz w:val="18"/>
          <w:szCs w:val="18"/>
          <w:color w:val="auto"/>
        </w:rPr>
        <w:t>to any office that may be required (including, for the avoidance of doubt, one or more chief executive officers, presidents, a chief financial officer, a treasurer, vice-presidents, one or more assistant vice-presidents, one or more assistant treasurers and one or more assistant secretaries),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1" w:right="479" w:bottom="1440" w:gutter="0" w:footer="0" w:header="0"/>
        </w:sectPr>
      </w:pPr>
    </w:p>
    <w:bookmarkStart w:id="83" w:name="page84"/>
    <w:bookmarkEnd w:id="83"/>
    <w:p>
      <w:pPr>
        <w:ind w:left="660" w:right="260"/>
        <w:spacing w:after="0" w:line="251" w:lineRule="auto"/>
        <w:rPr>
          <w:sz w:val="20"/>
          <w:szCs w:val="20"/>
          <w:color w:val="auto"/>
        </w:rPr>
      </w:pPr>
      <w:r>
        <w:rPr>
          <w:rFonts w:ascii="Arial" w:cs="Arial" w:eastAsia="Arial" w:hAnsi="Arial"/>
          <w:sz w:val="22"/>
          <w:szCs w:val="22"/>
          <w:color w:val="auto"/>
        </w:rPr>
        <w:t>for such period and on such terms, including as to remuneration, as they think fit. In the case of an Officer, that Officer may be given any title the directors decide.</w:t>
      </w:r>
    </w:p>
    <w:p>
      <w:pPr>
        <w:spacing w:after="0" w:line="20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19.8</w:t>
      </w:r>
      <w:r>
        <w:rPr>
          <w:sz w:val="20"/>
          <w:szCs w:val="20"/>
          <w:color w:val="auto"/>
        </w:rPr>
        <w:tab/>
      </w:r>
      <w:r>
        <w:rPr>
          <w:rFonts w:ascii="Arial" w:cs="Arial" w:eastAsia="Arial" w:hAnsi="Arial"/>
          <w:sz w:val="16"/>
          <w:szCs w:val="16"/>
          <w:color w:val="auto"/>
        </w:rPr>
        <w:t>The Secretary or Officer must consent in writing to holding that office.</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19.9</w:t>
      </w:r>
      <w:r>
        <w:rPr>
          <w:sz w:val="20"/>
          <w:szCs w:val="20"/>
          <w:color w:val="auto"/>
        </w:rPr>
        <w:tab/>
      </w:r>
      <w:r>
        <w:rPr>
          <w:rFonts w:ascii="Arial" w:cs="Arial" w:eastAsia="Arial" w:hAnsi="Arial"/>
          <w:sz w:val="16"/>
          <w:szCs w:val="16"/>
          <w:color w:val="auto"/>
        </w:rPr>
        <w:t>A director, Secretary or other Officer of the Company may not hold the office, or perform the services, of Auditor.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Remuneration</w:t>
      </w:r>
    </w:p>
    <w:p>
      <w:pPr>
        <w:spacing w:after="0" w:line="246" w:lineRule="exact"/>
        <w:rPr>
          <w:sz w:val="20"/>
          <w:szCs w:val="20"/>
          <w:color w:val="auto"/>
        </w:rPr>
      </w:pPr>
    </w:p>
    <w:p>
      <w:pPr>
        <w:ind w:left="660" w:right="60" w:hanging="647"/>
        <w:spacing w:after="0" w:line="279" w:lineRule="auto"/>
        <w:tabs>
          <w:tab w:leader="none" w:pos="640" w:val="left"/>
        </w:tabs>
        <w:rPr>
          <w:sz w:val="20"/>
          <w:szCs w:val="20"/>
          <w:color w:val="auto"/>
        </w:rPr>
      </w:pPr>
      <w:r>
        <w:rPr>
          <w:rFonts w:ascii="Arial" w:cs="Arial" w:eastAsia="Arial" w:hAnsi="Arial"/>
          <w:sz w:val="18"/>
          <w:szCs w:val="18"/>
          <w:color w:val="010000"/>
        </w:rPr>
        <w:t>19.10</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cash remuneration shall be paid to any director prior to the consummation of a Business Combination. The directors shall also, whether prior to or after the consummation of a Business Combination, be entitled to be paid all out of pocket expenses properly incurred by them in connection with activities on behalf of the Company, including identifying and consummating a Business Combination.</w:t>
      </w:r>
    </w:p>
    <w:p>
      <w:pPr>
        <w:spacing w:after="0" w:line="198"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010000"/>
        </w:rPr>
        <w:t>19.11</w:t>
      </w:r>
      <w:r>
        <w:rPr>
          <w:rFonts w:ascii="Arial" w:cs="Arial" w:eastAsia="Arial" w:hAnsi="Arial"/>
          <w:sz w:val="18"/>
          <w:szCs w:val="18"/>
          <w:color w:val="auto"/>
        </w:rPr>
        <w:tab/>
        <w:t>Remuneration may take any form and may include arrangements to pay pensions, health insurance, death or sickness benefits, whether to the director or to any other person connected to or related to him.</w:t>
      </w:r>
    </w:p>
    <w:p>
      <w:pPr>
        <w:spacing w:after="0" w:line="19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19.12</w:t>
      </w:r>
      <w:r>
        <w:rPr>
          <w:rFonts w:ascii="Arial" w:cs="Arial" w:eastAsia="Arial" w:hAnsi="Arial"/>
          <w:sz w:val="18"/>
          <w:szCs w:val="18"/>
          <w:color w:val="auto"/>
        </w:rPr>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Disclosure of information</w:t>
      </w:r>
    </w:p>
    <w:p>
      <w:pPr>
        <w:spacing w:after="0" w:line="246"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010000"/>
        </w:rPr>
        <w:t>19.13</w:t>
      </w:r>
      <w:r>
        <w:rPr>
          <w:rFonts w:ascii="Arial" w:cs="Arial" w:eastAsia="Arial" w:hAnsi="Arial"/>
          <w:sz w:val="18"/>
          <w:szCs w:val="18"/>
          <w:color w:val="auto"/>
        </w:rPr>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211" w:lineRule="exact"/>
        <w:rPr>
          <w:sz w:val="20"/>
          <w:szCs w:val="20"/>
          <w:color w:val="auto"/>
        </w:rPr>
      </w:pPr>
    </w:p>
    <w:p>
      <w:pPr>
        <w:ind w:left="1300" w:right="100" w:hanging="644"/>
        <w:spacing w:after="0" w:line="277" w:lineRule="auto"/>
        <w:tabs>
          <w:tab w:leader="none" w:pos="13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the Company or that person, as the case may be, is lawfully required to do so under the laws of any jurisdiction to which the Company is subject; or</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such disclosure is in compliance with the rules of any stock exchange upon which the Company's shares are listed;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such disclosure is in accordance with any contract entered into by the Company;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2"/>
        </w:numPr>
        <w:rPr>
          <w:rFonts w:ascii="Arial" w:cs="Arial" w:eastAsia="Arial" w:hAnsi="Arial"/>
          <w:sz w:val="18"/>
          <w:szCs w:val="18"/>
          <w:color w:val="010000"/>
        </w:rPr>
      </w:pPr>
      <w:r>
        <w:rPr>
          <w:rFonts w:ascii="Arial" w:cs="Arial" w:eastAsia="Arial" w:hAnsi="Arial"/>
          <w:sz w:val="18"/>
          <w:szCs w:val="18"/>
          <w:color w:val="auto"/>
        </w:rPr>
        <w:t>the directors are of the opinion such disclosure would assist or facilitate the Company’s operations.</w:t>
      </w:r>
    </w:p>
    <w:p>
      <w:pPr>
        <w:spacing w:after="0" w:line="248"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010000"/>
        </w:rPr>
      </w:pPr>
      <w:r>
        <w:rPr>
          <w:rFonts w:ascii="Arial" w:cs="Arial" w:eastAsia="Arial" w:hAnsi="Arial"/>
          <w:sz w:val="18"/>
          <w:szCs w:val="18"/>
          <w:b w:val="1"/>
          <w:bCs w:val="1"/>
          <w:color w:val="auto"/>
        </w:rPr>
        <w:t>Delegation of powers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delegate any of the directors' powers to a committee</w:t>
      </w:r>
    </w:p>
    <w:p>
      <w:pPr>
        <w:spacing w:after="0" w:line="246"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010000"/>
        </w:rPr>
        <w:t>20.1</w:t>
      </w:r>
      <w:r>
        <w:rPr>
          <w:sz w:val="20"/>
          <w:szCs w:val="20"/>
          <w:color w:val="auto"/>
        </w:rPr>
        <w:tab/>
      </w:r>
      <w:r>
        <w:rPr>
          <w:rFonts w:ascii="Arial" w:cs="Arial" w:eastAsia="Arial" w:hAnsi="Arial"/>
          <w:sz w:val="18"/>
          <w:szCs w:val="18"/>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20.2</w:t>
      </w:r>
      <w:r>
        <w:rPr>
          <w:sz w:val="20"/>
          <w:szCs w:val="20"/>
          <w:color w:val="auto"/>
        </w:rPr>
        <w:tab/>
      </w:r>
      <w:r>
        <w:rPr>
          <w:rFonts w:ascii="Arial" w:cs="Arial" w:eastAsia="Arial" w:hAnsi="Arial"/>
          <w:sz w:val="16"/>
          <w:szCs w:val="16"/>
          <w:color w:val="auto"/>
        </w:rPr>
        <w:t>The delegation may be collateral with, or to the exclusion of, the directors' own powers.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010000"/>
        </w:rPr>
        <w:t>20.3</w:t>
      </w:r>
      <w:r>
        <w:rPr>
          <w:sz w:val="20"/>
          <w:szCs w:val="20"/>
          <w:color w:val="auto"/>
        </w:rPr>
        <w:tab/>
      </w:r>
      <w:r>
        <w:rPr>
          <w:rFonts w:ascii="Arial" w:cs="Arial" w:eastAsia="Arial" w:hAnsi="Arial"/>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20.4</w:t>
      </w:r>
      <w:r>
        <w:rPr>
          <w:sz w:val="20"/>
          <w:szCs w:val="20"/>
          <w:color w:val="auto"/>
        </w:rPr>
        <w:tab/>
      </w:r>
      <w:r>
        <w:rPr>
          <w:rFonts w:ascii="Arial" w:cs="Arial" w:eastAsia="Arial" w:hAnsi="Arial"/>
          <w:sz w:val="16"/>
          <w:szCs w:val="16"/>
          <w:color w:val="auto"/>
        </w:rPr>
        <w:t>Unless otherwise permitted by the directors, a committee must follow the procedures prescribed for the taking of decisions by directors.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appoint an agent of the Company</w:t>
      </w:r>
    </w:p>
    <w:p>
      <w:pPr>
        <w:spacing w:after="0" w:line="246" w:lineRule="exact"/>
        <w:rPr>
          <w:sz w:val="20"/>
          <w:szCs w:val="20"/>
          <w:color w:val="auto"/>
        </w:rPr>
      </w:pPr>
    </w:p>
    <w:p>
      <w:pPr>
        <w:ind w:left="660" w:right="560" w:hanging="647"/>
        <w:spacing w:after="0" w:line="308" w:lineRule="auto"/>
        <w:tabs>
          <w:tab w:leader="none" w:pos="640" w:val="left"/>
        </w:tabs>
        <w:rPr>
          <w:sz w:val="20"/>
          <w:szCs w:val="20"/>
          <w:color w:val="auto"/>
        </w:rPr>
      </w:pPr>
      <w:r>
        <w:rPr>
          <w:rFonts w:ascii="Arial" w:cs="Arial" w:eastAsia="Arial" w:hAnsi="Arial"/>
          <w:sz w:val="18"/>
          <w:szCs w:val="18"/>
          <w:color w:val="010000"/>
        </w:rPr>
        <w:t>20.5</w:t>
      </w:r>
      <w:r>
        <w:rPr>
          <w:sz w:val="20"/>
          <w:szCs w:val="20"/>
          <w:color w:val="auto"/>
        </w:rPr>
        <w:tab/>
      </w:r>
      <w:r>
        <w:rPr>
          <w:rFonts w:ascii="Arial" w:cs="Arial" w:eastAsia="Arial" w:hAnsi="Arial"/>
          <w:sz w:val="17"/>
          <w:szCs w:val="17"/>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173"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by causing the Company to enter into a power of attorney or agreement;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in any other manner they determine.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appoint an attorney or authorised signatory of the Company</w:t>
      </w:r>
    </w:p>
    <w:p>
      <w:pPr>
        <w:spacing w:after="0" w:line="246"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010000"/>
        </w:rPr>
        <w:t>20.6</w:t>
      </w:r>
      <w:r>
        <w:rPr>
          <w:sz w:val="20"/>
          <w:szCs w:val="20"/>
          <w:color w:val="auto"/>
        </w:rPr>
        <w:tab/>
      </w:r>
      <w:r>
        <w:rPr>
          <w:rFonts w:ascii="Arial" w:cs="Arial" w:eastAsia="Arial" w:hAnsi="Arial"/>
          <w:sz w:val="18"/>
          <w:szCs w:val="18"/>
          <w:color w:val="auto"/>
        </w:rPr>
        <w:t>The directors may appoint any person, whether nominated directly or indirectly by the directors, to be the attorney or the authorised signatory of the Company. The appointment may be:</w:t>
      </w:r>
    </w:p>
    <w:p>
      <w:pPr>
        <w:spacing w:after="0" w:line="197" w:lineRule="exact"/>
        <w:rPr>
          <w:sz w:val="20"/>
          <w:szCs w:val="20"/>
          <w:color w:val="auto"/>
        </w:rPr>
      </w:pPr>
    </w:p>
    <w:p>
      <w:pPr>
        <w:ind w:left="1300" w:hanging="644"/>
        <w:spacing w:after="0"/>
        <w:tabs>
          <w:tab w:leader="none" w:pos="130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for any purpose;</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with the powers, authorities and discretions;</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for the period;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subject to such conditions</w:t>
      </w:r>
    </w:p>
    <w:p>
      <w:pPr>
        <w:spacing w:after="0" w:line="245" w:lineRule="exact"/>
        <w:rPr>
          <w:sz w:val="20"/>
          <w:szCs w:val="20"/>
          <w:color w:val="auto"/>
        </w:rPr>
      </w:pPr>
    </w:p>
    <w:p>
      <w:pPr>
        <w:ind w:left="660"/>
        <w:spacing w:after="0" w:line="328" w:lineRule="auto"/>
        <w:rPr>
          <w:sz w:val="20"/>
          <w:szCs w:val="20"/>
          <w:color w:val="auto"/>
        </w:rPr>
      </w:pPr>
      <w:r>
        <w:rPr>
          <w:rFonts w:ascii="Arial" w:cs="Arial" w:eastAsia="Arial" w:hAnsi="Arial"/>
          <w:sz w:val="19"/>
          <w:szCs w:val="19"/>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39"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010000"/>
        </w:rPr>
        <w:t>20.7</w:t>
      </w:r>
      <w:r>
        <w:rPr>
          <w:sz w:val="20"/>
          <w:szCs w:val="20"/>
          <w:color w:val="auto"/>
        </w:rPr>
        <w:tab/>
      </w:r>
      <w:r>
        <w:rPr>
          <w:rFonts w:ascii="Arial" w:cs="Arial" w:eastAsia="Arial" w:hAnsi="Arial"/>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appoint a proxy</w:t>
      </w:r>
    </w:p>
    <w:p>
      <w:pPr>
        <w:spacing w:after="0" w:line="246" w:lineRule="exact"/>
        <w:rPr>
          <w:sz w:val="20"/>
          <w:szCs w:val="20"/>
          <w:color w:val="auto"/>
        </w:rPr>
      </w:pPr>
    </w:p>
    <w:p>
      <w:pPr>
        <w:ind w:left="660" w:right="280" w:hanging="647"/>
        <w:spacing w:after="0" w:line="308" w:lineRule="auto"/>
        <w:tabs>
          <w:tab w:leader="none" w:pos="640" w:val="left"/>
        </w:tabs>
        <w:rPr>
          <w:sz w:val="20"/>
          <w:szCs w:val="20"/>
          <w:color w:val="auto"/>
        </w:rPr>
      </w:pPr>
      <w:r>
        <w:rPr>
          <w:rFonts w:ascii="Arial" w:cs="Arial" w:eastAsia="Arial" w:hAnsi="Arial"/>
          <w:sz w:val="18"/>
          <w:szCs w:val="18"/>
          <w:color w:val="010000"/>
        </w:rPr>
        <w:t>20.8</w:t>
      </w:r>
      <w:r>
        <w:rPr>
          <w:sz w:val="20"/>
          <w:szCs w:val="20"/>
          <w:color w:val="auto"/>
        </w:rPr>
        <w:tab/>
      </w:r>
      <w:r>
        <w:rPr>
          <w:rFonts w:ascii="Arial" w:cs="Arial" w:eastAsia="Arial" w:hAnsi="Arial"/>
          <w:sz w:val="17"/>
          <w:szCs w:val="17"/>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173"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010000"/>
        </w:rPr>
        <w:t>20.9</w:t>
      </w:r>
      <w:r>
        <w:rPr>
          <w:sz w:val="20"/>
          <w:szCs w:val="20"/>
          <w:color w:val="auto"/>
        </w:rPr>
        <w:tab/>
      </w:r>
      <w:r>
        <w:rPr>
          <w:rFonts w:ascii="Arial" w:cs="Arial" w:eastAsia="Arial" w:hAnsi="Arial"/>
          <w:sz w:val="18"/>
          <w:szCs w:val="18"/>
          <w:color w:val="auto"/>
        </w:rPr>
        <w:t>Articles 18.1 to 18.4 inclusive (relating to the appointment by directors of alternate directors) apply, mutatis mutandis, to the appointment of proxies by directors.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20.10</w:t>
      </w:r>
      <w:r>
        <w:rPr>
          <w:sz w:val="20"/>
          <w:szCs w:val="20"/>
          <w:color w:val="auto"/>
        </w:rPr>
        <w:tab/>
      </w:r>
      <w:r>
        <w:rPr>
          <w:rFonts w:ascii="Arial" w:cs="Arial" w:eastAsia="Arial" w:hAnsi="Arial"/>
          <w:sz w:val="16"/>
          <w:szCs w:val="16"/>
          <w:color w:val="auto"/>
        </w:rPr>
        <w:t>A proxy is an agent of the director appointing him and is not an officer of the Company.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5" w:name="page86"/>
    <w:bookmarkEnd w:id="85"/>
    <w:p>
      <w:pPr>
        <w:ind w:left="660" w:hanging="652"/>
        <w:spacing w:after="0"/>
        <w:tabs>
          <w:tab w:leader="none" w:pos="660" w:val="left"/>
        </w:tabs>
        <w:numPr>
          <w:ilvl w:val="0"/>
          <w:numId w:val="136"/>
        </w:numPr>
        <w:rPr>
          <w:rFonts w:ascii="Arial" w:cs="Arial" w:eastAsia="Arial" w:hAnsi="Arial"/>
          <w:sz w:val="18"/>
          <w:szCs w:val="18"/>
          <w:b w:val="1"/>
          <w:bCs w:val="1"/>
          <w:color w:val="010000"/>
        </w:rPr>
      </w:pPr>
      <w:r>
        <w:rPr>
          <w:rFonts w:ascii="Arial" w:cs="Arial" w:eastAsia="Arial" w:hAnsi="Arial"/>
          <w:sz w:val="18"/>
          <w:szCs w:val="18"/>
          <w:b w:val="1"/>
          <w:bCs w:val="1"/>
          <w:color w:val="auto"/>
        </w:rPr>
        <w:t>Meetings of directors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Regulation of directors' meetings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21.1</w:t>
      </w:r>
      <w:r>
        <w:rPr>
          <w:sz w:val="20"/>
          <w:szCs w:val="20"/>
          <w:color w:val="auto"/>
        </w:rPr>
        <w:tab/>
      </w:r>
      <w:r>
        <w:rPr>
          <w:rFonts w:ascii="Arial" w:cs="Arial" w:eastAsia="Arial" w:hAnsi="Arial"/>
          <w:sz w:val="16"/>
          <w:szCs w:val="16"/>
          <w:color w:val="auto"/>
        </w:rPr>
        <w:t>Subject to the provisions of these Articles, the directors may regulate their proceedings as they think fit.</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Calling meetings</w:t>
      </w:r>
    </w:p>
    <w:p>
      <w:pPr>
        <w:spacing w:after="0" w:line="246"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010000"/>
        </w:rPr>
        <w:t>21.2</w:t>
      </w:r>
      <w:r>
        <w:rPr>
          <w:sz w:val="20"/>
          <w:szCs w:val="20"/>
          <w:color w:val="auto"/>
        </w:rPr>
        <w:tab/>
      </w:r>
      <w:r>
        <w:rPr>
          <w:rFonts w:ascii="Arial" w:cs="Arial" w:eastAsia="Arial" w:hAnsi="Arial"/>
          <w:sz w:val="18"/>
          <w:szCs w:val="18"/>
          <w:color w:val="auto"/>
        </w:rPr>
        <w:t>Any director may call a meeting of directors at any time. The Secretary, if any, must call a meeting of the directors if requested to do so by a director.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meetings</w:t>
      </w:r>
    </w:p>
    <w:p>
      <w:pPr>
        <w:spacing w:after="0" w:line="246"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010000"/>
        </w:rPr>
        <w:t>21.3</w:t>
      </w:r>
      <w:r>
        <w:rPr>
          <w:sz w:val="20"/>
          <w:szCs w:val="20"/>
          <w:color w:val="auto"/>
        </w:rPr>
        <w:tab/>
      </w:r>
      <w:r>
        <w:rPr>
          <w:rFonts w:ascii="Arial" w:cs="Arial" w:eastAsia="Arial" w:hAnsi="Arial"/>
          <w:sz w:val="18"/>
          <w:szCs w:val="18"/>
          <w:color w:val="auto"/>
        </w:rPr>
        <w:t>Every director shall be given notice of a meeting, although a director may waive retrospectively the requirement to be given notice. Notice may be oral. Attendance at a meeting without written objection shall be deemed to be a waiver of such notice requirement.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Period of notice</w:t>
      </w:r>
    </w:p>
    <w:p>
      <w:pPr>
        <w:spacing w:after="0" w:line="246" w:lineRule="exact"/>
        <w:rPr>
          <w:sz w:val="20"/>
          <w:szCs w:val="20"/>
          <w:color w:val="auto"/>
        </w:rPr>
      </w:pPr>
    </w:p>
    <w:p>
      <w:pPr>
        <w:ind w:left="660" w:right="320" w:hanging="647"/>
        <w:spacing w:after="0" w:line="277" w:lineRule="auto"/>
        <w:tabs>
          <w:tab w:leader="none" w:pos="640" w:val="left"/>
        </w:tabs>
        <w:rPr>
          <w:sz w:val="20"/>
          <w:szCs w:val="20"/>
          <w:color w:val="auto"/>
        </w:rPr>
      </w:pPr>
      <w:r>
        <w:rPr>
          <w:rFonts w:ascii="Arial" w:cs="Arial" w:eastAsia="Arial" w:hAnsi="Arial"/>
          <w:sz w:val="18"/>
          <w:szCs w:val="18"/>
          <w:color w:val="010000"/>
        </w:rPr>
        <w:t>21.4</w:t>
      </w:r>
      <w:r>
        <w:rPr>
          <w:sz w:val="20"/>
          <w:szCs w:val="20"/>
          <w:color w:val="auto"/>
        </w:rPr>
        <w:tab/>
      </w:r>
      <w:r>
        <w:rPr>
          <w:rFonts w:ascii="Arial" w:cs="Arial" w:eastAsia="Arial" w:hAnsi="Arial"/>
          <w:sz w:val="18"/>
          <w:szCs w:val="18"/>
          <w:color w:val="auto"/>
        </w:rPr>
        <w:t>At least five Clear Days’ notice of a meeting of directors must be given to directors. A meeting may be convened on shorter notice with the consent of all directors.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of technology</w:t>
      </w:r>
    </w:p>
    <w:p>
      <w:pPr>
        <w:spacing w:after="0" w:line="246" w:lineRule="exact"/>
        <w:rPr>
          <w:sz w:val="20"/>
          <w:szCs w:val="20"/>
          <w:color w:val="auto"/>
        </w:rPr>
      </w:pPr>
    </w:p>
    <w:p>
      <w:pPr>
        <w:ind w:left="660" w:right="200" w:hanging="647"/>
        <w:spacing w:after="0" w:line="342" w:lineRule="auto"/>
        <w:tabs>
          <w:tab w:leader="none" w:pos="640" w:val="left"/>
        </w:tabs>
        <w:rPr>
          <w:sz w:val="20"/>
          <w:szCs w:val="20"/>
          <w:color w:val="auto"/>
        </w:rPr>
      </w:pPr>
      <w:r>
        <w:rPr>
          <w:rFonts w:ascii="Arial" w:cs="Arial" w:eastAsia="Arial" w:hAnsi="Arial"/>
          <w:sz w:val="18"/>
          <w:szCs w:val="18"/>
          <w:color w:val="010000"/>
        </w:rPr>
        <w:t>21.5</w:t>
      </w:r>
      <w:r>
        <w:rPr>
          <w:sz w:val="20"/>
          <w:szCs w:val="20"/>
          <w:color w:val="auto"/>
        </w:rPr>
        <w:tab/>
      </w:r>
      <w:r>
        <w:rPr>
          <w:rFonts w:ascii="Arial" w:cs="Arial" w:eastAsia="Arial" w:hAnsi="Arial"/>
          <w:sz w:val="16"/>
          <w:szCs w:val="16"/>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21.6</w:t>
      </w:r>
      <w:r>
        <w:rPr>
          <w:sz w:val="20"/>
          <w:szCs w:val="20"/>
          <w:color w:val="auto"/>
        </w:rPr>
        <w:tab/>
      </w:r>
      <w:r>
        <w:rPr>
          <w:rFonts w:ascii="Arial" w:cs="Arial" w:eastAsia="Arial" w:hAnsi="Arial"/>
          <w:sz w:val="16"/>
          <w:szCs w:val="16"/>
          <w:color w:val="auto"/>
        </w:rPr>
        <w:t>A director participating in this way is deemed to be present in person at the meeting.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Place of meetings</w:t>
      </w:r>
    </w:p>
    <w:p>
      <w:pPr>
        <w:spacing w:after="0" w:line="24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21.7</w:t>
      </w:r>
      <w:r>
        <w:rPr>
          <w:sz w:val="20"/>
          <w:szCs w:val="20"/>
          <w:color w:val="auto"/>
        </w:rPr>
        <w:tab/>
      </w:r>
      <w:r>
        <w:rPr>
          <w:rFonts w:ascii="Arial" w:cs="Arial" w:eastAsia="Arial" w:hAnsi="Arial"/>
          <w:sz w:val="18"/>
          <w:szCs w:val="18"/>
          <w:color w:val="auto"/>
        </w:rPr>
        <w:t>If all the directors participating in a meeting are not in the same place, they may decide that the meeting is to be treated as taking place wherever any of them is.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Quorum</w:t>
      </w:r>
    </w:p>
    <w:p>
      <w:pPr>
        <w:spacing w:after="0" w:line="246" w:lineRule="exact"/>
        <w:rPr>
          <w:sz w:val="20"/>
          <w:szCs w:val="20"/>
          <w:color w:val="auto"/>
        </w:rPr>
      </w:pPr>
    </w:p>
    <w:p>
      <w:pPr>
        <w:ind w:left="660" w:right="540" w:hanging="647"/>
        <w:spacing w:after="0" w:line="277" w:lineRule="auto"/>
        <w:tabs>
          <w:tab w:leader="none" w:pos="640" w:val="left"/>
        </w:tabs>
        <w:rPr>
          <w:sz w:val="20"/>
          <w:szCs w:val="20"/>
          <w:color w:val="auto"/>
        </w:rPr>
      </w:pPr>
      <w:r>
        <w:rPr>
          <w:rFonts w:ascii="Arial" w:cs="Arial" w:eastAsia="Arial" w:hAnsi="Arial"/>
          <w:sz w:val="18"/>
          <w:szCs w:val="18"/>
          <w:color w:val="010000"/>
        </w:rPr>
        <w:t>21.8</w:t>
      </w:r>
      <w:r>
        <w:rPr>
          <w:sz w:val="20"/>
          <w:szCs w:val="20"/>
          <w:color w:val="auto"/>
        </w:rPr>
        <w:tab/>
      </w:r>
      <w:r>
        <w:rPr>
          <w:rFonts w:ascii="Arial" w:cs="Arial" w:eastAsia="Arial" w:hAnsi="Arial"/>
          <w:sz w:val="18"/>
          <w:szCs w:val="18"/>
          <w:color w:val="auto"/>
        </w:rPr>
        <w:t>The quorum for the transaction of business at a meeting of directors shall be two unless the directors fix some other number or unless the Company has only one director.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w:t>
      </w:r>
    </w:p>
    <w:p>
      <w:pPr>
        <w:spacing w:after="0" w:line="246"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010000"/>
        </w:rPr>
        <w:t>21.9</w:t>
      </w:r>
      <w:r>
        <w:rPr>
          <w:sz w:val="20"/>
          <w:szCs w:val="20"/>
          <w:color w:val="auto"/>
        </w:rPr>
        <w:tab/>
      </w:r>
      <w:r>
        <w:rPr>
          <w:rFonts w:ascii="Arial" w:cs="Arial" w:eastAsia="Arial" w:hAnsi="Arial"/>
          <w:sz w:val="18"/>
          <w:szCs w:val="18"/>
          <w:color w:val="auto"/>
        </w:rPr>
        <w:t>A question which arises at a board meeting shall be decided by a majority of votes. If votes are equal the chairman may, if he wishes, exercise a casting vote.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Validity</w:t>
      </w:r>
    </w:p>
    <w:p>
      <w:pPr>
        <w:spacing w:after="0" w:line="246"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010000"/>
        </w:rPr>
        <w:t>21.10</w:t>
      </w:r>
      <w:r>
        <w:rPr>
          <w:rFonts w:ascii="Arial" w:cs="Arial" w:eastAsia="Arial" w:hAnsi="Arial"/>
          <w:sz w:val="18"/>
          <w:szCs w:val="18"/>
          <w:color w:val="auto"/>
        </w:rPr>
        <w:tab/>
        <w:t>Anything done at a meeting of directors is unaffected by the fact that it is later discovered that any person was not properly appointed, or had ceased to be a director, or was otherwise not entitled to vote.</w:t>
      </w:r>
    </w:p>
    <w:p>
      <w:pPr>
        <w:spacing w:after="0" w:line="36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6" w:name="page87"/>
    <w:bookmarkEnd w:id="86"/>
    <w:p>
      <w:pPr>
        <w:spacing w:after="0"/>
        <w:rPr>
          <w:sz w:val="20"/>
          <w:szCs w:val="20"/>
          <w:color w:val="auto"/>
        </w:rPr>
      </w:pPr>
      <w:r>
        <w:rPr>
          <w:rFonts w:ascii="Arial" w:cs="Arial" w:eastAsia="Arial" w:hAnsi="Arial"/>
          <w:sz w:val="22"/>
          <w:szCs w:val="22"/>
          <w:b w:val="1"/>
          <w:bCs w:val="1"/>
          <w:color w:val="auto"/>
        </w:rPr>
        <w:t>Recording of dissent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21.11</w:t>
      </w:r>
      <w:r>
        <w:rPr>
          <w:sz w:val="20"/>
          <w:szCs w:val="20"/>
          <w:color w:val="auto"/>
        </w:rPr>
        <w:tab/>
      </w:r>
      <w:r>
        <w:rPr>
          <w:rFonts w:ascii="Arial" w:cs="Arial" w:eastAsia="Arial" w:hAnsi="Arial"/>
          <w:sz w:val="16"/>
          <w:szCs w:val="16"/>
          <w:color w:val="auto"/>
        </w:rPr>
        <w:t>A director present at a meeting of directors shall be presumed to have assented to any action taken at that meeting unless:</w:t>
      </w:r>
    </w:p>
    <w:p>
      <w:pPr>
        <w:spacing w:after="0" w:line="252" w:lineRule="exact"/>
        <w:rPr>
          <w:sz w:val="20"/>
          <w:szCs w:val="20"/>
          <w:color w:val="auto"/>
        </w:rPr>
      </w:pPr>
    </w:p>
    <w:p>
      <w:pPr>
        <w:ind w:left="1300" w:hanging="644"/>
        <w:spacing w:after="0"/>
        <w:tabs>
          <w:tab w:leader="none" w:pos="130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his dissent is entered in the minutes of the meeting;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he has filed with the meeting before it is concluded signed dissent from that action;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37"/>
        </w:numPr>
        <w:rPr>
          <w:rFonts w:ascii="Arial" w:cs="Arial" w:eastAsia="Arial" w:hAnsi="Arial"/>
          <w:sz w:val="18"/>
          <w:szCs w:val="18"/>
          <w:color w:val="010000"/>
        </w:rPr>
      </w:pPr>
      <w:r>
        <w:rPr>
          <w:rFonts w:ascii="Arial" w:cs="Arial" w:eastAsia="Arial" w:hAnsi="Arial"/>
          <w:sz w:val="18"/>
          <w:szCs w:val="18"/>
          <w:color w:val="auto"/>
        </w:rPr>
        <w:t>he has forwarded to the Company as soon as practical following the conclusion of that meeting signed dissent.</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director who votes in favour of an action is not entitled to record his dissent to it.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Written resolutions</w:t>
      </w:r>
    </w:p>
    <w:p>
      <w:pPr>
        <w:spacing w:after="0" w:line="246"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010000"/>
        </w:rPr>
        <w:t>21.12</w:t>
      </w:r>
      <w:r>
        <w:rPr>
          <w:rFonts w:ascii="Arial" w:cs="Arial" w:eastAsia="Arial" w:hAnsi="Arial"/>
          <w:sz w:val="18"/>
          <w:szCs w:val="18"/>
          <w:color w:val="auto"/>
        </w:rPr>
        <w:tab/>
        <w:t>The directors may pass a resolution in writing without holding a meeting if all directors sign a document or sign several documents in the like form each signed by one or more of those directors.</w:t>
      </w:r>
    </w:p>
    <w:p>
      <w:pPr>
        <w:spacing w:after="0" w:line="197"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010000"/>
        </w:rPr>
        <w:t>21.13</w:t>
      </w:r>
      <w:r>
        <w:rPr>
          <w:rFonts w:ascii="Arial" w:cs="Arial" w:eastAsia="Arial" w:hAnsi="Arial"/>
          <w:sz w:val="18"/>
          <w:szCs w:val="18"/>
          <w:color w:val="auto"/>
        </w:rPr>
        <w:tab/>
        <w:t>Despite the foregoing, a resolution in writing signed by a validly appointed alternate director or by a validly appointed proxy need not also be signed by the appointing director. If a written resolution is signed personally by the appointing director, it need not also be signed by his alternate or proxy.</w:t>
      </w:r>
    </w:p>
    <w:p>
      <w:pPr>
        <w:spacing w:after="0" w:line="211"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010000"/>
        </w:rPr>
        <w:t>21.14</w:t>
      </w:r>
      <w:r>
        <w:rPr>
          <w:rFonts w:ascii="Arial" w:cs="Arial" w:eastAsia="Arial" w:hAnsi="Arial"/>
          <w:sz w:val="18"/>
          <w:szCs w:val="18"/>
          <w:color w:val="auto"/>
        </w:rPr>
        <w:tab/>
        <w:t>Such written resolution shall be as effective as if it had been passed at a meeting of the directors duly convened and held; and it shall be treated as having been passed on the day and at the time that the last director signs.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Sole director's minute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21.15</w:t>
      </w:r>
      <w:r>
        <w:rPr>
          <w:sz w:val="20"/>
          <w:szCs w:val="20"/>
          <w:color w:val="auto"/>
        </w:rPr>
        <w:tab/>
      </w:r>
      <w:r>
        <w:rPr>
          <w:rFonts w:ascii="Arial" w:cs="Arial" w:eastAsia="Arial" w:hAnsi="Arial"/>
          <w:sz w:val="16"/>
          <w:szCs w:val="16"/>
          <w:color w:val="auto"/>
        </w:rPr>
        <w:t>Where a sole director signs a minute recording his decision on a question, that record shall constitute the passing of a resolution in those terms.</w:t>
      </w:r>
    </w:p>
    <w:p>
      <w:pPr>
        <w:spacing w:after="0" w:line="248"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010000"/>
        </w:rPr>
      </w:pPr>
      <w:r>
        <w:rPr>
          <w:rFonts w:ascii="Arial" w:cs="Arial" w:eastAsia="Arial" w:hAnsi="Arial"/>
          <w:sz w:val="18"/>
          <w:szCs w:val="18"/>
          <w:b w:val="1"/>
          <w:bCs w:val="1"/>
          <w:color w:val="auto"/>
        </w:rPr>
        <w:t>Permissible directors' interests and disclosure</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Permissible interests subject to disclosure</w:t>
      </w:r>
    </w:p>
    <w:p>
      <w:pPr>
        <w:spacing w:after="0" w:line="246"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010000"/>
        </w:rPr>
        <w:t>22.1</w:t>
      </w:r>
      <w:r>
        <w:rPr>
          <w:sz w:val="20"/>
          <w:szCs w:val="20"/>
          <w:color w:val="auto"/>
        </w:rPr>
        <w:tab/>
      </w:r>
      <w:r>
        <w:rPr>
          <w:rFonts w:ascii="Arial" w:cs="Arial" w:eastAsia="Arial" w:hAnsi="Arial"/>
          <w:sz w:val="18"/>
          <w:szCs w:val="18"/>
          <w:color w:val="auto"/>
        </w:rPr>
        <w:t>Save as expressly permitted by these Articles or as set out below, a director may not have a direct or indirect interest or duty which conflicts or may possibly conflict with the interests of the Company.</w:t>
      </w:r>
    </w:p>
    <w:p>
      <w:pPr>
        <w:spacing w:after="0" w:line="19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22.2</w:t>
      </w:r>
      <w:r>
        <w:rPr>
          <w:sz w:val="20"/>
          <w:szCs w:val="20"/>
          <w:color w:val="auto"/>
        </w:rPr>
        <w:tab/>
      </w:r>
      <w:r>
        <w:rPr>
          <w:rFonts w:ascii="Arial" w:cs="Arial" w:eastAsia="Arial" w:hAnsi="Arial"/>
          <w:sz w:val="18"/>
          <w:szCs w:val="18"/>
          <w:color w:val="auto"/>
        </w:rPr>
        <w:t>If, notwithstanding the prohibition in the preceding Article, a director discloses to his fellow directors the nature and extent of any material interest or duty in accordance with the next Article, he may:</w:t>
      </w:r>
    </w:p>
    <w:p>
      <w:pPr>
        <w:spacing w:after="0" w:line="197" w:lineRule="exact"/>
        <w:rPr>
          <w:sz w:val="20"/>
          <w:szCs w:val="20"/>
          <w:color w:val="auto"/>
        </w:rPr>
      </w:pPr>
    </w:p>
    <w:p>
      <w:pPr>
        <w:ind w:left="1300" w:right="80" w:hanging="644"/>
        <w:spacing w:after="0" w:line="277" w:lineRule="auto"/>
        <w:tabs>
          <w:tab w:leader="none" w:pos="1300" w:val="left"/>
        </w:tabs>
        <w:numPr>
          <w:ilvl w:val="0"/>
          <w:numId w:val="139"/>
        </w:numPr>
        <w:rPr>
          <w:rFonts w:ascii="Arial" w:cs="Arial" w:eastAsia="Arial" w:hAnsi="Arial"/>
          <w:sz w:val="18"/>
          <w:szCs w:val="18"/>
          <w:color w:val="010000"/>
        </w:rPr>
      </w:pPr>
      <w:r>
        <w:rPr>
          <w:rFonts w:ascii="Arial" w:cs="Arial" w:eastAsia="Arial" w:hAnsi="Arial"/>
          <w:sz w:val="18"/>
          <w:szCs w:val="18"/>
          <w:color w:val="auto"/>
        </w:rPr>
        <w:t>be a party to, or otherwise interested in, any transaction or arrangement with the Company or in which the Company is or may otherwise be interested; or</w:t>
      </w:r>
    </w:p>
    <w:p>
      <w:pPr>
        <w:spacing w:after="0" w:line="197" w:lineRule="exact"/>
        <w:rPr>
          <w:rFonts w:ascii="Arial" w:cs="Arial" w:eastAsia="Arial" w:hAnsi="Arial"/>
          <w:sz w:val="18"/>
          <w:szCs w:val="18"/>
          <w:color w:val="010000"/>
        </w:rPr>
      </w:pPr>
    </w:p>
    <w:p>
      <w:pPr>
        <w:ind w:left="1300" w:right="280" w:hanging="644"/>
        <w:spacing w:after="0" w:line="263" w:lineRule="auto"/>
        <w:tabs>
          <w:tab w:leader="none" w:pos="1300" w:val="left"/>
        </w:tabs>
        <w:numPr>
          <w:ilvl w:val="0"/>
          <w:numId w:val="139"/>
        </w:numPr>
        <w:rPr>
          <w:rFonts w:ascii="Arial" w:cs="Arial" w:eastAsia="Arial" w:hAnsi="Arial"/>
          <w:sz w:val="18"/>
          <w:szCs w:val="18"/>
          <w:color w:val="010000"/>
        </w:rPr>
      </w:pPr>
      <w:r>
        <w:rPr>
          <w:rFonts w:ascii="Arial" w:cs="Arial" w:eastAsia="Arial" w:hAnsi="Arial"/>
          <w:sz w:val="18"/>
          <w:szCs w:val="18"/>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7" w:name="page88"/>
    <w:bookmarkEnd w:id="87"/>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22.3</w:t>
      </w:r>
      <w:r>
        <w:rPr>
          <w:sz w:val="20"/>
          <w:szCs w:val="20"/>
          <w:color w:val="auto"/>
        </w:rPr>
        <w:tab/>
      </w:r>
      <w:r>
        <w:rPr>
          <w:rFonts w:ascii="Arial" w:cs="Arial" w:eastAsia="Arial" w:hAnsi="Arial"/>
          <w:sz w:val="18"/>
          <w:szCs w:val="18"/>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211" w:lineRule="exact"/>
        <w:rPr>
          <w:sz w:val="20"/>
          <w:szCs w:val="20"/>
          <w:color w:val="auto"/>
        </w:rPr>
      </w:pPr>
    </w:p>
    <w:p>
      <w:pPr>
        <w:ind w:left="660" w:right="100" w:hanging="647"/>
        <w:spacing w:after="0" w:line="311" w:lineRule="auto"/>
        <w:tabs>
          <w:tab w:leader="none" w:pos="640" w:val="left"/>
        </w:tabs>
        <w:rPr>
          <w:sz w:val="20"/>
          <w:szCs w:val="20"/>
          <w:color w:val="auto"/>
        </w:rPr>
      </w:pPr>
      <w:r>
        <w:rPr>
          <w:rFonts w:ascii="Arial" w:cs="Arial" w:eastAsia="Arial" w:hAnsi="Arial"/>
          <w:sz w:val="18"/>
          <w:szCs w:val="18"/>
          <w:color w:val="010000"/>
        </w:rPr>
        <w:t>22.4</w:t>
      </w:r>
      <w:r>
        <w:rPr>
          <w:sz w:val="20"/>
          <w:szCs w:val="20"/>
          <w:color w:val="auto"/>
        </w:rPr>
        <w:tab/>
      </w:r>
      <w:r>
        <w:rPr>
          <w:rFonts w:ascii="Arial" w:cs="Arial" w:eastAsia="Arial" w:hAnsi="Arial"/>
          <w:sz w:val="16"/>
          <w:szCs w:val="16"/>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Notification of interests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22.5</w:t>
      </w:r>
      <w:r>
        <w:rPr>
          <w:sz w:val="20"/>
          <w:szCs w:val="20"/>
          <w:color w:val="auto"/>
        </w:rPr>
        <w:tab/>
      </w:r>
      <w:r>
        <w:rPr>
          <w:rFonts w:ascii="Arial" w:cs="Arial" w:eastAsia="Arial" w:hAnsi="Arial"/>
          <w:sz w:val="16"/>
          <w:szCs w:val="16"/>
          <w:color w:val="auto"/>
        </w:rPr>
        <w:t>For the purposes of the preceding Articles:</w:t>
      </w:r>
    </w:p>
    <w:p>
      <w:pPr>
        <w:spacing w:after="0" w:line="252" w:lineRule="exact"/>
        <w:rPr>
          <w:sz w:val="20"/>
          <w:szCs w:val="20"/>
          <w:color w:val="auto"/>
        </w:rPr>
      </w:pPr>
    </w:p>
    <w:p>
      <w:pPr>
        <w:ind w:left="1300" w:right="40" w:hanging="644"/>
        <w:spacing w:after="0" w:line="311" w:lineRule="auto"/>
        <w:tabs>
          <w:tab w:leader="none" w:pos="1300" w:val="left"/>
        </w:tabs>
        <w:numPr>
          <w:ilvl w:val="0"/>
          <w:numId w:val="140"/>
        </w:numPr>
        <w:rPr>
          <w:rFonts w:ascii="Arial" w:cs="Arial" w:eastAsia="Arial" w:hAnsi="Arial"/>
          <w:sz w:val="16"/>
          <w:szCs w:val="16"/>
          <w:color w:val="010000"/>
        </w:rPr>
      </w:pPr>
      <w:r>
        <w:rPr>
          <w:rFonts w:ascii="Arial" w:cs="Arial" w:eastAsia="Arial" w:hAnsi="Arial"/>
          <w:sz w:val="16"/>
          <w:szCs w:val="16"/>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175" w:lineRule="exact"/>
        <w:rPr>
          <w:rFonts w:ascii="Arial" w:cs="Arial" w:eastAsia="Arial" w:hAnsi="Arial"/>
          <w:sz w:val="16"/>
          <w:szCs w:val="16"/>
          <w:color w:val="010000"/>
        </w:rPr>
      </w:pPr>
    </w:p>
    <w:p>
      <w:pPr>
        <w:ind w:left="1300" w:right="100" w:hanging="644"/>
        <w:spacing w:after="0" w:line="277" w:lineRule="auto"/>
        <w:tabs>
          <w:tab w:leader="none" w:pos="1300" w:val="left"/>
        </w:tabs>
        <w:numPr>
          <w:ilvl w:val="0"/>
          <w:numId w:val="140"/>
        </w:numPr>
        <w:rPr>
          <w:rFonts w:ascii="Arial" w:cs="Arial" w:eastAsia="Arial" w:hAnsi="Arial"/>
          <w:sz w:val="18"/>
          <w:szCs w:val="18"/>
          <w:color w:val="010000"/>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Voting where a director is interested in a matter</w:t>
      </w:r>
    </w:p>
    <w:p>
      <w:pPr>
        <w:spacing w:after="0" w:line="246" w:lineRule="exact"/>
        <w:rPr>
          <w:sz w:val="20"/>
          <w:szCs w:val="20"/>
          <w:color w:val="auto"/>
        </w:rPr>
      </w:pPr>
    </w:p>
    <w:p>
      <w:pPr>
        <w:jc w:val="both"/>
        <w:ind w:left="660" w:right="80" w:hanging="647"/>
        <w:spacing w:after="0" w:line="263" w:lineRule="auto"/>
        <w:tabs>
          <w:tab w:leader="none" w:pos="640" w:val="left"/>
        </w:tabs>
        <w:rPr>
          <w:sz w:val="20"/>
          <w:szCs w:val="20"/>
          <w:color w:val="auto"/>
        </w:rPr>
      </w:pPr>
      <w:r>
        <w:rPr>
          <w:rFonts w:ascii="Arial" w:cs="Arial" w:eastAsia="Arial" w:hAnsi="Arial"/>
          <w:sz w:val="18"/>
          <w:szCs w:val="18"/>
          <w:color w:val="010000"/>
        </w:rPr>
        <w:t>22.6</w:t>
      </w:r>
      <w:r>
        <w:rPr>
          <w:sz w:val="20"/>
          <w:szCs w:val="20"/>
          <w:color w:val="auto"/>
        </w:rPr>
        <w:tab/>
      </w:r>
      <w:r>
        <w:rPr>
          <w:rFonts w:ascii="Arial" w:cs="Arial" w:eastAsia="Arial" w:hAnsi="Arial"/>
          <w:sz w:val="18"/>
          <w:szCs w:val="18"/>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211"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010000"/>
        </w:rPr>
        <w:t>22.7</w:t>
      </w:r>
      <w:r>
        <w:rPr>
          <w:sz w:val="20"/>
          <w:szCs w:val="20"/>
          <w:color w:val="auto"/>
        </w:rPr>
        <w:tab/>
      </w:r>
      <w:r>
        <w:rPr>
          <w:rFonts w:ascii="Arial" w:cs="Arial" w:eastAsia="Arial" w:hAnsi="Arial"/>
          <w:sz w:val="18"/>
          <w:szCs w:val="18"/>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210"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010000"/>
        </w:rPr>
      </w:pPr>
      <w:r>
        <w:rPr>
          <w:rFonts w:ascii="Arial" w:cs="Arial" w:eastAsia="Arial" w:hAnsi="Arial"/>
          <w:sz w:val="18"/>
          <w:szCs w:val="18"/>
          <w:b w:val="1"/>
          <w:bCs w:val="1"/>
          <w:color w:val="auto"/>
        </w:rPr>
        <w:t>Minutes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shall cause minutes to be made in books kept for the purpose in accordance with the Law.</w:t>
      </w:r>
    </w:p>
    <w:p>
      <w:pPr>
        <w:spacing w:after="0" w:line="236"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010000"/>
        </w:rPr>
      </w:pPr>
      <w:r>
        <w:rPr>
          <w:rFonts w:ascii="Arial" w:cs="Arial" w:eastAsia="Arial" w:hAnsi="Arial"/>
          <w:sz w:val="18"/>
          <w:szCs w:val="18"/>
          <w:b w:val="1"/>
          <w:bCs w:val="1"/>
          <w:color w:val="auto"/>
        </w:rPr>
        <w:t>Accounts and audit</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Accounting and other records</w:t>
      </w:r>
    </w:p>
    <w:p>
      <w:pPr>
        <w:spacing w:after="0" w:line="24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010000"/>
        </w:rPr>
        <w:t>24.1</w:t>
      </w:r>
      <w:r>
        <w:rPr>
          <w:sz w:val="20"/>
          <w:szCs w:val="20"/>
          <w:color w:val="auto"/>
        </w:rPr>
        <w:tab/>
      </w:r>
      <w:r>
        <w:rPr>
          <w:rFonts w:ascii="Arial" w:cs="Arial" w:eastAsia="Arial" w:hAnsi="Arial"/>
          <w:sz w:val="18"/>
          <w:szCs w:val="18"/>
          <w:color w:val="auto"/>
        </w:rPr>
        <w:t>The directors must ensure that proper accounting and other records are kept, and that accounts and associated reports are distributed in accordance with the requirements of the Law.</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sz w:val="20"/>
          <w:szCs w:val="20"/>
          <w:color w:val="auto"/>
        </w:rPr>
      </w:pPr>
      <w:r>
        <w:rPr>
          <w:rFonts w:ascii="Arial" w:cs="Arial" w:eastAsia="Arial" w:hAnsi="Arial"/>
          <w:sz w:val="22"/>
          <w:szCs w:val="22"/>
          <w:b w:val="1"/>
          <w:bCs w:val="1"/>
          <w:color w:val="auto"/>
        </w:rPr>
        <w:t>No automatic right of inspection</w:t>
      </w:r>
    </w:p>
    <w:p>
      <w:pPr>
        <w:spacing w:after="0" w:line="247"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24.2</w:t>
      </w:r>
      <w:r>
        <w:rPr>
          <w:sz w:val="20"/>
          <w:szCs w:val="20"/>
          <w:color w:val="auto"/>
        </w:rPr>
        <w:tab/>
      </w:r>
      <w:r>
        <w:rPr>
          <w:rFonts w:ascii="Arial" w:cs="Arial" w:eastAsia="Arial" w:hAnsi="Arial"/>
          <w:sz w:val="18"/>
          <w:szCs w:val="18"/>
          <w:color w:val="auto"/>
        </w:rPr>
        <w:t>Members are only entitled to inspect the Company's records if they are expressly entitled to do so by law, or by resolution made by the directors or passed by Ordinary Resolution.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Sending of accounts and reports</w:t>
      </w:r>
    </w:p>
    <w:p>
      <w:pPr>
        <w:spacing w:after="0" w:line="246"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010000"/>
        </w:rPr>
        <w:t>24.3</w:t>
      </w:r>
      <w:r>
        <w:rPr>
          <w:sz w:val="20"/>
          <w:szCs w:val="20"/>
          <w:color w:val="auto"/>
        </w:rPr>
        <w:tab/>
      </w:r>
      <w:r>
        <w:rPr>
          <w:rFonts w:ascii="Arial" w:cs="Arial" w:eastAsia="Arial" w:hAnsi="Arial"/>
          <w:sz w:val="18"/>
          <w:szCs w:val="18"/>
          <w:color w:val="auto"/>
        </w:rPr>
        <w:t>The Company's accounts and associated directors' report or auditor's report that are required or permitted to be sent to any person pursuant to any law shall be treated as properly sent to that person if:</w:t>
      </w:r>
    </w:p>
    <w:p>
      <w:pPr>
        <w:spacing w:after="0" w:line="197" w:lineRule="exact"/>
        <w:rPr>
          <w:sz w:val="20"/>
          <w:szCs w:val="20"/>
          <w:color w:val="auto"/>
        </w:rPr>
      </w:pPr>
    </w:p>
    <w:p>
      <w:pPr>
        <w:ind w:left="1300" w:hanging="644"/>
        <w:spacing w:after="0"/>
        <w:tabs>
          <w:tab w:leader="none" w:pos="1300"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they are sent to that person in accordance with the notice provisions: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43"/>
        </w:numPr>
        <w:rPr>
          <w:rFonts w:ascii="Arial" w:cs="Arial" w:eastAsia="Arial" w:hAnsi="Arial"/>
          <w:sz w:val="18"/>
          <w:szCs w:val="18"/>
          <w:color w:val="010000"/>
        </w:rPr>
      </w:pPr>
      <w:r>
        <w:rPr>
          <w:rFonts w:ascii="Arial" w:cs="Arial" w:eastAsia="Arial" w:hAnsi="Arial"/>
          <w:sz w:val="18"/>
          <w:szCs w:val="18"/>
          <w:color w:val="auto"/>
        </w:rPr>
        <w:t>they are published on a website providing that person is given separate notice of:</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43"/>
        </w:numPr>
        <w:rPr>
          <w:rFonts w:ascii="Arial" w:cs="Arial" w:eastAsia="Arial" w:hAnsi="Arial"/>
          <w:sz w:val="18"/>
          <w:szCs w:val="18"/>
          <w:color w:val="010000"/>
        </w:rPr>
      </w:pPr>
      <w:r>
        <w:rPr>
          <w:rFonts w:ascii="Arial" w:cs="Arial" w:eastAsia="Arial" w:hAnsi="Arial"/>
          <w:sz w:val="18"/>
          <w:szCs w:val="18"/>
          <w:color w:val="auto"/>
        </w:rPr>
        <w:t>the fact that publication of the documents has been published on the website;</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43"/>
        </w:numPr>
        <w:rPr>
          <w:rFonts w:ascii="Arial" w:cs="Arial" w:eastAsia="Arial" w:hAnsi="Arial"/>
          <w:sz w:val="18"/>
          <w:szCs w:val="18"/>
          <w:color w:val="010000"/>
        </w:rPr>
      </w:pPr>
      <w:r>
        <w:rPr>
          <w:rFonts w:ascii="Arial" w:cs="Arial" w:eastAsia="Arial" w:hAnsi="Arial"/>
          <w:sz w:val="18"/>
          <w:szCs w:val="18"/>
          <w:color w:val="auto"/>
        </w:rPr>
        <w:t>the address of the website; and</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43"/>
        </w:numPr>
        <w:rPr>
          <w:rFonts w:ascii="Arial" w:cs="Arial" w:eastAsia="Arial" w:hAnsi="Arial"/>
          <w:sz w:val="18"/>
          <w:szCs w:val="18"/>
          <w:color w:val="010000"/>
        </w:rPr>
      </w:pPr>
      <w:r>
        <w:rPr>
          <w:rFonts w:ascii="Arial" w:cs="Arial" w:eastAsia="Arial" w:hAnsi="Arial"/>
          <w:sz w:val="18"/>
          <w:szCs w:val="18"/>
          <w:color w:val="auto"/>
        </w:rPr>
        <w:t>the place on the website where the documents may be accessed; and</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43"/>
        </w:numPr>
        <w:rPr>
          <w:rFonts w:ascii="Arial" w:cs="Arial" w:eastAsia="Arial" w:hAnsi="Arial"/>
          <w:sz w:val="18"/>
          <w:szCs w:val="18"/>
          <w:color w:val="010000"/>
        </w:rPr>
      </w:pPr>
      <w:r>
        <w:rPr>
          <w:rFonts w:ascii="Arial" w:cs="Arial" w:eastAsia="Arial" w:hAnsi="Arial"/>
          <w:sz w:val="18"/>
          <w:szCs w:val="18"/>
          <w:color w:val="auto"/>
        </w:rPr>
        <w:t>how they may be accessed.</w:t>
      </w:r>
    </w:p>
    <w:p>
      <w:pPr>
        <w:spacing w:after="0" w:line="252" w:lineRule="exact"/>
        <w:rPr>
          <w:sz w:val="20"/>
          <w:szCs w:val="20"/>
          <w:color w:val="auto"/>
        </w:rPr>
      </w:pPr>
    </w:p>
    <w:p>
      <w:pPr>
        <w:ind w:left="660" w:right="480" w:hanging="647"/>
        <w:spacing w:after="0" w:line="263" w:lineRule="auto"/>
        <w:tabs>
          <w:tab w:leader="none" w:pos="640" w:val="left"/>
        </w:tabs>
        <w:rPr>
          <w:sz w:val="20"/>
          <w:szCs w:val="20"/>
          <w:color w:val="auto"/>
        </w:rPr>
      </w:pPr>
      <w:r>
        <w:rPr>
          <w:rFonts w:ascii="Arial" w:cs="Arial" w:eastAsia="Arial" w:hAnsi="Arial"/>
          <w:sz w:val="18"/>
          <w:szCs w:val="18"/>
          <w:color w:val="010000"/>
        </w:rPr>
        <w:t>24.4</w:t>
      </w:r>
      <w:r>
        <w:rPr>
          <w:sz w:val="20"/>
          <w:szCs w:val="20"/>
          <w:color w:val="auto"/>
        </w:rPr>
        <w:tab/>
      </w:r>
      <w:r>
        <w:rPr>
          <w:rFonts w:ascii="Arial" w:cs="Arial" w:eastAsia="Arial" w:hAnsi="Arial"/>
          <w:sz w:val="18"/>
          <w:szCs w:val="18"/>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 of receipt if documents are published on a website</w:t>
      </w:r>
    </w:p>
    <w:p>
      <w:pPr>
        <w:spacing w:after="0" w:line="246"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010000"/>
        </w:rPr>
        <w:t>24.5</w:t>
      </w:r>
      <w:r>
        <w:rPr>
          <w:sz w:val="20"/>
          <w:szCs w:val="20"/>
          <w:color w:val="auto"/>
        </w:rPr>
        <w:tab/>
      </w:r>
      <w:r>
        <w:rPr>
          <w:rFonts w:ascii="Arial" w:cs="Arial" w:eastAsia="Arial" w:hAnsi="Arial"/>
          <w:sz w:val="18"/>
          <w:szCs w:val="18"/>
          <w:color w:val="auto"/>
        </w:rPr>
        <w:t>Documents sent by being published on a website in accordance with the preceding two Articles are only treated as sent at least five Clear Days before the date of the meeting at which they are to be laid if:</w:t>
      </w:r>
    </w:p>
    <w:p>
      <w:pPr>
        <w:spacing w:after="0" w:line="197" w:lineRule="exact"/>
        <w:rPr>
          <w:sz w:val="20"/>
          <w:szCs w:val="20"/>
          <w:color w:val="auto"/>
        </w:rPr>
      </w:pPr>
    </w:p>
    <w:p>
      <w:pPr>
        <w:ind w:left="1300" w:right="320" w:hanging="644"/>
        <w:spacing w:after="0" w:line="277" w:lineRule="auto"/>
        <w:tabs>
          <w:tab w:leader="none" w:pos="1300"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the documents are published on the website throughout a period beginning at least five Clear Days before the date of the meeting and ending with the conclusion of the meeting;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44"/>
        </w:numPr>
        <w:rPr>
          <w:rFonts w:ascii="Arial" w:cs="Arial" w:eastAsia="Arial" w:hAnsi="Arial"/>
          <w:sz w:val="18"/>
          <w:szCs w:val="18"/>
          <w:color w:val="010000"/>
        </w:rPr>
      </w:pPr>
      <w:r>
        <w:rPr>
          <w:rFonts w:ascii="Arial" w:cs="Arial" w:eastAsia="Arial" w:hAnsi="Arial"/>
          <w:sz w:val="18"/>
          <w:szCs w:val="18"/>
          <w:color w:val="auto"/>
        </w:rPr>
        <w:t>the person is given at least five Clear Days' notice of the hearing.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Validity despite accidental error in publication on website</w:t>
      </w:r>
    </w:p>
    <w:p>
      <w:pPr>
        <w:spacing w:after="0" w:line="246"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010000"/>
        </w:rPr>
        <w:t>24.6</w:t>
      </w:r>
      <w:r>
        <w:rPr>
          <w:sz w:val="20"/>
          <w:szCs w:val="20"/>
          <w:color w:val="auto"/>
        </w:rPr>
        <w:tab/>
      </w:r>
      <w:r>
        <w:rPr>
          <w:rFonts w:ascii="Arial" w:cs="Arial" w:eastAsia="Arial" w:hAnsi="Arial"/>
          <w:sz w:val="18"/>
          <w:szCs w:val="18"/>
          <w:color w:val="auto"/>
        </w:rPr>
        <w:t>If, for the purpose of a meeting, documents are sent by being published on a website in accordance with the preceding Articles, the proceedings at that meeting are not invalidated merely because:</w:t>
      </w:r>
    </w:p>
    <w:p>
      <w:pPr>
        <w:spacing w:after="0" w:line="197" w:lineRule="exact"/>
        <w:rPr>
          <w:sz w:val="20"/>
          <w:szCs w:val="20"/>
          <w:color w:val="auto"/>
        </w:rPr>
      </w:pPr>
    </w:p>
    <w:p>
      <w:pPr>
        <w:ind w:left="1300" w:hanging="644"/>
        <w:spacing w:after="0"/>
        <w:tabs>
          <w:tab w:leader="none" w:pos="1300"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those documents are, by accident, published in a different place on the website to the place notified;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they are published for part only of the period from the date of notification until the conclusion of that meeting.</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89" w:name="page90"/>
    <w:bookmarkEnd w:id="89"/>
    <w:p>
      <w:pPr>
        <w:spacing w:after="0"/>
        <w:rPr>
          <w:sz w:val="20"/>
          <w:szCs w:val="20"/>
          <w:color w:val="auto"/>
        </w:rPr>
      </w:pPr>
      <w:r>
        <w:rPr>
          <w:rFonts w:ascii="Arial" w:cs="Arial" w:eastAsia="Arial" w:hAnsi="Arial"/>
          <w:sz w:val="22"/>
          <w:szCs w:val="22"/>
          <w:b w:val="1"/>
          <w:bCs w:val="1"/>
          <w:color w:val="auto"/>
        </w:rPr>
        <w:t>Audit</w:t>
      </w:r>
    </w:p>
    <w:p>
      <w:pPr>
        <w:spacing w:after="0" w:line="2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24.7</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252" w:lineRule="exact"/>
        <w:rPr>
          <w:sz w:val="20"/>
          <w:szCs w:val="20"/>
          <w:color w:val="auto"/>
        </w:rPr>
      </w:pPr>
    </w:p>
    <w:p>
      <w:pPr>
        <w:ind w:left="660" w:right="80" w:hanging="647"/>
        <w:spacing w:after="0" w:line="255" w:lineRule="auto"/>
        <w:tabs>
          <w:tab w:leader="none" w:pos="640" w:val="left"/>
        </w:tabs>
        <w:rPr>
          <w:sz w:val="20"/>
          <w:szCs w:val="20"/>
          <w:color w:val="auto"/>
        </w:rPr>
      </w:pPr>
      <w:r>
        <w:rPr>
          <w:rFonts w:ascii="Arial" w:cs="Arial" w:eastAsia="Arial" w:hAnsi="Arial"/>
          <w:sz w:val="18"/>
          <w:szCs w:val="18"/>
          <w:color w:val="010000"/>
        </w:rPr>
        <w:t>24.8</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spacing w:after="0" w:line="219" w:lineRule="exact"/>
        <w:rPr>
          <w:sz w:val="20"/>
          <w:szCs w:val="20"/>
          <w:color w:val="auto"/>
        </w:rPr>
      </w:pPr>
    </w:p>
    <w:p>
      <w:pPr>
        <w:ind w:left="660" w:right="600" w:hanging="647"/>
        <w:spacing w:after="0" w:line="342" w:lineRule="auto"/>
        <w:tabs>
          <w:tab w:leader="none" w:pos="640" w:val="left"/>
        </w:tabs>
        <w:rPr>
          <w:sz w:val="20"/>
          <w:szCs w:val="20"/>
          <w:color w:val="auto"/>
        </w:rPr>
      </w:pPr>
      <w:r>
        <w:rPr>
          <w:rFonts w:ascii="Arial" w:cs="Arial" w:eastAsia="Arial" w:hAnsi="Arial"/>
          <w:sz w:val="18"/>
          <w:szCs w:val="18"/>
          <w:color w:val="010000"/>
        </w:rPr>
        <w:t>24.9</w:t>
      </w:r>
      <w:r>
        <w:rPr>
          <w:sz w:val="20"/>
          <w:szCs w:val="20"/>
          <w:color w:val="auto"/>
        </w:rPr>
        <w:tab/>
      </w:r>
      <w:r>
        <w:rPr>
          <w:rFonts w:ascii="Arial" w:cs="Arial" w:eastAsia="Arial" w:hAnsi="Arial"/>
          <w:sz w:val="16"/>
          <w:szCs w:val="16"/>
          <w:color w:val="auto"/>
        </w:rPr>
        <w:t>If the Shares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15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24.10</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252"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010000"/>
        </w:rPr>
        <w:t>24.11</w:t>
      </w:r>
      <w:r>
        <w:rPr>
          <w:sz w:val="20"/>
          <w:szCs w:val="20"/>
          <w:color w:val="auto"/>
        </w:rPr>
        <w:tab/>
      </w:r>
      <w:r>
        <w:rPr>
          <w:rFonts w:ascii="Arial" w:cs="Arial" w:eastAsia="Arial" w:hAnsi="Arial"/>
          <w:sz w:val="17"/>
          <w:szCs w:val="17"/>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73" w:lineRule="exact"/>
        <w:rPr>
          <w:sz w:val="20"/>
          <w:szCs w:val="20"/>
          <w:color w:val="auto"/>
        </w:rPr>
      </w:pPr>
    </w:p>
    <w:p>
      <w:pPr>
        <w:ind w:left="660" w:right="180" w:hanging="647"/>
        <w:spacing w:after="0" w:line="263" w:lineRule="auto"/>
        <w:tabs>
          <w:tab w:leader="none" w:pos="640" w:val="left"/>
        </w:tabs>
        <w:rPr>
          <w:sz w:val="20"/>
          <w:szCs w:val="20"/>
          <w:color w:val="auto"/>
        </w:rPr>
      </w:pPr>
      <w:r>
        <w:rPr>
          <w:rFonts w:ascii="Arial" w:cs="Arial" w:eastAsia="Arial" w:hAnsi="Arial"/>
          <w:sz w:val="18"/>
          <w:szCs w:val="18"/>
          <w:color w:val="010000"/>
        </w:rPr>
        <w:t>24.12</w:t>
      </w:r>
      <w:r>
        <w:rPr>
          <w:rFonts w:ascii="Arial" w:cs="Arial" w:eastAsia="Arial" w:hAnsi="Arial"/>
          <w:sz w:val="18"/>
          <w:szCs w:val="18"/>
          <w:color w:val="auto"/>
        </w:rPr>
        <w:tab/>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211" w:lineRule="exact"/>
        <w:rPr>
          <w:sz w:val="20"/>
          <w:szCs w:val="20"/>
          <w:color w:val="auto"/>
        </w:rPr>
      </w:pPr>
    </w:p>
    <w:p>
      <w:pPr>
        <w:ind w:left="660" w:right="220" w:hanging="647"/>
        <w:spacing w:after="0" w:line="257" w:lineRule="auto"/>
        <w:tabs>
          <w:tab w:leader="none" w:pos="640" w:val="left"/>
        </w:tabs>
        <w:rPr>
          <w:sz w:val="20"/>
          <w:szCs w:val="20"/>
          <w:color w:val="auto"/>
        </w:rPr>
      </w:pPr>
      <w:r>
        <w:rPr>
          <w:rFonts w:ascii="Arial" w:cs="Arial" w:eastAsia="Arial" w:hAnsi="Arial"/>
          <w:sz w:val="18"/>
          <w:szCs w:val="18"/>
          <w:color w:val="010000"/>
        </w:rPr>
        <w:t>24.13</w:t>
      </w:r>
      <w:r>
        <w:rPr>
          <w:rFonts w:ascii="Arial" w:cs="Arial" w:eastAsia="Arial" w:hAnsi="Arial"/>
          <w:sz w:val="18"/>
          <w:szCs w:val="18"/>
          <w:color w:val="auto"/>
        </w:rPr>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211"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010000"/>
        </w:rPr>
      </w:pPr>
      <w:r>
        <w:rPr>
          <w:rFonts w:ascii="Arial" w:cs="Arial" w:eastAsia="Arial" w:hAnsi="Arial"/>
          <w:sz w:val="18"/>
          <w:szCs w:val="18"/>
          <w:b w:val="1"/>
          <w:bCs w:val="1"/>
          <w:color w:val="auto"/>
        </w:rPr>
        <w:t>Financial year</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directors otherwise specify, the financial year of the Company:</w:t>
      </w:r>
    </w:p>
    <w:p>
      <w:pPr>
        <w:spacing w:after="0" w:line="240"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shall end on 31st December in the year of its incorporation and each following year; and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47"/>
        </w:numPr>
        <w:rPr>
          <w:rFonts w:ascii="Arial" w:cs="Arial" w:eastAsia="Arial" w:hAnsi="Arial"/>
          <w:sz w:val="18"/>
          <w:szCs w:val="18"/>
          <w:color w:val="010000"/>
        </w:rPr>
      </w:pPr>
      <w:r>
        <w:rPr>
          <w:rFonts w:ascii="Arial" w:cs="Arial" w:eastAsia="Arial" w:hAnsi="Arial"/>
          <w:sz w:val="18"/>
          <w:szCs w:val="18"/>
          <w:color w:val="auto"/>
        </w:rPr>
        <w:t>shall begin when it was incorporated and on 1st January each following year.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1" w:right="399" w:bottom="1440" w:gutter="0" w:footer="0" w:header="0"/>
        </w:sectPr>
      </w:pPr>
    </w:p>
    <w:bookmarkStart w:id="90" w:name="page91"/>
    <w:bookmarkEnd w:id="90"/>
    <w:p>
      <w:pPr>
        <w:ind w:left="660" w:hanging="652"/>
        <w:spacing w:after="0"/>
        <w:tabs>
          <w:tab w:leader="none" w:pos="660" w:val="left"/>
        </w:tabs>
        <w:numPr>
          <w:ilvl w:val="0"/>
          <w:numId w:val="148"/>
        </w:numPr>
        <w:rPr>
          <w:rFonts w:ascii="Arial" w:cs="Arial" w:eastAsia="Arial" w:hAnsi="Arial"/>
          <w:sz w:val="18"/>
          <w:szCs w:val="18"/>
          <w:b w:val="1"/>
          <w:bCs w:val="1"/>
          <w:color w:val="010000"/>
        </w:rPr>
      </w:pPr>
      <w:r>
        <w:rPr>
          <w:rFonts w:ascii="Arial" w:cs="Arial" w:eastAsia="Arial" w:hAnsi="Arial"/>
          <w:sz w:val="18"/>
          <w:szCs w:val="18"/>
          <w:b w:val="1"/>
          <w:bCs w:val="1"/>
          <w:color w:val="auto"/>
        </w:rPr>
        <w:t>Record dates</w:t>
      </w:r>
    </w:p>
    <w:p>
      <w:pPr>
        <w:spacing w:after="0" w:line="249"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Except to the extent of any conflicting rights attached to Shares, the directors may fix any time and date as the record date for:</w:t>
      </w:r>
    </w:p>
    <w:p>
      <w:pPr>
        <w:spacing w:after="0" w:line="209" w:lineRule="exact"/>
        <w:rPr>
          <w:sz w:val="20"/>
          <w:szCs w:val="20"/>
          <w:color w:val="auto"/>
        </w:rPr>
      </w:pPr>
    </w:p>
    <w:p>
      <w:pPr>
        <w:ind w:left="1300" w:hanging="644"/>
        <w:spacing w:after="0"/>
        <w:tabs>
          <w:tab w:leader="none" w:pos="1300"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calling a general meeting;</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declaring or paying a dividend;</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making or issuing an allotment of Shares;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conducting any other business required pursuant to these Articles.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record date may be before or after the date on which a dividend, allotment or issue is declared, paid or made.</w:t>
      </w:r>
    </w:p>
    <w:p>
      <w:pPr>
        <w:spacing w:after="0" w:line="271"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18"/>
          <w:szCs w:val="18"/>
          <w:b w:val="1"/>
          <w:bCs w:val="1"/>
          <w:color w:val="010000"/>
        </w:rPr>
      </w:pPr>
      <w:r>
        <w:rPr>
          <w:rFonts w:ascii="Arial" w:cs="Arial" w:eastAsia="Arial" w:hAnsi="Arial"/>
          <w:sz w:val="18"/>
          <w:szCs w:val="18"/>
          <w:b w:val="1"/>
          <w:bCs w:val="1"/>
          <w:color w:val="auto"/>
        </w:rPr>
        <w:t>Dividends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Declaration of dividends by Members</w:t>
      </w:r>
    </w:p>
    <w:p>
      <w:pPr>
        <w:spacing w:after="0" w:line="246"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010000"/>
        </w:rPr>
        <w:t>27.1</w:t>
      </w:r>
      <w:r>
        <w:rPr>
          <w:sz w:val="20"/>
          <w:szCs w:val="20"/>
          <w:color w:val="auto"/>
        </w:rPr>
        <w:tab/>
      </w:r>
      <w:r>
        <w:rPr>
          <w:rFonts w:ascii="Arial" w:cs="Arial" w:eastAsia="Arial" w:hAnsi="Arial"/>
          <w:sz w:val="18"/>
          <w:szCs w:val="18"/>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Payment of interim dividends and declaration of final dividends by directors</w:t>
      </w:r>
    </w:p>
    <w:p>
      <w:pPr>
        <w:spacing w:after="0" w:line="246"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010000"/>
        </w:rPr>
        <w:t>27.2</w:t>
      </w:r>
      <w:r>
        <w:rPr>
          <w:sz w:val="20"/>
          <w:szCs w:val="20"/>
          <w:color w:val="auto"/>
        </w:rPr>
        <w:tab/>
      </w:r>
      <w:r>
        <w:rPr>
          <w:rFonts w:ascii="Arial" w:cs="Arial" w:eastAsia="Arial" w:hAnsi="Arial"/>
          <w:sz w:val="18"/>
          <w:szCs w:val="18"/>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27.3</w:t>
      </w:r>
      <w:r>
        <w:rPr>
          <w:sz w:val="20"/>
          <w:szCs w:val="20"/>
          <w:color w:val="auto"/>
        </w:rPr>
        <w:tab/>
      </w:r>
      <w:r>
        <w:rPr>
          <w:rFonts w:ascii="Arial" w:cs="Arial" w:eastAsia="Arial" w:hAnsi="Arial"/>
          <w:sz w:val="16"/>
          <w:szCs w:val="16"/>
          <w:color w:val="auto"/>
        </w:rPr>
        <w:t>Subject to the provisions of the Law, in relation to the distinction between interim dividends and final dividends, the following applies:</w:t>
      </w:r>
    </w:p>
    <w:p>
      <w:pPr>
        <w:spacing w:after="0" w:line="252" w:lineRule="exact"/>
        <w:rPr>
          <w:sz w:val="20"/>
          <w:szCs w:val="20"/>
          <w:color w:val="auto"/>
        </w:rPr>
      </w:pPr>
    </w:p>
    <w:p>
      <w:pPr>
        <w:ind w:left="1300" w:right="460" w:hanging="644"/>
        <w:spacing w:after="0" w:line="277" w:lineRule="auto"/>
        <w:tabs>
          <w:tab w:leader="none" w:pos="1300" w:val="left"/>
        </w:tabs>
        <w:numPr>
          <w:ilvl w:val="0"/>
          <w:numId w:val="151"/>
        </w:numPr>
        <w:rPr>
          <w:rFonts w:ascii="Arial" w:cs="Arial" w:eastAsia="Arial" w:hAnsi="Arial"/>
          <w:sz w:val="18"/>
          <w:szCs w:val="18"/>
          <w:color w:val="010000"/>
        </w:rPr>
      </w:pPr>
      <w:r>
        <w:rPr>
          <w:rFonts w:ascii="Arial" w:cs="Arial" w:eastAsia="Arial" w:hAnsi="Arial"/>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197" w:lineRule="exact"/>
        <w:rPr>
          <w:rFonts w:ascii="Arial" w:cs="Arial" w:eastAsia="Arial" w:hAnsi="Arial"/>
          <w:sz w:val="18"/>
          <w:szCs w:val="18"/>
          <w:color w:val="010000"/>
        </w:rPr>
      </w:pPr>
    </w:p>
    <w:p>
      <w:pPr>
        <w:ind w:left="1300" w:right="680" w:hanging="644"/>
        <w:spacing w:after="0" w:line="342" w:lineRule="auto"/>
        <w:tabs>
          <w:tab w:leader="none" w:pos="1300" w:val="left"/>
        </w:tabs>
        <w:numPr>
          <w:ilvl w:val="0"/>
          <w:numId w:val="151"/>
        </w:numPr>
        <w:rPr>
          <w:rFonts w:ascii="Arial" w:cs="Arial" w:eastAsia="Arial" w:hAnsi="Arial"/>
          <w:sz w:val="16"/>
          <w:szCs w:val="16"/>
          <w:color w:val="010000"/>
        </w:rPr>
      </w:pPr>
      <w:r>
        <w:rPr>
          <w:rFonts w:ascii="Arial" w:cs="Arial" w:eastAsia="Arial" w:hAnsi="Arial"/>
          <w:sz w:val="16"/>
          <w:szCs w:val="16"/>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resolution fails to specify whether a dividend is final or interim, it shall be assumed to be interim.</w:t>
      </w:r>
    </w:p>
    <w:p>
      <w:pPr>
        <w:spacing w:after="0" w:line="2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27.4</w:t>
      </w:r>
      <w:r>
        <w:rPr>
          <w:sz w:val="20"/>
          <w:szCs w:val="20"/>
          <w:color w:val="auto"/>
        </w:rPr>
        <w:tab/>
      </w:r>
      <w:r>
        <w:rPr>
          <w:rFonts w:ascii="Arial" w:cs="Arial" w:eastAsia="Arial" w:hAnsi="Arial"/>
          <w:sz w:val="16"/>
          <w:szCs w:val="16"/>
          <w:color w:val="auto"/>
        </w:rPr>
        <w:t>In relation to Shares carrying differing rights to dividends or rights to dividends at a fixed rate, the following applies:</w:t>
      </w:r>
    </w:p>
    <w:p>
      <w:pPr>
        <w:spacing w:after="0" w:line="252" w:lineRule="exact"/>
        <w:rPr>
          <w:sz w:val="20"/>
          <w:szCs w:val="20"/>
          <w:color w:val="auto"/>
        </w:rPr>
      </w:pPr>
    </w:p>
    <w:p>
      <w:pPr>
        <w:jc w:val="both"/>
        <w:ind w:left="1300" w:right="280" w:hanging="644"/>
        <w:spacing w:after="0" w:line="311" w:lineRule="auto"/>
        <w:tabs>
          <w:tab w:leader="none" w:pos="1300" w:val="left"/>
        </w:tabs>
        <w:numPr>
          <w:ilvl w:val="0"/>
          <w:numId w:val="152"/>
        </w:numPr>
        <w:rPr>
          <w:rFonts w:ascii="Arial" w:cs="Arial" w:eastAsia="Arial" w:hAnsi="Arial"/>
          <w:sz w:val="16"/>
          <w:szCs w:val="16"/>
          <w:color w:val="010000"/>
        </w:rPr>
      </w:pPr>
      <w:r>
        <w:rPr>
          <w:rFonts w:ascii="Arial" w:cs="Arial" w:eastAsia="Arial" w:hAnsi="Arial"/>
          <w:sz w:val="16"/>
          <w:szCs w:val="16"/>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175" w:lineRule="exact"/>
        <w:rPr>
          <w:rFonts w:ascii="Arial" w:cs="Arial" w:eastAsia="Arial" w:hAnsi="Arial"/>
          <w:sz w:val="16"/>
          <w:szCs w:val="16"/>
          <w:color w:val="010000"/>
        </w:rPr>
      </w:pPr>
    </w:p>
    <w:p>
      <w:pPr>
        <w:ind w:left="1300" w:right="80" w:hanging="644"/>
        <w:spacing w:after="0" w:line="277" w:lineRule="auto"/>
        <w:tabs>
          <w:tab w:leader="none" w:pos="1300" w:val="left"/>
        </w:tabs>
        <w:numPr>
          <w:ilvl w:val="0"/>
          <w:numId w:val="152"/>
        </w:numPr>
        <w:rPr>
          <w:rFonts w:ascii="Arial" w:cs="Arial" w:eastAsia="Arial" w:hAnsi="Arial"/>
          <w:sz w:val="18"/>
          <w:szCs w:val="18"/>
          <w:color w:val="010000"/>
        </w:rPr>
      </w:pPr>
      <w:r>
        <w:rPr>
          <w:rFonts w:ascii="Arial" w:cs="Arial" w:eastAsia="Arial" w:hAnsi="Arial"/>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ind w:left="1300" w:right="60" w:hanging="644"/>
        <w:spacing w:after="0" w:line="308" w:lineRule="auto"/>
        <w:tabs>
          <w:tab w:leader="none" w:pos="1300" w:val="left"/>
        </w:tabs>
        <w:numPr>
          <w:ilvl w:val="0"/>
          <w:numId w:val="153"/>
        </w:numPr>
        <w:rPr>
          <w:rFonts w:ascii="Arial" w:cs="Arial" w:eastAsia="Arial" w:hAnsi="Arial"/>
          <w:sz w:val="17"/>
          <w:szCs w:val="17"/>
          <w:color w:val="010000"/>
        </w:rPr>
      </w:pPr>
      <w:r>
        <w:rPr>
          <w:rFonts w:ascii="Arial" w:cs="Arial" w:eastAsia="Arial" w:hAnsi="Arial"/>
          <w:sz w:val="17"/>
          <w:szCs w:val="17"/>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Apportionment of dividends</w:t>
      </w:r>
    </w:p>
    <w:p>
      <w:pPr>
        <w:spacing w:after="0" w:line="246" w:lineRule="exact"/>
        <w:rPr>
          <w:sz w:val="20"/>
          <w:szCs w:val="20"/>
          <w:color w:val="auto"/>
        </w:rPr>
      </w:pPr>
    </w:p>
    <w:p>
      <w:pPr>
        <w:ind w:left="660" w:right="20" w:hanging="647"/>
        <w:spacing w:after="0" w:line="259" w:lineRule="auto"/>
        <w:tabs>
          <w:tab w:leader="none" w:pos="640" w:val="left"/>
        </w:tabs>
        <w:rPr>
          <w:sz w:val="20"/>
          <w:szCs w:val="20"/>
          <w:color w:val="auto"/>
        </w:rPr>
      </w:pPr>
      <w:r>
        <w:rPr>
          <w:rFonts w:ascii="Arial" w:cs="Arial" w:eastAsia="Arial" w:hAnsi="Arial"/>
          <w:sz w:val="18"/>
          <w:szCs w:val="18"/>
          <w:color w:val="010000"/>
        </w:rPr>
        <w:t>27.5</w:t>
      </w:r>
      <w:r>
        <w:rPr>
          <w:sz w:val="20"/>
          <w:szCs w:val="20"/>
          <w:color w:val="auto"/>
        </w:rPr>
        <w:tab/>
      </w:r>
      <w:r>
        <w:rPr>
          <w:rFonts w:ascii="Arial" w:cs="Arial" w:eastAsia="Arial" w:hAnsi="Arial"/>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If a Share is issued on terms providing that it shall rank for dividend as from a particular date, that Share shall rank for dividend accordingly.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Right of set off</w:t>
      </w:r>
    </w:p>
    <w:p>
      <w:pPr>
        <w:spacing w:after="0" w:line="246" w:lineRule="exact"/>
        <w:rPr>
          <w:sz w:val="20"/>
          <w:szCs w:val="20"/>
          <w:color w:val="auto"/>
        </w:rPr>
      </w:pPr>
    </w:p>
    <w:p>
      <w:pPr>
        <w:ind w:left="660" w:right="320" w:hanging="647"/>
        <w:spacing w:after="0" w:line="277" w:lineRule="auto"/>
        <w:tabs>
          <w:tab w:leader="none" w:pos="640" w:val="left"/>
        </w:tabs>
        <w:rPr>
          <w:sz w:val="20"/>
          <w:szCs w:val="20"/>
          <w:color w:val="auto"/>
        </w:rPr>
      </w:pPr>
      <w:r>
        <w:rPr>
          <w:rFonts w:ascii="Arial" w:cs="Arial" w:eastAsia="Arial" w:hAnsi="Arial"/>
          <w:sz w:val="18"/>
          <w:szCs w:val="18"/>
          <w:color w:val="010000"/>
        </w:rPr>
        <w:t>27.6</w:t>
      </w:r>
      <w:r>
        <w:rPr>
          <w:sz w:val="20"/>
          <w:szCs w:val="20"/>
          <w:color w:val="auto"/>
        </w:rPr>
        <w:tab/>
      </w:r>
      <w:r>
        <w:rPr>
          <w:rFonts w:ascii="Arial" w:cs="Arial" w:eastAsia="Arial" w:hAnsi="Arial"/>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pay other than in cash</w:t>
      </w:r>
    </w:p>
    <w:p>
      <w:pPr>
        <w:spacing w:after="0" w:line="246" w:lineRule="exact"/>
        <w:rPr>
          <w:sz w:val="20"/>
          <w:szCs w:val="20"/>
          <w:color w:val="auto"/>
        </w:rPr>
      </w:pPr>
    </w:p>
    <w:p>
      <w:pPr>
        <w:jc w:val="both"/>
        <w:ind w:left="660" w:right="60" w:hanging="647"/>
        <w:spacing w:after="0" w:line="263" w:lineRule="auto"/>
        <w:tabs>
          <w:tab w:leader="none" w:pos="640" w:val="left"/>
        </w:tabs>
        <w:rPr>
          <w:sz w:val="20"/>
          <w:szCs w:val="20"/>
          <w:color w:val="auto"/>
        </w:rPr>
      </w:pPr>
      <w:r>
        <w:rPr>
          <w:rFonts w:ascii="Arial" w:cs="Arial" w:eastAsia="Arial" w:hAnsi="Arial"/>
          <w:sz w:val="18"/>
          <w:szCs w:val="18"/>
          <w:color w:val="010000"/>
        </w:rPr>
        <w:t>27.7</w:t>
      </w:r>
      <w:r>
        <w:rPr>
          <w:sz w:val="20"/>
          <w:szCs w:val="20"/>
          <w:color w:val="auto"/>
        </w:rPr>
        <w:tab/>
      </w:r>
      <w:r>
        <w:rPr>
          <w:rFonts w:ascii="Arial" w:cs="Arial" w:eastAsia="Arial" w:hAnsi="Arial"/>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211"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issue fractional Shares;</w:t>
      </w:r>
    </w:p>
    <w:p>
      <w:pPr>
        <w:spacing w:after="0" w:line="252" w:lineRule="exact"/>
        <w:rPr>
          <w:rFonts w:ascii="Arial" w:cs="Arial" w:eastAsia="Arial" w:hAnsi="Arial"/>
          <w:sz w:val="18"/>
          <w:szCs w:val="18"/>
          <w:color w:val="010000"/>
        </w:rPr>
      </w:pPr>
    </w:p>
    <w:p>
      <w:pPr>
        <w:ind w:left="1300" w:right="160" w:hanging="644"/>
        <w:spacing w:after="0" w:line="277" w:lineRule="auto"/>
        <w:tabs>
          <w:tab w:leader="none" w:pos="130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fix the value of assets for distribution and make cash payments to some Members on the footing of the value so fixed in order to adjust the rights of Members;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54"/>
        </w:numPr>
        <w:rPr>
          <w:rFonts w:ascii="Arial" w:cs="Arial" w:eastAsia="Arial" w:hAnsi="Arial"/>
          <w:sz w:val="18"/>
          <w:szCs w:val="18"/>
          <w:color w:val="010000"/>
        </w:rPr>
      </w:pPr>
      <w:r>
        <w:rPr>
          <w:rFonts w:ascii="Arial" w:cs="Arial" w:eastAsia="Arial" w:hAnsi="Arial"/>
          <w:sz w:val="18"/>
          <w:szCs w:val="18"/>
          <w:color w:val="auto"/>
        </w:rPr>
        <w:t>vest some assets in trustees.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payments may be made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27.8</w:t>
      </w:r>
      <w:r>
        <w:rPr>
          <w:sz w:val="20"/>
          <w:szCs w:val="20"/>
          <w:color w:val="auto"/>
        </w:rPr>
        <w:tab/>
      </w:r>
      <w:r>
        <w:rPr>
          <w:rFonts w:ascii="Arial" w:cs="Arial" w:eastAsia="Arial" w:hAnsi="Arial"/>
          <w:sz w:val="16"/>
          <w:szCs w:val="16"/>
          <w:color w:val="auto"/>
        </w:rPr>
        <w:t>A dividend or other monies payable on or in respect of a Share may be paid in any of the following ways:</w:t>
      </w:r>
    </w:p>
    <w:p>
      <w:pPr>
        <w:spacing w:after="0" w:line="252" w:lineRule="exact"/>
        <w:rPr>
          <w:sz w:val="20"/>
          <w:szCs w:val="20"/>
          <w:color w:val="auto"/>
        </w:rPr>
      </w:pPr>
    </w:p>
    <w:p>
      <w:pPr>
        <w:ind w:left="1300" w:right="220" w:hanging="644"/>
        <w:spacing w:after="0" w:line="277" w:lineRule="auto"/>
        <w:tabs>
          <w:tab w:leader="none" w:pos="1300" w:val="left"/>
        </w:tabs>
        <w:numPr>
          <w:ilvl w:val="0"/>
          <w:numId w:val="155"/>
        </w:numPr>
        <w:rPr>
          <w:rFonts w:ascii="Arial" w:cs="Arial" w:eastAsia="Arial" w:hAnsi="Arial"/>
          <w:sz w:val="18"/>
          <w:szCs w:val="18"/>
          <w:color w:val="010000"/>
        </w:rPr>
      </w:pPr>
      <w:r>
        <w:rPr>
          <w:rFonts w:ascii="Arial" w:cs="Arial" w:eastAsia="Arial" w:hAnsi="Arial"/>
          <w:sz w:val="18"/>
          <w:szCs w:val="18"/>
          <w:color w:val="auto"/>
        </w:rPr>
        <w:t>if the Member holding that Share or other person entitled to that Share nominates a bank account for that purpose - by wire transfer to that bank account; or</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by cheque or warrant sent by post to the registered address of the Member holding that Share or other person entitled to that Share.</w:t>
      </w:r>
    </w:p>
    <w:p>
      <w:pPr>
        <w:spacing w:after="0" w:line="275"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18"/>
          <w:szCs w:val="18"/>
          <w:color w:val="010000"/>
        </w:rPr>
        <w:t>27.9</w:t>
      </w:r>
      <w:r>
        <w:rPr>
          <w:sz w:val="20"/>
          <w:szCs w:val="20"/>
          <w:color w:val="auto"/>
        </w:rPr>
        <w:tab/>
      </w:r>
      <w:r>
        <w:rPr>
          <w:rFonts w:ascii="Arial" w:cs="Arial" w:eastAsia="Arial" w:hAnsi="Arial"/>
          <w:sz w:val="18"/>
          <w:szCs w:val="18"/>
          <w:color w:val="auto"/>
        </w:rPr>
        <w:t>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2" w:name="page93"/>
    <w:bookmarkEnd w:id="92"/>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010000"/>
        </w:rPr>
        <w:t>27.10</w:t>
      </w:r>
      <w:r>
        <w:rPr>
          <w:rFonts w:ascii="Arial" w:cs="Arial" w:eastAsia="Arial" w:hAnsi="Arial"/>
          <w:sz w:val="18"/>
          <w:szCs w:val="18"/>
          <w:color w:val="auto"/>
        </w:rPr>
        <w:tab/>
        <w:t>If two or more persons are registered as the holders of the Share or are jointly entitled to it by reason of the death or bankruptcy of the registered holder (Joint Holders), a dividend (or other amount) payable on or in respect of that Share may be paid as follows:</w:t>
      </w:r>
    </w:p>
    <w:p>
      <w:pPr>
        <w:spacing w:after="0" w:line="197" w:lineRule="exact"/>
        <w:rPr>
          <w:sz w:val="20"/>
          <w:szCs w:val="20"/>
          <w:color w:val="auto"/>
        </w:rPr>
      </w:pPr>
    </w:p>
    <w:p>
      <w:pPr>
        <w:ind w:left="1300" w:hanging="644"/>
        <w:spacing w:after="0" w:line="277" w:lineRule="auto"/>
        <w:tabs>
          <w:tab w:leader="none" w:pos="1300"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to the registered address of the Joint Holder of the Share who is named first on the Register of Members or to the registered address of the deceased or bankrupt holder, as the case may be; or</w:t>
      </w:r>
    </w:p>
    <w:p>
      <w:pPr>
        <w:spacing w:after="0" w:line="197"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56"/>
        </w:numPr>
        <w:rPr>
          <w:rFonts w:ascii="Arial" w:cs="Arial" w:eastAsia="Arial" w:hAnsi="Arial"/>
          <w:sz w:val="18"/>
          <w:szCs w:val="18"/>
          <w:color w:val="010000"/>
        </w:rPr>
      </w:pPr>
      <w:r>
        <w:rPr>
          <w:rFonts w:ascii="Arial" w:cs="Arial" w:eastAsia="Arial" w:hAnsi="Arial"/>
          <w:sz w:val="18"/>
          <w:szCs w:val="18"/>
          <w:color w:val="auto"/>
        </w:rPr>
        <w:t>to the address or bank account of another person nominated by the Joint Holders, whether that nomination is in writing or in an Electronic Record.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27.11</w:t>
      </w:r>
      <w:r>
        <w:rPr>
          <w:sz w:val="20"/>
          <w:szCs w:val="20"/>
          <w:color w:val="auto"/>
        </w:rPr>
        <w:tab/>
      </w:r>
      <w:r>
        <w:rPr>
          <w:rFonts w:ascii="Arial" w:cs="Arial" w:eastAsia="Arial" w:hAnsi="Arial"/>
          <w:sz w:val="16"/>
          <w:szCs w:val="16"/>
          <w:color w:val="auto"/>
        </w:rPr>
        <w:t>Any Joint Holder of a Share may give a valid receipt for a dividend (or other amount) payable in respect of that Share.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or other moneys not to bear interest in absence of special rights</w:t>
      </w:r>
    </w:p>
    <w:p>
      <w:pPr>
        <w:spacing w:after="0" w:line="246" w:lineRule="exact"/>
        <w:rPr>
          <w:sz w:val="20"/>
          <w:szCs w:val="20"/>
          <w:color w:val="auto"/>
        </w:rPr>
      </w:pPr>
    </w:p>
    <w:p>
      <w:pPr>
        <w:ind w:left="660" w:right="600" w:hanging="647"/>
        <w:spacing w:after="0" w:line="277" w:lineRule="auto"/>
        <w:tabs>
          <w:tab w:leader="none" w:pos="640" w:val="left"/>
        </w:tabs>
        <w:rPr>
          <w:sz w:val="20"/>
          <w:szCs w:val="20"/>
          <w:color w:val="auto"/>
        </w:rPr>
      </w:pPr>
      <w:r>
        <w:rPr>
          <w:rFonts w:ascii="Arial" w:cs="Arial" w:eastAsia="Arial" w:hAnsi="Arial"/>
          <w:sz w:val="18"/>
          <w:szCs w:val="18"/>
          <w:color w:val="010000"/>
        </w:rPr>
        <w:t>27.12</w:t>
      </w:r>
      <w:r>
        <w:rPr>
          <w:rFonts w:ascii="Arial" w:cs="Arial" w:eastAsia="Arial" w:hAnsi="Arial"/>
          <w:sz w:val="18"/>
          <w:szCs w:val="18"/>
          <w:color w:val="auto"/>
        </w:rPr>
        <w:tab/>
        <w:t>Unless provided for by the rights attached to a Share, no dividend or other monies payable by the Company in respect of a Share shall bear interest.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 unable to be paid or unclaimed</w:t>
      </w:r>
    </w:p>
    <w:p>
      <w:pPr>
        <w:spacing w:after="0" w:line="246" w:lineRule="exact"/>
        <w:rPr>
          <w:sz w:val="20"/>
          <w:szCs w:val="20"/>
          <w:color w:val="auto"/>
        </w:rPr>
      </w:pPr>
    </w:p>
    <w:p>
      <w:pPr>
        <w:ind w:left="660" w:right="180" w:hanging="647"/>
        <w:spacing w:after="0" w:line="263" w:lineRule="auto"/>
        <w:tabs>
          <w:tab w:leader="none" w:pos="640" w:val="left"/>
        </w:tabs>
        <w:rPr>
          <w:sz w:val="20"/>
          <w:szCs w:val="20"/>
          <w:color w:val="auto"/>
        </w:rPr>
      </w:pPr>
      <w:r>
        <w:rPr>
          <w:rFonts w:ascii="Arial" w:cs="Arial" w:eastAsia="Arial" w:hAnsi="Arial"/>
          <w:sz w:val="18"/>
          <w:szCs w:val="18"/>
          <w:color w:val="010000"/>
        </w:rPr>
        <w:t>27.13</w:t>
      </w:r>
      <w:r>
        <w:rPr>
          <w:rFonts w:ascii="Arial" w:cs="Arial" w:eastAsia="Arial" w:hAnsi="Arial"/>
          <w:sz w:val="18"/>
          <w:szCs w:val="18"/>
          <w:color w:val="auto"/>
        </w:rPr>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211"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010000"/>
        </w:rPr>
        <w:t>27.14</w:t>
      </w:r>
      <w:r>
        <w:rPr>
          <w:rFonts w:ascii="Arial" w:cs="Arial" w:eastAsia="Arial" w:hAnsi="Arial"/>
          <w:sz w:val="18"/>
          <w:szCs w:val="18"/>
          <w:color w:val="auto"/>
        </w:rPr>
        <w:tab/>
        <w:t>A dividend that remains unclaimed for a period of six years after it became due for payment shall be forfeited to, and shall cease to remain owing by, the Company.</w:t>
      </w:r>
    </w:p>
    <w:p>
      <w:pPr>
        <w:spacing w:after="0" w:line="193"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b w:val="1"/>
          <w:bCs w:val="1"/>
          <w:color w:val="010000"/>
        </w:rPr>
      </w:pPr>
      <w:r>
        <w:rPr>
          <w:rFonts w:ascii="Arial" w:cs="Arial" w:eastAsia="Arial" w:hAnsi="Arial"/>
          <w:sz w:val="18"/>
          <w:szCs w:val="18"/>
          <w:b w:val="1"/>
          <w:bCs w:val="1"/>
          <w:color w:val="auto"/>
        </w:rPr>
        <w:t>Capitalisation of profits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Capitalisation of profits or of any share premium account or capital redemption reserve</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28.1</w:t>
      </w:r>
      <w:r>
        <w:rPr>
          <w:sz w:val="20"/>
          <w:szCs w:val="20"/>
          <w:color w:val="auto"/>
        </w:rPr>
        <w:tab/>
      </w:r>
      <w:r>
        <w:rPr>
          <w:rFonts w:ascii="Arial" w:cs="Arial" w:eastAsia="Arial" w:hAnsi="Arial"/>
          <w:sz w:val="16"/>
          <w:szCs w:val="16"/>
          <w:color w:val="auto"/>
        </w:rPr>
        <w:t>The directors may resolve to capitalise:</w:t>
      </w:r>
    </w:p>
    <w:p>
      <w:pPr>
        <w:spacing w:after="0" w:line="252" w:lineRule="exact"/>
        <w:rPr>
          <w:sz w:val="20"/>
          <w:szCs w:val="20"/>
          <w:color w:val="auto"/>
        </w:rPr>
      </w:pPr>
    </w:p>
    <w:p>
      <w:pPr>
        <w:ind w:left="1300" w:right="660" w:hanging="644"/>
        <w:spacing w:after="0" w:line="277" w:lineRule="auto"/>
        <w:tabs>
          <w:tab w:leader="none" w:pos="1300"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any part of the Company's profits not required for paying any preferential dividend (whether or not those profits are available for distribution); or</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58"/>
        </w:numPr>
        <w:rPr>
          <w:rFonts w:ascii="Arial" w:cs="Arial" w:eastAsia="Arial" w:hAnsi="Arial"/>
          <w:sz w:val="18"/>
          <w:szCs w:val="18"/>
          <w:color w:val="010000"/>
        </w:rPr>
      </w:pPr>
      <w:r>
        <w:rPr>
          <w:rFonts w:ascii="Arial" w:cs="Arial" w:eastAsia="Arial" w:hAnsi="Arial"/>
          <w:sz w:val="18"/>
          <w:szCs w:val="18"/>
          <w:color w:val="auto"/>
        </w:rPr>
        <w:t>any sum standing to the credit of the Company's share premium account or capital redemption reserve, if any.</w:t>
      </w:r>
    </w:p>
    <w:p>
      <w:pPr>
        <w:spacing w:after="0" w:line="245" w:lineRule="exact"/>
        <w:rPr>
          <w:sz w:val="20"/>
          <w:szCs w:val="20"/>
          <w:color w:val="auto"/>
        </w:rPr>
      </w:pPr>
    </w:p>
    <w:p>
      <w:pPr>
        <w:ind w:left="660" w:right="200"/>
        <w:spacing w:after="0"/>
        <w:rPr>
          <w:sz w:val="20"/>
          <w:szCs w:val="20"/>
          <w:color w:val="auto"/>
        </w:rPr>
      </w:pPr>
      <w:r>
        <w:rPr>
          <w:rFonts w:ascii="Arial" w:cs="Arial" w:eastAsia="Arial" w:hAnsi="Arial"/>
          <w:sz w:val="22"/>
          <w:szCs w:val="22"/>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220" w:lineRule="exact"/>
        <w:rPr>
          <w:sz w:val="20"/>
          <w:szCs w:val="20"/>
          <w:color w:val="auto"/>
        </w:rPr>
      </w:pPr>
    </w:p>
    <w:p>
      <w:pPr>
        <w:ind w:left="1300" w:hanging="644"/>
        <w:spacing w:after="0"/>
        <w:tabs>
          <w:tab w:leader="none" w:pos="1300" w:val="left"/>
        </w:tabs>
        <w:numPr>
          <w:ilvl w:val="0"/>
          <w:numId w:val="159"/>
        </w:numPr>
        <w:rPr>
          <w:rFonts w:ascii="Arial" w:cs="Arial" w:eastAsia="Arial" w:hAnsi="Arial"/>
          <w:sz w:val="18"/>
          <w:szCs w:val="18"/>
          <w:color w:val="010000"/>
        </w:rPr>
      </w:pPr>
      <w:r>
        <w:rPr>
          <w:rFonts w:ascii="Arial" w:cs="Arial" w:eastAsia="Arial" w:hAnsi="Arial"/>
          <w:sz w:val="18"/>
          <w:szCs w:val="18"/>
          <w:color w:val="auto"/>
        </w:rPr>
        <w:t>by paying up the amounts unpaid on that Member's Shares;</w:t>
      </w:r>
    </w:p>
    <w:p>
      <w:pPr>
        <w:spacing w:after="0" w:line="252" w:lineRule="exact"/>
        <w:rPr>
          <w:rFonts w:ascii="Arial" w:cs="Arial" w:eastAsia="Arial" w:hAnsi="Arial"/>
          <w:sz w:val="18"/>
          <w:szCs w:val="18"/>
          <w:color w:val="010000"/>
        </w:rPr>
      </w:pPr>
    </w:p>
    <w:p>
      <w:pPr>
        <w:ind w:left="1300" w:right="160" w:hanging="644"/>
        <w:spacing w:after="0" w:line="263" w:lineRule="auto"/>
        <w:tabs>
          <w:tab w:leader="none" w:pos="1300" w:val="left"/>
        </w:tabs>
        <w:numPr>
          <w:ilvl w:val="0"/>
          <w:numId w:val="159"/>
        </w:numPr>
        <w:rPr>
          <w:rFonts w:ascii="Arial" w:cs="Arial" w:eastAsia="Arial" w:hAnsi="Arial"/>
          <w:sz w:val="18"/>
          <w:szCs w:val="18"/>
          <w:color w:val="010000"/>
        </w:rPr>
      </w:pPr>
      <w:r>
        <w:rPr>
          <w:rFonts w:ascii="Arial" w:cs="Arial" w:eastAsia="Arial" w:hAnsi="Arial"/>
          <w:sz w:val="18"/>
          <w:szCs w:val="18"/>
          <w:color w:val="auto"/>
        </w:rPr>
        <w:t>by issuing Fully Paid Shares, debentures or other securities of the Company to that Member or as that Member directs. The directors may resolve that any Shares issued to the Member in respect of partly paid Shares (Original Shares) rank for dividend only to the extent that the Original Shares rank for dividend while those Original Shares remain partly paid.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22"/>
          <w:szCs w:val="22"/>
          <w:b w:val="1"/>
          <w:bCs w:val="1"/>
          <w:color w:val="auto"/>
        </w:rPr>
        <w:t>Applying an amount for the benefit of members</w:t>
      </w:r>
    </w:p>
    <w:p>
      <w:pPr>
        <w:spacing w:after="0" w:line="247"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010000"/>
        </w:rPr>
        <w:t>28.2</w:t>
      </w:r>
      <w:r>
        <w:rPr>
          <w:sz w:val="20"/>
          <w:szCs w:val="20"/>
          <w:color w:val="auto"/>
        </w:rPr>
        <w:tab/>
      </w:r>
      <w:r>
        <w:rPr>
          <w:rFonts w:ascii="Arial" w:cs="Arial" w:eastAsia="Arial" w:hAnsi="Arial"/>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97"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28.3</w:t>
      </w:r>
      <w:r>
        <w:rPr>
          <w:sz w:val="20"/>
          <w:szCs w:val="20"/>
          <w:color w:val="auto"/>
        </w:rPr>
        <w:tab/>
      </w:r>
      <w:r>
        <w:rPr>
          <w:rFonts w:ascii="Arial" w:cs="Arial" w:eastAsia="Arial" w:hAnsi="Arial"/>
          <w:sz w:val="18"/>
          <w:szCs w:val="18"/>
          <w:color w:val="auto"/>
        </w:rPr>
        <w:t>Subject to the Law, if a fraction of a Share, a debenture, or other security is allocated to a Member, the directors may issue a fractional certificate to that Member or pay him the cash equivalent of the fraction.</w:t>
      </w:r>
    </w:p>
    <w:p>
      <w:pPr>
        <w:spacing w:after="0" w:line="193"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010000"/>
        </w:rPr>
      </w:pPr>
      <w:r>
        <w:rPr>
          <w:rFonts w:ascii="Arial" w:cs="Arial" w:eastAsia="Arial" w:hAnsi="Arial"/>
          <w:sz w:val="18"/>
          <w:szCs w:val="18"/>
          <w:b w:val="1"/>
          <w:bCs w:val="1"/>
          <w:color w:val="auto"/>
        </w:rPr>
        <w:t>Share premium account</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Directors to maintain share premium account</w:t>
      </w:r>
    </w:p>
    <w:p>
      <w:pPr>
        <w:spacing w:after="0" w:line="24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29.1</w:t>
      </w:r>
      <w:r>
        <w:rPr>
          <w:sz w:val="20"/>
          <w:szCs w:val="20"/>
          <w:color w:val="auto"/>
        </w:rPr>
        <w:tab/>
      </w:r>
      <w:r>
        <w:rPr>
          <w:rFonts w:ascii="Arial" w:cs="Arial" w:eastAsia="Arial" w:hAnsi="Arial"/>
          <w:sz w:val="18"/>
          <w:szCs w:val="18"/>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Debits to share premium account</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29.2</w:t>
      </w:r>
      <w:r>
        <w:rPr>
          <w:sz w:val="20"/>
          <w:szCs w:val="20"/>
          <w:color w:val="auto"/>
        </w:rPr>
        <w:tab/>
      </w:r>
      <w:r>
        <w:rPr>
          <w:rFonts w:ascii="Arial" w:cs="Arial" w:eastAsia="Arial" w:hAnsi="Arial"/>
          <w:sz w:val="16"/>
          <w:szCs w:val="16"/>
          <w:color w:val="auto"/>
        </w:rPr>
        <w:t>The following amounts shall be debited to any share premium account:</w:t>
      </w:r>
    </w:p>
    <w:p>
      <w:pPr>
        <w:spacing w:after="0" w:line="252" w:lineRule="exact"/>
        <w:rPr>
          <w:sz w:val="20"/>
          <w:szCs w:val="20"/>
          <w:color w:val="auto"/>
        </w:rPr>
      </w:pPr>
    </w:p>
    <w:p>
      <w:pPr>
        <w:ind w:left="1300" w:right="160" w:hanging="644"/>
        <w:spacing w:after="0" w:line="277" w:lineRule="auto"/>
        <w:tabs>
          <w:tab w:leader="none" w:pos="1300"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on the redemption or purchase of a Share, the difference between the nominal value of that Share and the redemption or purchase price;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61"/>
        </w:numPr>
        <w:rPr>
          <w:rFonts w:ascii="Arial" w:cs="Arial" w:eastAsia="Arial" w:hAnsi="Arial"/>
          <w:sz w:val="18"/>
          <w:szCs w:val="18"/>
          <w:color w:val="010000"/>
        </w:rPr>
      </w:pPr>
      <w:r>
        <w:rPr>
          <w:rFonts w:ascii="Arial" w:cs="Arial" w:eastAsia="Arial" w:hAnsi="Arial"/>
          <w:sz w:val="18"/>
          <w:szCs w:val="18"/>
          <w:color w:val="auto"/>
        </w:rPr>
        <w:t>any other amount paid out of a share premium account as permitted by the Law.</w:t>
      </w:r>
    </w:p>
    <w:p>
      <w:pPr>
        <w:spacing w:after="0" w:line="252" w:lineRule="exact"/>
        <w:rPr>
          <w:sz w:val="20"/>
          <w:szCs w:val="20"/>
          <w:color w:val="auto"/>
        </w:rPr>
      </w:pPr>
    </w:p>
    <w:p>
      <w:pPr>
        <w:ind w:left="660" w:right="80" w:hanging="647"/>
        <w:spacing w:after="0" w:line="308" w:lineRule="auto"/>
        <w:tabs>
          <w:tab w:leader="none" w:pos="640" w:val="left"/>
        </w:tabs>
        <w:rPr>
          <w:sz w:val="20"/>
          <w:szCs w:val="20"/>
          <w:color w:val="auto"/>
        </w:rPr>
      </w:pPr>
      <w:r>
        <w:rPr>
          <w:rFonts w:ascii="Arial" w:cs="Arial" w:eastAsia="Arial" w:hAnsi="Arial"/>
          <w:sz w:val="18"/>
          <w:szCs w:val="18"/>
          <w:color w:val="010000"/>
        </w:rPr>
        <w:t>29.3</w:t>
      </w:r>
      <w:r>
        <w:rPr>
          <w:sz w:val="20"/>
          <w:szCs w:val="20"/>
          <w:color w:val="auto"/>
        </w:rPr>
        <w:tab/>
      </w:r>
      <w:r>
        <w:rPr>
          <w:rFonts w:ascii="Arial" w:cs="Arial" w:eastAsia="Arial" w:hAnsi="Arial"/>
          <w:sz w:val="17"/>
          <w:szCs w:val="17"/>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169"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b w:val="1"/>
          <w:bCs w:val="1"/>
          <w:color w:val="010000"/>
        </w:rPr>
      </w:pPr>
      <w:r>
        <w:rPr>
          <w:rFonts w:ascii="Arial" w:cs="Arial" w:eastAsia="Arial" w:hAnsi="Arial"/>
          <w:sz w:val="18"/>
          <w:szCs w:val="18"/>
          <w:b w:val="1"/>
          <w:bCs w:val="1"/>
          <w:color w:val="auto"/>
        </w:rPr>
        <w:t>Seal</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Company seal</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30.1</w:t>
      </w:r>
      <w:r>
        <w:rPr>
          <w:sz w:val="20"/>
          <w:szCs w:val="20"/>
          <w:color w:val="auto"/>
        </w:rPr>
        <w:tab/>
      </w:r>
      <w:r>
        <w:rPr>
          <w:rFonts w:ascii="Arial" w:cs="Arial" w:eastAsia="Arial" w:hAnsi="Arial"/>
          <w:sz w:val="16"/>
          <w:szCs w:val="16"/>
          <w:color w:val="auto"/>
        </w:rPr>
        <w:t>The Company may have a seal if the directors so determine.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Duplicate seal</w:t>
      </w:r>
    </w:p>
    <w:p>
      <w:pPr>
        <w:spacing w:after="0" w:line="24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30.2</w:t>
      </w:r>
      <w:r>
        <w:rPr>
          <w:sz w:val="20"/>
          <w:szCs w:val="20"/>
          <w:color w:val="auto"/>
        </w:rPr>
        <w:tab/>
      </w:r>
      <w:r>
        <w:rPr>
          <w:rFonts w:ascii="Arial" w:cs="Arial" w:eastAsia="Arial" w:hAnsi="Arial"/>
          <w:sz w:val="18"/>
          <w:szCs w:val="18"/>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4" w:name="page95"/>
    <w:bookmarkEnd w:id="94"/>
    <w:p>
      <w:pPr>
        <w:spacing w:after="0"/>
        <w:rPr>
          <w:sz w:val="20"/>
          <w:szCs w:val="20"/>
          <w:color w:val="auto"/>
        </w:rPr>
      </w:pPr>
      <w:r>
        <w:rPr>
          <w:rFonts w:ascii="Arial" w:cs="Arial" w:eastAsia="Arial" w:hAnsi="Arial"/>
          <w:sz w:val="22"/>
          <w:szCs w:val="22"/>
          <w:b w:val="1"/>
          <w:bCs w:val="1"/>
          <w:color w:val="auto"/>
        </w:rPr>
        <w:t>When and how seal is to be used</w:t>
      </w:r>
    </w:p>
    <w:p>
      <w:pPr>
        <w:spacing w:after="0" w:line="247"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010000"/>
        </w:rPr>
        <w:t>30.3</w:t>
      </w:r>
      <w:r>
        <w:rPr>
          <w:sz w:val="20"/>
          <w:szCs w:val="20"/>
          <w:color w:val="auto"/>
        </w:rPr>
        <w:tab/>
      </w:r>
      <w:r>
        <w:rPr>
          <w:rFonts w:ascii="Arial" w:cs="Arial" w:eastAsia="Arial" w:hAnsi="Arial"/>
          <w:sz w:val="18"/>
          <w:szCs w:val="18"/>
          <w:color w:val="auto"/>
        </w:rPr>
        <w:t>A seal may only be used by the authority of the directors. Unless the directors otherwise determine, a document to which a seal is affixed must be signed in one of the following ways:</w:t>
      </w:r>
    </w:p>
    <w:p>
      <w:pPr>
        <w:spacing w:after="0" w:line="197" w:lineRule="exact"/>
        <w:rPr>
          <w:sz w:val="20"/>
          <w:szCs w:val="20"/>
          <w:color w:val="auto"/>
        </w:rPr>
      </w:pPr>
    </w:p>
    <w:p>
      <w:pPr>
        <w:ind w:left="1300" w:hanging="644"/>
        <w:spacing w:after="0"/>
        <w:tabs>
          <w:tab w:leader="none" w:pos="130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by a director (or his alternate) and the Secretary;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63"/>
        </w:numPr>
        <w:rPr>
          <w:rFonts w:ascii="Arial" w:cs="Arial" w:eastAsia="Arial" w:hAnsi="Arial"/>
          <w:sz w:val="18"/>
          <w:szCs w:val="18"/>
          <w:color w:val="010000"/>
        </w:rPr>
      </w:pPr>
      <w:r>
        <w:rPr>
          <w:rFonts w:ascii="Arial" w:cs="Arial" w:eastAsia="Arial" w:hAnsi="Arial"/>
          <w:sz w:val="18"/>
          <w:szCs w:val="18"/>
          <w:color w:val="auto"/>
        </w:rPr>
        <w:t>by a single director (or his alternate).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If no seal is adopted or used</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30.4</w:t>
      </w:r>
      <w:r>
        <w:rPr>
          <w:sz w:val="20"/>
          <w:szCs w:val="20"/>
          <w:color w:val="auto"/>
        </w:rPr>
        <w:tab/>
      </w:r>
      <w:r>
        <w:rPr>
          <w:rFonts w:ascii="Arial" w:cs="Arial" w:eastAsia="Arial" w:hAnsi="Arial"/>
          <w:sz w:val="16"/>
          <w:szCs w:val="16"/>
          <w:color w:val="auto"/>
        </w:rPr>
        <w:t>If the directors do not adopt a seal, or a seal is not used, a document may be executed in the following manner:</w:t>
      </w:r>
    </w:p>
    <w:p>
      <w:pPr>
        <w:spacing w:after="0" w:line="252" w:lineRule="exact"/>
        <w:rPr>
          <w:sz w:val="20"/>
          <w:szCs w:val="20"/>
          <w:color w:val="auto"/>
        </w:rPr>
      </w:pPr>
    </w:p>
    <w:p>
      <w:pPr>
        <w:ind w:left="1300" w:hanging="644"/>
        <w:spacing w:after="0"/>
        <w:tabs>
          <w:tab w:leader="none" w:pos="1300" w:val="left"/>
        </w:tabs>
        <w:numPr>
          <w:ilvl w:val="0"/>
          <w:numId w:val="164"/>
        </w:numPr>
        <w:rPr>
          <w:rFonts w:ascii="Arial" w:cs="Arial" w:eastAsia="Arial" w:hAnsi="Arial"/>
          <w:sz w:val="17"/>
          <w:szCs w:val="17"/>
          <w:color w:val="010000"/>
        </w:rPr>
      </w:pPr>
      <w:r>
        <w:rPr>
          <w:rFonts w:ascii="Arial" w:cs="Arial" w:eastAsia="Arial" w:hAnsi="Arial"/>
          <w:sz w:val="17"/>
          <w:szCs w:val="17"/>
          <w:color w:val="auto"/>
        </w:rPr>
        <w:t>by a director (or his alternate) or any Officer to which authority has been delegated by resolution duly adopted by the directors; or</w:t>
      </w:r>
    </w:p>
    <w:p>
      <w:pPr>
        <w:spacing w:after="0" w:line="263" w:lineRule="exact"/>
        <w:rPr>
          <w:rFonts w:ascii="Arial" w:cs="Arial" w:eastAsia="Arial" w:hAnsi="Arial"/>
          <w:sz w:val="17"/>
          <w:szCs w:val="17"/>
          <w:color w:val="010000"/>
        </w:rPr>
      </w:pPr>
    </w:p>
    <w:p>
      <w:pPr>
        <w:ind w:left="1300" w:hanging="644"/>
        <w:spacing w:after="0"/>
        <w:tabs>
          <w:tab w:leader="none" w:pos="130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by a single director (or his alternate);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64"/>
        </w:numPr>
        <w:rPr>
          <w:rFonts w:ascii="Arial" w:cs="Arial" w:eastAsia="Arial" w:hAnsi="Arial"/>
          <w:sz w:val="18"/>
          <w:szCs w:val="18"/>
          <w:color w:val="010000"/>
        </w:rPr>
      </w:pPr>
      <w:r>
        <w:rPr>
          <w:rFonts w:ascii="Arial" w:cs="Arial" w:eastAsia="Arial" w:hAnsi="Arial"/>
          <w:sz w:val="18"/>
          <w:szCs w:val="18"/>
          <w:color w:val="auto"/>
        </w:rPr>
        <w:t>in any other manner permitted by the Law.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allow non-manual signatures and facsimile printing of seal</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30.5</w:t>
      </w:r>
      <w:r>
        <w:rPr>
          <w:sz w:val="20"/>
          <w:szCs w:val="20"/>
          <w:color w:val="auto"/>
        </w:rPr>
        <w:tab/>
      </w:r>
      <w:r>
        <w:rPr>
          <w:rFonts w:ascii="Arial" w:cs="Arial" w:eastAsia="Arial" w:hAnsi="Arial"/>
          <w:sz w:val="16"/>
          <w:szCs w:val="16"/>
          <w:color w:val="auto"/>
        </w:rPr>
        <w:t>The directors may determine that either or both of the following applies:</w:t>
      </w:r>
    </w:p>
    <w:p>
      <w:pPr>
        <w:spacing w:after="0" w:line="252" w:lineRule="exact"/>
        <w:rPr>
          <w:sz w:val="20"/>
          <w:szCs w:val="20"/>
          <w:color w:val="auto"/>
        </w:rPr>
      </w:pPr>
    </w:p>
    <w:p>
      <w:pPr>
        <w:ind w:left="1300" w:hanging="644"/>
        <w:spacing w:after="0"/>
        <w:tabs>
          <w:tab w:leader="none" w:pos="1300" w:val="left"/>
        </w:tabs>
        <w:numPr>
          <w:ilvl w:val="0"/>
          <w:numId w:val="165"/>
        </w:numPr>
        <w:rPr>
          <w:rFonts w:ascii="Arial" w:cs="Arial" w:eastAsia="Arial" w:hAnsi="Arial"/>
          <w:sz w:val="17"/>
          <w:szCs w:val="17"/>
          <w:color w:val="010000"/>
        </w:rPr>
      </w:pPr>
      <w:r>
        <w:rPr>
          <w:rFonts w:ascii="Arial" w:cs="Arial" w:eastAsia="Arial" w:hAnsi="Arial"/>
          <w:sz w:val="17"/>
          <w:szCs w:val="17"/>
          <w:color w:val="auto"/>
        </w:rPr>
        <w:t>that the seal or a duplicate seal need not be affixed manually but may be affixed by some other method or system of reproduction;</w:t>
      </w:r>
    </w:p>
    <w:p>
      <w:pPr>
        <w:spacing w:after="0" w:line="263" w:lineRule="exact"/>
        <w:rPr>
          <w:rFonts w:ascii="Arial" w:cs="Arial" w:eastAsia="Arial" w:hAnsi="Arial"/>
          <w:sz w:val="17"/>
          <w:szCs w:val="17"/>
          <w:color w:val="010000"/>
        </w:rPr>
      </w:pPr>
    </w:p>
    <w:p>
      <w:pPr>
        <w:ind w:left="1300" w:hanging="644"/>
        <w:spacing w:after="0"/>
        <w:tabs>
          <w:tab w:leader="none" w:pos="1300"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that a signature required by these Articles need not be manual but may be a mechanical or Electronic Signature.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Validity of execution</w:t>
      </w:r>
    </w:p>
    <w:p>
      <w:pPr>
        <w:spacing w:after="0" w:line="246"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010000"/>
        </w:rPr>
        <w:t>30.6</w:t>
      </w:r>
      <w:r>
        <w:rPr>
          <w:sz w:val="20"/>
          <w:szCs w:val="20"/>
          <w:color w:val="auto"/>
        </w:rPr>
        <w:tab/>
      </w:r>
      <w:r>
        <w:rPr>
          <w:rFonts w:ascii="Arial" w:cs="Arial" w:eastAsia="Arial" w:hAnsi="Arial"/>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207"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010000"/>
        </w:rPr>
      </w:pPr>
      <w:r>
        <w:rPr>
          <w:rFonts w:ascii="Arial" w:cs="Arial" w:eastAsia="Arial" w:hAnsi="Arial"/>
          <w:sz w:val="18"/>
          <w:szCs w:val="18"/>
          <w:b w:val="1"/>
          <w:bCs w:val="1"/>
          <w:color w:val="auto"/>
        </w:rPr>
        <w:t>Indemnity</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Indemnity</w:t>
      </w:r>
    </w:p>
    <w:p>
      <w:pPr>
        <w:spacing w:after="0" w:line="246" w:lineRule="exact"/>
        <w:rPr>
          <w:sz w:val="20"/>
          <w:szCs w:val="20"/>
          <w:color w:val="auto"/>
        </w:rPr>
      </w:pPr>
    </w:p>
    <w:p>
      <w:pPr>
        <w:ind w:left="660" w:hanging="647"/>
        <w:spacing w:after="0" w:line="342" w:lineRule="auto"/>
        <w:tabs>
          <w:tab w:leader="none" w:pos="640" w:val="left"/>
        </w:tabs>
        <w:rPr>
          <w:sz w:val="20"/>
          <w:szCs w:val="20"/>
          <w:color w:val="auto"/>
        </w:rPr>
      </w:pPr>
      <w:r>
        <w:rPr>
          <w:rFonts w:ascii="Arial" w:cs="Arial" w:eastAsia="Arial" w:hAnsi="Arial"/>
          <w:sz w:val="18"/>
          <w:szCs w:val="18"/>
          <w:color w:val="010000"/>
        </w:rPr>
        <w:t>31.1</w:t>
      </w:r>
      <w:r>
        <w:rPr>
          <w:sz w:val="20"/>
          <w:szCs w:val="20"/>
          <w:color w:val="auto"/>
        </w:rPr>
        <w:tab/>
      </w:r>
      <w:r>
        <w:rPr>
          <w:rFonts w:ascii="Arial" w:cs="Arial" w:eastAsia="Arial" w:hAnsi="Arial"/>
          <w:sz w:val="16"/>
          <w:szCs w:val="16"/>
          <w:color w:val="auto"/>
        </w:rPr>
        <w:t>To the extent permitted by Applicable Law, the Company shall indemnify each existing or former Secretary, director (including alternate director), and other Officer of the Company (including an investment adviser or an administrator or liquidator) and their personal representatives against:</w:t>
      </w:r>
    </w:p>
    <w:p>
      <w:pPr>
        <w:spacing w:after="0" w:line="151" w:lineRule="exact"/>
        <w:rPr>
          <w:sz w:val="20"/>
          <w:szCs w:val="20"/>
          <w:color w:val="auto"/>
        </w:rPr>
      </w:pPr>
    </w:p>
    <w:p>
      <w:pPr>
        <w:ind w:left="1300" w:right="120" w:hanging="644"/>
        <w:spacing w:after="0" w:line="263" w:lineRule="auto"/>
        <w:tabs>
          <w:tab w:leader="none" w:pos="1300" w:val="left"/>
        </w:tabs>
        <w:numPr>
          <w:ilvl w:val="0"/>
          <w:numId w:val="167"/>
        </w:numPr>
        <w:rPr>
          <w:rFonts w:ascii="Arial" w:cs="Arial" w:eastAsia="Arial" w:hAnsi="Arial"/>
          <w:sz w:val="18"/>
          <w:szCs w:val="18"/>
          <w:color w:val="010000"/>
        </w:rPr>
      </w:pPr>
      <w:r>
        <w:rPr>
          <w:rFonts w:ascii="Arial" w:cs="Arial" w:eastAsia="Arial" w:hAnsi="Arial"/>
          <w:sz w:val="18"/>
          <w:szCs w:val="18"/>
          <w:color w:val="auto"/>
        </w:rPr>
        <w:t>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95" w:name="page96"/>
    <w:bookmarkEnd w:id="95"/>
    <w:p>
      <w:pPr>
        <w:ind w:left="1300" w:right="360" w:hanging="644"/>
        <w:spacing w:after="0" w:line="311" w:lineRule="auto"/>
        <w:tabs>
          <w:tab w:leader="none" w:pos="1300" w:val="left"/>
        </w:tabs>
        <w:numPr>
          <w:ilvl w:val="0"/>
          <w:numId w:val="168"/>
        </w:numPr>
        <w:rPr>
          <w:rFonts w:ascii="Arial" w:cs="Arial" w:eastAsia="Arial" w:hAnsi="Arial"/>
          <w:sz w:val="16"/>
          <w:szCs w:val="16"/>
          <w:color w:val="010000"/>
        </w:rPr>
      </w:pPr>
      <w:r>
        <w:rPr>
          <w:rFonts w:ascii="Arial" w:cs="Arial" w:eastAsia="Arial" w:hAnsi="Arial"/>
          <w:sz w:val="16"/>
          <w:szCs w:val="16"/>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169" w:lineRule="exact"/>
        <w:rPr>
          <w:sz w:val="20"/>
          <w:szCs w:val="20"/>
          <w:color w:val="auto"/>
        </w:rPr>
      </w:pPr>
    </w:p>
    <w:p>
      <w:pPr>
        <w:ind w:left="660" w:right="60"/>
        <w:spacing w:after="0" w:line="250" w:lineRule="auto"/>
        <w:rPr>
          <w:sz w:val="20"/>
          <w:szCs w:val="20"/>
          <w:color w:val="auto"/>
        </w:rPr>
      </w:pPr>
      <w:r>
        <w:rPr>
          <w:rFonts w:ascii="Arial" w:cs="Arial" w:eastAsia="Arial" w:hAnsi="Arial"/>
          <w:sz w:val="22"/>
          <w:szCs w:val="22"/>
          <w:color w:val="auto"/>
        </w:rPr>
        <w:t>No such existing or former Secretary or Officer, however, shall be indemnified in respect of any matter arising out of his own actual fraud, wilful default or wilful neglect.</w:t>
      </w:r>
    </w:p>
    <w:p>
      <w:pPr>
        <w:spacing w:after="0" w:line="209" w:lineRule="exact"/>
        <w:rPr>
          <w:sz w:val="20"/>
          <w:szCs w:val="20"/>
          <w:color w:val="auto"/>
        </w:rPr>
      </w:pPr>
    </w:p>
    <w:p>
      <w:pPr>
        <w:ind w:left="660" w:right="20" w:hanging="647"/>
        <w:spacing w:after="0" w:line="279" w:lineRule="auto"/>
        <w:tabs>
          <w:tab w:leader="none" w:pos="640" w:val="left"/>
        </w:tabs>
        <w:rPr>
          <w:sz w:val="20"/>
          <w:szCs w:val="20"/>
          <w:color w:val="auto"/>
        </w:rPr>
      </w:pPr>
      <w:r>
        <w:rPr>
          <w:rFonts w:ascii="Arial" w:cs="Arial" w:eastAsia="Arial" w:hAnsi="Arial"/>
          <w:sz w:val="18"/>
          <w:szCs w:val="18"/>
          <w:color w:val="010000"/>
        </w:rPr>
        <w:t>31.2</w:t>
      </w:r>
      <w:r>
        <w:rPr>
          <w:sz w:val="20"/>
          <w:szCs w:val="20"/>
          <w:color w:val="auto"/>
        </w:rPr>
        <w:tab/>
      </w:r>
      <w:r>
        <w:rPr>
          <w:rFonts w:ascii="Arial" w:cs="Arial" w:eastAsia="Arial" w:hAnsi="Arial"/>
          <w:sz w:val="17"/>
          <w:szCs w:val="17"/>
          <w:color w:val="auto"/>
        </w:rPr>
        <w:t>To the extent permitted by Applicable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Release</w:t>
      </w:r>
    </w:p>
    <w:p>
      <w:pPr>
        <w:spacing w:after="0" w:line="246" w:lineRule="exact"/>
        <w:rPr>
          <w:sz w:val="20"/>
          <w:szCs w:val="20"/>
          <w:color w:val="auto"/>
        </w:rPr>
      </w:pPr>
    </w:p>
    <w:p>
      <w:pPr>
        <w:ind w:left="660" w:hanging="647"/>
        <w:spacing w:after="0" w:line="279" w:lineRule="auto"/>
        <w:tabs>
          <w:tab w:leader="none" w:pos="640" w:val="left"/>
        </w:tabs>
        <w:rPr>
          <w:sz w:val="20"/>
          <w:szCs w:val="20"/>
          <w:color w:val="auto"/>
        </w:rPr>
      </w:pPr>
      <w:r>
        <w:rPr>
          <w:rFonts w:ascii="Arial" w:cs="Arial" w:eastAsia="Arial" w:hAnsi="Arial"/>
          <w:sz w:val="18"/>
          <w:szCs w:val="18"/>
          <w:color w:val="010000"/>
        </w:rPr>
        <w:t>31.3</w:t>
      </w:r>
      <w:r>
        <w:rPr>
          <w:sz w:val="20"/>
          <w:szCs w:val="20"/>
          <w:color w:val="auto"/>
        </w:rPr>
        <w:tab/>
      </w:r>
      <w:r>
        <w:rPr>
          <w:rFonts w:ascii="Arial" w:cs="Arial" w:eastAsia="Arial" w:hAnsi="Arial"/>
          <w:sz w:val="17"/>
          <w:szCs w:val="17"/>
          <w:color w:val="auto"/>
        </w:rPr>
        <w:t>To the extent permitted by Applicable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Insurance</w:t>
      </w:r>
    </w:p>
    <w:p>
      <w:pPr>
        <w:spacing w:after="0" w:line="246" w:lineRule="exact"/>
        <w:rPr>
          <w:sz w:val="20"/>
          <w:szCs w:val="20"/>
          <w:color w:val="auto"/>
        </w:rPr>
      </w:pPr>
    </w:p>
    <w:p>
      <w:pPr>
        <w:ind w:left="660" w:right="520" w:hanging="647"/>
        <w:spacing w:after="0" w:line="308" w:lineRule="auto"/>
        <w:tabs>
          <w:tab w:leader="none" w:pos="640" w:val="left"/>
        </w:tabs>
        <w:rPr>
          <w:sz w:val="20"/>
          <w:szCs w:val="20"/>
          <w:color w:val="auto"/>
        </w:rPr>
      </w:pPr>
      <w:r>
        <w:rPr>
          <w:rFonts w:ascii="Arial" w:cs="Arial" w:eastAsia="Arial" w:hAnsi="Arial"/>
          <w:sz w:val="18"/>
          <w:szCs w:val="18"/>
          <w:color w:val="010000"/>
        </w:rPr>
        <w:t>31.4</w:t>
      </w:r>
      <w:r>
        <w:rPr>
          <w:sz w:val="20"/>
          <w:szCs w:val="20"/>
          <w:color w:val="auto"/>
        </w:rPr>
        <w:tab/>
      </w:r>
      <w:r>
        <w:rPr>
          <w:rFonts w:ascii="Arial" w:cs="Arial" w:eastAsia="Arial" w:hAnsi="Arial"/>
          <w:sz w:val="17"/>
          <w:szCs w:val="17"/>
          <w:color w:val="auto"/>
        </w:rPr>
        <w:t>To the extent permitted by Applicable Law, the Company may pay, or agree to pay, a premium in respect of a contract insuring each of the following persons against risks determined by the directors, other than liability arising out of that person's own dishonesty:</w:t>
      </w:r>
    </w:p>
    <w:p>
      <w:pPr>
        <w:spacing w:after="0" w:line="173"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an existing or former director (including alternate director), Secretary or Officer or auditor of:</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69"/>
        </w:numPr>
        <w:rPr>
          <w:rFonts w:ascii="Arial" w:cs="Arial" w:eastAsia="Arial" w:hAnsi="Arial"/>
          <w:sz w:val="18"/>
          <w:szCs w:val="18"/>
          <w:color w:val="010000"/>
        </w:rPr>
      </w:pPr>
      <w:r>
        <w:rPr>
          <w:rFonts w:ascii="Arial" w:cs="Arial" w:eastAsia="Arial" w:hAnsi="Arial"/>
          <w:sz w:val="18"/>
          <w:szCs w:val="18"/>
          <w:color w:val="auto"/>
        </w:rPr>
        <w:t>the Company;</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69"/>
        </w:numPr>
        <w:rPr>
          <w:rFonts w:ascii="Arial" w:cs="Arial" w:eastAsia="Arial" w:hAnsi="Arial"/>
          <w:sz w:val="18"/>
          <w:szCs w:val="18"/>
          <w:color w:val="010000"/>
        </w:rPr>
      </w:pPr>
      <w:r>
        <w:rPr>
          <w:rFonts w:ascii="Arial" w:cs="Arial" w:eastAsia="Arial" w:hAnsi="Arial"/>
          <w:sz w:val="18"/>
          <w:szCs w:val="18"/>
          <w:color w:val="auto"/>
        </w:rPr>
        <w:t>a company which is or was a subsidiary of the Company;</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69"/>
        </w:numPr>
        <w:rPr>
          <w:rFonts w:ascii="Arial" w:cs="Arial" w:eastAsia="Arial" w:hAnsi="Arial"/>
          <w:sz w:val="18"/>
          <w:szCs w:val="18"/>
          <w:color w:val="010000"/>
        </w:rPr>
      </w:pPr>
      <w:r>
        <w:rPr>
          <w:rFonts w:ascii="Arial" w:cs="Arial" w:eastAsia="Arial" w:hAnsi="Arial"/>
          <w:sz w:val="18"/>
          <w:szCs w:val="18"/>
          <w:color w:val="auto"/>
        </w:rPr>
        <w:t>a company in which the Company has or had an interest (whether direct or indirect); and</w:t>
      </w:r>
    </w:p>
    <w:p>
      <w:pPr>
        <w:spacing w:after="0" w:line="252" w:lineRule="exact"/>
        <w:rPr>
          <w:rFonts w:ascii="Arial" w:cs="Arial" w:eastAsia="Arial" w:hAnsi="Arial"/>
          <w:sz w:val="18"/>
          <w:szCs w:val="18"/>
          <w:color w:val="010000"/>
        </w:rPr>
      </w:pPr>
    </w:p>
    <w:p>
      <w:pPr>
        <w:ind w:left="1300" w:right="220" w:hanging="644"/>
        <w:spacing w:after="0" w:line="277" w:lineRule="auto"/>
        <w:tabs>
          <w:tab w:leader="none" w:pos="1300" w:val="left"/>
        </w:tabs>
        <w:numPr>
          <w:ilvl w:val="0"/>
          <w:numId w:val="169"/>
        </w:numPr>
        <w:rPr>
          <w:rFonts w:ascii="Arial" w:cs="Arial" w:eastAsia="Arial" w:hAnsi="Arial"/>
          <w:sz w:val="18"/>
          <w:szCs w:val="18"/>
          <w:color w:val="010000"/>
        </w:rPr>
      </w:pPr>
      <w:r>
        <w:rPr>
          <w:rFonts w:ascii="Arial" w:cs="Arial" w:eastAsia="Arial" w:hAnsi="Arial"/>
          <w:sz w:val="18"/>
          <w:szCs w:val="18"/>
          <w:color w:val="auto"/>
        </w:rPr>
        <w:t>a trustee of an employee or retirement benefits scheme or other trust in which any of the persons referred to in paragraph (a) is or was interested.</w:t>
      </w:r>
    </w:p>
    <w:p>
      <w:pPr>
        <w:spacing w:after="0" w:line="193" w:lineRule="exact"/>
        <w:rPr>
          <w:sz w:val="20"/>
          <w:szCs w:val="20"/>
          <w:color w:val="auto"/>
        </w:rPr>
      </w:pPr>
    </w:p>
    <w:p>
      <w:pPr>
        <w:ind w:left="660" w:hanging="652"/>
        <w:spacing w:after="0"/>
        <w:tabs>
          <w:tab w:leader="none" w:pos="660" w:val="left"/>
        </w:tabs>
        <w:numPr>
          <w:ilvl w:val="0"/>
          <w:numId w:val="170"/>
        </w:numPr>
        <w:rPr>
          <w:rFonts w:ascii="Arial" w:cs="Arial" w:eastAsia="Arial" w:hAnsi="Arial"/>
          <w:sz w:val="18"/>
          <w:szCs w:val="18"/>
          <w:b w:val="1"/>
          <w:bCs w:val="1"/>
          <w:color w:val="010000"/>
        </w:rPr>
      </w:pPr>
      <w:r>
        <w:rPr>
          <w:rFonts w:ascii="Arial" w:cs="Arial" w:eastAsia="Arial" w:hAnsi="Arial"/>
          <w:sz w:val="18"/>
          <w:szCs w:val="18"/>
          <w:b w:val="1"/>
          <w:bCs w:val="1"/>
          <w:color w:val="auto"/>
        </w:rPr>
        <w:t>Notices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Form of notices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32.1</w:t>
      </w:r>
      <w:r>
        <w:rPr>
          <w:sz w:val="20"/>
          <w:szCs w:val="20"/>
          <w:color w:val="auto"/>
        </w:rPr>
        <w:tab/>
      </w:r>
      <w:r>
        <w:rPr>
          <w:rFonts w:ascii="Arial" w:cs="Arial" w:eastAsia="Arial" w:hAnsi="Arial"/>
          <w:sz w:val="16"/>
          <w:szCs w:val="16"/>
          <w:color w:val="auto"/>
        </w:rPr>
        <w:t>Save where these Articles provide otherwise, any notice to be given to or by any person pursuant to these Articles shall be:</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6" w:name="page97"/>
    <w:bookmarkEnd w:id="96"/>
    <w:p>
      <w:pPr>
        <w:ind w:left="1300" w:hanging="644"/>
        <w:spacing w:after="0"/>
        <w:tabs>
          <w:tab w:leader="none" w:pos="1300"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in writing signed by or on behalf of the giver in the manner set out below for written notices; or</w:t>
      </w:r>
    </w:p>
    <w:p>
      <w:pPr>
        <w:spacing w:after="0" w:line="252" w:lineRule="exact"/>
        <w:rPr>
          <w:rFonts w:ascii="Arial" w:cs="Arial" w:eastAsia="Arial" w:hAnsi="Arial"/>
          <w:sz w:val="18"/>
          <w:szCs w:val="18"/>
          <w:color w:val="010000"/>
        </w:rPr>
      </w:pPr>
    </w:p>
    <w:p>
      <w:pPr>
        <w:ind w:left="1300" w:right="420" w:hanging="644"/>
        <w:spacing w:after="0" w:line="277" w:lineRule="auto"/>
        <w:tabs>
          <w:tab w:leader="none" w:pos="1300"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71"/>
        </w:numPr>
        <w:rPr>
          <w:rFonts w:ascii="Arial" w:cs="Arial" w:eastAsia="Arial" w:hAnsi="Arial"/>
          <w:sz w:val="18"/>
          <w:szCs w:val="18"/>
          <w:color w:val="010000"/>
        </w:rPr>
      </w:pPr>
      <w:r>
        <w:rPr>
          <w:rFonts w:ascii="Arial" w:cs="Arial" w:eastAsia="Arial" w:hAnsi="Arial"/>
          <w:sz w:val="18"/>
          <w:szCs w:val="18"/>
          <w:color w:val="auto"/>
        </w:rPr>
        <w:t>where these Articles expressly permit, by the Company by means of a website.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Electronic communications</w:t>
      </w:r>
    </w:p>
    <w:p>
      <w:pPr>
        <w:spacing w:after="0" w:line="246" w:lineRule="exact"/>
        <w:rPr>
          <w:sz w:val="20"/>
          <w:szCs w:val="20"/>
          <w:color w:val="auto"/>
        </w:rPr>
      </w:pPr>
    </w:p>
    <w:p>
      <w:pPr>
        <w:jc w:val="both"/>
        <w:ind w:left="660" w:right="80" w:hanging="647"/>
        <w:spacing w:after="0" w:line="263" w:lineRule="auto"/>
        <w:tabs>
          <w:tab w:leader="none" w:pos="640" w:val="left"/>
        </w:tabs>
        <w:rPr>
          <w:sz w:val="20"/>
          <w:szCs w:val="20"/>
          <w:color w:val="auto"/>
        </w:rPr>
      </w:pPr>
      <w:r>
        <w:rPr>
          <w:rFonts w:ascii="Arial" w:cs="Arial" w:eastAsia="Arial" w:hAnsi="Arial"/>
          <w:sz w:val="18"/>
          <w:szCs w:val="18"/>
          <w:color w:val="010000"/>
        </w:rPr>
        <w:t>32.2</w:t>
      </w:r>
      <w:r>
        <w:rPr>
          <w:sz w:val="20"/>
          <w:szCs w:val="20"/>
          <w:color w:val="auto"/>
        </w:rPr>
        <w:tab/>
      </w:r>
      <w:r>
        <w:rPr>
          <w:rFonts w:ascii="Arial" w:cs="Arial" w:eastAsia="Arial" w:hAnsi="Arial"/>
          <w:sz w:val="18"/>
          <w:szCs w:val="18"/>
          <w:color w:val="auto"/>
        </w:rPr>
        <w:t>Without limitation to Articles 18.1 to 18.4 inclusive (relating to the appointment and removal by directors of alternate directors) and to Articles 20.8 to 20.10 inclusive (relating to the appointment by directors of proxies), a notice may only be given to the Company in an Electronic Record if:</w:t>
      </w:r>
    </w:p>
    <w:p>
      <w:pPr>
        <w:spacing w:after="0" w:line="211" w:lineRule="exact"/>
        <w:rPr>
          <w:sz w:val="20"/>
          <w:szCs w:val="20"/>
          <w:color w:val="auto"/>
        </w:rPr>
      </w:pPr>
    </w:p>
    <w:p>
      <w:pPr>
        <w:ind w:left="1300" w:hanging="644"/>
        <w:spacing w:after="0"/>
        <w:tabs>
          <w:tab w:leader="none" w:pos="1300"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the directors so resolve;</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72"/>
        </w:numPr>
        <w:rPr>
          <w:rFonts w:ascii="Arial" w:cs="Arial" w:eastAsia="Arial" w:hAnsi="Arial"/>
          <w:sz w:val="17"/>
          <w:szCs w:val="17"/>
          <w:color w:val="010000"/>
        </w:rPr>
      </w:pPr>
      <w:r>
        <w:rPr>
          <w:rFonts w:ascii="Arial" w:cs="Arial" w:eastAsia="Arial" w:hAnsi="Arial"/>
          <w:sz w:val="17"/>
          <w:szCs w:val="17"/>
          <w:color w:val="auto"/>
        </w:rPr>
        <w:t>the resolution states how an Electronic Record may be given and, if applicable, specifies an email address for the Company; and</w:t>
      </w:r>
    </w:p>
    <w:p>
      <w:pPr>
        <w:spacing w:after="0" w:line="263" w:lineRule="exact"/>
        <w:rPr>
          <w:rFonts w:ascii="Arial" w:cs="Arial" w:eastAsia="Arial" w:hAnsi="Arial"/>
          <w:sz w:val="17"/>
          <w:szCs w:val="17"/>
          <w:color w:val="010000"/>
        </w:rPr>
      </w:pPr>
    </w:p>
    <w:p>
      <w:pPr>
        <w:ind w:left="1300" w:hanging="644"/>
        <w:spacing w:after="0" w:line="277" w:lineRule="auto"/>
        <w:tabs>
          <w:tab w:leader="none" w:pos="1300" w:val="left"/>
        </w:tabs>
        <w:numPr>
          <w:ilvl w:val="0"/>
          <w:numId w:val="172"/>
        </w:numPr>
        <w:rPr>
          <w:rFonts w:ascii="Arial" w:cs="Arial" w:eastAsia="Arial" w:hAnsi="Arial"/>
          <w:sz w:val="18"/>
          <w:szCs w:val="18"/>
          <w:color w:val="010000"/>
        </w:rPr>
      </w:pPr>
      <w:r>
        <w:rPr>
          <w:rFonts w:ascii="Arial" w:cs="Arial" w:eastAsia="Arial" w:hAnsi="Arial"/>
          <w:sz w:val="18"/>
          <w:szCs w:val="18"/>
          <w:color w:val="auto"/>
        </w:rPr>
        <w:t>the terms of that resolution are notified to the Members for the time being and, if applicable, to those directors who were absent from the meeting at which the resolution was passed.</w:t>
      </w:r>
    </w:p>
    <w:p>
      <w:pPr>
        <w:spacing w:after="0" w:line="190" w:lineRule="exact"/>
        <w:rPr>
          <w:sz w:val="20"/>
          <w:szCs w:val="20"/>
          <w:color w:val="auto"/>
        </w:rPr>
      </w:pPr>
    </w:p>
    <w:p>
      <w:pPr>
        <w:ind w:left="660" w:right="260"/>
        <w:spacing w:after="0" w:line="250" w:lineRule="auto"/>
        <w:rPr>
          <w:sz w:val="20"/>
          <w:szCs w:val="20"/>
          <w:color w:val="auto"/>
        </w:rPr>
      </w:pPr>
      <w:r>
        <w:rPr>
          <w:rFonts w:ascii="Arial" w:cs="Arial" w:eastAsia="Arial" w:hAnsi="Arial"/>
          <w:sz w:val="22"/>
          <w:szCs w:val="22"/>
          <w:color w:val="auto"/>
        </w:rPr>
        <w:t>If the resolution is revoked or varied, the revocation or variation shall only become effective when its terms have been similarly notified.</w:t>
      </w:r>
    </w:p>
    <w:p>
      <w:pPr>
        <w:spacing w:after="0" w:line="209"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010000"/>
        </w:rPr>
        <w:t>32.3</w:t>
      </w:r>
      <w:r>
        <w:rPr>
          <w:sz w:val="20"/>
          <w:szCs w:val="20"/>
          <w:color w:val="auto"/>
        </w:rPr>
        <w:tab/>
      </w:r>
      <w:r>
        <w:rPr>
          <w:rFonts w:ascii="Arial" w:cs="Arial" w:eastAsia="Arial" w:hAnsi="Arial"/>
          <w:sz w:val="18"/>
          <w:szCs w:val="18"/>
          <w:color w:val="auto"/>
        </w:rPr>
        <w:t>A notice may not be given by Electronic Record to a person other than the Company unless the recipient has notified the giver of an Electronic address to which notice may be sent.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Persons authorised to give notices</w:t>
      </w:r>
    </w:p>
    <w:p>
      <w:pPr>
        <w:spacing w:after="0" w:line="246"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010000"/>
        </w:rPr>
        <w:t>32.4</w:t>
      </w:r>
      <w:r>
        <w:rPr>
          <w:sz w:val="20"/>
          <w:szCs w:val="20"/>
          <w:color w:val="auto"/>
        </w:rPr>
        <w:tab/>
      </w:r>
      <w:r>
        <w:rPr>
          <w:rFonts w:ascii="Arial" w:cs="Arial" w:eastAsia="Arial" w:hAnsi="Arial"/>
          <w:sz w:val="18"/>
          <w:szCs w:val="18"/>
          <w:color w:val="auto"/>
        </w:rPr>
        <w:t>A notice by either the Company or a Member pursuant to these Articles may be given on behalf of the Company or a Member by a director or company secretary of the Company or a Member.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Delivery of written notices</w:t>
      </w:r>
    </w:p>
    <w:p>
      <w:pPr>
        <w:spacing w:after="0" w:line="246" w:lineRule="exact"/>
        <w:rPr>
          <w:sz w:val="20"/>
          <w:szCs w:val="20"/>
          <w:color w:val="auto"/>
        </w:rPr>
      </w:pPr>
    </w:p>
    <w:p>
      <w:pPr>
        <w:ind w:left="660" w:right="40" w:hanging="647"/>
        <w:spacing w:after="0" w:line="308" w:lineRule="auto"/>
        <w:tabs>
          <w:tab w:leader="none" w:pos="640" w:val="left"/>
        </w:tabs>
        <w:rPr>
          <w:sz w:val="20"/>
          <w:szCs w:val="20"/>
          <w:color w:val="auto"/>
        </w:rPr>
      </w:pPr>
      <w:r>
        <w:rPr>
          <w:rFonts w:ascii="Arial" w:cs="Arial" w:eastAsia="Arial" w:hAnsi="Arial"/>
          <w:sz w:val="18"/>
          <w:szCs w:val="18"/>
          <w:color w:val="010000"/>
        </w:rPr>
        <w:t>32.5</w:t>
      </w:r>
      <w:r>
        <w:rPr>
          <w:sz w:val="20"/>
          <w:szCs w:val="20"/>
          <w:color w:val="auto"/>
        </w:rPr>
        <w:tab/>
      </w:r>
      <w:r>
        <w:rPr>
          <w:rFonts w:ascii="Arial" w:cs="Arial" w:eastAsia="Arial" w:hAnsi="Arial"/>
          <w:sz w:val="17"/>
          <w:szCs w:val="17"/>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Joint holders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32.6</w:t>
      </w:r>
      <w:r>
        <w:rPr>
          <w:sz w:val="20"/>
          <w:szCs w:val="20"/>
          <w:color w:val="auto"/>
        </w:rPr>
        <w:tab/>
      </w:r>
      <w:r>
        <w:rPr>
          <w:rFonts w:ascii="Arial" w:cs="Arial" w:eastAsia="Arial" w:hAnsi="Arial"/>
          <w:sz w:val="16"/>
          <w:szCs w:val="16"/>
          <w:color w:val="auto"/>
        </w:rPr>
        <w:t>Where Members are joint holders of a Share, all notices shall be given to the Member whose name first appears in the Register of Members.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Signatures</w:t>
      </w:r>
    </w:p>
    <w:p>
      <w:pPr>
        <w:spacing w:after="0" w:line="246"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010000"/>
        </w:rPr>
        <w:t>32.7</w:t>
      </w:r>
      <w:r>
        <w:rPr>
          <w:sz w:val="20"/>
          <w:szCs w:val="20"/>
          <w:color w:val="auto"/>
        </w:rPr>
        <w:tab/>
      </w:r>
      <w:r>
        <w:rPr>
          <w:rFonts w:ascii="Arial" w:cs="Arial" w:eastAsia="Arial" w:hAnsi="Arial"/>
          <w:sz w:val="18"/>
          <w:szCs w:val="18"/>
          <w:color w:val="auto"/>
        </w:rPr>
        <w:t>A written notice shall be signed when it is autographed by or on behalf of the giver, or is marked in such a way as to indicate its execution or adoption by the giver.</w:t>
      </w: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97" w:name="page98"/>
    <w:bookmarkEnd w:id="97"/>
    <w:p>
      <w:pPr>
        <w:spacing w:after="0"/>
        <w:tabs>
          <w:tab w:leader="none" w:pos="640" w:val="left"/>
        </w:tabs>
        <w:rPr>
          <w:sz w:val="20"/>
          <w:szCs w:val="20"/>
          <w:color w:val="auto"/>
        </w:rPr>
      </w:pPr>
      <w:r>
        <w:rPr>
          <w:rFonts w:ascii="Arial" w:cs="Arial" w:eastAsia="Arial" w:hAnsi="Arial"/>
          <w:sz w:val="18"/>
          <w:szCs w:val="18"/>
          <w:color w:val="010000"/>
        </w:rPr>
        <w:t>32.8</w:t>
      </w:r>
      <w:r>
        <w:rPr>
          <w:sz w:val="20"/>
          <w:szCs w:val="20"/>
          <w:color w:val="auto"/>
        </w:rPr>
        <w:tab/>
      </w:r>
      <w:r>
        <w:rPr>
          <w:rFonts w:ascii="Arial" w:cs="Arial" w:eastAsia="Arial" w:hAnsi="Arial"/>
          <w:sz w:val="16"/>
          <w:szCs w:val="16"/>
          <w:color w:val="auto"/>
        </w:rPr>
        <w:t>An Electronic Record may be signed by an Electronic Signature.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Evidence of transmission</w:t>
      </w:r>
    </w:p>
    <w:p>
      <w:pPr>
        <w:spacing w:after="0" w:line="246" w:lineRule="exact"/>
        <w:rPr>
          <w:sz w:val="20"/>
          <w:szCs w:val="20"/>
          <w:color w:val="auto"/>
        </w:rPr>
      </w:pPr>
    </w:p>
    <w:p>
      <w:pPr>
        <w:ind w:left="660" w:right="740" w:hanging="647"/>
        <w:spacing w:after="0" w:line="277" w:lineRule="auto"/>
        <w:tabs>
          <w:tab w:leader="none" w:pos="640" w:val="left"/>
        </w:tabs>
        <w:rPr>
          <w:sz w:val="20"/>
          <w:szCs w:val="20"/>
          <w:color w:val="auto"/>
        </w:rPr>
      </w:pPr>
      <w:r>
        <w:rPr>
          <w:rFonts w:ascii="Arial" w:cs="Arial" w:eastAsia="Arial" w:hAnsi="Arial"/>
          <w:sz w:val="18"/>
          <w:szCs w:val="18"/>
          <w:color w:val="010000"/>
        </w:rPr>
        <w:t>32.9</w:t>
      </w:r>
      <w:r>
        <w:rPr>
          <w:sz w:val="20"/>
          <w:szCs w:val="20"/>
          <w:color w:val="auto"/>
        </w:rPr>
        <w:tab/>
      </w:r>
      <w:r>
        <w:rPr>
          <w:rFonts w:ascii="Arial" w:cs="Arial" w:eastAsia="Arial" w:hAnsi="Arial"/>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97"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32.10</w:t>
      </w:r>
      <w:r>
        <w:rPr>
          <w:rFonts w:ascii="Arial" w:cs="Arial" w:eastAsia="Arial" w:hAnsi="Arial"/>
          <w:sz w:val="18"/>
          <w:szCs w:val="18"/>
          <w:color w:val="auto"/>
        </w:rPr>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Giving notice to a deceased or bankrupt Member</w:t>
      </w:r>
    </w:p>
    <w:p>
      <w:pPr>
        <w:spacing w:after="0" w:line="246" w:lineRule="exact"/>
        <w:rPr>
          <w:sz w:val="20"/>
          <w:szCs w:val="20"/>
          <w:color w:val="auto"/>
        </w:rPr>
      </w:pPr>
    </w:p>
    <w:p>
      <w:pPr>
        <w:ind w:left="660" w:right="20" w:hanging="647"/>
        <w:spacing w:after="0" w:line="259" w:lineRule="auto"/>
        <w:tabs>
          <w:tab w:leader="none" w:pos="640" w:val="left"/>
        </w:tabs>
        <w:rPr>
          <w:sz w:val="20"/>
          <w:szCs w:val="20"/>
          <w:color w:val="auto"/>
        </w:rPr>
      </w:pPr>
      <w:r>
        <w:rPr>
          <w:rFonts w:ascii="Arial" w:cs="Arial" w:eastAsia="Arial" w:hAnsi="Arial"/>
          <w:sz w:val="18"/>
          <w:szCs w:val="18"/>
          <w:color w:val="010000"/>
        </w:rPr>
        <w:t>32.11</w:t>
      </w:r>
      <w:r>
        <w:rPr>
          <w:rFonts w:ascii="Arial" w:cs="Arial" w:eastAsia="Arial" w:hAnsi="Arial"/>
          <w:sz w:val="18"/>
          <w:szCs w:val="18"/>
          <w:color w:val="auto"/>
        </w:rPr>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214"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010000"/>
        </w:rPr>
        <w:t>32.12</w:t>
      </w:r>
      <w:r>
        <w:rPr>
          <w:rFonts w:ascii="Arial" w:cs="Arial" w:eastAsia="Arial" w:hAnsi="Arial"/>
          <w:sz w:val="18"/>
          <w:szCs w:val="18"/>
          <w:color w:val="auto"/>
        </w:rPr>
        <w:tab/>
        <w:t>Until such an address has been supplied, a notice may be given in any manner in which it might have been given if the death or bankruptcy had not occurred.</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Date of giving notices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32.13</w:t>
      </w:r>
      <w:r>
        <w:rPr>
          <w:sz w:val="20"/>
          <w:szCs w:val="20"/>
          <w:color w:val="auto"/>
        </w:rPr>
        <w:tab/>
      </w:r>
      <w:r>
        <w:rPr>
          <w:rFonts w:ascii="Arial" w:cs="Arial" w:eastAsia="Arial" w:hAnsi="Arial"/>
          <w:sz w:val="16"/>
          <w:szCs w:val="16"/>
          <w:color w:val="auto"/>
        </w:rPr>
        <w:t>A notice is given on the date identified in the following table.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 w:type="dxa"/>
            <w:vAlign w:val="bottom"/>
            <w:tcBorders>
              <w:right w:val="single" w:sz="8" w:color="auto"/>
            </w:tcBorders>
          </w:tcPr>
          <w:p>
            <w:pPr>
              <w:spacing w:after="0"/>
              <w:rPr>
                <w:sz w:val="21"/>
                <w:szCs w:val="21"/>
                <w:color w:val="auto"/>
              </w:rPr>
            </w:pPr>
          </w:p>
        </w:tc>
        <w:tc>
          <w:tcPr>
            <w:tcW w:w="502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Method for giving notices</w:t>
            </w:r>
          </w:p>
        </w:tc>
        <w:tc>
          <w:tcPr>
            <w:tcW w:w="506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When taken to be given</w:t>
            </w:r>
          </w:p>
        </w:tc>
        <w:tc>
          <w:tcPr>
            <w:tcW w:w="560" w:type="dxa"/>
            <w:vAlign w:val="bottom"/>
          </w:tcPr>
          <w:p>
            <w:pPr>
              <w:spacing w:after="0"/>
              <w:rPr>
                <w:sz w:val="21"/>
                <w:szCs w:val="21"/>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Personally</w:t>
            </w:r>
          </w:p>
        </w:tc>
        <w:tc>
          <w:tcPr>
            <w:tcW w:w="5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At the time and date of delivery</w:t>
            </w:r>
          </w:p>
        </w:tc>
        <w:tc>
          <w:tcPr>
            <w:tcW w:w="560" w:type="dxa"/>
            <w:vAlign w:val="bottom"/>
          </w:tcPr>
          <w:p>
            <w:pPr>
              <w:spacing w:after="0"/>
              <w:rPr>
                <w:sz w:val="19"/>
                <w:szCs w:val="19"/>
                <w:color w:val="auto"/>
              </w:rPr>
            </w:pPr>
          </w:p>
        </w:tc>
      </w:tr>
      <w:tr>
        <w:trPr>
          <w:trHeight w:val="223"/>
        </w:trPr>
        <w:tc>
          <w:tcPr>
            <w:tcW w:w="600" w:type="dxa"/>
            <w:vAlign w:val="bottom"/>
            <w:tcBorders>
              <w:right w:val="single" w:sz="8" w:color="auto"/>
            </w:tcBorders>
          </w:tcPr>
          <w:p>
            <w:pPr>
              <w:spacing w:after="0"/>
              <w:rPr>
                <w:sz w:val="19"/>
                <w:szCs w:val="19"/>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By leaving it at the member's registered address</w:t>
            </w:r>
          </w:p>
        </w:tc>
        <w:tc>
          <w:tcPr>
            <w:tcW w:w="5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At the time and date it was left</w:t>
            </w:r>
          </w:p>
        </w:tc>
        <w:tc>
          <w:tcPr>
            <w:tcW w:w="560" w:type="dxa"/>
            <w:vAlign w:val="bottom"/>
          </w:tcPr>
          <w:p>
            <w:pPr>
              <w:spacing w:after="0"/>
              <w:rPr>
                <w:sz w:val="19"/>
                <w:szCs w:val="19"/>
                <w:color w:val="auto"/>
              </w:rPr>
            </w:pPr>
          </w:p>
        </w:tc>
      </w:tr>
      <w:tr>
        <w:trPr>
          <w:trHeight w:val="202"/>
        </w:trPr>
        <w:tc>
          <w:tcPr>
            <w:tcW w:w="60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5"/>
              </w:rPr>
              <w:t>If the recipient has an address within the Islands, by posting it by</w:t>
            </w:r>
          </w:p>
        </w:tc>
        <w:tc>
          <w:tcPr>
            <w:tcW w:w="50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48 hours after it was posted</w:t>
            </w:r>
          </w:p>
        </w:tc>
        <w:tc>
          <w:tcPr>
            <w:tcW w:w="560" w:type="dxa"/>
            <w:vAlign w:val="bottom"/>
          </w:tcPr>
          <w:p>
            <w:pPr>
              <w:spacing w:after="0"/>
              <w:rPr>
                <w:sz w:val="17"/>
                <w:szCs w:val="17"/>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prepaid post to the street or postal address of that recipient</w:t>
            </w:r>
          </w:p>
        </w:tc>
        <w:tc>
          <w:tcPr>
            <w:tcW w:w="506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02"/>
        </w:trPr>
        <w:tc>
          <w:tcPr>
            <w:tcW w:w="60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3"/>
              </w:rPr>
              <w:t>If the recipient has an address outside the Islands, by posting it by</w:t>
            </w:r>
          </w:p>
        </w:tc>
        <w:tc>
          <w:tcPr>
            <w:tcW w:w="50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3 Clear Days after posting</w:t>
            </w:r>
          </w:p>
        </w:tc>
        <w:tc>
          <w:tcPr>
            <w:tcW w:w="560" w:type="dxa"/>
            <w:vAlign w:val="bottom"/>
          </w:tcPr>
          <w:p>
            <w:pPr>
              <w:spacing w:after="0"/>
              <w:rPr>
                <w:sz w:val="17"/>
                <w:szCs w:val="17"/>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prepaid airmail to the street or postal address of that recipient</w:t>
            </w:r>
          </w:p>
        </w:tc>
        <w:tc>
          <w:tcPr>
            <w:tcW w:w="506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02"/>
        </w:trPr>
        <w:tc>
          <w:tcPr>
            <w:tcW w:w="60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By Electronic Record (other than publication on a website), to</w:t>
            </w:r>
          </w:p>
        </w:tc>
        <w:tc>
          <w:tcPr>
            <w:tcW w:w="50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Within 24 hours after it was sent</w:t>
            </w:r>
          </w:p>
        </w:tc>
        <w:tc>
          <w:tcPr>
            <w:tcW w:w="560" w:type="dxa"/>
            <w:vAlign w:val="bottom"/>
          </w:tcPr>
          <w:p>
            <w:pPr>
              <w:spacing w:after="0"/>
              <w:rPr>
                <w:sz w:val="17"/>
                <w:szCs w:val="17"/>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5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recipient's Electronic address</w:t>
            </w:r>
          </w:p>
        </w:tc>
        <w:tc>
          <w:tcPr>
            <w:tcW w:w="5060" w:type="dxa"/>
            <w:vAlign w:val="bottom"/>
            <w:tcBorders>
              <w:bottom w:val="single" w:sz="8" w:color="auto"/>
              <w:right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02"/>
        </w:trPr>
        <w:tc>
          <w:tcPr>
            <w:tcW w:w="600" w:type="dxa"/>
            <w:vAlign w:val="bottom"/>
            <w:tcBorders>
              <w:right w:val="single" w:sz="8" w:color="auto"/>
            </w:tcBorders>
          </w:tcPr>
          <w:p>
            <w:pPr>
              <w:spacing w:after="0"/>
              <w:rPr>
                <w:sz w:val="17"/>
                <w:szCs w:val="17"/>
                <w:color w:val="auto"/>
              </w:rPr>
            </w:pPr>
          </w:p>
        </w:tc>
        <w:tc>
          <w:tcPr>
            <w:tcW w:w="50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By publication on a website</w:t>
            </w:r>
          </w:p>
        </w:tc>
        <w:tc>
          <w:tcPr>
            <w:tcW w:w="506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See the Articles about the time when notice of a meeting of</w:t>
            </w:r>
          </w:p>
        </w:tc>
        <w:tc>
          <w:tcPr>
            <w:tcW w:w="560" w:type="dxa"/>
            <w:vAlign w:val="bottom"/>
          </w:tcPr>
          <w:p>
            <w:pPr>
              <w:spacing w:after="0"/>
              <w:rPr>
                <w:sz w:val="17"/>
                <w:szCs w:val="17"/>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5020" w:type="dxa"/>
            <w:vAlign w:val="bottom"/>
            <w:tcBorders>
              <w:right w:val="single" w:sz="8" w:color="auto"/>
            </w:tcBorders>
          </w:tcPr>
          <w:p>
            <w:pPr>
              <w:spacing w:after="0"/>
              <w:rPr>
                <w:sz w:val="18"/>
                <w:szCs w:val="18"/>
                <w:color w:val="auto"/>
              </w:rPr>
            </w:pPr>
          </w:p>
        </w:tc>
        <w:tc>
          <w:tcPr>
            <w:tcW w:w="50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Members  or  accounts  and  reports,  as  the  case  may  be,  are</w:t>
            </w:r>
          </w:p>
        </w:tc>
        <w:tc>
          <w:tcPr>
            <w:tcW w:w="560" w:type="dxa"/>
            <w:vAlign w:val="bottom"/>
          </w:tcPr>
          <w:p>
            <w:pPr>
              <w:spacing w:after="0"/>
              <w:rPr>
                <w:sz w:val="18"/>
                <w:szCs w:val="18"/>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5020" w:type="dxa"/>
            <w:vAlign w:val="bottom"/>
            <w:tcBorders>
              <w:bottom w:val="single" w:sz="8" w:color="auto"/>
              <w:right w:val="single" w:sz="8" w:color="auto"/>
            </w:tcBorders>
          </w:tcPr>
          <w:p>
            <w:pPr>
              <w:spacing w:after="0"/>
              <w:rPr>
                <w:sz w:val="20"/>
                <w:szCs w:val="20"/>
                <w:color w:val="auto"/>
              </w:rPr>
            </w:pPr>
          </w:p>
        </w:tc>
        <w:tc>
          <w:tcPr>
            <w:tcW w:w="5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published on a website</w:t>
            </w:r>
          </w:p>
        </w:tc>
        <w:tc>
          <w:tcPr>
            <w:tcW w:w="560" w:type="dxa"/>
            <w:vAlign w:val="bottom"/>
          </w:tcPr>
          <w:p>
            <w:pPr>
              <w:spacing w:after="0"/>
              <w:rPr>
                <w:sz w:val="20"/>
                <w:szCs w:val="20"/>
                <w:color w:val="auto"/>
              </w:rPr>
            </w:pPr>
          </w:p>
        </w:tc>
      </w:tr>
      <w:tr>
        <w:trPr>
          <w:trHeight w:val="582"/>
        </w:trPr>
        <w:tc>
          <w:tcPr>
            <w:tcW w:w="6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47</w:t>
            </w:r>
          </w:p>
        </w:tc>
        <w:tc>
          <w:tcPr>
            <w:tcW w:w="560" w:type="dxa"/>
            <w:vAlign w:val="bottom"/>
          </w:tcPr>
          <w:p>
            <w:pPr>
              <w:spacing w:after="0"/>
              <w:rPr>
                <w:sz w:val="24"/>
                <w:szCs w:val="24"/>
                <w:color w:val="auto"/>
              </w:rPr>
            </w:pPr>
          </w:p>
        </w:tc>
      </w:tr>
      <w:tr>
        <w:trPr>
          <w:trHeight w:val="46"/>
        </w:trPr>
        <w:tc>
          <w:tcPr>
            <w:tcW w:w="600" w:type="dxa"/>
            <w:vAlign w:val="bottom"/>
            <w:tcBorders>
              <w:bottom w:val="single" w:sz="8" w:color="auto"/>
            </w:tcBorders>
          </w:tcPr>
          <w:p>
            <w:pPr>
              <w:spacing w:after="0"/>
              <w:rPr>
                <w:sz w:val="4"/>
                <w:szCs w:val="4"/>
                <w:color w:val="auto"/>
              </w:rPr>
            </w:pPr>
          </w:p>
        </w:tc>
        <w:tc>
          <w:tcPr>
            <w:tcW w:w="5020" w:type="dxa"/>
            <w:vAlign w:val="bottom"/>
            <w:tcBorders>
              <w:bottom w:val="single" w:sz="8" w:color="auto"/>
            </w:tcBorders>
          </w:tcPr>
          <w:p>
            <w:pPr>
              <w:spacing w:after="0"/>
              <w:rPr>
                <w:sz w:val="4"/>
                <w:szCs w:val="4"/>
                <w:color w:val="auto"/>
              </w:rPr>
            </w:pPr>
          </w:p>
        </w:tc>
        <w:tc>
          <w:tcPr>
            <w:tcW w:w="50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22"/>
          <w:szCs w:val="22"/>
          <w:b w:val="1"/>
          <w:bCs w:val="1"/>
          <w:color w:val="auto"/>
        </w:rPr>
        <w:t>Saving provision</w:t>
      </w:r>
    </w:p>
    <w:p>
      <w:pPr>
        <w:spacing w:after="0" w:line="247" w:lineRule="exact"/>
        <w:rPr>
          <w:sz w:val="20"/>
          <w:szCs w:val="20"/>
          <w:color w:val="auto"/>
        </w:rPr>
      </w:pPr>
    </w:p>
    <w:p>
      <w:pPr>
        <w:ind w:left="660" w:right="700" w:hanging="647"/>
        <w:spacing w:after="0" w:line="277" w:lineRule="auto"/>
        <w:tabs>
          <w:tab w:leader="none" w:pos="640" w:val="left"/>
        </w:tabs>
        <w:rPr>
          <w:sz w:val="20"/>
          <w:szCs w:val="20"/>
          <w:color w:val="auto"/>
        </w:rPr>
      </w:pPr>
      <w:r>
        <w:rPr>
          <w:rFonts w:ascii="Arial" w:cs="Arial" w:eastAsia="Arial" w:hAnsi="Arial"/>
          <w:sz w:val="18"/>
          <w:szCs w:val="18"/>
          <w:color w:val="010000"/>
        </w:rPr>
        <w:t>32.14</w:t>
      </w:r>
      <w:r>
        <w:rPr>
          <w:rFonts w:ascii="Arial" w:cs="Arial" w:eastAsia="Arial" w:hAnsi="Arial"/>
          <w:sz w:val="18"/>
          <w:szCs w:val="18"/>
          <w:color w:val="auto"/>
        </w:rPr>
        <w:tab/>
        <w:t>None of the preceding notice provisions shall derogate from the Articles about the delivery of written resolutions of directors and written resolutions of Members.</w:t>
      </w:r>
    </w:p>
    <w:p>
      <w:pPr>
        <w:spacing w:after="0" w:line="193"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b w:val="1"/>
          <w:bCs w:val="1"/>
          <w:color w:val="010000"/>
        </w:rPr>
      </w:pPr>
      <w:r>
        <w:rPr>
          <w:rFonts w:ascii="Arial" w:cs="Arial" w:eastAsia="Arial" w:hAnsi="Arial"/>
          <w:sz w:val="18"/>
          <w:szCs w:val="18"/>
          <w:b w:val="1"/>
          <w:bCs w:val="1"/>
          <w:color w:val="auto"/>
        </w:rPr>
        <w:t>Authentication of Electronic Records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Application of Articles</w:t>
      </w:r>
    </w:p>
    <w:p>
      <w:pPr>
        <w:spacing w:after="0" w:line="246" w:lineRule="exact"/>
        <w:rPr>
          <w:sz w:val="20"/>
          <w:szCs w:val="20"/>
          <w:color w:val="auto"/>
        </w:rPr>
      </w:pPr>
    </w:p>
    <w:p>
      <w:pPr>
        <w:jc w:val="both"/>
        <w:ind w:left="660" w:right="300" w:hanging="647"/>
        <w:spacing w:after="0" w:line="263" w:lineRule="auto"/>
        <w:tabs>
          <w:tab w:leader="none" w:pos="640" w:val="left"/>
        </w:tabs>
        <w:rPr>
          <w:sz w:val="20"/>
          <w:szCs w:val="20"/>
          <w:color w:val="auto"/>
        </w:rPr>
      </w:pPr>
      <w:r>
        <w:rPr>
          <w:rFonts w:ascii="Arial" w:cs="Arial" w:eastAsia="Arial" w:hAnsi="Arial"/>
          <w:sz w:val="18"/>
          <w:szCs w:val="18"/>
          <w:color w:val="010000"/>
        </w:rPr>
        <w:t>33.1</w:t>
      </w:r>
      <w:r>
        <w:rPr>
          <w:sz w:val="20"/>
          <w:szCs w:val="20"/>
          <w:color w:val="auto"/>
        </w:rPr>
        <w:tab/>
      </w:r>
      <w:r>
        <w:rPr>
          <w:rFonts w:ascii="Arial" w:cs="Arial" w:eastAsia="Arial" w:hAnsi="Arial"/>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33.2 or Article 33.4 applies.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Authentication of documents sent by Members by Electronic means</w:t>
      </w:r>
    </w:p>
    <w:p>
      <w:pPr>
        <w:spacing w:after="0" w:line="24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010000"/>
        </w:rPr>
        <w:t>33.2</w:t>
      </w:r>
      <w:r>
        <w:rPr>
          <w:sz w:val="20"/>
          <w:szCs w:val="20"/>
          <w:color w:val="auto"/>
        </w:rPr>
        <w:tab/>
      </w:r>
      <w:r>
        <w:rPr>
          <w:rFonts w:ascii="Arial" w:cs="Arial" w:eastAsia="Arial" w:hAnsi="Arial"/>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97" w:lineRule="exact"/>
        <w:rPr>
          <w:sz w:val="20"/>
          <w:szCs w:val="20"/>
          <w:color w:val="auto"/>
        </w:rPr>
      </w:pPr>
    </w:p>
    <w:p>
      <w:pPr>
        <w:ind w:left="1300" w:right="60" w:hanging="644"/>
        <w:spacing w:after="0" w:line="277" w:lineRule="auto"/>
        <w:tabs>
          <w:tab w:leader="none" w:pos="1300"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the Member or each Member, as the case may be, signed the original document, and for this purpose Original Document includes several documents in like form signed by one or more of those Members; and</w:t>
      </w:r>
    </w:p>
    <w:p>
      <w:pPr>
        <w:spacing w:after="0" w:line="197" w:lineRule="exact"/>
        <w:rPr>
          <w:rFonts w:ascii="Arial" w:cs="Arial" w:eastAsia="Arial" w:hAnsi="Arial"/>
          <w:sz w:val="18"/>
          <w:szCs w:val="18"/>
          <w:color w:val="010000"/>
        </w:rPr>
      </w:pPr>
    </w:p>
    <w:p>
      <w:pPr>
        <w:ind w:left="1300" w:right="500" w:hanging="644"/>
        <w:spacing w:after="0" w:line="277" w:lineRule="auto"/>
        <w:tabs>
          <w:tab w:leader="none" w:pos="1300"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Article 33.7 does not apply.</w:t>
      </w:r>
    </w:p>
    <w:p>
      <w:pPr>
        <w:spacing w:after="0" w:line="252"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010000"/>
        </w:rPr>
        <w:t>33.3</w:t>
      </w:r>
      <w:r>
        <w:rPr>
          <w:sz w:val="20"/>
          <w:szCs w:val="20"/>
          <w:color w:val="auto"/>
        </w:rPr>
        <w:tab/>
      </w:r>
      <w:r>
        <w:rPr>
          <w:rFonts w:ascii="Arial" w:cs="Arial" w:eastAsia="Arial" w:hAnsi="Arial"/>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33.7 applies.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Authentication of document sent by the Secretary or Officers of the Company by Electronic means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33.4</w:t>
      </w:r>
      <w:r>
        <w:rPr>
          <w:sz w:val="20"/>
          <w:szCs w:val="20"/>
          <w:color w:val="auto"/>
        </w:rPr>
        <w:tab/>
      </w:r>
      <w:r>
        <w:rPr>
          <w:rFonts w:ascii="Arial" w:cs="Arial" w:eastAsia="Arial" w:hAnsi="Arial"/>
          <w:sz w:val="16"/>
          <w:szCs w:val="16"/>
          <w:color w:val="auto"/>
        </w:rPr>
        <w:t>An Electronic Record of a notice, written resolution or other document sent by or on behalf of the Secretary or an Officer or Officers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be deemed to be authentic if the following conditions are satisfied:</w:t>
      </w:r>
    </w:p>
    <w:p>
      <w:pPr>
        <w:spacing w:after="0" w:line="238" w:lineRule="exact"/>
        <w:rPr>
          <w:sz w:val="20"/>
          <w:szCs w:val="20"/>
          <w:color w:val="auto"/>
        </w:rPr>
      </w:pPr>
    </w:p>
    <w:p>
      <w:pPr>
        <w:ind w:left="1300" w:right="200" w:hanging="644"/>
        <w:spacing w:after="0" w:line="277" w:lineRule="auto"/>
        <w:tabs>
          <w:tab w:leader="none" w:pos="130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the Secretary or the Officer or each Officer, as the case may be, signed the original document, and for this purpose Original Document includes several documents in like form signed by the Secretary or one or more of those Officers; and</w:t>
      </w:r>
    </w:p>
    <w:p>
      <w:pPr>
        <w:spacing w:after="0" w:line="197" w:lineRule="exact"/>
        <w:rPr>
          <w:rFonts w:ascii="Arial" w:cs="Arial" w:eastAsia="Arial" w:hAnsi="Arial"/>
          <w:sz w:val="18"/>
          <w:szCs w:val="18"/>
          <w:color w:val="010000"/>
        </w:rPr>
      </w:pPr>
    </w:p>
    <w:p>
      <w:pPr>
        <w:ind w:left="1300" w:hanging="644"/>
        <w:spacing w:after="0" w:line="277" w:lineRule="auto"/>
        <w:tabs>
          <w:tab w:leader="none" w:pos="130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75"/>
        </w:numPr>
        <w:rPr>
          <w:rFonts w:ascii="Arial" w:cs="Arial" w:eastAsia="Arial" w:hAnsi="Arial"/>
          <w:sz w:val="18"/>
          <w:szCs w:val="18"/>
          <w:color w:val="010000"/>
        </w:rPr>
      </w:pPr>
      <w:r>
        <w:rPr>
          <w:rFonts w:ascii="Arial" w:cs="Arial" w:eastAsia="Arial" w:hAnsi="Arial"/>
          <w:sz w:val="18"/>
          <w:szCs w:val="18"/>
          <w:color w:val="auto"/>
        </w:rPr>
        <w:t>Article 33.7 does not apply.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99" w:name="page100"/>
    <w:bookmarkEnd w:id="99"/>
    <w:p>
      <w:pPr>
        <w:ind w:left="660" w:right="500"/>
        <w:spacing w:after="0" w:line="251" w:lineRule="auto"/>
        <w:rPr>
          <w:sz w:val="20"/>
          <w:szCs w:val="20"/>
          <w:color w:val="auto"/>
        </w:rPr>
      </w:pPr>
      <w:r>
        <w:rPr>
          <w:rFonts w:ascii="Arial" w:cs="Arial" w:eastAsia="Arial" w:hAnsi="Arial"/>
          <w:sz w:val="22"/>
          <w:szCs w:val="22"/>
          <w:color w:val="auto"/>
        </w:rPr>
        <w:t>This Article applies whether the document is sent by or on behalf of the Secretary or Officer in his own right or as a representative of the Company.</w:t>
      </w:r>
    </w:p>
    <w:p>
      <w:pPr>
        <w:spacing w:after="0" w:line="20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33.5</w:t>
      </w:r>
      <w:r>
        <w:rPr>
          <w:sz w:val="20"/>
          <w:szCs w:val="20"/>
          <w:color w:val="auto"/>
        </w:rPr>
        <w:tab/>
      </w:r>
      <w:r>
        <w:rPr>
          <w:rFonts w:ascii="Arial" w:cs="Arial" w:eastAsia="Arial" w:hAnsi="Arial"/>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33.7 applies.</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Manner of signing</w:t>
      </w:r>
    </w:p>
    <w:p>
      <w:pPr>
        <w:spacing w:after="0" w:line="2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010000"/>
        </w:rPr>
        <w:t>33.6</w:t>
      </w:r>
      <w:r>
        <w:rPr>
          <w:sz w:val="20"/>
          <w:szCs w:val="20"/>
          <w:color w:val="auto"/>
        </w:rPr>
        <w:tab/>
      </w:r>
      <w:r>
        <w:rPr>
          <w:rFonts w:ascii="Arial" w:cs="Arial" w:eastAsia="Arial" w:hAnsi="Arial"/>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Saving provision</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33.7</w:t>
      </w:r>
      <w:r>
        <w:rPr>
          <w:sz w:val="20"/>
          <w:szCs w:val="20"/>
          <w:color w:val="auto"/>
        </w:rPr>
        <w:tab/>
      </w:r>
      <w:r>
        <w:rPr>
          <w:rFonts w:ascii="Arial" w:cs="Arial" w:eastAsia="Arial" w:hAnsi="Arial"/>
          <w:sz w:val="16"/>
          <w:szCs w:val="16"/>
          <w:color w:val="auto"/>
        </w:rPr>
        <w:t>A notice, written resolution or other document under these Articles will not be deemed to be authentic if the recipient, acting reasonably:</w:t>
      </w:r>
    </w:p>
    <w:p>
      <w:pPr>
        <w:spacing w:after="0" w:line="252"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believes that the signature of the signatory has been altered after the signatory had signed the original document; or</w:t>
      </w:r>
    </w:p>
    <w:p>
      <w:pPr>
        <w:spacing w:after="0" w:line="252" w:lineRule="exact"/>
        <w:rPr>
          <w:rFonts w:ascii="Arial" w:cs="Arial" w:eastAsia="Arial" w:hAnsi="Arial"/>
          <w:sz w:val="18"/>
          <w:szCs w:val="18"/>
          <w:color w:val="010000"/>
        </w:rPr>
      </w:pPr>
    </w:p>
    <w:p>
      <w:pPr>
        <w:ind w:left="1300" w:right="80" w:hanging="644"/>
        <w:spacing w:after="0" w:line="277" w:lineRule="auto"/>
        <w:tabs>
          <w:tab w:leader="none" w:pos="1300"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believes that the original document, or the Electronic Record of it, was altered, without the approval of the signatory, after the signatory signed the original document; or</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otherwise doubts the authenticity of the Electronic Record of the document</w:t>
      </w:r>
    </w:p>
    <w:p>
      <w:pPr>
        <w:spacing w:after="0" w:line="245" w:lineRule="exact"/>
        <w:rPr>
          <w:sz w:val="20"/>
          <w:szCs w:val="20"/>
          <w:color w:val="auto"/>
        </w:rPr>
      </w:pPr>
    </w:p>
    <w:p>
      <w:pPr>
        <w:ind w:left="660" w:right="400"/>
        <w:spacing w:after="0" w:line="328" w:lineRule="auto"/>
        <w:rPr>
          <w:sz w:val="20"/>
          <w:szCs w:val="20"/>
          <w:color w:val="auto"/>
        </w:rPr>
      </w:pPr>
      <w:r>
        <w:rPr>
          <w:rFonts w:ascii="Arial" w:cs="Arial" w:eastAsia="Arial" w:hAnsi="Arial"/>
          <w:sz w:val="19"/>
          <w:szCs w:val="19"/>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35"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010000"/>
        </w:rPr>
      </w:pPr>
      <w:r>
        <w:rPr>
          <w:rFonts w:ascii="Arial" w:cs="Arial" w:eastAsia="Arial" w:hAnsi="Arial"/>
          <w:sz w:val="18"/>
          <w:szCs w:val="18"/>
          <w:b w:val="1"/>
          <w:bCs w:val="1"/>
          <w:color w:val="auto"/>
        </w:rPr>
        <w:t>Transfer by way of continuation</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34.1</w:t>
      </w:r>
      <w:r>
        <w:rPr>
          <w:sz w:val="20"/>
          <w:szCs w:val="20"/>
          <w:color w:val="auto"/>
        </w:rPr>
        <w:tab/>
      </w:r>
      <w:r>
        <w:rPr>
          <w:rFonts w:ascii="Arial" w:cs="Arial" w:eastAsia="Arial" w:hAnsi="Arial"/>
          <w:sz w:val="16"/>
          <w:szCs w:val="16"/>
          <w:color w:val="auto"/>
        </w:rPr>
        <w:t>The Company may, by Special Resolution, resolve to be registered by way of continuation in a jurisdiction outside:</w:t>
      </w:r>
    </w:p>
    <w:p>
      <w:pPr>
        <w:spacing w:after="0" w:line="252" w:lineRule="exact"/>
        <w:rPr>
          <w:sz w:val="20"/>
          <w:szCs w:val="20"/>
          <w:color w:val="auto"/>
        </w:rPr>
      </w:pPr>
    </w:p>
    <w:p>
      <w:pPr>
        <w:ind w:left="1300" w:hanging="644"/>
        <w:spacing w:after="0"/>
        <w:tabs>
          <w:tab w:leader="none" w:pos="130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the Islands;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78"/>
        </w:numPr>
        <w:rPr>
          <w:rFonts w:ascii="Arial" w:cs="Arial" w:eastAsia="Arial" w:hAnsi="Arial"/>
          <w:sz w:val="18"/>
          <w:szCs w:val="18"/>
          <w:color w:val="010000"/>
        </w:rPr>
      </w:pPr>
      <w:r>
        <w:rPr>
          <w:rFonts w:ascii="Arial" w:cs="Arial" w:eastAsia="Arial" w:hAnsi="Arial"/>
          <w:sz w:val="18"/>
          <w:szCs w:val="18"/>
          <w:color w:val="auto"/>
        </w:rPr>
        <w:t>such other jurisdiction in which it is, for the time being, incorporated, registered or existing.</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34.2</w:t>
      </w:r>
      <w:r>
        <w:rPr>
          <w:sz w:val="20"/>
          <w:szCs w:val="20"/>
          <w:color w:val="auto"/>
        </w:rPr>
        <w:tab/>
      </w:r>
      <w:r>
        <w:rPr>
          <w:rFonts w:ascii="Arial" w:cs="Arial" w:eastAsia="Arial" w:hAnsi="Arial"/>
          <w:sz w:val="16"/>
          <w:szCs w:val="16"/>
          <w:color w:val="auto"/>
        </w:rPr>
        <w:t>To give effect to any resolution made pursuant to the preceding Article, the directors may cause the following:</w:t>
      </w:r>
    </w:p>
    <w:p>
      <w:pPr>
        <w:spacing w:after="0" w:line="252" w:lineRule="exact"/>
        <w:rPr>
          <w:sz w:val="20"/>
          <w:szCs w:val="20"/>
          <w:color w:val="auto"/>
        </w:rPr>
      </w:pPr>
    </w:p>
    <w:p>
      <w:pPr>
        <w:ind w:left="1300" w:right="140" w:hanging="644"/>
        <w:spacing w:after="0" w:line="277" w:lineRule="auto"/>
        <w:tabs>
          <w:tab w:leader="none" w:pos="1300"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an application be made to the Registrar of Companies to deregister the Company in the Islands or in the other jurisdiction in which it is for the time being incorporated, registered or existing;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79"/>
        </w:numPr>
        <w:rPr>
          <w:rFonts w:ascii="Arial" w:cs="Arial" w:eastAsia="Arial" w:hAnsi="Arial"/>
          <w:sz w:val="18"/>
          <w:szCs w:val="18"/>
          <w:color w:val="010000"/>
        </w:rPr>
      </w:pPr>
      <w:r>
        <w:rPr>
          <w:rFonts w:ascii="Arial" w:cs="Arial" w:eastAsia="Arial" w:hAnsi="Arial"/>
          <w:sz w:val="18"/>
          <w:szCs w:val="18"/>
          <w:color w:val="auto"/>
        </w:rPr>
        <w:t>all such further steps as they consider appropriate to be taken to effect the transfer by way of continuation of the Company.</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00" w:name="page101"/>
    <w:bookmarkEnd w:id="100"/>
    <w:p>
      <w:pPr>
        <w:ind w:left="660" w:hanging="652"/>
        <w:spacing w:after="0"/>
        <w:tabs>
          <w:tab w:leader="none" w:pos="660" w:val="left"/>
        </w:tabs>
        <w:numPr>
          <w:ilvl w:val="0"/>
          <w:numId w:val="180"/>
        </w:numPr>
        <w:rPr>
          <w:rFonts w:ascii="Arial" w:cs="Arial" w:eastAsia="Arial" w:hAnsi="Arial"/>
          <w:sz w:val="18"/>
          <w:szCs w:val="18"/>
          <w:b w:val="1"/>
          <w:bCs w:val="1"/>
          <w:color w:val="010000"/>
        </w:rPr>
      </w:pPr>
      <w:r>
        <w:rPr>
          <w:rFonts w:ascii="Arial" w:cs="Arial" w:eastAsia="Arial" w:hAnsi="Arial"/>
          <w:sz w:val="18"/>
          <w:szCs w:val="18"/>
          <w:b w:val="1"/>
          <w:bCs w:val="1"/>
          <w:color w:val="auto"/>
        </w:rPr>
        <w:t>Winding up</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 of assets in specie</w:t>
      </w:r>
    </w:p>
    <w:p>
      <w:pPr>
        <w:spacing w:after="0" w:line="246"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35.1</w:t>
      </w:r>
      <w:r>
        <w:rPr>
          <w:sz w:val="20"/>
          <w:szCs w:val="20"/>
          <w:color w:val="auto"/>
        </w:rPr>
        <w:tab/>
      </w:r>
      <w:r>
        <w:rPr>
          <w:rFonts w:ascii="Arial" w:cs="Arial" w:eastAsia="Arial" w:hAnsi="Arial"/>
          <w:sz w:val="18"/>
          <w:szCs w:val="18"/>
          <w:color w:val="auto"/>
        </w:rPr>
        <w:t>If the Company is wound up, the Members may, subject to these Articles and any other sanction required by the Law, pass a Special Resolution allowing the liquidator to do either or both of the following:</w:t>
      </w:r>
    </w:p>
    <w:p>
      <w:pPr>
        <w:spacing w:after="0" w:line="197" w:lineRule="exact"/>
        <w:rPr>
          <w:sz w:val="20"/>
          <w:szCs w:val="20"/>
          <w:color w:val="auto"/>
        </w:rPr>
      </w:pPr>
    </w:p>
    <w:p>
      <w:pPr>
        <w:ind w:left="1300" w:hanging="644"/>
        <w:spacing w:after="0" w:line="308" w:lineRule="auto"/>
        <w:tabs>
          <w:tab w:leader="none" w:pos="1300" w:val="left"/>
        </w:tabs>
        <w:numPr>
          <w:ilvl w:val="0"/>
          <w:numId w:val="181"/>
        </w:numPr>
        <w:rPr>
          <w:rFonts w:ascii="Arial" w:cs="Arial" w:eastAsia="Arial" w:hAnsi="Arial"/>
          <w:sz w:val="17"/>
          <w:szCs w:val="17"/>
          <w:color w:val="010000"/>
        </w:rPr>
      </w:pPr>
      <w:r>
        <w:rPr>
          <w:rFonts w:ascii="Arial" w:cs="Arial" w:eastAsia="Arial" w:hAnsi="Arial"/>
          <w:sz w:val="17"/>
          <w:szCs w:val="17"/>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173" w:lineRule="exact"/>
        <w:rPr>
          <w:rFonts w:ascii="Arial" w:cs="Arial" w:eastAsia="Arial" w:hAnsi="Arial"/>
          <w:sz w:val="17"/>
          <w:szCs w:val="17"/>
          <w:color w:val="010000"/>
        </w:rPr>
      </w:pPr>
    </w:p>
    <w:p>
      <w:pPr>
        <w:ind w:left="1300" w:hanging="644"/>
        <w:spacing w:after="0"/>
        <w:tabs>
          <w:tab w:leader="none" w:pos="1300" w:val="left"/>
        </w:tabs>
        <w:numPr>
          <w:ilvl w:val="0"/>
          <w:numId w:val="181"/>
        </w:numPr>
        <w:rPr>
          <w:rFonts w:ascii="Arial" w:cs="Arial" w:eastAsia="Arial" w:hAnsi="Arial"/>
          <w:sz w:val="17"/>
          <w:szCs w:val="17"/>
          <w:color w:val="010000"/>
        </w:rPr>
      </w:pPr>
      <w:r>
        <w:rPr>
          <w:rFonts w:ascii="Arial" w:cs="Arial" w:eastAsia="Arial" w:hAnsi="Arial"/>
          <w:sz w:val="17"/>
          <w:szCs w:val="17"/>
          <w:color w:val="auto"/>
        </w:rPr>
        <w:t>to vest the whole or any part of the assets in trustees for the benefit of Members and those liable to contribute to the winding up.</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obligation to accept liability</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35.2</w:t>
      </w:r>
      <w:r>
        <w:rPr>
          <w:sz w:val="20"/>
          <w:szCs w:val="20"/>
          <w:color w:val="auto"/>
        </w:rPr>
        <w:tab/>
      </w:r>
      <w:r>
        <w:rPr>
          <w:rFonts w:ascii="Arial" w:cs="Arial" w:eastAsia="Arial" w:hAnsi="Arial"/>
          <w:sz w:val="16"/>
          <w:szCs w:val="16"/>
          <w:color w:val="auto"/>
        </w:rPr>
        <w:t>No Member shall be compelled to accept any assets if an obligation attaches to them.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directors are authorised to present a winding up petition</w:t>
      </w:r>
    </w:p>
    <w:p>
      <w:pPr>
        <w:spacing w:after="0" w:line="246"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010000"/>
        </w:rPr>
        <w:t>35.3</w:t>
      </w:r>
      <w:r>
        <w:rPr>
          <w:sz w:val="20"/>
          <w:szCs w:val="20"/>
          <w:color w:val="auto"/>
        </w:rPr>
        <w:tab/>
      </w:r>
      <w:r>
        <w:rPr>
          <w:rFonts w:ascii="Arial" w:cs="Arial" w:eastAsia="Arial" w:hAnsi="Arial"/>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93" w:lineRule="exact"/>
        <w:rPr>
          <w:sz w:val="20"/>
          <w:szCs w:val="20"/>
          <w:color w:val="auto"/>
        </w:rPr>
      </w:pPr>
    </w:p>
    <w:p>
      <w:pPr>
        <w:ind w:left="660" w:hanging="652"/>
        <w:spacing w:after="0"/>
        <w:tabs>
          <w:tab w:leader="none" w:pos="660" w:val="left"/>
        </w:tabs>
        <w:numPr>
          <w:ilvl w:val="0"/>
          <w:numId w:val="182"/>
        </w:numPr>
        <w:rPr>
          <w:rFonts w:ascii="Arial" w:cs="Arial" w:eastAsia="Arial" w:hAnsi="Arial"/>
          <w:sz w:val="18"/>
          <w:szCs w:val="18"/>
          <w:b w:val="1"/>
          <w:bCs w:val="1"/>
          <w:color w:val="010000"/>
        </w:rPr>
      </w:pPr>
      <w:r>
        <w:rPr>
          <w:rFonts w:ascii="Arial" w:cs="Arial" w:eastAsia="Arial" w:hAnsi="Arial"/>
          <w:sz w:val="18"/>
          <w:szCs w:val="18"/>
          <w:b w:val="1"/>
          <w:bCs w:val="1"/>
          <w:color w:val="auto"/>
        </w:rPr>
        <w:t>Amendment of Memorandum and Articles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change name or amend Memorandum</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36.1</w:t>
      </w:r>
      <w:r>
        <w:rPr>
          <w:sz w:val="20"/>
          <w:szCs w:val="20"/>
          <w:color w:val="auto"/>
        </w:rPr>
        <w:tab/>
      </w:r>
      <w:r>
        <w:rPr>
          <w:rFonts w:ascii="Arial" w:cs="Arial" w:eastAsia="Arial" w:hAnsi="Arial"/>
          <w:sz w:val="16"/>
          <w:szCs w:val="16"/>
          <w:color w:val="auto"/>
        </w:rPr>
        <w:t>Subject to the Law, the Company may, by Special Resolution:</w:t>
      </w:r>
    </w:p>
    <w:p>
      <w:pPr>
        <w:spacing w:after="0" w:line="252" w:lineRule="exact"/>
        <w:rPr>
          <w:sz w:val="20"/>
          <w:szCs w:val="20"/>
          <w:color w:val="auto"/>
        </w:rPr>
      </w:pPr>
    </w:p>
    <w:p>
      <w:pPr>
        <w:ind w:left="1300" w:hanging="644"/>
        <w:spacing w:after="0"/>
        <w:tabs>
          <w:tab w:leader="none" w:pos="1300" w:val="left"/>
        </w:tabs>
        <w:numPr>
          <w:ilvl w:val="0"/>
          <w:numId w:val="183"/>
        </w:numPr>
        <w:rPr>
          <w:rFonts w:ascii="Arial" w:cs="Arial" w:eastAsia="Arial" w:hAnsi="Arial"/>
          <w:sz w:val="18"/>
          <w:szCs w:val="18"/>
          <w:color w:val="010000"/>
        </w:rPr>
      </w:pPr>
      <w:r>
        <w:rPr>
          <w:rFonts w:ascii="Arial" w:cs="Arial" w:eastAsia="Arial" w:hAnsi="Arial"/>
          <w:sz w:val="18"/>
          <w:szCs w:val="18"/>
          <w:color w:val="auto"/>
        </w:rPr>
        <w:t>change its name;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83"/>
        </w:numPr>
        <w:rPr>
          <w:rFonts w:ascii="Arial" w:cs="Arial" w:eastAsia="Arial" w:hAnsi="Arial"/>
          <w:sz w:val="17"/>
          <w:szCs w:val="17"/>
          <w:color w:val="010000"/>
        </w:rPr>
      </w:pPr>
      <w:r>
        <w:rPr>
          <w:rFonts w:ascii="Arial" w:cs="Arial" w:eastAsia="Arial" w:hAnsi="Arial"/>
          <w:sz w:val="17"/>
          <w:szCs w:val="17"/>
          <w:color w:val="auto"/>
        </w:rPr>
        <w:t>change the provisions of its Memorandum with respect to its objects, powers or any other matter specified in the Memorandum.</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Power to amend these Articles</w:t>
      </w:r>
    </w:p>
    <w:p>
      <w:pPr>
        <w:spacing w:after="0" w:line="2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36.2</w:t>
      </w:r>
      <w:r>
        <w:rPr>
          <w:sz w:val="20"/>
          <w:szCs w:val="20"/>
          <w:color w:val="auto"/>
        </w:rPr>
        <w:tab/>
      </w:r>
      <w:r>
        <w:rPr>
          <w:rFonts w:ascii="Arial" w:cs="Arial" w:eastAsia="Arial" w:hAnsi="Arial"/>
          <w:sz w:val="16"/>
          <w:szCs w:val="16"/>
          <w:color w:val="auto"/>
        </w:rPr>
        <w:t>Subject to the Law and as provided in these Articles, the Company may, by Special Resolution, amend these Articles in whole or in part.</w:t>
      </w:r>
    </w:p>
    <w:p>
      <w:pPr>
        <w:spacing w:after="0" w:line="248"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b w:val="1"/>
          <w:bCs w:val="1"/>
          <w:color w:val="010000"/>
        </w:rPr>
      </w:pPr>
      <w:r>
        <w:rPr>
          <w:rFonts w:ascii="Arial" w:cs="Arial" w:eastAsia="Arial" w:hAnsi="Arial"/>
          <w:sz w:val="18"/>
          <w:szCs w:val="18"/>
          <w:b w:val="1"/>
          <w:bCs w:val="1"/>
          <w:color w:val="auto"/>
        </w:rPr>
        <w:t>Mergers and Consolidations</w:t>
      </w:r>
    </w:p>
    <w:p>
      <w:pPr>
        <w:spacing w:after="0" w:line="249" w:lineRule="exact"/>
        <w:rPr>
          <w:sz w:val="20"/>
          <w:szCs w:val="20"/>
          <w:color w:val="auto"/>
        </w:rPr>
      </w:pPr>
    </w:p>
    <w:p>
      <w:pPr>
        <w:ind w:left="660" w:right="260"/>
        <w:spacing w:after="0"/>
        <w:rPr>
          <w:sz w:val="20"/>
          <w:szCs w:val="20"/>
          <w:color w:val="auto"/>
        </w:rPr>
      </w:pPr>
      <w:r>
        <w:rPr>
          <w:rFonts w:ascii="Arial" w:cs="Arial" w:eastAsia="Arial" w:hAnsi="Arial"/>
          <w:sz w:val="22"/>
          <w:szCs w:val="22"/>
          <w:color w:val="auto"/>
        </w:rPr>
        <w:t>The Company shall have the power to merge or consolidate with one or more constituent companies (as defined in the Law) upon such terms as the directors may determine and (to the extent required by the Law) with the approval of a Special Resolution.</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101" w:name="page102"/>
    <w:bookmarkEnd w:id="101"/>
    <w:p>
      <w:pPr>
        <w:ind w:left="660" w:hanging="652"/>
        <w:spacing w:after="0"/>
        <w:tabs>
          <w:tab w:leader="none" w:pos="660" w:val="left"/>
        </w:tabs>
        <w:numPr>
          <w:ilvl w:val="0"/>
          <w:numId w:val="185"/>
        </w:numPr>
        <w:rPr>
          <w:rFonts w:ascii="Arial" w:cs="Arial" w:eastAsia="Arial" w:hAnsi="Arial"/>
          <w:sz w:val="18"/>
          <w:szCs w:val="18"/>
          <w:b w:val="1"/>
          <w:bCs w:val="1"/>
          <w:color w:val="010000"/>
        </w:rPr>
      </w:pPr>
      <w:r>
        <w:rPr>
          <w:rFonts w:ascii="Arial" w:cs="Arial" w:eastAsia="Arial" w:hAnsi="Arial"/>
          <w:sz w:val="18"/>
          <w:szCs w:val="18"/>
          <w:b w:val="1"/>
          <w:bCs w:val="1"/>
          <w:color w:val="auto"/>
        </w:rPr>
        <w:t>Business Combination</w:t>
      </w:r>
    </w:p>
    <w:p>
      <w:pPr>
        <w:spacing w:after="0" w:line="256" w:lineRule="exact"/>
        <w:rPr>
          <w:sz w:val="20"/>
          <w:szCs w:val="20"/>
          <w:color w:val="auto"/>
        </w:rPr>
      </w:pPr>
    </w:p>
    <w:p>
      <w:pPr>
        <w:ind w:left="660" w:right="200" w:hanging="647"/>
        <w:spacing w:after="0" w:line="279" w:lineRule="auto"/>
        <w:tabs>
          <w:tab w:leader="none" w:pos="640" w:val="left"/>
        </w:tabs>
        <w:rPr>
          <w:sz w:val="20"/>
          <w:szCs w:val="20"/>
          <w:color w:val="auto"/>
        </w:rPr>
      </w:pPr>
      <w:r>
        <w:rPr>
          <w:rFonts w:ascii="Arial" w:cs="Arial" w:eastAsia="Arial" w:hAnsi="Arial"/>
          <w:sz w:val="18"/>
          <w:szCs w:val="18"/>
          <w:color w:val="010000"/>
        </w:rPr>
        <w:t>38.1</w:t>
      </w:r>
      <w:r>
        <w:rPr>
          <w:sz w:val="20"/>
          <w:szCs w:val="20"/>
          <w:color w:val="auto"/>
        </w:rPr>
        <w:tab/>
      </w:r>
      <w:r>
        <w:rPr>
          <w:rFonts w:ascii="Arial" w:cs="Arial" w:eastAsia="Arial" w:hAnsi="Arial"/>
          <w:sz w:val="17"/>
          <w:szCs w:val="17"/>
          <w:color w:val="auto"/>
        </w:rPr>
        <w:t>Notwithstanding any other provision of the Articles, this Article 38 shall apply during the period commencing upon the adoption of the Articles and terminating upon the first to occur of the consummation of any Business Combination and the distribution of the Trust Account pursuant to Article 38.10. In the event of a conflict between this Article 38 and any other Articles, the provisions of this Article 38 shall prevail and this Article may not be amended prior to the consummation of a Business Combination without a Special Resolution.</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38.2</w:t>
      </w:r>
      <w:r>
        <w:rPr>
          <w:sz w:val="20"/>
          <w:szCs w:val="20"/>
          <w:color w:val="auto"/>
        </w:rPr>
        <w:tab/>
      </w:r>
      <w:r>
        <w:rPr>
          <w:rFonts w:ascii="Arial" w:cs="Arial" w:eastAsia="Arial" w:hAnsi="Arial"/>
          <w:sz w:val="16"/>
          <w:szCs w:val="16"/>
          <w:color w:val="auto"/>
        </w:rPr>
        <w:t>Prior to the consummation of any Business Combination, the Company shall either:</w:t>
      </w:r>
    </w:p>
    <w:p>
      <w:pPr>
        <w:spacing w:after="0" w:line="252" w:lineRule="exact"/>
        <w:rPr>
          <w:sz w:val="20"/>
          <w:szCs w:val="20"/>
          <w:color w:val="auto"/>
        </w:rPr>
      </w:pPr>
    </w:p>
    <w:p>
      <w:pPr>
        <w:ind w:left="1300" w:hanging="644"/>
        <w:spacing w:after="0"/>
        <w:tabs>
          <w:tab w:leader="none" w:pos="130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submit such Business Combination to its Members for approval; or</w:t>
      </w:r>
    </w:p>
    <w:p>
      <w:pPr>
        <w:spacing w:after="0" w:line="248" w:lineRule="exact"/>
        <w:rPr>
          <w:rFonts w:ascii="Arial" w:cs="Arial" w:eastAsia="Arial" w:hAnsi="Arial"/>
          <w:sz w:val="18"/>
          <w:szCs w:val="18"/>
          <w:color w:val="010000"/>
        </w:rPr>
      </w:pPr>
    </w:p>
    <w:p>
      <w:pPr>
        <w:ind w:left="1300" w:hanging="644"/>
        <w:spacing w:after="0" w:line="256" w:lineRule="auto"/>
        <w:tabs>
          <w:tab w:leader="none" w:pos="1300" w:val="left"/>
        </w:tabs>
        <w:numPr>
          <w:ilvl w:val="0"/>
          <w:numId w:val="186"/>
        </w:numPr>
        <w:rPr>
          <w:rFonts w:ascii="Arial" w:cs="Arial" w:eastAsia="Arial" w:hAnsi="Arial"/>
          <w:sz w:val="18"/>
          <w:szCs w:val="18"/>
          <w:color w:val="010000"/>
        </w:rPr>
      </w:pPr>
      <w:r>
        <w:rPr>
          <w:rFonts w:ascii="Arial" w:cs="Arial" w:eastAsia="Arial" w:hAnsi="Arial"/>
          <w:sz w:val="18"/>
          <w:szCs w:val="18"/>
          <w:color w:val="auto"/>
        </w:rPr>
        <w:t xml:space="preserve">provide Members with the opportunity to have their Shares repurchased by means of a tender offer (a </w:t>
      </w:r>
      <w:r>
        <w:rPr>
          <w:rFonts w:ascii="Arial" w:cs="Arial" w:eastAsia="Arial" w:hAnsi="Arial"/>
          <w:sz w:val="18"/>
          <w:szCs w:val="18"/>
          <w:b w:val="1"/>
          <w:bCs w:val="1"/>
          <w:color w:val="auto"/>
        </w:rPr>
        <w:t>Tender Offer</w:t>
      </w:r>
      <w:r>
        <w:rPr>
          <w:rFonts w:ascii="Arial" w:cs="Arial" w:eastAsia="Arial" w:hAnsi="Arial"/>
          <w:sz w:val="18"/>
          <w:szCs w:val="18"/>
          <w:color w:val="auto"/>
        </w:rPr>
        <w:t>) for a per-Share repurchase price payable in cash, equal to the aggregate amount then on deposit in the Trust Account, calculated as of two business days prior to the consummation of such Business Combination, including interest earned on the funds held in the Trust Account not previously released to the Company to pay its income taxes, if any, divided by the number of then-outstanding Public Shares in issue, provided that the Company shall not repurchase Public Shares in an amount that would cause the Company’s net tangible assets to be less than US$5,000,001.</w:t>
      </w:r>
    </w:p>
    <w:p>
      <w:pPr>
        <w:spacing w:after="0" w:line="218" w:lineRule="exact"/>
        <w:rPr>
          <w:sz w:val="20"/>
          <w:szCs w:val="20"/>
          <w:color w:val="auto"/>
        </w:rPr>
      </w:pPr>
    </w:p>
    <w:p>
      <w:pPr>
        <w:jc w:val="both"/>
        <w:ind w:left="660" w:right="20" w:hanging="647"/>
        <w:spacing w:after="0" w:line="259" w:lineRule="auto"/>
        <w:tabs>
          <w:tab w:leader="none" w:pos="640" w:val="left"/>
        </w:tabs>
        <w:rPr>
          <w:sz w:val="20"/>
          <w:szCs w:val="20"/>
          <w:color w:val="auto"/>
        </w:rPr>
      </w:pPr>
      <w:r>
        <w:rPr>
          <w:rFonts w:ascii="Arial" w:cs="Arial" w:eastAsia="Arial" w:hAnsi="Arial"/>
          <w:sz w:val="18"/>
          <w:szCs w:val="18"/>
          <w:color w:val="010000"/>
        </w:rPr>
        <w:t>38.3</w:t>
      </w:r>
      <w:r>
        <w:rPr>
          <w:sz w:val="20"/>
          <w:szCs w:val="20"/>
          <w:color w:val="auto"/>
        </w:rPr>
        <w:tab/>
      </w:r>
      <w:r>
        <w:rPr>
          <w:rFonts w:ascii="Arial" w:cs="Arial" w:eastAsia="Arial" w:hAnsi="Arial"/>
          <w:sz w:val="18"/>
          <w:szCs w:val="18"/>
          <w:color w:val="auto"/>
        </w:rPr>
        <w:t>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spacing w:after="0" w:line="214"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010000"/>
        </w:rPr>
        <w:t>38.4</w:t>
      </w:r>
      <w:r>
        <w:rPr>
          <w:sz w:val="20"/>
          <w:szCs w:val="20"/>
          <w:color w:val="auto"/>
        </w:rPr>
        <w:tab/>
      </w:r>
      <w:r>
        <w:rPr>
          <w:rFonts w:ascii="Arial" w:cs="Arial" w:eastAsia="Arial" w:hAnsi="Arial"/>
          <w:sz w:val="18"/>
          <w:szCs w:val="18"/>
          <w:color w:val="auto"/>
        </w:rPr>
        <w:t>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spacing w:after="0" w:line="211"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010000"/>
        </w:rPr>
        <w:t>38.5</w:t>
      </w:r>
      <w:r>
        <w:rPr>
          <w:sz w:val="20"/>
          <w:szCs w:val="20"/>
          <w:color w:val="auto"/>
        </w:rPr>
        <w:tab/>
      </w:r>
      <w:r>
        <w:rPr>
          <w:rFonts w:ascii="Arial" w:cs="Arial" w:eastAsia="Arial" w:hAnsi="Arial"/>
          <w:sz w:val="18"/>
          <w:szCs w:val="18"/>
          <w:color w:val="auto"/>
        </w:rPr>
        <w:t>At a general meeting called for the purposes of approving a Business Combination pursuant to this Article, in the event that a majority of the Shares, represented in person or by proxy and entitled to vote thereon, voted at a shareholder meeting are voted for the approval of such Business Combination, the Company shall be authorised to consummate such Business Combination.</w:t>
      </w:r>
    </w:p>
    <w:p>
      <w:pPr>
        <w:spacing w:after="0" w:line="211" w:lineRule="exact"/>
        <w:rPr>
          <w:sz w:val="20"/>
          <w:szCs w:val="20"/>
          <w:color w:val="auto"/>
        </w:rPr>
      </w:pPr>
    </w:p>
    <w:p>
      <w:pPr>
        <w:ind w:left="660" w:hanging="647"/>
        <w:spacing w:after="0" w:line="286" w:lineRule="auto"/>
        <w:tabs>
          <w:tab w:leader="none" w:pos="640" w:val="left"/>
        </w:tabs>
        <w:rPr>
          <w:sz w:val="20"/>
          <w:szCs w:val="20"/>
          <w:color w:val="auto"/>
        </w:rPr>
      </w:pPr>
      <w:r>
        <w:rPr>
          <w:rFonts w:ascii="Arial" w:cs="Arial" w:eastAsia="Arial" w:hAnsi="Arial"/>
          <w:sz w:val="18"/>
          <w:szCs w:val="18"/>
          <w:color w:val="010000"/>
        </w:rPr>
        <w:t>38.6</w:t>
      </w:r>
      <w:r>
        <w:rPr>
          <w:sz w:val="20"/>
          <w:szCs w:val="20"/>
          <w:color w:val="auto"/>
        </w:rPr>
        <w:tab/>
      </w:r>
      <w:r>
        <w:rPr>
          <w:rFonts w:ascii="Arial" w:cs="Arial" w:eastAsia="Arial" w:hAnsi="Arial"/>
          <w:sz w:val="16"/>
          <w:szCs w:val="16"/>
          <w:color w:val="auto"/>
        </w:rPr>
        <w:t xml:space="preserve">Any Member holding Public Shares who is not a Founder, officer or director may, contemporaneously with any vote on a Business Combination, elect to have their Public Shares redeemed for cash (the </w:t>
      </w:r>
      <w:r>
        <w:rPr>
          <w:rFonts w:ascii="Arial" w:cs="Arial" w:eastAsia="Arial" w:hAnsi="Arial"/>
          <w:sz w:val="16"/>
          <w:szCs w:val="16"/>
          <w:b w:val="1"/>
          <w:bCs w:val="1"/>
          <w:color w:val="auto"/>
        </w:rPr>
        <w:t>IPO Redemption</w:t>
      </w:r>
      <w:r>
        <w:rPr>
          <w:rFonts w:ascii="Arial" w:cs="Arial" w:eastAsia="Arial" w:hAnsi="Arial"/>
          <w:sz w:val="16"/>
          <w:szCs w:val="16"/>
          <w:color w:val="auto"/>
        </w:rPr>
        <w:t xml:space="preserve">), provided that no such Member acting together with any affiliate of his or any other person with whom he is acting in concert or as a partnership, syndicate, or other group for the purposes of acquiring, holding, or disposing of Shares may exercise this redemption right with respect to more than 15% of the Public Shares without the Company’s prior consent, and provided further that any holder that holds Public Shares beneficially through a nominee must identify itself to the Company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Company shall pay any such redeeming Member, regardless of whether he is voting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Company to pay its income taxes, if any, divided by the number of then-outstanding Public Shares in issue (such redemption price being referred to herein as the </w:t>
      </w:r>
      <w:r>
        <w:rPr>
          <w:rFonts w:ascii="Arial" w:cs="Arial" w:eastAsia="Arial" w:hAnsi="Arial"/>
          <w:sz w:val="16"/>
          <w:szCs w:val="16"/>
          <w:b w:val="1"/>
          <w:bCs w:val="1"/>
          <w:color w:val="auto"/>
        </w:rPr>
        <w:t>Redemption Price</w:t>
      </w:r>
      <w:r>
        <w:rPr>
          <w:rFonts w:ascii="Arial" w:cs="Arial" w:eastAsia="Arial" w:hAnsi="Arial"/>
          <w:sz w:val="16"/>
          <w:szCs w:val="16"/>
          <w:color w:val="auto"/>
        </w:rPr>
        <w:t>), provided that the Company shall not repurchase Public Shares in an amount that would cause the Company’s net tangible assets to be less than US$5,000,001.</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ind w:left="660" w:right="200" w:hanging="647"/>
        <w:spacing w:after="0" w:line="263" w:lineRule="auto"/>
        <w:tabs>
          <w:tab w:leader="none" w:pos="640" w:val="left"/>
        </w:tabs>
        <w:rPr>
          <w:sz w:val="20"/>
          <w:szCs w:val="20"/>
          <w:color w:val="auto"/>
        </w:rPr>
      </w:pPr>
      <w:r>
        <w:rPr>
          <w:rFonts w:ascii="Arial" w:cs="Arial" w:eastAsia="Arial" w:hAnsi="Arial"/>
          <w:sz w:val="18"/>
          <w:szCs w:val="18"/>
          <w:color w:val="010000"/>
        </w:rPr>
        <w:t>38.7</w:t>
      </w:r>
      <w:r>
        <w:rPr>
          <w:sz w:val="20"/>
          <w:szCs w:val="20"/>
          <w:color w:val="auto"/>
        </w:rPr>
        <w:tab/>
      </w:r>
      <w:r>
        <w:rPr>
          <w:rFonts w:ascii="Arial" w:cs="Arial" w:eastAsia="Arial" w:hAnsi="Arial"/>
          <w:sz w:val="18"/>
          <w:szCs w:val="18"/>
          <w:color w:val="auto"/>
        </w:rPr>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Members as appropriate.</w:t>
      </w:r>
    </w:p>
    <w:p>
      <w:pPr>
        <w:spacing w:after="0" w:line="211" w:lineRule="exact"/>
        <w:rPr>
          <w:sz w:val="20"/>
          <w:szCs w:val="20"/>
          <w:color w:val="auto"/>
        </w:rPr>
      </w:pPr>
    </w:p>
    <w:p>
      <w:pPr>
        <w:ind w:left="660" w:right="40" w:hanging="647"/>
        <w:spacing w:after="0" w:line="268" w:lineRule="auto"/>
        <w:tabs>
          <w:tab w:leader="none" w:pos="640" w:val="left"/>
        </w:tabs>
        <w:rPr>
          <w:sz w:val="20"/>
          <w:szCs w:val="20"/>
          <w:color w:val="auto"/>
        </w:rPr>
      </w:pPr>
      <w:r>
        <w:rPr>
          <w:rFonts w:ascii="Arial" w:cs="Arial" w:eastAsia="Arial" w:hAnsi="Arial"/>
          <w:sz w:val="18"/>
          <w:szCs w:val="18"/>
          <w:color w:val="010000"/>
        </w:rPr>
        <w:t>38.8</w:t>
      </w:r>
      <w:r>
        <w:rPr>
          <w:sz w:val="20"/>
          <w:szCs w:val="20"/>
          <w:color w:val="auto"/>
        </w:rPr>
        <w:tab/>
      </w:r>
      <w:r>
        <w:rPr>
          <w:rFonts w:ascii="Arial" w:cs="Arial" w:eastAsia="Arial" w:hAnsi="Arial"/>
          <w:sz w:val="17"/>
          <w:szCs w:val="17"/>
          <w:color w:val="auto"/>
        </w:rPr>
        <w:t>In the event that the Company does not consummate a Business Combination by twenty-four months after the closing of the IPO, or such later time as the Members of the Company may approve in accordance with the Articles,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income taxes, if any (less up to US$100,000 of interest to pay dissolution expenses), divided by the number of the then-outstanding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in the case of sub-articles (ii) and (iii), to its obligations under Cayman Islands law to provide for claims of creditors and in all cases subject to the other requirements of applicable law. If the Company shall wind up for any other reason prior to the consummation of a Business Combination, the Company shall, as promptly as reasonably possible but not more than ten business days thereafter, follow the foregoing procedures set out in this Article 38.8 with respect to the liquidation of the Trust Account, subject to its obligations under Cayman Islands law to provide for claims of creditors and in all cases subject to the other requirements of applicable law.</w:t>
      </w:r>
    </w:p>
    <w:p>
      <w:pPr>
        <w:spacing w:after="0" w:line="21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38.9</w:t>
      </w:r>
      <w:r>
        <w:rPr>
          <w:sz w:val="20"/>
          <w:szCs w:val="20"/>
          <w:color w:val="auto"/>
        </w:rPr>
        <w:tab/>
      </w:r>
      <w:r>
        <w:rPr>
          <w:rFonts w:ascii="Arial" w:cs="Arial" w:eastAsia="Arial" w:hAnsi="Arial"/>
          <w:sz w:val="16"/>
          <w:szCs w:val="16"/>
          <w:color w:val="auto"/>
        </w:rPr>
        <w:t>In the event that any amendment is made to these Articles:</w:t>
      </w:r>
    </w:p>
    <w:p>
      <w:pPr>
        <w:spacing w:after="0" w:line="252" w:lineRule="exact"/>
        <w:rPr>
          <w:sz w:val="20"/>
          <w:szCs w:val="20"/>
          <w:color w:val="auto"/>
        </w:rPr>
      </w:pPr>
    </w:p>
    <w:p>
      <w:pPr>
        <w:ind w:left="1300" w:hanging="644"/>
        <w:spacing w:after="0"/>
        <w:tabs>
          <w:tab w:leader="none" w:pos="1300"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that would modify the substance or timing of the Company’s obligation to provide holders of Public Shares the right to:</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87"/>
        </w:numPr>
        <w:rPr>
          <w:rFonts w:ascii="Arial" w:cs="Arial" w:eastAsia="Arial" w:hAnsi="Arial"/>
          <w:sz w:val="16"/>
          <w:szCs w:val="16"/>
          <w:color w:val="010000"/>
        </w:rPr>
      </w:pPr>
      <w:r>
        <w:rPr>
          <w:rFonts w:ascii="Arial" w:cs="Arial" w:eastAsia="Arial" w:hAnsi="Arial"/>
          <w:sz w:val="16"/>
          <w:szCs w:val="16"/>
          <w:color w:val="auto"/>
        </w:rPr>
        <w:t>have their shares redeemed or repurchased in connection with a Business Combination pursuant to Articles 38.2(b) or 38.6; or</w:t>
      </w:r>
    </w:p>
    <w:p>
      <w:pPr>
        <w:spacing w:after="0" w:line="275" w:lineRule="exact"/>
        <w:rPr>
          <w:rFonts w:ascii="Arial" w:cs="Arial" w:eastAsia="Arial" w:hAnsi="Arial"/>
          <w:sz w:val="16"/>
          <w:szCs w:val="16"/>
          <w:color w:val="010000"/>
        </w:rPr>
      </w:pPr>
    </w:p>
    <w:p>
      <w:pPr>
        <w:ind w:left="1960" w:right="280" w:hanging="656"/>
        <w:spacing w:after="0" w:line="277" w:lineRule="auto"/>
        <w:tabs>
          <w:tab w:leader="none" w:pos="1960" w:val="left"/>
        </w:tabs>
        <w:numPr>
          <w:ilvl w:val="1"/>
          <w:numId w:val="187"/>
        </w:numPr>
        <w:rPr>
          <w:rFonts w:ascii="Arial" w:cs="Arial" w:eastAsia="Arial" w:hAnsi="Arial"/>
          <w:sz w:val="18"/>
          <w:szCs w:val="18"/>
          <w:color w:val="010000"/>
        </w:rPr>
      </w:pPr>
      <w:r>
        <w:rPr>
          <w:rFonts w:ascii="Arial" w:cs="Arial" w:eastAsia="Arial" w:hAnsi="Arial"/>
          <w:sz w:val="18"/>
          <w:szCs w:val="18"/>
          <w:color w:val="auto"/>
        </w:rPr>
        <w:t>redeem 100% of the Public Shares if the Company has not consummated an initial Business Combination within twenty-four months after the date of the closing of the IPO pursuant to Article 38.8; or</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87"/>
        </w:numPr>
        <w:rPr>
          <w:rFonts w:ascii="Arial" w:cs="Arial" w:eastAsia="Arial" w:hAnsi="Arial"/>
          <w:sz w:val="18"/>
          <w:szCs w:val="18"/>
          <w:color w:val="010000"/>
        </w:rPr>
      </w:pPr>
      <w:r>
        <w:rPr>
          <w:rFonts w:ascii="Arial" w:cs="Arial" w:eastAsia="Arial" w:hAnsi="Arial"/>
          <w:sz w:val="18"/>
          <w:szCs w:val="18"/>
          <w:color w:val="auto"/>
        </w:rPr>
        <w:t>with respect to any other provision relating to the rights of holders of Public Shares,</w:t>
      </w:r>
    </w:p>
    <w:p>
      <w:pPr>
        <w:spacing w:after="0" w:line="245" w:lineRule="exact"/>
        <w:rPr>
          <w:sz w:val="20"/>
          <w:szCs w:val="20"/>
          <w:color w:val="auto"/>
        </w:rPr>
      </w:pPr>
    </w:p>
    <w:p>
      <w:pPr>
        <w:jc w:val="both"/>
        <w:ind w:left="660"/>
        <w:spacing w:after="0" w:line="236" w:lineRule="auto"/>
        <w:rPr>
          <w:sz w:val="20"/>
          <w:szCs w:val="20"/>
          <w:color w:val="auto"/>
        </w:rPr>
      </w:pPr>
      <w:r>
        <w:rPr>
          <w:rFonts w:ascii="Arial" w:cs="Arial" w:eastAsia="Arial" w:hAnsi="Arial"/>
          <w:sz w:val="22"/>
          <w:szCs w:val="22"/>
          <w:color w:val="auto"/>
        </w:rPr>
        <w:t xml:space="preserve">each holder of Public Shares who is not a Founder, officer or director shall be provided with the opportunity to redeem their Public Shares upon the approval of any such amendment (an </w:t>
      </w:r>
      <w:r>
        <w:rPr>
          <w:rFonts w:ascii="Arial" w:cs="Arial" w:eastAsia="Arial" w:hAnsi="Arial"/>
          <w:sz w:val="22"/>
          <w:szCs w:val="22"/>
          <w:b w:val="1"/>
          <w:bCs w:val="1"/>
          <w:color w:val="auto"/>
        </w:rPr>
        <w:t>Amendment Redemption</w:t>
      </w:r>
      <w:r>
        <w:rPr>
          <w:rFonts w:ascii="Arial" w:cs="Arial" w:eastAsia="Arial" w:hAnsi="Arial"/>
          <w:sz w:val="22"/>
          <w:szCs w:val="22"/>
          <w:color w:val="auto"/>
        </w:rPr>
        <w:t>) at a per-Share price, payable in cash, equal to the aggregate amount then on deposit in the Trust Account, including interest earned on the funds held in the Trust Account not previously released to the Company to pay income taxes, if any, divided by the number of then-outstanding Public Shares in issue.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010000"/>
        </w:rPr>
        <w:t>38.10</w:t>
      </w:r>
      <w:r>
        <w:rPr>
          <w:rFonts w:ascii="Arial" w:cs="Arial" w:eastAsia="Arial" w:hAnsi="Arial"/>
          <w:sz w:val="18"/>
          <w:szCs w:val="18"/>
          <w:color w:val="auto"/>
        </w:rPr>
        <w:tab/>
        <w:t>Except for the withdrawal of interest to pay income taxes, if any, none of the funds held in the Trust Account shall be released from the Trust Account:</w:t>
      </w:r>
    </w:p>
    <w:p>
      <w:pPr>
        <w:spacing w:after="0" w:line="197"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010000"/>
        </w:rPr>
      </w:pPr>
      <w:r>
        <w:rPr>
          <w:rFonts w:ascii="Arial" w:cs="Arial" w:eastAsia="Arial" w:hAnsi="Arial"/>
          <w:sz w:val="18"/>
          <w:szCs w:val="18"/>
          <w:color w:val="auto"/>
        </w:rPr>
        <w:t>to the Company, until completion of any Business Combination;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88"/>
        </w:numPr>
        <w:rPr>
          <w:rFonts w:ascii="Arial" w:cs="Arial" w:eastAsia="Arial" w:hAnsi="Arial"/>
          <w:sz w:val="18"/>
          <w:szCs w:val="18"/>
          <w:color w:val="010000"/>
        </w:rPr>
      </w:pPr>
      <w:r>
        <w:rPr>
          <w:rFonts w:ascii="Arial" w:cs="Arial" w:eastAsia="Arial" w:hAnsi="Arial"/>
          <w:sz w:val="18"/>
          <w:szCs w:val="18"/>
          <w:color w:val="auto"/>
        </w:rPr>
        <w:t>to the Members holding Public Shares, until the earliest of:</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a repurchase of Shares by means of a Tender Offer pursuant to Article 38.2(b);</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an IPO Redemption pursuant to Article 38.6;</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a distribution of the Trust Account pursuant to Article 38.8; or</w:t>
      </w:r>
    </w:p>
    <w:p>
      <w:pPr>
        <w:spacing w:after="0" w:line="252" w:lineRule="exact"/>
        <w:rPr>
          <w:rFonts w:ascii="Arial" w:cs="Arial" w:eastAsia="Arial" w:hAnsi="Arial"/>
          <w:sz w:val="18"/>
          <w:szCs w:val="18"/>
          <w:color w:val="010000"/>
        </w:rPr>
      </w:pPr>
    </w:p>
    <w:p>
      <w:pPr>
        <w:ind w:left="1960" w:hanging="656"/>
        <w:spacing w:after="0"/>
        <w:tabs>
          <w:tab w:leader="none" w:pos="1960"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an Amendment Redemption pursuant to Article 38.9.</w:t>
      </w:r>
    </w:p>
    <w:p>
      <w:pPr>
        <w:spacing w:after="0" w:line="245" w:lineRule="exact"/>
        <w:rPr>
          <w:sz w:val="20"/>
          <w:szCs w:val="20"/>
          <w:color w:val="auto"/>
        </w:rPr>
      </w:pPr>
    </w:p>
    <w:p>
      <w:pPr>
        <w:ind w:left="1300"/>
        <w:spacing w:after="0" w:line="250" w:lineRule="auto"/>
        <w:rPr>
          <w:sz w:val="20"/>
          <w:szCs w:val="20"/>
          <w:color w:val="auto"/>
        </w:rPr>
      </w:pPr>
      <w:r>
        <w:rPr>
          <w:rFonts w:ascii="Arial" w:cs="Arial" w:eastAsia="Arial" w:hAnsi="Arial"/>
          <w:sz w:val="22"/>
          <w:szCs w:val="22"/>
          <w:color w:val="auto"/>
        </w:rPr>
        <w:t>In no other circumstance shall a holder of Public Shares have any right or interest of any kind in the Trust Account.</w:t>
      </w:r>
    </w:p>
    <w:p>
      <w:pPr>
        <w:spacing w:after="0" w:line="209"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010000"/>
        </w:rPr>
        <w:t>38.11</w:t>
      </w:r>
      <w:r>
        <w:rPr>
          <w:rFonts w:ascii="Arial" w:cs="Arial" w:eastAsia="Arial" w:hAnsi="Arial"/>
          <w:sz w:val="18"/>
          <w:szCs w:val="18"/>
          <w:color w:val="auto"/>
        </w:rPr>
        <w:tab/>
        <w:t>After the issue of Public Shares (including pursuant to the Over-allotment Option), and prior to the consummation of a Business Combination, the directors shall not issue additional Shares or any other securities that would entitle the holders thereof to:</w:t>
      </w:r>
    </w:p>
    <w:p>
      <w:pPr>
        <w:spacing w:after="0" w:line="197" w:lineRule="exact"/>
        <w:rPr>
          <w:sz w:val="20"/>
          <w:szCs w:val="20"/>
          <w:color w:val="auto"/>
        </w:rPr>
      </w:pPr>
    </w:p>
    <w:p>
      <w:pPr>
        <w:ind w:left="1300" w:hanging="644"/>
        <w:spacing w:after="0"/>
        <w:tabs>
          <w:tab w:leader="none" w:pos="1300"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receive funds from the Trust Account; or</w:t>
      </w:r>
    </w:p>
    <w:p>
      <w:pPr>
        <w:spacing w:after="0" w:line="252" w:lineRule="exact"/>
        <w:rPr>
          <w:rFonts w:ascii="Arial" w:cs="Arial" w:eastAsia="Arial" w:hAnsi="Arial"/>
          <w:sz w:val="18"/>
          <w:szCs w:val="18"/>
          <w:color w:val="010000"/>
        </w:rPr>
      </w:pPr>
    </w:p>
    <w:p>
      <w:pPr>
        <w:ind w:left="1300" w:hanging="644"/>
        <w:spacing w:after="0"/>
        <w:tabs>
          <w:tab w:leader="none" w:pos="1300" w:val="left"/>
        </w:tabs>
        <w:numPr>
          <w:ilvl w:val="0"/>
          <w:numId w:val="189"/>
        </w:numPr>
        <w:rPr>
          <w:rFonts w:ascii="Arial" w:cs="Arial" w:eastAsia="Arial" w:hAnsi="Arial"/>
          <w:sz w:val="18"/>
          <w:szCs w:val="18"/>
          <w:color w:val="010000"/>
        </w:rPr>
      </w:pPr>
      <w:r>
        <w:rPr>
          <w:rFonts w:ascii="Arial" w:cs="Arial" w:eastAsia="Arial" w:hAnsi="Arial"/>
          <w:sz w:val="18"/>
          <w:szCs w:val="18"/>
          <w:color w:val="auto"/>
        </w:rPr>
        <w:t>vote as a class with the Public Shares:</w:t>
      </w:r>
    </w:p>
    <w:p>
      <w:pPr>
        <w:spacing w:after="0" w:line="252" w:lineRule="exact"/>
        <w:rPr>
          <w:rFonts w:ascii="Arial" w:cs="Arial" w:eastAsia="Arial" w:hAnsi="Arial"/>
          <w:sz w:val="18"/>
          <w:szCs w:val="18"/>
          <w:color w:val="010000"/>
        </w:rPr>
      </w:pPr>
    </w:p>
    <w:p>
      <w:pPr>
        <w:ind w:left="1960" w:right="260" w:hanging="656"/>
        <w:spacing w:after="0" w:line="277" w:lineRule="auto"/>
        <w:tabs>
          <w:tab w:leader="none" w:pos="1960" w:val="left"/>
        </w:tabs>
        <w:numPr>
          <w:ilvl w:val="1"/>
          <w:numId w:val="189"/>
        </w:numPr>
        <w:rPr>
          <w:rFonts w:ascii="Arial" w:cs="Arial" w:eastAsia="Arial" w:hAnsi="Arial"/>
          <w:sz w:val="18"/>
          <w:szCs w:val="18"/>
          <w:color w:val="010000"/>
        </w:rPr>
      </w:pPr>
      <w:r>
        <w:rPr>
          <w:rFonts w:ascii="Arial" w:cs="Arial" w:eastAsia="Arial" w:hAnsi="Arial"/>
          <w:sz w:val="18"/>
          <w:szCs w:val="18"/>
          <w:color w:val="auto"/>
        </w:rPr>
        <w:t>on a Business Combination or on any other proposal presented to Members prior to or in connection with the completion of a Business Combination; or</w:t>
      </w:r>
    </w:p>
    <w:p>
      <w:pPr>
        <w:spacing w:after="0" w:line="197" w:lineRule="exact"/>
        <w:rPr>
          <w:rFonts w:ascii="Arial" w:cs="Arial" w:eastAsia="Arial" w:hAnsi="Arial"/>
          <w:sz w:val="18"/>
          <w:szCs w:val="18"/>
          <w:color w:val="010000"/>
        </w:rPr>
      </w:pPr>
    </w:p>
    <w:p>
      <w:pPr>
        <w:ind w:left="1960" w:hanging="656"/>
        <w:spacing w:after="0"/>
        <w:tabs>
          <w:tab w:leader="none" w:pos="1960" w:val="left"/>
        </w:tabs>
        <w:numPr>
          <w:ilvl w:val="1"/>
          <w:numId w:val="189"/>
        </w:numPr>
        <w:rPr>
          <w:rFonts w:ascii="Arial" w:cs="Arial" w:eastAsia="Arial" w:hAnsi="Arial"/>
          <w:sz w:val="18"/>
          <w:szCs w:val="18"/>
          <w:color w:val="010000"/>
        </w:rPr>
      </w:pPr>
      <w:r>
        <w:rPr>
          <w:rFonts w:ascii="Arial" w:cs="Arial" w:eastAsia="Arial" w:hAnsi="Arial"/>
          <w:sz w:val="18"/>
          <w:szCs w:val="18"/>
          <w:color w:val="auto"/>
        </w:rPr>
        <w:t>to approve an amendment to these Articles to:</w:t>
      </w:r>
    </w:p>
    <w:p>
      <w:pPr>
        <w:spacing w:after="0" w:line="252" w:lineRule="exact"/>
        <w:rPr>
          <w:rFonts w:ascii="Arial" w:cs="Arial" w:eastAsia="Arial" w:hAnsi="Arial"/>
          <w:sz w:val="18"/>
          <w:szCs w:val="18"/>
          <w:color w:val="010000"/>
        </w:rPr>
      </w:pPr>
    </w:p>
    <w:p>
      <w:pPr>
        <w:ind w:left="2600" w:right="120" w:hanging="648"/>
        <w:spacing w:after="0" w:line="277" w:lineRule="auto"/>
        <w:tabs>
          <w:tab w:leader="none" w:pos="2600" w:val="left"/>
        </w:tabs>
        <w:numPr>
          <w:ilvl w:val="2"/>
          <w:numId w:val="189"/>
        </w:numPr>
        <w:rPr>
          <w:rFonts w:ascii="Arial" w:cs="Arial" w:eastAsia="Arial" w:hAnsi="Arial"/>
          <w:sz w:val="18"/>
          <w:szCs w:val="18"/>
          <w:color w:val="010000"/>
        </w:rPr>
      </w:pPr>
      <w:r>
        <w:rPr>
          <w:rFonts w:ascii="Arial" w:cs="Arial" w:eastAsia="Arial" w:hAnsi="Arial"/>
          <w:sz w:val="18"/>
          <w:szCs w:val="18"/>
          <w:color w:val="auto"/>
        </w:rPr>
        <w:t>extend the time the Company has to consummate a Business Combination beyond 24 months from the closing of IPO; or</w:t>
      </w:r>
    </w:p>
    <w:p>
      <w:pPr>
        <w:spacing w:after="0" w:line="197" w:lineRule="exact"/>
        <w:rPr>
          <w:rFonts w:ascii="Arial" w:cs="Arial" w:eastAsia="Arial" w:hAnsi="Arial"/>
          <w:sz w:val="18"/>
          <w:szCs w:val="18"/>
          <w:color w:val="010000"/>
        </w:rPr>
      </w:pPr>
    </w:p>
    <w:p>
      <w:pPr>
        <w:ind w:left="2600" w:hanging="648"/>
        <w:spacing w:after="0"/>
        <w:tabs>
          <w:tab w:leader="none" w:pos="2600" w:val="left"/>
        </w:tabs>
        <w:numPr>
          <w:ilvl w:val="2"/>
          <w:numId w:val="189"/>
        </w:numPr>
        <w:rPr>
          <w:rFonts w:ascii="Arial" w:cs="Arial" w:eastAsia="Arial" w:hAnsi="Arial"/>
          <w:sz w:val="18"/>
          <w:szCs w:val="18"/>
          <w:color w:val="010000"/>
        </w:rPr>
      </w:pPr>
      <w:r>
        <w:rPr>
          <w:rFonts w:ascii="Arial" w:cs="Arial" w:eastAsia="Arial" w:hAnsi="Arial"/>
          <w:sz w:val="18"/>
          <w:szCs w:val="18"/>
          <w:color w:val="auto"/>
        </w:rPr>
        <w:t>amend the foregoing provisions of these Articles.</w:t>
      </w:r>
    </w:p>
    <w:p>
      <w:pPr>
        <w:spacing w:after="0" w:line="252" w:lineRule="exact"/>
        <w:rPr>
          <w:sz w:val="20"/>
          <w:szCs w:val="20"/>
          <w:color w:val="auto"/>
        </w:rPr>
      </w:pPr>
    </w:p>
    <w:p>
      <w:pPr>
        <w:ind w:left="660" w:right="80" w:hanging="647"/>
        <w:spacing w:after="0" w:line="279" w:lineRule="auto"/>
        <w:tabs>
          <w:tab w:leader="none" w:pos="640" w:val="left"/>
        </w:tabs>
        <w:rPr>
          <w:sz w:val="20"/>
          <w:szCs w:val="20"/>
          <w:color w:val="auto"/>
        </w:rPr>
      </w:pPr>
      <w:r>
        <w:rPr>
          <w:rFonts w:ascii="Arial" w:cs="Arial" w:eastAsia="Arial" w:hAnsi="Arial"/>
          <w:sz w:val="18"/>
          <w:szCs w:val="18"/>
          <w:color w:val="010000"/>
        </w:rPr>
        <w:t>38.12</w:t>
      </w:r>
      <w:r>
        <w:rPr>
          <w:sz w:val="20"/>
          <w:szCs w:val="20"/>
          <w:color w:val="auto"/>
        </w:rPr>
        <w:tab/>
      </w:r>
      <w:r>
        <w:rPr>
          <w:rFonts w:ascii="Arial" w:cs="Arial" w:eastAsia="Arial" w:hAnsi="Arial"/>
          <w:sz w:val="17"/>
          <w:szCs w:val="17"/>
          <w:color w:val="auto"/>
        </w:rPr>
        <w:t>The Company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Company’s signing the agreement to enter into a Business Combination. An initial Business Combination must not be effectuated solely with another blank cheque company or a similar company with nominal operations</w:t>
      </w:r>
    </w:p>
    <w:p>
      <w:pPr>
        <w:spacing w:after="0" w:line="19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38.13</w:t>
      </w:r>
      <w:r>
        <w:rPr>
          <w:sz w:val="20"/>
          <w:szCs w:val="20"/>
          <w:color w:val="auto"/>
        </w:rPr>
        <w:tab/>
      </w:r>
      <w:r>
        <w:rPr>
          <w:rFonts w:ascii="Arial" w:cs="Arial" w:eastAsia="Arial" w:hAnsi="Arial"/>
          <w:sz w:val="16"/>
          <w:szCs w:val="16"/>
          <w:color w:val="auto"/>
        </w:rPr>
        <w:t>The uninterested Independent Directors shall approve any transaction or transactions between the Company and any of the following parties: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ind w:left="1300" w:right="140" w:hanging="644"/>
        <w:spacing w:after="0" w:line="277" w:lineRule="auto"/>
        <w:tabs>
          <w:tab w:leader="none" w:pos="1300"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any Member owning an interest in the voting power of the Company that gives such Member a significant influence over the Company; and</w:t>
      </w:r>
    </w:p>
    <w:p>
      <w:pPr>
        <w:spacing w:after="0" w:line="197" w:lineRule="exact"/>
        <w:rPr>
          <w:rFonts w:ascii="Arial" w:cs="Arial" w:eastAsia="Arial" w:hAnsi="Arial"/>
          <w:sz w:val="18"/>
          <w:szCs w:val="18"/>
          <w:color w:val="010000"/>
        </w:rPr>
      </w:pPr>
    </w:p>
    <w:p>
      <w:pPr>
        <w:ind w:left="1300" w:hanging="644"/>
        <w:spacing w:after="0"/>
        <w:tabs>
          <w:tab w:leader="none" w:pos="1300" w:val="left"/>
        </w:tabs>
        <w:numPr>
          <w:ilvl w:val="0"/>
          <w:numId w:val="190"/>
        </w:numPr>
        <w:rPr>
          <w:rFonts w:ascii="Arial" w:cs="Arial" w:eastAsia="Arial" w:hAnsi="Arial"/>
          <w:sz w:val="18"/>
          <w:szCs w:val="18"/>
          <w:color w:val="010000"/>
        </w:rPr>
      </w:pPr>
      <w:r>
        <w:rPr>
          <w:rFonts w:ascii="Arial" w:cs="Arial" w:eastAsia="Arial" w:hAnsi="Arial"/>
          <w:sz w:val="18"/>
          <w:szCs w:val="18"/>
          <w:color w:val="auto"/>
        </w:rPr>
        <w:t>any director or officer of the Company and any affiliate or relative of such director or officer.</w:t>
      </w:r>
    </w:p>
    <w:p>
      <w:pPr>
        <w:spacing w:after="0" w:line="252"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010000"/>
        </w:rPr>
        <w:t>38.14</w:t>
      </w:r>
      <w:r>
        <w:rPr>
          <w:rFonts w:ascii="Arial" w:cs="Arial" w:eastAsia="Arial" w:hAnsi="Arial"/>
          <w:sz w:val="18"/>
          <w:szCs w:val="18"/>
          <w:color w:val="auto"/>
        </w:rPr>
        <w:tab/>
        <w:t>Any payment made to members of the Audit Committee (if one exists) shall require the review and approval of the directors, with any director interested in such payment abstaining from such review and approval.</w:t>
      </w:r>
    </w:p>
    <w:p>
      <w:pPr>
        <w:spacing w:after="0" w:line="197"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010000"/>
        </w:rPr>
        <w:t>38.15</w:t>
      </w:r>
      <w:r>
        <w:rPr>
          <w:rFonts w:ascii="Arial" w:cs="Arial" w:eastAsia="Arial" w:hAnsi="Arial"/>
          <w:sz w:val="18"/>
          <w:szCs w:val="18"/>
          <w:color w:val="auto"/>
        </w:rPr>
        <w:tab/>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97"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18"/>
          <w:szCs w:val="18"/>
          <w:color w:val="010000"/>
        </w:rPr>
        <w:t>38.16</w:t>
      </w:r>
      <w:r>
        <w:rPr>
          <w:rFonts w:ascii="Arial" w:cs="Arial" w:eastAsia="Arial" w:hAnsi="Arial"/>
          <w:sz w:val="18"/>
          <w:szCs w:val="18"/>
          <w:color w:val="auto"/>
        </w:rPr>
        <w:tab/>
        <w:t>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211" w:lineRule="exact"/>
        <w:rPr>
          <w:sz w:val="20"/>
          <w:szCs w:val="20"/>
          <w:color w:val="auto"/>
        </w:rPr>
      </w:pPr>
    </w:p>
    <w:p>
      <w:pPr>
        <w:ind w:left="660" w:right="20" w:hanging="647"/>
        <w:spacing w:after="0" w:line="257" w:lineRule="auto"/>
        <w:tabs>
          <w:tab w:leader="none" w:pos="640" w:val="left"/>
        </w:tabs>
        <w:rPr>
          <w:sz w:val="20"/>
          <w:szCs w:val="20"/>
          <w:color w:val="auto"/>
        </w:rPr>
      </w:pPr>
      <w:r>
        <w:rPr>
          <w:rFonts w:ascii="Arial" w:cs="Arial" w:eastAsia="Arial" w:hAnsi="Arial"/>
          <w:sz w:val="18"/>
          <w:szCs w:val="18"/>
          <w:color w:val="010000"/>
        </w:rPr>
        <w:t>38.17</w:t>
      </w:r>
      <w:r>
        <w:rPr>
          <w:rFonts w:ascii="Arial" w:cs="Arial" w:eastAsia="Arial" w:hAnsi="Arial"/>
          <w:sz w:val="18"/>
          <w:szCs w:val="18"/>
          <w:color w:val="auto"/>
        </w:rPr>
        <w:tab/>
        <w:t>The Company may enter into a Business Combination with a target business that is affiliated with the Sponsor, the directors or officers of the Company. In the event the Company seeks to complete the Business Combination with a target that is affiliated with the Sponsor, executive officers or directors, the Company, or a committee of Independent Directors, will obtain an opinion from an independent investment banking firm, which is a member of FINRA, or another independent valuation or accounting firm that such a Business Combination or transaction is fair to the Company from a financial point of view.</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010000"/>
        </w:rPr>
        <w:t>38.18</w:t>
      </w:r>
      <w:r>
        <w:rPr>
          <w:sz w:val="20"/>
          <w:szCs w:val="20"/>
          <w:color w:val="auto"/>
        </w:rPr>
        <w:tab/>
      </w:r>
      <w:r>
        <w:rPr>
          <w:rFonts w:ascii="Arial" w:cs="Arial" w:eastAsia="Arial" w:hAnsi="Arial"/>
          <w:sz w:val="16"/>
          <w:szCs w:val="16"/>
          <w:color w:val="auto"/>
        </w:rPr>
        <w:t>Any Business Combination must be approved by the a majority of the Independent Directors.</w:t>
      </w:r>
    </w:p>
    <w:p>
      <w:pPr>
        <w:spacing w:after="0" w:line="248"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010000"/>
        </w:rPr>
      </w:pPr>
      <w:r>
        <w:rPr>
          <w:rFonts w:ascii="Arial" w:cs="Arial" w:eastAsia="Arial" w:hAnsi="Arial"/>
          <w:sz w:val="18"/>
          <w:szCs w:val="18"/>
          <w:b w:val="1"/>
          <w:bCs w:val="1"/>
          <w:color w:val="auto"/>
        </w:rPr>
        <w:t>Certain Tax Filings</w:t>
      </w:r>
    </w:p>
    <w:p>
      <w:pPr>
        <w:spacing w:after="0" w:line="256" w:lineRule="exact"/>
        <w:rPr>
          <w:sz w:val="20"/>
          <w:szCs w:val="20"/>
          <w:color w:val="auto"/>
        </w:rPr>
      </w:pPr>
    </w:p>
    <w:p>
      <w:pPr>
        <w:ind w:left="660" w:hanging="647"/>
        <w:spacing w:after="0" w:line="275" w:lineRule="auto"/>
        <w:tabs>
          <w:tab w:leader="none" w:pos="640" w:val="left"/>
        </w:tabs>
        <w:rPr>
          <w:sz w:val="20"/>
          <w:szCs w:val="20"/>
          <w:color w:val="auto"/>
        </w:rPr>
      </w:pPr>
      <w:r>
        <w:rPr>
          <w:rFonts w:ascii="Arial" w:cs="Arial" w:eastAsia="Arial" w:hAnsi="Arial"/>
          <w:sz w:val="18"/>
          <w:szCs w:val="18"/>
          <w:color w:val="010000"/>
        </w:rPr>
        <w:t>39.1</w:t>
      </w:r>
      <w:r>
        <w:rPr>
          <w:sz w:val="20"/>
          <w:szCs w:val="20"/>
          <w:color w:val="auto"/>
        </w:rPr>
        <w:tab/>
      </w:r>
      <w:r>
        <w:rPr>
          <w:rFonts w:ascii="Arial" w:cs="Arial" w:eastAsia="Arial" w:hAnsi="Arial"/>
          <w:sz w:val="17"/>
          <w:szCs w:val="17"/>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of the Company. The Company further ratifies and approves any such filing made by any Tax Filing Authorised Person or such other person prior to the date of the Articles.</w:t>
      </w:r>
    </w:p>
    <w:p>
      <w:pPr>
        <w:spacing w:after="0" w:line="199"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b w:val="1"/>
          <w:bCs w:val="1"/>
          <w:color w:val="010000"/>
        </w:rPr>
      </w:pPr>
      <w:r>
        <w:rPr>
          <w:rFonts w:ascii="Arial" w:cs="Arial" w:eastAsia="Arial" w:hAnsi="Arial"/>
          <w:sz w:val="18"/>
          <w:szCs w:val="18"/>
          <w:b w:val="1"/>
          <w:bCs w:val="1"/>
          <w:color w:val="auto"/>
        </w:rPr>
        <w:t>Business Opportunities</w:t>
      </w:r>
    </w:p>
    <w:p>
      <w:pPr>
        <w:spacing w:after="0" w:line="256" w:lineRule="exact"/>
        <w:rPr>
          <w:sz w:val="20"/>
          <w:szCs w:val="20"/>
          <w:color w:val="auto"/>
        </w:rPr>
      </w:pPr>
    </w:p>
    <w:p>
      <w:pPr>
        <w:ind w:left="660" w:right="20" w:hanging="647"/>
        <w:spacing w:after="0" w:line="291" w:lineRule="auto"/>
        <w:tabs>
          <w:tab w:leader="none" w:pos="640" w:val="left"/>
        </w:tabs>
        <w:rPr>
          <w:sz w:val="20"/>
          <w:szCs w:val="20"/>
          <w:color w:val="auto"/>
        </w:rPr>
      </w:pPr>
      <w:r>
        <w:rPr>
          <w:rFonts w:ascii="Arial" w:cs="Arial" w:eastAsia="Arial" w:hAnsi="Arial"/>
          <w:sz w:val="18"/>
          <w:szCs w:val="18"/>
          <w:color w:val="010000"/>
        </w:rPr>
        <w:t>40.1</w:t>
      </w:r>
      <w:r>
        <w:rPr>
          <w:sz w:val="20"/>
          <w:szCs w:val="20"/>
          <w:color w:val="auto"/>
        </w:rPr>
        <w:tab/>
      </w:r>
      <w:r>
        <w:rPr>
          <w:rFonts w:ascii="Arial" w:cs="Arial" w:eastAsia="Arial" w:hAnsi="Arial"/>
          <w:sz w:val="16"/>
          <w:szCs w:val="16"/>
          <w:color w:val="auto"/>
        </w:rPr>
        <w:t>In recognition and anticipation of the facts that: (a) directors, managers, officers, members, partners, managing members, employees and/or agents of one or more members of the Investor Group (each of the foregoing, an “Investor Group Related Person”) may serve as directors and/or officers of the Company; and (b) the Investor Group engages,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under this heading “Business Opportunities” are set forth to regulate and define the conduct of certain affairs of the Company as they may involve the Members and the Investor Group Related Persons, and the powers, rights, duties and liabilities of the Company and its officers, directors and Members in connection therewith.</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ind w:left="620" w:hanging="647"/>
        <w:spacing w:after="0" w:line="287" w:lineRule="auto"/>
        <w:tabs>
          <w:tab w:leader="none" w:pos="600" w:val="left"/>
        </w:tabs>
        <w:rPr>
          <w:sz w:val="20"/>
          <w:szCs w:val="20"/>
          <w:color w:val="auto"/>
        </w:rPr>
      </w:pPr>
      <w:r>
        <w:rPr>
          <w:rFonts w:ascii="Arial" w:cs="Arial" w:eastAsia="Arial" w:hAnsi="Arial"/>
          <w:sz w:val="18"/>
          <w:szCs w:val="18"/>
          <w:color w:val="010000"/>
        </w:rPr>
        <w:t>40.2</w:t>
      </w:r>
      <w:r>
        <w:rPr>
          <w:sz w:val="20"/>
          <w:szCs w:val="20"/>
          <w:color w:val="auto"/>
        </w:rPr>
        <w:tab/>
      </w:r>
      <w:r>
        <w:rPr>
          <w:rFonts w:ascii="Arial" w:cs="Arial" w:eastAsia="Arial" w:hAnsi="Arial"/>
          <w:sz w:val="16"/>
          <w:szCs w:val="16"/>
          <w:color w:val="auto"/>
        </w:rPr>
        <w:t>To the fullest extent permitted by Applicable Law, the Investor Group and the Investor Group Related Persons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the Investor Group or the Investor Group Related Persons, on the one hand, and the Company, on the other. Except to the extent expressly assumed by contract, to the fullest extent permitted by Applicable Law, the Investor Group and the Investor Group Related Persons shall have no duty to communicate or offer any such corporate opportunity to the Company and shall not be liable to the Company or its Members for breach of any fiduciary duty as a Member, director and/or officer of the Company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Investor Group Related Person solely in their capacity as an Officer or director of the Company and the opportunity is one the Company is permitted to complete on a reasonable basis.</w:t>
      </w:r>
    </w:p>
    <w:p>
      <w:pPr>
        <w:spacing w:after="0" w:line="199" w:lineRule="exact"/>
        <w:rPr>
          <w:sz w:val="20"/>
          <w:szCs w:val="20"/>
          <w:color w:val="auto"/>
        </w:rPr>
      </w:pPr>
    </w:p>
    <w:p>
      <w:pPr>
        <w:ind w:left="620" w:hanging="647"/>
        <w:spacing w:after="0" w:line="311" w:lineRule="auto"/>
        <w:tabs>
          <w:tab w:leader="none" w:pos="600" w:val="left"/>
        </w:tabs>
        <w:rPr>
          <w:sz w:val="20"/>
          <w:szCs w:val="20"/>
          <w:color w:val="auto"/>
        </w:rPr>
      </w:pPr>
      <w:r>
        <w:rPr>
          <w:rFonts w:ascii="Arial" w:cs="Arial" w:eastAsia="Arial" w:hAnsi="Arial"/>
          <w:sz w:val="18"/>
          <w:szCs w:val="18"/>
          <w:color w:val="010000"/>
        </w:rPr>
        <w:t>40.3</w:t>
      </w:r>
      <w:r>
        <w:rPr>
          <w:sz w:val="20"/>
          <w:szCs w:val="20"/>
          <w:color w:val="auto"/>
        </w:rPr>
        <w:tab/>
      </w:r>
      <w:r>
        <w:rPr>
          <w:rFonts w:ascii="Arial" w:cs="Arial" w:eastAsia="Arial" w:hAnsi="Arial"/>
          <w:sz w:val="16"/>
          <w:szCs w:val="16"/>
          <w:color w:val="auto"/>
        </w:rPr>
        <w:t>Except as provided elsewhere in the Articles, the Company hereby renounces any interest or expectancy of the Company in, or in being offered an opportunity to participate in, any potential transaction or matter which may be a corporate opportunity for both the Company and the Investor Group, about which a director and/or officer of the Company who is also an Investor Group Related Person acquires knowledge.</w:t>
      </w:r>
    </w:p>
    <w:p>
      <w:pPr>
        <w:spacing w:after="0" w:line="176" w:lineRule="exact"/>
        <w:rPr>
          <w:sz w:val="20"/>
          <w:szCs w:val="20"/>
          <w:color w:val="auto"/>
        </w:rPr>
      </w:pPr>
    </w:p>
    <w:p>
      <w:pPr>
        <w:ind w:left="620" w:right="140" w:hanging="647"/>
        <w:spacing w:after="0" w:line="279" w:lineRule="auto"/>
        <w:tabs>
          <w:tab w:leader="none" w:pos="600" w:val="left"/>
        </w:tabs>
        <w:rPr>
          <w:sz w:val="20"/>
          <w:szCs w:val="20"/>
          <w:color w:val="auto"/>
        </w:rPr>
      </w:pPr>
      <w:r>
        <w:rPr>
          <w:rFonts w:ascii="Arial" w:cs="Arial" w:eastAsia="Arial" w:hAnsi="Arial"/>
          <w:sz w:val="18"/>
          <w:szCs w:val="18"/>
          <w:color w:val="010000"/>
        </w:rPr>
        <w:t>40.4</w:t>
      </w:r>
      <w:r>
        <w:rPr>
          <w:sz w:val="20"/>
          <w:szCs w:val="20"/>
          <w:color w:val="auto"/>
        </w:rPr>
        <w:tab/>
      </w:r>
      <w:r>
        <w:rPr>
          <w:rFonts w:ascii="Arial" w:cs="Arial" w:eastAsia="Arial" w:hAnsi="Arial"/>
          <w:sz w:val="17"/>
          <w:szCs w:val="17"/>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25" w:right="37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PRIVATE PLACEMENT SHARES PURCHASE AGREEMENT</w:t>
      </w:r>
    </w:p>
    <w:p>
      <w:pPr>
        <w:spacing w:after="0" w:line="239" w:lineRule="exact"/>
        <w:rPr>
          <w:sz w:val="20"/>
          <w:szCs w:val="20"/>
          <w:color w:val="auto"/>
        </w:rPr>
      </w:pPr>
    </w:p>
    <w:p>
      <w:pPr>
        <w:ind w:right="340" w:firstLine="648"/>
        <w:spacing w:after="0" w:line="252" w:lineRule="auto"/>
        <w:rPr>
          <w:sz w:val="20"/>
          <w:szCs w:val="20"/>
          <w:color w:val="auto"/>
        </w:rPr>
      </w:pPr>
      <w:r>
        <w:rPr>
          <w:rFonts w:ascii="Arial" w:cs="Arial" w:eastAsia="Arial" w:hAnsi="Arial"/>
          <w:sz w:val="21"/>
          <w:szCs w:val="21"/>
          <w:color w:val="auto"/>
        </w:rPr>
        <w:t>THIS PRIVATE PLACEMENT SHARES PURCHASE AGREEMENT (as it may from time to time be amended and including all exhibits referenced herein, this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dated as of August 6, 2020, is entered into by and between ARYA Sciences Acquisition Corp III, a Cayman Islands exempted company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ARYA Sciences Holdings III, a Cayman Islands exempted limited company (the “</w:t>
      </w:r>
      <w:r>
        <w:rPr>
          <w:rFonts w:ascii="Arial" w:cs="Arial" w:eastAsia="Arial" w:hAnsi="Arial"/>
          <w:sz w:val="21"/>
          <w:szCs w:val="21"/>
          <w:b w:val="1"/>
          <w:bCs w:val="1"/>
          <w:i w:val="1"/>
          <w:iCs w:val="1"/>
          <w:color w:val="auto"/>
        </w:rPr>
        <w:t>Purchaser</w:t>
      </w:r>
      <w:r>
        <w:rPr>
          <w:rFonts w:ascii="Arial" w:cs="Arial" w:eastAsia="Arial" w:hAnsi="Arial"/>
          <w:sz w:val="21"/>
          <w:szCs w:val="21"/>
          <w:color w:val="auto"/>
        </w:rPr>
        <w:t>”).</w:t>
      </w:r>
    </w:p>
    <w:p>
      <w:pPr>
        <w:spacing w:after="0" w:line="201"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WHEREAS, the Company intends to consummate an initial public offering (the “</w:t>
      </w:r>
      <w:r>
        <w:rPr>
          <w:rFonts w:ascii="Arial" w:cs="Arial" w:eastAsia="Arial" w:hAnsi="Arial"/>
          <w:sz w:val="22"/>
          <w:szCs w:val="22"/>
          <w:b w:val="1"/>
          <w:bCs w:val="1"/>
          <w:i w:val="1"/>
          <w:iCs w:val="1"/>
          <w:color w:val="auto"/>
        </w:rPr>
        <w:t>Public Offering</w:t>
      </w:r>
      <w:r>
        <w:rPr>
          <w:rFonts w:ascii="Arial" w:cs="Arial" w:eastAsia="Arial" w:hAnsi="Arial"/>
          <w:sz w:val="22"/>
          <w:szCs w:val="22"/>
          <w:color w:val="auto"/>
        </w:rPr>
        <w:t>”) of the Company’s Class A ordinary shares, par value $0.0001 per share (each, a “</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as set forth in the Company’s Registration Statements on Form S-1, filed with the U.S. Securities and Exchange Commission (the “</w:t>
      </w:r>
      <w:r>
        <w:rPr>
          <w:rFonts w:ascii="Arial" w:cs="Arial" w:eastAsia="Arial" w:hAnsi="Arial"/>
          <w:sz w:val="22"/>
          <w:szCs w:val="22"/>
          <w:b w:val="1"/>
          <w:bCs w:val="1"/>
          <w:i w:val="1"/>
          <w:iCs w:val="1"/>
          <w:color w:val="auto"/>
        </w:rPr>
        <w:t>SEC</w:t>
      </w:r>
      <w:r>
        <w:rPr>
          <w:rFonts w:ascii="Arial" w:cs="Arial" w:eastAsia="Arial" w:hAnsi="Arial"/>
          <w:sz w:val="22"/>
          <w:szCs w:val="22"/>
          <w:color w:val="auto"/>
        </w:rPr>
        <w:t>”), File Numbers 333-239986 and 333-241828 under the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w:t>
      </w:r>
    </w:p>
    <w:p>
      <w:pPr>
        <w:spacing w:after="0" w:line="212"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WHEREAS, the Purchaser has agreed to purchase an aggregate of 460,000 Shares (and up to 39,000 additional Shares if the underwriters in the Public Offering exercise their option to purchase additional Shares in full) (the “</w:t>
      </w:r>
      <w:r>
        <w:rPr>
          <w:rFonts w:ascii="Arial" w:cs="Arial" w:eastAsia="Arial" w:hAnsi="Arial"/>
          <w:sz w:val="22"/>
          <w:szCs w:val="22"/>
          <w:b w:val="1"/>
          <w:bCs w:val="1"/>
          <w:i w:val="1"/>
          <w:iCs w:val="1"/>
          <w:color w:val="auto"/>
        </w:rPr>
        <w:t>Private Placement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w:t>
      </w:r>
    </w:p>
    <w:p>
      <w:pPr>
        <w:spacing w:after="0" w:line="213"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NOW THEREFORE, in consideration of the mutual promises contained in this Agreement and other good and valuable consideration, the receipt and sufficiency of which are hereby acknowledged, the parties to this Agreement hereby, intending legally to be bound, agree as follows: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27" w:lineRule="exact"/>
        <w:rPr>
          <w:sz w:val="20"/>
          <w:szCs w:val="20"/>
          <w:color w:val="auto"/>
        </w:rPr>
      </w:pPr>
    </w:p>
    <w:p>
      <w:pPr>
        <w:ind w:left="660"/>
        <w:spacing w:after="0"/>
        <w:tabs>
          <w:tab w:leader="none" w:pos="2180" w:val="left"/>
        </w:tabs>
        <w:rPr>
          <w:sz w:val="20"/>
          <w:szCs w:val="20"/>
          <w:color w:val="auto"/>
        </w:rPr>
      </w:pPr>
      <w:r>
        <w:rPr>
          <w:rFonts w:ascii="Arial" w:cs="Arial" w:eastAsia="Arial" w:hAnsi="Arial"/>
          <w:sz w:val="22"/>
          <w:szCs w:val="22"/>
          <w:b w:val="1"/>
          <w:bCs w:val="1"/>
          <w:color w:val="010000"/>
        </w:rPr>
        <w:t>Section 1.</w:t>
      </w:r>
      <w:r>
        <w:rPr>
          <w:sz w:val="20"/>
          <w:szCs w:val="20"/>
          <w:color w:val="auto"/>
        </w:rPr>
        <w:tab/>
      </w:r>
      <w:r>
        <w:rPr>
          <w:rFonts w:ascii="Arial" w:cs="Arial" w:eastAsia="Arial" w:hAnsi="Arial"/>
          <w:sz w:val="19"/>
          <w:szCs w:val="19"/>
          <w:b w:val="1"/>
          <w:bCs w:val="1"/>
          <w:color w:val="auto"/>
        </w:rPr>
        <w:t>Authorization, Purchase and Sale; Terms of the Private Placement Shares</w:t>
      </w:r>
      <w:r>
        <w:rPr>
          <w:rFonts w:ascii="Arial" w:cs="Arial" w:eastAsia="Arial" w:hAnsi="Arial"/>
          <w:sz w:val="19"/>
          <w:szCs w:val="19"/>
          <w:color w:val="auto"/>
        </w:rPr>
        <w:t>.</w:t>
      </w:r>
    </w:p>
    <w:p>
      <w:pPr>
        <w:spacing w:after="0" w:line="239" w:lineRule="exact"/>
        <w:rPr>
          <w:sz w:val="20"/>
          <w:szCs w:val="20"/>
          <w:color w:val="auto"/>
        </w:rPr>
      </w:pPr>
    </w:p>
    <w:p>
      <w:pPr>
        <w:ind w:right="280" w:firstLine="656"/>
        <w:spacing w:after="0" w:line="250" w:lineRule="auto"/>
        <w:tabs>
          <w:tab w:leader="none" w:pos="1452" w:val="left"/>
        </w:tabs>
        <w:numPr>
          <w:ilvl w:val="0"/>
          <w:numId w:val="193"/>
        </w:numPr>
        <w:rPr>
          <w:rFonts w:ascii="Arial" w:cs="Arial" w:eastAsia="Arial" w:hAnsi="Arial"/>
          <w:sz w:val="22"/>
          <w:szCs w:val="22"/>
          <w:color w:val="010000"/>
        </w:rPr>
      </w:pPr>
      <w:r>
        <w:rPr>
          <w:rFonts w:ascii="Arial" w:cs="Arial" w:eastAsia="Arial" w:hAnsi="Arial"/>
          <w:sz w:val="22"/>
          <w:szCs w:val="22"/>
          <w:u w:val="single" w:color="auto"/>
          <w:color w:val="auto"/>
        </w:rPr>
        <w:t>Authorization of the Private Placement Shares</w:t>
      </w:r>
      <w:r>
        <w:rPr>
          <w:rFonts w:ascii="Arial" w:cs="Arial" w:eastAsia="Arial" w:hAnsi="Arial"/>
          <w:sz w:val="22"/>
          <w:szCs w:val="22"/>
          <w:color w:val="auto"/>
        </w:rPr>
        <w:t>. The Company has duly authorized the issuance and sale of the Private Placement Shares to the Purchaser.</w:t>
      </w:r>
    </w:p>
    <w:p>
      <w:pPr>
        <w:spacing w:after="0" w:line="201" w:lineRule="exact"/>
        <w:rPr>
          <w:rFonts w:ascii="Arial" w:cs="Arial" w:eastAsia="Arial" w:hAnsi="Arial"/>
          <w:sz w:val="22"/>
          <w:szCs w:val="22"/>
          <w:color w:val="010000"/>
        </w:rPr>
      </w:pPr>
    </w:p>
    <w:p>
      <w:pPr>
        <w:ind w:left="1440" w:hanging="784"/>
        <w:spacing w:after="0"/>
        <w:tabs>
          <w:tab w:leader="none" w:pos="1440" w:val="left"/>
        </w:tabs>
        <w:numPr>
          <w:ilvl w:val="0"/>
          <w:numId w:val="193"/>
        </w:numPr>
        <w:rPr>
          <w:rFonts w:ascii="Arial" w:cs="Arial" w:eastAsia="Arial" w:hAnsi="Arial"/>
          <w:sz w:val="22"/>
          <w:szCs w:val="22"/>
          <w:color w:val="010000"/>
        </w:rPr>
      </w:pPr>
      <w:r>
        <w:rPr>
          <w:rFonts w:ascii="Arial" w:cs="Arial" w:eastAsia="Arial" w:hAnsi="Arial"/>
          <w:sz w:val="22"/>
          <w:szCs w:val="22"/>
          <w:u w:val="single" w:color="auto"/>
          <w:color w:val="auto"/>
        </w:rPr>
        <w:t>Purchase and Sale of the Private Placement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firstLine="1304"/>
        <w:spacing w:after="0" w:line="245" w:lineRule="auto"/>
        <w:tabs>
          <w:tab w:leader="none" w:pos="2094" w:val="left"/>
        </w:tabs>
        <w:numPr>
          <w:ilvl w:val="1"/>
          <w:numId w:val="193"/>
        </w:numPr>
        <w:rPr>
          <w:rFonts w:ascii="Arial" w:cs="Arial" w:eastAsia="Arial" w:hAnsi="Arial"/>
          <w:sz w:val="21"/>
          <w:szCs w:val="21"/>
          <w:color w:val="010000"/>
        </w:rPr>
      </w:pPr>
      <w:r>
        <w:rPr>
          <w:rFonts w:ascii="Arial" w:cs="Arial" w:eastAsia="Arial" w:hAnsi="Arial"/>
          <w:sz w:val="21"/>
          <w:szCs w:val="21"/>
          <w:color w:val="auto"/>
        </w:rPr>
        <w:t>On the date of the consummation of the Public Offering (the “</w:t>
      </w:r>
      <w:r>
        <w:rPr>
          <w:rFonts w:ascii="Arial" w:cs="Arial" w:eastAsia="Arial" w:hAnsi="Arial"/>
          <w:sz w:val="21"/>
          <w:szCs w:val="21"/>
          <w:b w:val="1"/>
          <w:bCs w:val="1"/>
          <w:i w:val="1"/>
          <w:iCs w:val="1"/>
          <w:color w:val="auto"/>
        </w:rPr>
        <w:t>IPO Closing Date</w:t>
      </w:r>
      <w:r>
        <w:rPr>
          <w:rFonts w:ascii="Arial" w:cs="Arial" w:eastAsia="Arial" w:hAnsi="Arial"/>
          <w:sz w:val="21"/>
          <w:szCs w:val="21"/>
          <w:color w:val="auto"/>
        </w:rPr>
        <w:t>”), the Company shall issue and sell to the Purchaser, and the Purchaser shall purchase from the Company, 460,000 Private Placement Shares at a price of $10.00 per Private Placement Share for an aggregate purchase price of $4,600,000 (the “</w:t>
      </w:r>
      <w:r>
        <w:rPr>
          <w:rFonts w:ascii="Arial" w:cs="Arial" w:eastAsia="Arial" w:hAnsi="Arial"/>
          <w:sz w:val="21"/>
          <w:szCs w:val="21"/>
          <w:b w:val="1"/>
          <w:bCs w:val="1"/>
          <w:i w:val="1"/>
          <w:iCs w:val="1"/>
          <w:color w:val="auto"/>
        </w:rPr>
        <w:t>Purchase Price</w:t>
      </w:r>
      <w:r>
        <w:rPr>
          <w:rFonts w:ascii="Arial" w:cs="Arial" w:eastAsia="Arial" w:hAnsi="Arial"/>
          <w:sz w:val="21"/>
          <w:szCs w:val="21"/>
          <w:color w:val="auto"/>
        </w:rPr>
        <w:t>”). The Purchaser shall pay the Purchase Price by wire transfer of immediately available funds in the following amounts: (i) $2,000,000 to the Company at a financial institution to be chosen by the Company, and (ii) $2,600,000 to the trust account (the “</w:t>
      </w:r>
      <w:r>
        <w:rPr>
          <w:rFonts w:ascii="Arial" w:cs="Arial" w:eastAsia="Arial" w:hAnsi="Arial"/>
          <w:sz w:val="21"/>
          <w:szCs w:val="21"/>
          <w:b w:val="1"/>
          <w:bCs w:val="1"/>
          <w:i w:val="1"/>
          <w:iCs w:val="1"/>
          <w:color w:val="auto"/>
        </w:rPr>
        <w:t>Trust Account</w:t>
      </w:r>
      <w:r>
        <w:rPr>
          <w:rFonts w:ascii="Arial" w:cs="Arial" w:eastAsia="Arial" w:hAnsi="Arial"/>
          <w:sz w:val="21"/>
          <w:szCs w:val="21"/>
          <w:color w:val="auto"/>
        </w:rPr>
        <w:t>”) maintained by Continental Stock Transfer &amp; Trust Company, acting as trustee, in each case in accordance with the Company’s wiring instructions, at least one (1) business day prior to the IPO Closing Date. On the IPO Closing Date, subject to the receipt of funds pursuant to the immediately prior sentence, the Company, at its option, shall deliver a certificate evidencing the Private Placement Shares purchased by the Purchaser on such date duly registered in the Purchaser’s name to the Purchaser or effect such delivery in book-entry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07" w:name="page108"/>
    <w:bookmarkEnd w:id="107"/>
    <w:p>
      <w:pPr>
        <w:ind w:right="120" w:firstLine="1304"/>
        <w:spacing w:after="0" w:line="273" w:lineRule="auto"/>
        <w:tabs>
          <w:tab w:leader="none" w:pos="2100" w:val="left"/>
        </w:tabs>
        <w:numPr>
          <w:ilvl w:val="1"/>
          <w:numId w:val="194"/>
        </w:numPr>
        <w:rPr>
          <w:rFonts w:ascii="Arial" w:cs="Arial" w:eastAsia="Arial" w:hAnsi="Arial"/>
          <w:sz w:val="19"/>
          <w:szCs w:val="19"/>
          <w:color w:val="010000"/>
        </w:rPr>
      </w:pPr>
      <w:r>
        <w:rPr>
          <w:rFonts w:ascii="Arial" w:cs="Arial" w:eastAsia="Arial" w:hAnsi="Arial"/>
          <w:sz w:val="19"/>
          <w:szCs w:val="19"/>
          <w:color w:val="auto"/>
        </w:rPr>
        <w:t>On the date of any closing of the option to purchase additional Shares, if any, in connection with the Public Offering or on such earlier time and date as may be mutually agreed by the Purchaser and the Company (each such date, an “</w:t>
      </w:r>
      <w:r>
        <w:rPr>
          <w:rFonts w:ascii="Arial" w:cs="Arial" w:eastAsia="Arial" w:hAnsi="Arial"/>
          <w:sz w:val="19"/>
          <w:szCs w:val="19"/>
          <w:b w:val="1"/>
          <w:bCs w:val="1"/>
          <w:i w:val="1"/>
          <w:iCs w:val="1"/>
          <w:color w:val="auto"/>
        </w:rPr>
        <w:t>Option Closing Date</w:t>
      </w:r>
      <w:r>
        <w:rPr>
          <w:rFonts w:ascii="Arial" w:cs="Arial" w:eastAsia="Arial" w:hAnsi="Arial"/>
          <w:sz w:val="19"/>
          <w:szCs w:val="19"/>
          <w:color w:val="auto"/>
        </w:rPr>
        <w:t>”, and each Option Closing Date (if any) and the IPO Closing Date, a “</w:t>
      </w:r>
      <w:r>
        <w:rPr>
          <w:rFonts w:ascii="Arial" w:cs="Arial" w:eastAsia="Arial" w:hAnsi="Arial"/>
          <w:sz w:val="19"/>
          <w:szCs w:val="19"/>
          <w:b w:val="1"/>
          <w:bCs w:val="1"/>
          <w:i w:val="1"/>
          <w:iCs w:val="1"/>
          <w:color w:val="auto"/>
        </w:rPr>
        <w:t>Closing Date</w:t>
      </w:r>
      <w:r>
        <w:rPr>
          <w:rFonts w:ascii="Arial" w:cs="Arial" w:eastAsia="Arial" w:hAnsi="Arial"/>
          <w:sz w:val="19"/>
          <w:szCs w:val="19"/>
          <w:color w:val="auto"/>
        </w:rPr>
        <w:t>”), the Company shall issue and sell to the Purchaser, and the Purchaser shall purchase from the Company, up to 39,000 Private Placement Shares (or, to the extent the option to purchase additional Shares is not exercised in full, a lesser number of Private Placement Shares in proportion to portion of the option that is exercised) at a price of $10.00 per Private Placement Share for an aggregate purchase price of up to $390,000 (the “</w:t>
      </w:r>
      <w:r>
        <w:rPr>
          <w:rFonts w:ascii="Arial" w:cs="Arial" w:eastAsia="Arial" w:hAnsi="Arial"/>
          <w:sz w:val="19"/>
          <w:szCs w:val="19"/>
          <w:b w:val="1"/>
          <w:bCs w:val="1"/>
          <w:i w:val="1"/>
          <w:iCs w:val="1"/>
          <w:color w:val="auto"/>
        </w:rPr>
        <w:t>Option Purchase Price</w:t>
      </w:r>
      <w:r>
        <w:rPr>
          <w:rFonts w:ascii="Arial" w:cs="Arial" w:eastAsia="Arial" w:hAnsi="Arial"/>
          <w:sz w:val="19"/>
          <w:szCs w:val="19"/>
          <w:color w:val="auto"/>
        </w:rPr>
        <w:t>”). The Purchaser shall pay the Option Purchase Price in accordance with the Company’s wire instruction by wire transfer of immediately available funds to the Trust Account, at least one (1) business day prior to any Option Closing Date. On each Option Closing Date (if any), subject to the receipt of funds pursuant to the immediately prior sentence, the Company shall, at its option, deliver a certificate evidencing the Private Placement Shares purchased on such date duly registered in the Purchaser’s name to the Purchaser or effect such delivery in book-entry form.</w:t>
      </w:r>
    </w:p>
    <w:p>
      <w:pPr>
        <w:spacing w:after="0" w:line="182" w:lineRule="exact"/>
        <w:rPr>
          <w:rFonts w:ascii="Arial" w:cs="Arial" w:eastAsia="Arial" w:hAnsi="Arial"/>
          <w:sz w:val="19"/>
          <w:szCs w:val="19"/>
          <w:color w:val="010000"/>
        </w:rPr>
      </w:pPr>
    </w:p>
    <w:p>
      <w:pPr>
        <w:ind w:left="1440" w:hanging="784"/>
        <w:spacing w:after="0"/>
        <w:tabs>
          <w:tab w:leader="none" w:pos="1440" w:val="left"/>
        </w:tabs>
        <w:numPr>
          <w:ilvl w:val="0"/>
          <w:numId w:val="195"/>
        </w:numPr>
        <w:rPr>
          <w:rFonts w:ascii="Arial" w:cs="Arial" w:eastAsia="Arial" w:hAnsi="Arial"/>
          <w:sz w:val="22"/>
          <w:szCs w:val="22"/>
          <w:color w:val="010000"/>
        </w:rPr>
      </w:pPr>
      <w:r>
        <w:rPr>
          <w:rFonts w:ascii="Arial" w:cs="Arial" w:eastAsia="Arial" w:hAnsi="Arial"/>
          <w:sz w:val="22"/>
          <w:szCs w:val="22"/>
          <w:u w:val="single" w:color="auto"/>
          <w:color w:val="auto"/>
        </w:rPr>
        <w:t>Terms of the Private Placement Shares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firstLine="1304"/>
        <w:spacing w:after="0" w:line="277" w:lineRule="auto"/>
        <w:tabs>
          <w:tab w:leader="none" w:pos="2094" w:val="left"/>
        </w:tabs>
        <w:numPr>
          <w:ilvl w:val="1"/>
          <w:numId w:val="195"/>
        </w:numPr>
        <w:rPr>
          <w:rFonts w:ascii="Arial" w:cs="Arial" w:eastAsia="Arial" w:hAnsi="Arial"/>
          <w:sz w:val="19"/>
          <w:szCs w:val="19"/>
          <w:color w:val="010000"/>
        </w:rPr>
      </w:pPr>
      <w:r>
        <w:rPr>
          <w:rFonts w:ascii="Arial" w:cs="Arial" w:eastAsia="Arial" w:hAnsi="Arial"/>
          <w:sz w:val="19"/>
          <w:szCs w:val="19"/>
          <w:color w:val="auto"/>
        </w:rPr>
        <w:t>The Private Placement Shares are substantially identical to the Shares to be offered in the Public Offering except that (a) the Private Placement Shares will not, except in limited circumstances, be transferable or salable until 30 days after the completion of the Company’s initial business combination (the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so long as they are held by the Purchaser or its permitted transferees, and (b) the Private Placement Shares are being purchased pursuant to an exemption from the registration requirements of the Securities Act and will become freely tradable only after the expiration of the lockup described above in clause (a) and they are registered pursuant to the Registration and Shareholder Rights Agreement (as defined below) or an exemption from registration is available, and the restrictions described above in clause (a) have expired.</w:t>
      </w:r>
    </w:p>
    <w:p>
      <w:pPr>
        <w:spacing w:after="0" w:line="178" w:lineRule="exact"/>
        <w:rPr>
          <w:rFonts w:ascii="Arial" w:cs="Arial" w:eastAsia="Arial" w:hAnsi="Arial"/>
          <w:sz w:val="19"/>
          <w:szCs w:val="19"/>
          <w:color w:val="010000"/>
        </w:rPr>
      </w:pPr>
    </w:p>
    <w:p>
      <w:pPr>
        <w:ind w:right="140" w:firstLine="1304"/>
        <w:spacing w:after="0"/>
        <w:tabs>
          <w:tab w:leader="none" w:pos="2100" w:val="left"/>
        </w:tabs>
        <w:numPr>
          <w:ilvl w:val="1"/>
          <w:numId w:val="195"/>
        </w:numPr>
        <w:rPr>
          <w:rFonts w:ascii="Arial" w:cs="Arial" w:eastAsia="Arial" w:hAnsi="Arial"/>
          <w:sz w:val="22"/>
          <w:szCs w:val="22"/>
          <w:color w:val="010000"/>
        </w:rPr>
      </w:pPr>
      <w:r>
        <w:rPr>
          <w:rFonts w:ascii="Arial" w:cs="Arial" w:eastAsia="Arial" w:hAnsi="Arial"/>
          <w:sz w:val="22"/>
          <w:szCs w:val="22"/>
          <w:color w:val="auto"/>
        </w:rPr>
        <w:t>On the IPO Closing Date, the Company and the Purchaser shall enter into a registration and shareholder rights agreement (the “</w:t>
      </w:r>
      <w:r>
        <w:rPr>
          <w:rFonts w:ascii="Arial" w:cs="Arial" w:eastAsia="Arial" w:hAnsi="Arial"/>
          <w:sz w:val="22"/>
          <w:szCs w:val="22"/>
          <w:b w:val="1"/>
          <w:bCs w:val="1"/>
          <w:i w:val="1"/>
          <w:iCs w:val="1"/>
          <w:color w:val="auto"/>
        </w:rPr>
        <w:t>Registration and Shareholder Rights Agreement</w:t>
      </w:r>
      <w:r>
        <w:rPr>
          <w:rFonts w:ascii="Arial" w:cs="Arial" w:eastAsia="Arial" w:hAnsi="Arial"/>
          <w:sz w:val="22"/>
          <w:szCs w:val="22"/>
          <w:color w:val="auto"/>
        </w:rPr>
        <w:t>”) pursuant to which the Company will grant certain registration rights to the Purchaser relating to the Private Placement Shares.</w:t>
      </w:r>
    </w:p>
    <w:p>
      <w:pPr>
        <w:spacing w:after="0" w:line="207" w:lineRule="exact"/>
        <w:rPr>
          <w:sz w:val="20"/>
          <w:szCs w:val="20"/>
          <w:color w:val="auto"/>
        </w:rPr>
      </w:pPr>
    </w:p>
    <w:p>
      <w:pPr>
        <w:ind w:right="40" w:firstLine="648"/>
        <w:spacing w:after="0" w:line="243" w:lineRule="auto"/>
        <w:rPr>
          <w:sz w:val="20"/>
          <w:szCs w:val="20"/>
          <w:color w:val="auto"/>
        </w:rPr>
      </w:pPr>
      <w:r>
        <w:rPr>
          <w:rFonts w:ascii="Arial" w:cs="Arial" w:eastAsia="Arial" w:hAnsi="Arial"/>
          <w:sz w:val="22"/>
          <w:szCs w:val="22"/>
          <w:b w:val="1"/>
          <w:bCs w:val="1"/>
          <w:color w:val="010000"/>
        </w:rPr>
        <w:t xml:space="preserve">Section 2. </w:t>
      </w:r>
      <w:r>
        <w:rPr>
          <w:rFonts w:ascii="Arial" w:cs="Arial" w:eastAsia="Arial" w:hAnsi="Arial"/>
          <w:sz w:val="22"/>
          <w:szCs w:val="22"/>
          <w:b w:val="1"/>
          <w:bCs w:val="1"/>
          <w:color w:val="000000"/>
        </w:rPr>
        <w:t>Representations and Warranties of the Company</w:t>
      </w:r>
      <w:r>
        <w:rPr>
          <w:rFonts w:ascii="Arial" w:cs="Arial" w:eastAsia="Arial" w:hAnsi="Arial"/>
          <w:sz w:val="22"/>
          <w:szCs w:val="22"/>
          <w:color w:val="000000"/>
        </w:rPr>
        <w:t>. As a material inducement to the Purchaser to enter</w:t>
      </w:r>
      <w:r>
        <w:rPr>
          <w:rFonts w:ascii="Arial" w:cs="Arial" w:eastAsia="Arial" w:hAnsi="Arial"/>
          <w:sz w:val="22"/>
          <w:szCs w:val="22"/>
          <w:b w:val="1"/>
          <w:bCs w:val="1"/>
          <w:color w:val="010000"/>
        </w:rPr>
        <w:t xml:space="preserve"> </w:t>
      </w:r>
      <w:r>
        <w:rPr>
          <w:rFonts w:ascii="Arial" w:cs="Arial" w:eastAsia="Arial" w:hAnsi="Arial"/>
          <w:sz w:val="22"/>
          <w:szCs w:val="22"/>
          <w:color w:val="000000"/>
        </w:rPr>
        <w:t>into this Agreement and purchase the Private Placement Shares, the Company hereby represents and warrants to the Purchaser (which representations and warranties shall survive each Closing Date) that:</w:t>
      </w:r>
    </w:p>
    <w:p>
      <w:pPr>
        <w:spacing w:after="0" w:line="210" w:lineRule="exact"/>
        <w:rPr>
          <w:sz w:val="20"/>
          <w:szCs w:val="20"/>
          <w:color w:val="auto"/>
        </w:rPr>
      </w:pPr>
    </w:p>
    <w:p>
      <w:pPr>
        <w:ind w:right="140" w:firstLine="656"/>
        <w:spacing w:after="0" w:line="236" w:lineRule="auto"/>
        <w:tabs>
          <w:tab w:leader="none" w:pos="1452" w:val="left"/>
        </w:tabs>
        <w:numPr>
          <w:ilvl w:val="0"/>
          <w:numId w:val="196"/>
        </w:numPr>
        <w:rPr>
          <w:rFonts w:ascii="Arial" w:cs="Arial" w:eastAsia="Arial" w:hAnsi="Arial"/>
          <w:sz w:val="22"/>
          <w:szCs w:val="22"/>
          <w:color w:val="010000"/>
        </w:rPr>
      </w:pPr>
      <w:r>
        <w:rPr>
          <w:rFonts w:ascii="Arial" w:cs="Arial" w:eastAsia="Arial" w:hAnsi="Arial"/>
          <w:sz w:val="22"/>
          <w:szCs w:val="22"/>
          <w:u w:val="single" w:color="auto"/>
          <w:color w:val="auto"/>
        </w:rPr>
        <w:t>Incorporation and Corporate Power</w:t>
      </w:r>
      <w:r>
        <w:rPr>
          <w:rFonts w:ascii="Arial" w:cs="Arial" w:eastAsia="Arial" w:hAnsi="Arial"/>
          <w:sz w:val="22"/>
          <w:szCs w:val="22"/>
          <w:color w:val="auto"/>
        </w:rPr>
        <w:t>. The Company is an exempted company duly incorporated, validly existing and in good standing under the laws of the Cayman Islands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214" w:lineRule="exact"/>
        <w:rPr>
          <w:rFonts w:ascii="Arial" w:cs="Arial" w:eastAsia="Arial" w:hAnsi="Arial"/>
          <w:sz w:val="22"/>
          <w:szCs w:val="22"/>
          <w:color w:val="010000"/>
        </w:rPr>
      </w:pPr>
    </w:p>
    <w:p>
      <w:pPr>
        <w:ind w:left="1440" w:hanging="784"/>
        <w:spacing w:after="0"/>
        <w:tabs>
          <w:tab w:leader="none" w:pos="1440" w:val="left"/>
        </w:tabs>
        <w:numPr>
          <w:ilvl w:val="0"/>
          <w:numId w:val="196"/>
        </w:numPr>
        <w:rPr>
          <w:rFonts w:ascii="Arial" w:cs="Arial" w:eastAsia="Arial" w:hAnsi="Arial"/>
          <w:sz w:val="22"/>
          <w:szCs w:val="22"/>
          <w:color w:val="010000"/>
        </w:rPr>
      </w:pPr>
      <w:r>
        <w:rPr>
          <w:rFonts w:ascii="Arial" w:cs="Arial" w:eastAsia="Arial" w:hAnsi="Arial"/>
          <w:sz w:val="22"/>
          <w:szCs w:val="22"/>
          <w:u w:val="single" w:color="auto"/>
          <w:color w:val="auto"/>
        </w:rPr>
        <w:t>Authorization; No Breach</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8" w:name="page109"/>
    <w:bookmarkEnd w:id="108"/>
    <w:p>
      <w:pPr>
        <w:ind w:right="100" w:firstLine="1304"/>
        <w:spacing w:after="0" w:line="247" w:lineRule="auto"/>
        <w:tabs>
          <w:tab w:leader="none" w:pos="2094" w:val="left"/>
        </w:tabs>
        <w:numPr>
          <w:ilvl w:val="1"/>
          <w:numId w:val="197"/>
        </w:numPr>
        <w:rPr>
          <w:rFonts w:ascii="Arial" w:cs="Arial" w:eastAsia="Arial" w:hAnsi="Arial"/>
          <w:sz w:val="21"/>
          <w:szCs w:val="21"/>
          <w:color w:val="010000"/>
        </w:rPr>
      </w:pPr>
      <w:r>
        <w:rPr>
          <w:rFonts w:ascii="Arial" w:cs="Arial" w:eastAsia="Arial" w:hAnsi="Arial"/>
          <w:sz w:val="21"/>
          <w:szCs w:val="21"/>
          <w:color w:val="auto"/>
        </w:rPr>
        <w:t>The execution, delivery and performance of this Agreement and the Private Placement Shares have been duly authorized by the Company as of the date hereof. This Agreement constitutes the valid and binding obligation of the Company,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 Upon issuance in accordance with, and payment pursuant to, the terms of this Agreement, the Private Placement Shares will constitute valid and binding obligations of the Company, enforceable in accordance with their terms as of the Closing Date.</w:t>
      </w:r>
    </w:p>
    <w:p>
      <w:pPr>
        <w:spacing w:after="0" w:line="204" w:lineRule="exact"/>
        <w:rPr>
          <w:rFonts w:ascii="Arial" w:cs="Arial" w:eastAsia="Arial" w:hAnsi="Arial"/>
          <w:sz w:val="21"/>
          <w:szCs w:val="21"/>
          <w:color w:val="010000"/>
        </w:rPr>
      </w:pPr>
    </w:p>
    <w:p>
      <w:pPr>
        <w:ind w:firstLine="1304"/>
        <w:spacing w:after="0" w:line="273" w:lineRule="auto"/>
        <w:tabs>
          <w:tab w:leader="none" w:pos="2096" w:val="left"/>
        </w:tabs>
        <w:numPr>
          <w:ilvl w:val="1"/>
          <w:numId w:val="197"/>
        </w:numPr>
        <w:rPr>
          <w:rFonts w:ascii="Arial" w:cs="Arial" w:eastAsia="Arial" w:hAnsi="Arial"/>
          <w:sz w:val="19"/>
          <w:szCs w:val="19"/>
          <w:color w:val="010000"/>
        </w:rPr>
      </w:pPr>
      <w:r>
        <w:rPr>
          <w:rFonts w:ascii="Arial" w:cs="Arial" w:eastAsia="Arial" w:hAnsi="Arial"/>
          <w:sz w:val="19"/>
          <w:szCs w:val="19"/>
          <w:color w:val="auto"/>
        </w:rPr>
        <w:t>The execution and delivery by the Company of this Agreement and the Private Placement Shares, the issuance and sale of the Private Placement Shares and the fulfillment of and compliance with the respective terms hereof and thereof by the Company, do not and will not as of each Closing Date (a) conflict with or result in a breach of the terms, conditions or provisions of, (b) constitute a default under, (c) result in the creation of any lien, security interest, charge or encumbrance upon the Company’s share capital or assets under, (d) result in a violation of, or (e) require any authorization, consent, approval, exemption or other action by or notice or declaration to, or filing with, any court or administrative or governmental body or agency pursuant to the amended and restated memorandum and articles of association of the Company (in effect on the date hereof or as may be amended prior to completion of the contemplated Public Offering) or any material law, statute, rule or regulation to which the Company is subject, or any agreement, order, judgment or decree to which the Company is subject, except for any filings required after the date hereof under federal or state securities laws.</w:t>
      </w:r>
    </w:p>
    <w:p>
      <w:pPr>
        <w:spacing w:after="0" w:line="187" w:lineRule="exact"/>
        <w:rPr>
          <w:rFonts w:ascii="Arial" w:cs="Arial" w:eastAsia="Arial" w:hAnsi="Arial"/>
          <w:sz w:val="19"/>
          <w:szCs w:val="19"/>
          <w:color w:val="010000"/>
        </w:rPr>
      </w:pPr>
    </w:p>
    <w:p>
      <w:pPr>
        <w:ind w:firstLine="656"/>
        <w:spacing w:after="0" w:line="246" w:lineRule="auto"/>
        <w:tabs>
          <w:tab w:leader="none" w:pos="1440" w:val="left"/>
        </w:tabs>
        <w:numPr>
          <w:ilvl w:val="0"/>
          <w:numId w:val="198"/>
        </w:numPr>
        <w:rPr>
          <w:rFonts w:ascii="Arial" w:cs="Arial" w:eastAsia="Arial" w:hAnsi="Arial"/>
          <w:sz w:val="21"/>
          <w:szCs w:val="21"/>
          <w:color w:val="010000"/>
        </w:rPr>
      </w:pPr>
      <w:r>
        <w:rPr>
          <w:rFonts w:ascii="Arial" w:cs="Arial" w:eastAsia="Arial" w:hAnsi="Arial"/>
          <w:sz w:val="21"/>
          <w:szCs w:val="21"/>
          <w:u w:val="single" w:color="auto"/>
          <w:color w:val="auto"/>
        </w:rPr>
        <w:t>Title to Securities</w:t>
      </w:r>
      <w:r>
        <w:rPr>
          <w:rFonts w:ascii="Arial" w:cs="Arial" w:eastAsia="Arial" w:hAnsi="Arial"/>
          <w:sz w:val="21"/>
          <w:szCs w:val="21"/>
          <w:color w:val="auto"/>
        </w:rPr>
        <w:t>. Upon issuance in accordance with, and payment pursuant to, the terms hereof and upon registration in the Company’s register of members, the Private Placement Shares will be duly and validly issued, fully paid and nonassessable. Upon issuance in accordance with, and payment pursuant to, the terms hereof and upon registration in the Company’s register of members, the Purchaser will have good title to the Private Placement Shares purchased by it, free and clear of all liens, claims and encumbrances of any kind, other than (i) transfer restrictions hereunder and under the other agreements contemplated hereby, (ii) transfer restrictions under federal and state securities laws, and (iii) liens, claims or encumbrances imposed due to the actions of the Purchaser.</w:t>
      </w:r>
    </w:p>
    <w:p>
      <w:pPr>
        <w:spacing w:after="0" w:line="211" w:lineRule="exact"/>
        <w:rPr>
          <w:rFonts w:ascii="Arial" w:cs="Arial" w:eastAsia="Arial" w:hAnsi="Arial"/>
          <w:sz w:val="21"/>
          <w:szCs w:val="21"/>
          <w:color w:val="010000"/>
        </w:rPr>
      </w:pPr>
    </w:p>
    <w:p>
      <w:pPr>
        <w:ind w:right="260" w:firstLine="656"/>
        <w:spacing w:after="0" w:line="257" w:lineRule="auto"/>
        <w:tabs>
          <w:tab w:leader="none" w:pos="1452" w:val="left"/>
        </w:tabs>
        <w:numPr>
          <w:ilvl w:val="0"/>
          <w:numId w:val="198"/>
        </w:numPr>
        <w:rPr>
          <w:rFonts w:ascii="Arial" w:cs="Arial" w:eastAsia="Arial" w:hAnsi="Arial"/>
          <w:sz w:val="21"/>
          <w:szCs w:val="21"/>
          <w:color w:val="010000"/>
        </w:rPr>
      </w:pPr>
      <w:r>
        <w:rPr>
          <w:rFonts w:ascii="Arial" w:cs="Arial" w:eastAsia="Arial" w:hAnsi="Arial"/>
          <w:sz w:val="21"/>
          <w:szCs w:val="21"/>
          <w:u w:val="single" w:color="auto"/>
          <w:color w:val="auto"/>
        </w:rPr>
        <w:t>Governmental Consents</w:t>
      </w:r>
      <w:r>
        <w:rPr>
          <w:rFonts w:ascii="Arial" w:cs="Arial" w:eastAsia="Arial" w:hAnsi="Arial"/>
          <w:sz w:val="21"/>
          <w:szCs w:val="21"/>
          <w:color w:val="auto"/>
        </w:rPr>
        <w:t>. No permit, consent, approval or authorization of, or declaration to or filing with, any governmental authority is required in connection with the execution, delivery and performance by the Company of this Agreement or the consummation by the Company of any other transactions contemplated hereby.</w:t>
      </w:r>
    </w:p>
    <w:p>
      <w:pPr>
        <w:spacing w:after="0" w:line="196" w:lineRule="exact"/>
        <w:rPr>
          <w:rFonts w:ascii="Arial" w:cs="Arial" w:eastAsia="Arial" w:hAnsi="Arial"/>
          <w:sz w:val="21"/>
          <w:szCs w:val="21"/>
          <w:color w:val="010000"/>
        </w:rPr>
      </w:pPr>
    </w:p>
    <w:p>
      <w:pPr>
        <w:ind w:right="200" w:firstLine="656"/>
        <w:spacing w:after="0" w:line="257" w:lineRule="auto"/>
        <w:tabs>
          <w:tab w:leader="none" w:pos="1428" w:val="left"/>
        </w:tabs>
        <w:numPr>
          <w:ilvl w:val="0"/>
          <w:numId w:val="198"/>
        </w:numPr>
        <w:rPr>
          <w:rFonts w:ascii="Arial" w:cs="Arial" w:eastAsia="Arial" w:hAnsi="Arial"/>
          <w:sz w:val="21"/>
          <w:szCs w:val="21"/>
          <w:color w:val="010000"/>
        </w:rPr>
      </w:pPr>
      <w:r>
        <w:rPr>
          <w:rFonts w:ascii="Arial" w:cs="Arial" w:eastAsia="Arial" w:hAnsi="Arial"/>
          <w:sz w:val="21"/>
          <w:szCs w:val="21"/>
          <w:u w:val="single" w:color="auto"/>
          <w:color w:val="auto"/>
        </w:rPr>
        <w:t>Regulation D Qualification</w:t>
      </w:r>
      <w:r>
        <w:rPr>
          <w:rFonts w:ascii="Arial" w:cs="Arial" w:eastAsia="Arial" w:hAnsi="Arial"/>
          <w:sz w:val="21"/>
          <w:szCs w:val="21"/>
          <w:color w:val="auto"/>
        </w:rPr>
        <w:t>. Neither the Company nor, to its actual knowledge, any of its affiliates, members, officers, directors or beneficial shareholders of 20% or more of its outstanding securities, has experienced a disqualifying event as enumerated pursuant to Rule 506(d) of Regulation D under the Securities Act.</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b w:val="1"/>
          <w:bCs w:val="1"/>
          <w:color w:val="010000"/>
        </w:rPr>
        <w:t xml:space="preserve">Section 3. </w:t>
      </w:r>
      <w:r>
        <w:rPr>
          <w:rFonts w:ascii="Arial" w:cs="Arial" w:eastAsia="Arial" w:hAnsi="Arial"/>
          <w:sz w:val="21"/>
          <w:szCs w:val="21"/>
          <w:b w:val="1"/>
          <w:bCs w:val="1"/>
          <w:color w:val="000000"/>
        </w:rPr>
        <w:t>Representations and Warranties of the Purchaser</w:t>
      </w:r>
      <w:r>
        <w:rPr>
          <w:rFonts w:ascii="Arial" w:cs="Arial" w:eastAsia="Arial" w:hAnsi="Arial"/>
          <w:sz w:val="21"/>
          <w:szCs w:val="21"/>
          <w:color w:val="000000"/>
        </w:rPr>
        <w:t>. As a material inducement to the Company to enter</w:t>
      </w:r>
      <w:r>
        <w:rPr>
          <w:rFonts w:ascii="Arial" w:cs="Arial" w:eastAsia="Arial" w:hAnsi="Arial"/>
          <w:sz w:val="21"/>
          <w:szCs w:val="21"/>
          <w:b w:val="1"/>
          <w:bCs w:val="1"/>
          <w:color w:val="010000"/>
        </w:rPr>
        <w:t xml:space="preserve"> </w:t>
      </w:r>
      <w:r>
        <w:rPr>
          <w:rFonts w:ascii="Arial" w:cs="Arial" w:eastAsia="Arial" w:hAnsi="Arial"/>
          <w:sz w:val="21"/>
          <w:szCs w:val="21"/>
          <w:color w:val="000000"/>
        </w:rPr>
        <w:t>into this Agreement and issue and sell the Private Placement Shares to the Purchaser, the Purchaser hereby represents and warrants to the Company (which representations and warranties shall survive each Closing Date) that: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9" w:name="page110"/>
    <w:bookmarkEnd w:id="109"/>
    <w:p>
      <w:pPr>
        <w:ind w:left="-60" w:right="260" w:firstLine="656"/>
        <w:spacing w:after="0" w:line="251" w:lineRule="auto"/>
        <w:tabs>
          <w:tab w:leader="none" w:pos="1392" w:val="left"/>
        </w:tabs>
        <w:numPr>
          <w:ilvl w:val="0"/>
          <w:numId w:val="199"/>
        </w:numPr>
        <w:rPr>
          <w:rFonts w:ascii="Arial" w:cs="Arial" w:eastAsia="Arial" w:hAnsi="Arial"/>
          <w:sz w:val="22"/>
          <w:szCs w:val="22"/>
          <w:color w:val="010000"/>
        </w:rPr>
      </w:pPr>
      <w:r>
        <w:rPr>
          <w:rFonts w:ascii="Arial" w:cs="Arial" w:eastAsia="Arial" w:hAnsi="Arial"/>
          <w:sz w:val="22"/>
          <w:szCs w:val="22"/>
          <w:u w:val="single" w:color="auto"/>
          <w:color w:val="auto"/>
        </w:rPr>
        <w:t>Organization and Requisite Authority</w:t>
      </w:r>
      <w:r>
        <w:rPr>
          <w:rFonts w:ascii="Arial" w:cs="Arial" w:eastAsia="Arial" w:hAnsi="Arial"/>
          <w:sz w:val="22"/>
          <w:szCs w:val="22"/>
          <w:color w:val="auto"/>
        </w:rPr>
        <w:t>. The Purchaser possesses all requisite power and authority necessary to carry out the transactions contemplated by this Agreement.</w:t>
      </w:r>
    </w:p>
    <w:p>
      <w:pPr>
        <w:spacing w:after="0" w:line="200" w:lineRule="exact"/>
        <w:rPr>
          <w:rFonts w:ascii="Arial" w:cs="Arial" w:eastAsia="Arial" w:hAnsi="Arial"/>
          <w:sz w:val="22"/>
          <w:szCs w:val="22"/>
          <w:color w:val="010000"/>
        </w:rPr>
      </w:pPr>
    </w:p>
    <w:p>
      <w:pPr>
        <w:ind w:left="1380" w:hanging="784"/>
        <w:spacing w:after="0"/>
        <w:tabs>
          <w:tab w:leader="none" w:pos="1380" w:val="left"/>
        </w:tabs>
        <w:numPr>
          <w:ilvl w:val="0"/>
          <w:numId w:val="199"/>
        </w:numPr>
        <w:rPr>
          <w:rFonts w:ascii="Arial" w:cs="Arial" w:eastAsia="Arial" w:hAnsi="Arial"/>
          <w:sz w:val="22"/>
          <w:szCs w:val="22"/>
          <w:color w:val="010000"/>
        </w:rPr>
      </w:pPr>
      <w:r>
        <w:rPr>
          <w:rFonts w:ascii="Arial" w:cs="Arial" w:eastAsia="Arial" w:hAnsi="Arial"/>
          <w:sz w:val="22"/>
          <w:szCs w:val="22"/>
          <w:u w:val="single" w:color="auto"/>
          <w:color w:val="auto"/>
        </w:rPr>
        <w:t>Authorization; No Breach</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jc w:val="both"/>
        <w:ind w:left="-60" w:right="220" w:firstLine="1304"/>
        <w:spacing w:after="0" w:line="238" w:lineRule="auto"/>
        <w:tabs>
          <w:tab w:leader="none" w:pos="2034" w:val="left"/>
        </w:tabs>
        <w:numPr>
          <w:ilvl w:val="1"/>
          <w:numId w:val="199"/>
        </w:numPr>
        <w:rPr>
          <w:rFonts w:ascii="Arial" w:cs="Arial" w:eastAsia="Arial" w:hAnsi="Arial"/>
          <w:sz w:val="22"/>
          <w:szCs w:val="22"/>
          <w:color w:val="010000"/>
        </w:rPr>
      </w:pPr>
      <w:r>
        <w:rPr>
          <w:rFonts w:ascii="Arial" w:cs="Arial" w:eastAsia="Arial" w:hAnsi="Arial"/>
          <w:sz w:val="22"/>
          <w:szCs w:val="22"/>
          <w:color w:val="auto"/>
        </w:rPr>
        <w:t>This Agreement constitutes a valid and binding obligation of the Purchaser, enforceable in accordance with its terms, subject to bankruptcy, insolvency, fraudulent conveyance, reorganization, moratorium and other laws of general applicability relating to or affecting creditors’ rights and to general equitable principles (whether considered in a proceeding in equity or law).</w:t>
      </w:r>
    </w:p>
    <w:p>
      <w:pPr>
        <w:spacing w:after="0" w:line="211" w:lineRule="exact"/>
        <w:rPr>
          <w:rFonts w:ascii="Arial" w:cs="Arial" w:eastAsia="Arial" w:hAnsi="Arial"/>
          <w:sz w:val="22"/>
          <w:szCs w:val="22"/>
          <w:color w:val="010000"/>
        </w:rPr>
      </w:pPr>
    </w:p>
    <w:p>
      <w:pPr>
        <w:ind w:left="-60" w:firstLine="1304"/>
        <w:spacing w:after="0" w:line="274" w:lineRule="auto"/>
        <w:tabs>
          <w:tab w:leader="none" w:pos="2036" w:val="left"/>
        </w:tabs>
        <w:numPr>
          <w:ilvl w:val="1"/>
          <w:numId w:val="199"/>
        </w:numPr>
        <w:rPr>
          <w:rFonts w:ascii="Arial" w:cs="Arial" w:eastAsia="Arial" w:hAnsi="Arial"/>
          <w:sz w:val="19"/>
          <w:szCs w:val="19"/>
          <w:color w:val="010000"/>
        </w:rPr>
      </w:pPr>
      <w:r>
        <w:rPr>
          <w:rFonts w:ascii="Arial" w:cs="Arial" w:eastAsia="Arial" w:hAnsi="Arial"/>
          <w:sz w:val="19"/>
          <w:szCs w:val="19"/>
          <w:color w:val="auto"/>
        </w:rPr>
        <w:t>The execution and delivery by the Purchaser of this Agreement and the fulfillment of and compliance with the terms hereof by the Purchaser does not and shall not as of each Closing Date (a) conflict with or result in a breach by the Purchaser of the terms, conditions or provisions of, (b) constitute a default under, (c) result in the creation of any lien, security interest, charge or encumbrance upon the Purchaser’s equity or assets under, (d) result in a violation of, or (e) require authorization, consent, approval, exemption or other action by or notice or declaration to, or filing with, any court or administrative or governmental body or agency pursuant to the Purchaser’s organizational documents in effect on the date hereof or as may be amended prior to completion of the contemplated Public Offering, or any material law, statute, rule or regulation to which the Purchaser is subject, or any agreement, instrument, order, judgment or decree to which the Purchaser is subject, except for any filings required after the date hereof under federal or state securities laws.</w:t>
      </w:r>
    </w:p>
    <w:p>
      <w:pPr>
        <w:spacing w:after="0" w:line="185" w:lineRule="exact"/>
        <w:rPr>
          <w:rFonts w:ascii="Arial" w:cs="Arial" w:eastAsia="Arial" w:hAnsi="Arial"/>
          <w:sz w:val="19"/>
          <w:szCs w:val="19"/>
          <w:color w:val="010000"/>
        </w:rPr>
      </w:pPr>
    </w:p>
    <w:p>
      <w:pPr>
        <w:ind w:left="1380" w:hanging="784"/>
        <w:spacing w:after="0"/>
        <w:tabs>
          <w:tab w:leader="none" w:pos="1380" w:val="left"/>
        </w:tabs>
        <w:numPr>
          <w:ilvl w:val="0"/>
          <w:numId w:val="199"/>
        </w:numPr>
        <w:rPr>
          <w:rFonts w:ascii="Arial" w:cs="Arial" w:eastAsia="Arial" w:hAnsi="Arial"/>
          <w:sz w:val="22"/>
          <w:szCs w:val="22"/>
          <w:color w:val="010000"/>
        </w:rPr>
      </w:pPr>
      <w:r>
        <w:rPr>
          <w:rFonts w:ascii="Arial" w:cs="Arial" w:eastAsia="Arial" w:hAnsi="Arial"/>
          <w:sz w:val="22"/>
          <w:szCs w:val="22"/>
          <w:u w:val="single" w:color="auto"/>
          <w:color w:val="auto"/>
        </w:rPr>
        <w:t>Investment Representations</w:t>
      </w:r>
      <w:r>
        <w:rPr>
          <w:rFonts w:ascii="Arial" w:cs="Arial" w:eastAsia="Arial" w:hAnsi="Arial"/>
          <w:sz w:val="22"/>
          <w:szCs w:val="22"/>
          <w:color w:val="auto"/>
        </w:rPr>
        <w:t>.</w:t>
      </w:r>
    </w:p>
    <w:p>
      <w:pPr>
        <w:spacing w:after="0" w:line="233" w:lineRule="exact"/>
        <w:rPr>
          <w:rFonts w:ascii="Arial" w:cs="Arial" w:eastAsia="Arial" w:hAnsi="Arial"/>
          <w:sz w:val="22"/>
          <w:szCs w:val="22"/>
          <w:color w:val="010000"/>
        </w:rPr>
      </w:pPr>
    </w:p>
    <w:p>
      <w:pPr>
        <w:ind w:left="-60" w:right="300" w:firstLine="1304"/>
        <w:spacing w:after="0" w:line="274" w:lineRule="auto"/>
        <w:tabs>
          <w:tab w:leader="none" w:pos="2034" w:val="left"/>
        </w:tabs>
        <w:numPr>
          <w:ilvl w:val="1"/>
          <w:numId w:val="199"/>
        </w:numPr>
        <w:rPr>
          <w:rFonts w:ascii="Arial" w:cs="Arial" w:eastAsia="Arial" w:hAnsi="Arial"/>
          <w:sz w:val="21"/>
          <w:szCs w:val="21"/>
          <w:color w:val="010000"/>
        </w:rPr>
      </w:pPr>
      <w:r>
        <w:rPr>
          <w:rFonts w:ascii="Arial" w:cs="Arial" w:eastAsia="Arial" w:hAnsi="Arial"/>
          <w:sz w:val="21"/>
          <w:szCs w:val="21"/>
          <w:color w:val="auto"/>
        </w:rPr>
        <w:t>The Purchaser is acquiring the Private Placement Shares for its own account, for investment purposes only and not with a view towards, or for resale in connection with, any public sale or distribution thereof.</w:t>
      </w:r>
    </w:p>
    <w:p>
      <w:pPr>
        <w:spacing w:after="0" w:line="177" w:lineRule="exact"/>
        <w:rPr>
          <w:rFonts w:ascii="Arial" w:cs="Arial" w:eastAsia="Arial" w:hAnsi="Arial"/>
          <w:sz w:val="21"/>
          <w:szCs w:val="21"/>
          <w:color w:val="010000"/>
        </w:rPr>
      </w:pPr>
    </w:p>
    <w:p>
      <w:pPr>
        <w:ind w:left="-60" w:right="180" w:firstLine="1304"/>
        <w:spacing w:after="0"/>
        <w:tabs>
          <w:tab w:leader="none" w:pos="2036" w:val="left"/>
        </w:tabs>
        <w:numPr>
          <w:ilvl w:val="1"/>
          <w:numId w:val="199"/>
        </w:numPr>
        <w:rPr>
          <w:rFonts w:ascii="Arial" w:cs="Arial" w:eastAsia="Arial" w:hAnsi="Arial"/>
          <w:sz w:val="22"/>
          <w:szCs w:val="22"/>
          <w:color w:val="010000"/>
        </w:rPr>
      </w:pPr>
      <w:r>
        <w:rPr>
          <w:rFonts w:ascii="Arial" w:cs="Arial" w:eastAsia="Arial" w:hAnsi="Arial"/>
          <w:sz w:val="22"/>
          <w:szCs w:val="22"/>
          <w:color w:val="auto"/>
        </w:rPr>
        <w:t>The Purchaser is an “</w:t>
      </w:r>
      <w:r>
        <w:rPr>
          <w:rFonts w:ascii="Arial" w:cs="Arial" w:eastAsia="Arial" w:hAnsi="Arial"/>
          <w:sz w:val="22"/>
          <w:szCs w:val="22"/>
          <w:b w:val="1"/>
          <w:bCs w:val="1"/>
          <w:i w:val="1"/>
          <w:iCs w:val="1"/>
          <w:color w:val="auto"/>
        </w:rPr>
        <w:t>accredited investor</w:t>
      </w:r>
      <w:r>
        <w:rPr>
          <w:rFonts w:ascii="Arial" w:cs="Arial" w:eastAsia="Arial" w:hAnsi="Arial"/>
          <w:sz w:val="22"/>
          <w:szCs w:val="22"/>
          <w:color w:val="auto"/>
        </w:rPr>
        <w:t>” as such term is defined in Rule 501(a)(3) of Regulation D under the Securities Act, and the Purchaser has not experienced a disqualifying event as enumerated pursuant to Rule 506(d) of Regulation D under the Securities Act.</w:t>
      </w:r>
    </w:p>
    <w:p>
      <w:pPr>
        <w:spacing w:after="0" w:line="213" w:lineRule="exact"/>
        <w:rPr>
          <w:rFonts w:ascii="Arial" w:cs="Arial" w:eastAsia="Arial" w:hAnsi="Arial"/>
          <w:sz w:val="22"/>
          <w:szCs w:val="22"/>
          <w:color w:val="010000"/>
        </w:rPr>
      </w:pPr>
    </w:p>
    <w:p>
      <w:pPr>
        <w:ind w:left="-60" w:right="120" w:firstLine="1304"/>
        <w:spacing w:after="0" w:line="236" w:lineRule="auto"/>
        <w:tabs>
          <w:tab w:leader="none" w:pos="2046" w:val="left"/>
        </w:tabs>
        <w:numPr>
          <w:ilvl w:val="1"/>
          <w:numId w:val="199"/>
        </w:numPr>
        <w:rPr>
          <w:rFonts w:ascii="Arial" w:cs="Arial" w:eastAsia="Arial" w:hAnsi="Arial"/>
          <w:sz w:val="22"/>
          <w:szCs w:val="22"/>
          <w:color w:val="010000"/>
        </w:rPr>
      </w:pPr>
      <w:r>
        <w:rPr>
          <w:rFonts w:ascii="Arial" w:cs="Arial" w:eastAsia="Arial" w:hAnsi="Arial"/>
          <w:sz w:val="22"/>
          <w:szCs w:val="22"/>
          <w:color w:val="auto"/>
        </w:rPr>
        <w:t>The Purchaser understands that the Private Placement Shares are being offered and will be sold to it in reliance on specific exemptions from the registration requirements of the United States federal and state securities laws and that the Company is relying upon the truth and accuracy of, and the Purchaser’s compliance with, the representations and warranties of the Purchaser set forth herein in order to determine the availability of such exemptions and the eligibility of the Purchaser to acquire such Private Placement Shares.</w:t>
      </w:r>
    </w:p>
    <w:p>
      <w:pPr>
        <w:spacing w:after="0" w:line="214" w:lineRule="exact"/>
        <w:rPr>
          <w:rFonts w:ascii="Arial" w:cs="Arial" w:eastAsia="Arial" w:hAnsi="Arial"/>
          <w:sz w:val="22"/>
          <w:szCs w:val="22"/>
          <w:color w:val="010000"/>
        </w:rPr>
      </w:pPr>
    </w:p>
    <w:p>
      <w:pPr>
        <w:ind w:left="-60" w:right="620" w:firstLine="1304"/>
        <w:spacing w:after="0" w:line="274" w:lineRule="auto"/>
        <w:tabs>
          <w:tab w:leader="none" w:pos="2034" w:val="left"/>
        </w:tabs>
        <w:numPr>
          <w:ilvl w:val="1"/>
          <w:numId w:val="199"/>
        </w:numPr>
        <w:rPr>
          <w:rFonts w:ascii="Arial" w:cs="Arial" w:eastAsia="Arial" w:hAnsi="Arial"/>
          <w:sz w:val="21"/>
          <w:szCs w:val="21"/>
          <w:color w:val="010000"/>
        </w:rPr>
      </w:pPr>
      <w:r>
        <w:rPr>
          <w:rFonts w:ascii="Arial" w:cs="Arial" w:eastAsia="Arial" w:hAnsi="Arial"/>
          <w:sz w:val="21"/>
          <w:szCs w:val="21"/>
          <w:color w:val="auto"/>
        </w:rPr>
        <w:t>The Purchaser did not decide to enter into this Agreement as a result of any general solicitation or general advertising within the meaning of Rule 502(c) of Regulation D under the Securities Act.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8" w:right="399" w:bottom="1440" w:gutter="0" w:footer="0" w:header="0"/>
        </w:sectPr>
      </w:pPr>
    </w:p>
    <w:bookmarkStart w:id="110" w:name="page111"/>
    <w:bookmarkEnd w:id="110"/>
    <w:p>
      <w:pPr>
        <w:ind w:left="-20" w:firstLine="1304"/>
        <w:spacing w:after="0" w:line="248" w:lineRule="auto"/>
        <w:tabs>
          <w:tab w:leader="none" w:pos="2064" w:val="left"/>
        </w:tabs>
        <w:numPr>
          <w:ilvl w:val="0"/>
          <w:numId w:val="200"/>
        </w:numPr>
        <w:rPr>
          <w:rFonts w:ascii="Arial" w:cs="Arial" w:eastAsia="Arial" w:hAnsi="Arial"/>
          <w:sz w:val="21"/>
          <w:szCs w:val="21"/>
          <w:color w:val="010000"/>
        </w:rPr>
      </w:pPr>
      <w:r>
        <w:rPr>
          <w:rFonts w:ascii="Arial" w:cs="Arial" w:eastAsia="Arial" w:hAnsi="Arial"/>
          <w:sz w:val="21"/>
          <w:szCs w:val="21"/>
          <w:color w:val="auto"/>
        </w:rPr>
        <w:t>The Purchaser has been furnished with all materials relating to the business, finances and operations of the Company and materials relating to the offer and sale of the Private Placement Shares which have been requested by the Purchaser. The Purchaser has been afforded the opportunity to ask questions of the executive officers and directors of the Company. The Purchaser understands that its investment in the Private Placement Shares involves a high degree of risk and it has sought such accounting, legal and tax advice as it has considered necessary to make an informed investment decision with respect to the acquisition of the Private Placement Shares.</w:t>
      </w:r>
    </w:p>
    <w:p>
      <w:pPr>
        <w:spacing w:after="0" w:line="204" w:lineRule="exact"/>
        <w:rPr>
          <w:rFonts w:ascii="Arial" w:cs="Arial" w:eastAsia="Arial" w:hAnsi="Arial"/>
          <w:sz w:val="21"/>
          <w:szCs w:val="21"/>
          <w:color w:val="010000"/>
        </w:rPr>
      </w:pPr>
    </w:p>
    <w:p>
      <w:pPr>
        <w:ind w:left="-20" w:right="20" w:firstLine="1304"/>
        <w:spacing w:after="0" w:line="238" w:lineRule="auto"/>
        <w:tabs>
          <w:tab w:leader="none" w:pos="2074" w:val="left"/>
        </w:tabs>
        <w:numPr>
          <w:ilvl w:val="0"/>
          <w:numId w:val="200"/>
        </w:numPr>
        <w:rPr>
          <w:rFonts w:ascii="Arial" w:cs="Arial" w:eastAsia="Arial" w:hAnsi="Arial"/>
          <w:sz w:val="22"/>
          <w:szCs w:val="22"/>
          <w:color w:val="010000"/>
        </w:rPr>
      </w:pPr>
      <w:r>
        <w:rPr>
          <w:rFonts w:ascii="Arial" w:cs="Arial" w:eastAsia="Arial" w:hAnsi="Arial"/>
          <w:sz w:val="22"/>
          <w:szCs w:val="22"/>
          <w:color w:val="auto"/>
        </w:rPr>
        <w:t>The Purchaser understands that no United States federal or state agency or any other government or governmental agency has passed on or made any recommendation or endorsement of the Private Placement Shares or the fairness or suitability of the investment in the Private Placement Shares by the Purchaser nor have such authorities passed upon or endorsed the merits of the offering of the Private Placement Shares.</w:t>
      </w:r>
    </w:p>
    <w:p>
      <w:pPr>
        <w:spacing w:after="0" w:line="211" w:lineRule="exact"/>
        <w:rPr>
          <w:rFonts w:ascii="Arial" w:cs="Arial" w:eastAsia="Arial" w:hAnsi="Arial"/>
          <w:sz w:val="22"/>
          <w:szCs w:val="22"/>
          <w:color w:val="010000"/>
        </w:rPr>
      </w:pPr>
    </w:p>
    <w:p>
      <w:pPr>
        <w:ind w:left="-20" w:right="20" w:firstLine="1304"/>
        <w:spacing w:after="0" w:line="273" w:lineRule="auto"/>
        <w:tabs>
          <w:tab w:leader="none" w:pos="2080" w:val="left"/>
        </w:tabs>
        <w:numPr>
          <w:ilvl w:val="0"/>
          <w:numId w:val="200"/>
        </w:numPr>
        <w:rPr>
          <w:rFonts w:ascii="Arial" w:cs="Arial" w:eastAsia="Arial" w:hAnsi="Arial"/>
          <w:sz w:val="19"/>
          <w:szCs w:val="19"/>
          <w:color w:val="010000"/>
        </w:rPr>
      </w:pPr>
      <w:r>
        <w:rPr>
          <w:rFonts w:ascii="Arial" w:cs="Arial" w:eastAsia="Arial" w:hAnsi="Arial"/>
          <w:sz w:val="19"/>
          <w:szCs w:val="19"/>
          <w:color w:val="auto"/>
        </w:rPr>
        <w:t>The Purchaser understands that: (a) the Private Placement Shares have not been and are not being registered under the Securities Act or any state securities laws, and may not be offered for sale, sold, assigned or transferred unless (1) subsequently registered thereunder or (2) sold in reliance on an exemption therefrom; and (b) except as specifically set forth in the Registration and Shareholder Rights Agreement, neither the Company nor any other person is under any obligation to register the Private Placement Shares under the Securities Act or any state securities laws or to comply with the terms and conditions of any exemption thereunder. In this regard, the Purchaser understands that the SEC has taken the position that promoters or affiliates of a blank check company and their transferees, both before and after an initial Business Combination, are deemed to be “</w:t>
      </w:r>
      <w:r>
        <w:rPr>
          <w:rFonts w:ascii="Arial" w:cs="Arial" w:eastAsia="Arial" w:hAnsi="Arial"/>
          <w:sz w:val="19"/>
          <w:szCs w:val="19"/>
          <w:b w:val="1"/>
          <w:bCs w:val="1"/>
          <w:i w:val="1"/>
          <w:iCs w:val="1"/>
          <w:color w:val="auto"/>
        </w:rPr>
        <w:t>underwriters</w:t>
      </w:r>
      <w:r>
        <w:rPr>
          <w:rFonts w:ascii="Arial" w:cs="Arial" w:eastAsia="Arial" w:hAnsi="Arial"/>
          <w:sz w:val="19"/>
          <w:szCs w:val="19"/>
          <w:color w:val="auto"/>
        </w:rPr>
        <w:t>” under the Securities Act when reselling the securities of a blank check company. Based on that position, Rule 144 adopted pursuant to the Securities Act would not be available for resale transactions of the Private Placement Shares despite technical compliance with the requirements of such Rule, and the Private Placement Shares can be resold only through a registered offering or in reliance upon another exemption from the registration requirements of the Securities Act.</w:t>
      </w:r>
    </w:p>
    <w:p>
      <w:pPr>
        <w:spacing w:after="0" w:line="182" w:lineRule="exact"/>
        <w:rPr>
          <w:rFonts w:ascii="Arial" w:cs="Arial" w:eastAsia="Arial" w:hAnsi="Arial"/>
          <w:sz w:val="19"/>
          <w:szCs w:val="19"/>
          <w:color w:val="010000"/>
        </w:rPr>
      </w:pPr>
    </w:p>
    <w:p>
      <w:pPr>
        <w:ind w:left="-20" w:right="120" w:firstLine="1304"/>
        <w:spacing w:after="0" w:line="277" w:lineRule="auto"/>
        <w:tabs>
          <w:tab w:leader="none" w:pos="2086" w:val="left"/>
        </w:tabs>
        <w:numPr>
          <w:ilvl w:val="0"/>
          <w:numId w:val="200"/>
        </w:numPr>
        <w:rPr>
          <w:rFonts w:ascii="Arial" w:cs="Arial" w:eastAsia="Arial" w:hAnsi="Arial"/>
          <w:sz w:val="19"/>
          <w:szCs w:val="19"/>
          <w:color w:val="010000"/>
        </w:rPr>
      </w:pPr>
      <w:r>
        <w:rPr>
          <w:rFonts w:ascii="Arial" w:cs="Arial" w:eastAsia="Arial" w:hAnsi="Arial"/>
          <w:sz w:val="19"/>
          <w:szCs w:val="19"/>
          <w:color w:val="auto"/>
        </w:rPr>
        <w:t>The Purchaser has such knowledge and experience in financial and business matters, knowledge of the high degree of risk associated with investments in the securities of companies in the development stage such as the Company, is capable of evaluating the merits and risks of an investment in the Private Placement Shares and is able to bear the economic risk of an investment in the Private Placement Shares in the amount contemplated hereunder for an indefinite period of time. The Purchaser has adequate means of providing for its current financial needs and contingencies and will have no current or anticipated future needs for liquidity which would be jeopardized by the investment in the Private Placement Shares. The Purchaser can afford a complete loss of its investments in the Private Placement Shares.</w:t>
      </w:r>
    </w:p>
    <w:p>
      <w:pPr>
        <w:spacing w:after="0" w:line="178" w:lineRule="exact"/>
        <w:rPr>
          <w:rFonts w:ascii="Arial" w:cs="Arial" w:eastAsia="Arial" w:hAnsi="Arial"/>
          <w:sz w:val="19"/>
          <w:szCs w:val="19"/>
          <w:color w:val="010000"/>
        </w:rPr>
      </w:pPr>
    </w:p>
    <w:p>
      <w:pPr>
        <w:ind w:left="-20" w:right="760" w:firstLine="1304"/>
        <w:spacing w:after="0" w:line="250" w:lineRule="auto"/>
        <w:tabs>
          <w:tab w:leader="none" w:pos="2074" w:val="left"/>
        </w:tabs>
        <w:numPr>
          <w:ilvl w:val="0"/>
          <w:numId w:val="200"/>
        </w:numPr>
        <w:rPr>
          <w:rFonts w:ascii="Arial" w:cs="Arial" w:eastAsia="Arial" w:hAnsi="Arial"/>
          <w:sz w:val="22"/>
          <w:szCs w:val="22"/>
          <w:color w:val="010000"/>
        </w:rPr>
      </w:pPr>
      <w:r>
        <w:rPr>
          <w:rFonts w:ascii="Arial" w:cs="Arial" w:eastAsia="Arial" w:hAnsi="Arial"/>
          <w:sz w:val="22"/>
          <w:szCs w:val="22"/>
          <w:color w:val="auto"/>
        </w:rPr>
        <w:t>The Purchaser understands that the Private Placement Shares shall bear the following legend and appropriate “stop transfer restrictions”: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11" w:name="page112"/>
    <w:bookmarkEnd w:id="111"/>
    <w:p>
      <w:pPr>
        <w:ind w:right="160" w:firstLine="648"/>
        <w:spacing w:after="0" w:line="235" w:lineRule="auto"/>
        <w:rPr>
          <w:sz w:val="20"/>
          <w:szCs w:val="20"/>
          <w:color w:val="auto"/>
        </w:rPr>
      </w:pPr>
      <w:r>
        <w:rPr>
          <w:rFonts w:ascii="Arial" w:cs="Arial" w:eastAsia="Arial" w:hAnsi="Arial"/>
          <w:sz w:val="22"/>
          <w:szCs w:val="22"/>
          <w:color w:val="auto"/>
        </w:rPr>
        <w:t>“THE SECURITIES REPRESENTED HEREBY HAVE NOT BEEN REGISTERED UNDER THE UNITED STATES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215"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THE SECURITIES REPRESENTED BY THIS CERTIFICATE ARE SUBJECT TO LOCKUP PROVISIONS AND MAY NOT BE OFFERED, SOLD, TRANSFERRED, PLEDGED OR OTHERWISE DISPOSED OF DURING THE TERM OF THE LOCKUP.”</w:t>
      </w:r>
    </w:p>
    <w:p>
      <w:pPr>
        <w:spacing w:after="0" w:line="207" w:lineRule="exact"/>
        <w:rPr>
          <w:sz w:val="20"/>
          <w:szCs w:val="20"/>
          <w:color w:val="auto"/>
        </w:rPr>
      </w:pPr>
    </w:p>
    <w:p>
      <w:pPr>
        <w:jc w:val="both"/>
        <w:ind w:right="180" w:firstLine="648"/>
        <w:spacing w:after="0" w:line="334" w:lineRule="auto"/>
        <w:rPr>
          <w:sz w:val="20"/>
          <w:szCs w:val="20"/>
          <w:color w:val="auto"/>
        </w:rPr>
      </w:pPr>
      <w:r>
        <w:rPr>
          <w:rFonts w:ascii="Arial" w:cs="Arial" w:eastAsia="Arial" w:hAnsi="Arial"/>
          <w:sz w:val="19"/>
          <w:szCs w:val="19"/>
          <w:b w:val="1"/>
          <w:bCs w:val="1"/>
          <w:color w:val="010000"/>
        </w:rPr>
        <w:t xml:space="preserve">Section 4. </w:t>
      </w:r>
      <w:r>
        <w:rPr>
          <w:rFonts w:ascii="Arial" w:cs="Arial" w:eastAsia="Arial" w:hAnsi="Arial"/>
          <w:sz w:val="19"/>
          <w:szCs w:val="19"/>
          <w:b w:val="1"/>
          <w:bCs w:val="1"/>
          <w:color w:val="000000"/>
        </w:rPr>
        <w:t>Conditions of the Purchaser’s Obligations</w:t>
      </w:r>
      <w:r>
        <w:rPr>
          <w:rFonts w:ascii="Arial" w:cs="Arial" w:eastAsia="Arial" w:hAnsi="Arial"/>
          <w:sz w:val="19"/>
          <w:szCs w:val="19"/>
          <w:color w:val="000000"/>
        </w:rPr>
        <w:t>. The obligations of the Purchaser to purchase and pay for</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Private Placement Shares are subject to the fulfillment, on or before each Closing Date, of each of the following conditions:</w:t>
      </w:r>
    </w:p>
    <w:p>
      <w:pPr>
        <w:spacing w:after="0" w:line="127" w:lineRule="exact"/>
        <w:rPr>
          <w:sz w:val="20"/>
          <w:szCs w:val="20"/>
          <w:color w:val="auto"/>
        </w:rPr>
      </w:pPr>
    </w:p>
    <w:p>
      <w:pPr>
        <w:ind w:right="20" w:firstLine="656"/>
        <w:spacing w:after="0" w:line="250" w:lineRule="auto"/>
        <w:tabs>
          <w:tab w:leader="none" w:pos="1452" w:val="left"/>
        </w:tabs>
        <w:numPr>
          <w:ilvl w:val="0"/>
          <w:numId w:val="201"/>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of the Company contained in Section 2 shall be true and correct at and as of such Closing Date as though then made.</w:t>
      </w:r>
    </w:p>
    <w:p>
      <w:pPr>
        <w:spacing w:after="0" w:line="201" w:lineRule="exact"/>
        <w:rPr>
          <w:rFonts w:ascii="Arial" w:cs="Arial" w:eastAsia="Arial" w:hAnsi="Arial"/>
          <w:sz w:val="22"/>
          <w:szCs w:val="22"/>
          <w:color w:val="010000"/>
        </w:rPr>
      </w:pPr>
    </w:p>
    <w:p>
      <w:pPr>
        <w:ind w:right="100" w:firstLine="656"/>
        <w:spacing w:after="0" w:line="328" w:lineRule="auto"/>
        <w:tabs>
          <w:tab w:leader="none" w:pos="1440" w:val="left"/>
        </w:tabs>
        <w:numPr>
          <w:ilvl w:val="0"/>
          <w:numId w:val="201"/>
        </w:numPr>
        <w:rPr>
          <w:rFonts w:ascii="Arial" w:cs="Arial" w:eastAsia="Arial" w:hAnsi="Arial"/>
          <w:sz w:val="19"/>
          <w:szCs w:val="19"/>
          <w:color w:val="010000"/>
        </w:rPr>
      </w:pPr>
      <w:r>
        <w:rPr>
          <w:rFonts w:ascii="Arial" w:cs="Arial" w:eastAsia="Arial" w:hAnsi="Arial"/>
          <w:sz w:val="19"/>
          <w:szCs w:val="19"/>
          <w:u w:val="single" w:color="auto"/>
          <w:color w:val="auto"/>
        </w:rPr>
        <w:t>Performance</w:t>
      </w:r>
      <w:r>
        <w:rPr>
          <w:rFonts w:ascii="Arial" w:cs="Arial" w:eastAsia="Arial" w:hAnsi="Arial"/>
          <w:sz w:val="19"/>
          <w:szCs w:val="19"/>
          <w:color w:val="auto"/>
        </w:rPr>
        <w:t>. The Company shall have performed and complied with all agreements, obligations and conditions contained in this Agreement that are required to be performed or complied with by it on or before such Closing Date.</w:t>
      </w:r>
    </w:p>
    <w:p>
      <w:pPr>
        <w:spacing w:after="0" w:line="131" w:lineRule="exact"/>
        <w:rPr>
          <w:rFonts w:ascii="Arial" w:cs="Arial" w:eastAsia="Arial" w:hAnsi="Arial"/>
          <w:sz w:val="19"/>
          <w:szCs w:val="19"/>
          <w:color w:val="010000"/>
        </w:rPr>
      </w:pPr>
    </w:p>
    <w:p>
      <w:pPr>
        <w:ind w:right="100" w:firstLine="656"/>
        <w:spacing w:after="0" w:line="238" w:lineRule="auto"/>
        <w:tabs>
          <w:tab w:leader="none" w:pos="1440" w:val="left"/>
        </w:tabs>
        <w:numPr>
          <w:ilvl w:val="0"/>
          <w:numId w:val="201"/>
        </w:numPr>
        <w:rPr>
          <w:rFonts w:ascii="Arial" w:cs="Arial" w:eastAsia="Arial" w:hAnsi="Arial"/>
          <w:sz w:val="22"/>
          <w:szCs w:val="22"/>
          <w:color w:val="010000"/>
        </w:rPr>
      </w:pPr>
      <w:r>
        <w:rPr>
          <w:rFonts w:ascii="Arial" w:cs="Arial" w:eastAsia="Arial" w:hAnsi="Arial"/>
          <w:sz w:val="22"/>
          <w:szCs w:val="22"/>
          <w:u w:val="single" w:color="auto"/>
          <w:color w:val="auto"/>
        </w:rPr>
        <w:t>No Injunction</w:t>
      </w:r>
      <w:r>
        <w:rPr>
          <w:rFonts w:ascii="Arial" w:cs="Arial" w:eastAsia="Arial" w:hAnsi="Arial"/>
          <w:sz w:val="22"/>
          <w:szCs w:val="22"/>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211" w:lineRule="exact"/>
        <w:rPr>
          <w:rFonts w:ascii="Arial" w:cs="Arial" w:eastAsia="Arial" w:hAnsi="Arial"/>
          <w:sz w:val="22"/>
          <w:szCs w:val="22"/>
          <w:color w:val="010000"/>
        </w:rPr>
      </w:pPr>
    </w:p>
    <w:p>
      <w:pPr>
        <w:ind w:right="480" w:firstLine="656"/>
        <w:spacing w:after="0" w:line="328" w:lineRule="auto"/>
        <w:tabs>
          <w:tab w:leader="none" w:pos="1452" w:val="left"/>
        </w:tabs>
        <w:numPr>
          <w:ilvl w:val="0"/>
          <w:numId w:val="201"/>
        </w:numPr>
        <w:rPr>
          <w:rFonts w:ascii="Arial" w:cs="Arial" w:eastAsia="Arial" w:hAnsi="Arial"/>
          <w:sz w:val="19"/>
          <w:szCs w:val="19"/>
          <w:color w:val="010000"/>
        </w:rPr>
      </w:pPr>
      <w:r>
        <w:rPr>
          <w:rFonts w:ascii="Arial" w:cs="Arial" w:eastAsia="Arial" w:hAnsi="Arial"/>
          <w:sz w:val="19"/>
          <w:szCs w:val="19"/>
          <w:u w:val="single" w:color="auto"/>
          <w:color w:val="auto"/>
        </w:rPr>
        <w:t>Registration and Shareholder Rights Agreement</w:t>
      </w:r>
      <w:r>
        <w:rPr>
          <w:rFonts w:ascii="Arial" w:cs="Arial" w:eastAsia="Arial" w:hAnsi="Arial"/>
          <w:sz w:val="19"/>
          <w:szCs w:val="19"/>
          <w:color w:val="auto"/>
        </w:rPr>
        <w:t>. The Company shall have entered into the Registration and Shareholder Rights Agreement, in the form of Exhibit A hereto, on terms satisfactory to the Purchaser.</w:t>
      </w:r>
    </w:p>
    <w:p>
      <w:pPr>
        <w:spacing w:after="0" w:line="126" w:lineRule="exact"/>
        <w:rPr>
          <w:sz w:val="20"/>
          <w:szCs w:val="20"/>
          <w:color w:val="auto"/>
        </w:rPr>
      </w:pPr>
    </w:p>
    <w:p>
      <w:pPr>
        <w:ind w:right="320" w:firstLine="648"/>
        <w:spacing w:after="0" w:line="334" w:lineRule="auto"/>
        <w:rPr>
          <w:sz w:val="20"/>
          <w:szCs w:val="20"/>
          <w:color w:val="auto"/>
        </w:rPr>
      </w:pPr>
      <w:r>
        <w:rPr>
          <w:rFonts w:ascii="Arial" w:cs="Arial" w:eastAsia="Arial" w:hAnsi="Arial"/>
          <w:sz w:val="19"/>
          <w:szCs w:val="19"/>
          <w:b w:val="1"/>
          <w:bCs w:val="1"/>
          <w:color w:val="010000"/>
        </w:rPr>
        <w:t xml:space="preserve">Section 5. </w:t>
      </w:r>
      <w:r>
        <w:rPr>
          <w:rFonts w:ascii="Arial" w:cs="Arial" w:eastAsia="Arial" w:hAnsi="Arial"/>
          <w:sz w:val="19"/>
          <w:szCs w:val="19"/>
          <w:b w:val="1"/>
          <w:bCs w:val="1"/>
          <w:color w:val="000000"/>
        </w:rPr>
        <w:t>Conditions of the Company’s Obligations</w:t>
      </w:r>
      <w:r>
        <w:rPr>
          <w:rFonts w:ascii="Arial" w:cs="Arial" w:eastAsia="Arial" w:hAnsi="Arial"/>
          <w:sz w:val="19"/>
          <w:szCs w:val="19"/>
          <w:color w:val="000000"/>
        </w:rPr>
        <w:t>. The obligations of the Company to the Purchaser under</w:t>
      </w:r>
      <w:r>
        <w:rPr>
          <w:rFonts w:ascii="Arial" w:cs="Arial" w:eastAsia="Arial" w:hAnsi="Arial"/>
          <w:sz w:val="19"/>
          <w:szCs w:val="19"/>
          <w:b w:val="1"/>
          <w:bCs w:val="1"/>
          <w:color w:val="010000"/>
        </w:rPr>
        <w:t xml:space="preserve"> </w:t>
      </w:r>
      <w:r>
        <w:rPr>
          <w:rFonts w:ascii="Arial" w:cs="Arial" w:eastAsia="Arial" w:hAnsi="Arial"/>
          <w:sz w:val="19"/>
          <w:szCs w:val="19"/>
          <w:color w:val="000000"/>
        </w:rPr>
        <w:t>this Agreement are subject to the fulfillment, on or before each Closing Date, of each of the following conditions:</w:t>
      </w:r>
    </w:p>
    <w:p>
      <w:pPr>
        <w:spacing w:after="0" w:line="127" w:lineRule="exact"/>
        <w:rPr>
          <w:sz w:val="20"/>
          <w:szCs w:val="20"/>
          <w:color w:val="auto"/>
        </w:rPr>
      </w:pPr>
    </w:p>
    <w:p>
      <w:pPr>
        <w:ind w:firstLine="656"/>
        <w:spacing w:after="0" w:line="250" w:lineRule="auto"/>
        <w:tabs>
          <w:tab w:leader="none" w:pos="1452" w:val="left"/>
        </w:tabs>
        <w:numPr>
          <w:ilvl w:val="0"/>
          <w:numId w:val="202"/>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The representations and warranties of the Purchaser contained in Section 3 shall be true and correct at and as of such Closing Date as though then made.</w:t>
      </w:r>
    </w:p>
    <w:p>
      <w:pPr>
        <w:spacing w:after="0" w:line="201" w:lineRule="exact"/>
        <w:rPr>
          <w:rFonts w:ascii="Arial" w:cs="Arial" w:eastAsia="Arial" w:hAnsi="Arial"/>
          <w:sz w:val="22"/>
          <w:szCs w:val="22"/>
          <w:color w:val="010000"/>
        </w:rPr>
      </w:pPr>
    </w:p>
    <w:p>
      <w:pPr>
        <w:jc w:val="both"/>
        <w:ind w:right="40" w:firstLine="656"/>
        <w:spacing w:after="0" w:line="328" w:lineRule="auto"/>
        <w:tabs>
          <w:tab w:leader="none" w:pos="1440" w:val="left"/>
        </w:tabs>
        <w:numPr>
          <w:ilvl w:val="0"/>
          <w:numId w:val="202"/>
        </w:numPr>
        <w:rPr>
          <w:rFonts w:ascii="Arial" w:cs="Arial" w:eastAsia="Arial" w:hAnsi="Arial"/>
          <w:sz w:val="19"/>
          <w:szCs w:val="19"/>
          <w:color w:val="010000"/>
        </w:rPr>
      </w:pPr>
      <w:r>
        <w:rPr>
          <w:rFonts w:ascii="Arial" w:cs="Arial" w:eastAsia="Arial" w:hAnsi="Arial"/>
          <w:sz w:val="19"/>
          <w:szCs w:val="19"/>
          <w:u w:val="single" w:color="auto"/>
          <w:color w:val="auto"/>
        </w:rPr>
        <w:t>Performance</w:t>
      </w:r>
      <w:r>
        <w:rPr>
          <w:rFonts w:ascii="Arial" w:cs="Arial" w:eastAsia="Arial" w:hAnsi="Arial"/>
          <w:sz w:val="19"/>
          <w:szCs w:val="19"/>
          <w:color w:val="auto"/>
        </w:rPr>
        <w:t>. The Purchaser shall have performed and complied with all agreements, obligations and conditions contained in this Agreement that are required to be performed or complied with by the Purchaser on or before such Closing Date.</w:t>
      </w:r>
    </w:p>
    <w:p>
      <w:pPr>
        <w:spacing w:after="0" w:line="131" w:lineRule="exact"/>
        <w:rPr>
          <w:rFonts w:ascii="Arial" w:cs="Arial" w:eastAsia="Arial" w:hAnsi="Arial"/>
          <w:sz w:val="19"/>
          <w:szCs w:val="19"/>
          <w:color w:val="010000"/>
        </w:rPr>
      </w:pPr>
    </w:p>
    <w:p>
      <w:pPr>
        <w:ind w:right="440" w:firstLine="656"/>
        <w:spacing w:after="0" w:line="328" w:lineRule="auto"/>
        <w:tabs>
          <w:tab w:leader="none" w:pos="1440" w:val="left"/>
        </w:tabs>
        <w:numPr>
          <w:ilvl w:val="0"/>
          <w:numId w:val="202"/>
        </w:numPr>
        <w:rPr>
          <w:rFonts w:ascii="Arial" w:cs="Arial" w:eastAsia="Arial" w:hAnsi="Arial"/>
          <w:sz w:val="19"/>
          <w:szCs w:val="19"/>
          <w:color w:val="010000"/>
        </w:rPr>
      </w:pPr>
      <w:r>
        <w:rPr>
          <w:rFonts w:ascii="Arial" w:cs="Arial" w:eastAsia="Arial" w:hAnsi="Arial"/>
          <w:sz w:val="19"/>
          <w:szCs w:val="19"/>
          <w:u w:val="single" w:color="auto"/>
          <w:color w:val="auto"/>
        </w:rPr>
        <w:t>Corporate Consents</w:t>
      </w:r>
      <w:r>
        <w:rPr>
          <w:rFonts w:ascii="Arial" w:cs="Arial" w:eastAsia="Arial" w:hAnsi="Arial"/>
          <w:sz w:val="19"/>
          <w:szCs w:val="19"/>
          <w:color w:val="auto"/>
        </w:rPr>
        <w:t>. The Company shall have obtained the consent of its board of directors authorizing the execution, delivery and performance of this Agreement and the issuance and sale of the Private Placement Shares hereunder.</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2" w:name="page113"/>
    <w:bookmarkEnd w:id="112"/>
    <w:p>
      <w:pPr>
        <w:ind w:left="-20" w:right="120" w:firstLine="656"/>
        <w:spacing w:after="0" w:line="238" w:lineRule="auto"/>
        <w:tabs>
          <w:tab w:leader="none" w:pos="1432" w:val="left"/>
        </w:tabs>
        <w:numPr>
          <w:ilvl w:val="0"/>
          <w:numId w:val="203"/>
        </w:numPr>
        <w:rPr>
          <w:rFonts w:ascii="Arial" w:cs="Arial" w:eastAsia="Arial" w:hAnsi="Arial"/>
          <w:sz w:val="22"/>
          <w:szCs w:val="22"/>
          <w:color w:val="010000"/>
        </w:rPr>
      </w:pPr>
      <w:r>
        <w:rPr>
          <w:rFonts w:ascii="Arial" w:cs="Arial" w:eastAsia="Arial" w:hAnsi="Arial"/>
          <w:sz w:val="22"/>
          <w:szCs w:val="22"/>
          <w:u w:val="single" w:color="auto"/>
          <w:color w:val="auto"/>
        </w:rPr>
        <w:t>No Injunction</w:t>
      </w:r>
      <w:r>
        <w:rPr>
          <w:rFonts w:ascii="Arial" w:cs="Arial" w:eastAsia="Arial" w:hAnsi="Arial"/>
          <w:sz w:val="22"/>
          <w:szCs w:val="22"/>
          <w:color w:val="auto"/>
        </w:rPr>
        <w:t>. No litigation, statute, rule, regulation, executive order, decree, ruling or injunction shall have been enacted, entered, promulgated or endorsed by or in any court or governmental authority of competent jurisdiction or any self-regulatory organization having authority over the matters contemplated hereby, which prohibits the consummation of any of the transactions contemplated by this Agreement.</w:t>
      </w:r>
    </w:p>
    <w:p>
      <w:pPr>
        <w:spacing w:after="0" w:line="206" w:lineRule="exact"/>
        <w:rPr>
          <w:sz w:val="20"/>
          <w:szCs w:val="20"/>
          <w:color w:val="auto"/>
        </w:rPr>
      </w:pPr>
    </w:p>
    <w:p>
      <w:pPr>
        <w:ind w:left="640"/>
        <w:spacing w:after="0"/>
        <w:tabs>
          <w:tab w:leader="none" w:pos="2160" w:val="left"/>
        </w:tabs>
        <w:rPr>
          <w:sz w:val="20"/>
          <w:szCs w:val="20"/>
          <w:color w:val="auto"/>
        </w:rPr>
      </w:pPr>
      <w:r>
        <w:rPr>
          <w:rFonts w:ascii="Arial" w:cs="Arial" w:eastAsia="Arial" w:hAnsi="Arial"/>
          <w:sz w:val="22"/>
          <w:szCs w:val="22"/>
          <w:b w:val="1"/>
          <w:bCs w:val="1"/>
          <w:color w:val="010000"/>
        </w:rPr>
        <w:t>Section 6.</w:t>
      </w:r>
      <w:r>
        <w:rPr>
          <w:sz w:val="20"/>
          <w:szCs w:val="20"/>
          <w:color w:val="auto"/>
        </w:rPr>
        <w:tab/>
      </w:r>
      <w:r>
        <w:rPr>
          <w:rFonts w:ascii="Arial" w:cs="Arial" w:eastAsia="Arial" w:hAnsi="Arial"/>
          <w:sz w:val="18"/>
          <w:szCs w:val="18"/>
          <w:b w:val="1"/>
          <w:bCs w:val="1"/>
          <w:color w:val="auto"/>
        </w:rPr>
        <w:t>Miscellaneous.</w:t>
      </w:r>
    </w:p>
    <w:p>
      <w:pPr>
        <w:spacing w:after="0" w:line="239" w:lineRule="exact"/>
        <w:rPr>
          <w:sz w:val="20"/>
          <w:szCs w:val="20"/>
          <w:color w:val="auto"/>
        </w:rPr>
      </w:pPr>
    </w:p>
    <w:p>
      <w:pPr>
        <w:ind w:left="-20" w:firstLine="656"/>
        <w:spacing w:after="0" w:line="236" w:lineRule="auto"/>
        <w:tabs>
          <w:tab w:leader="none" w:pos="1432"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 Except as otherwise expressly provided herein, all covenants and agreements contained in this Agreement by or on behalf of any of the parties hereto shall bind and inure to the benefit of the respective successors of the parties hereto whether so expressed or not. Notwithstanding the foregoing or anything to the contrary herein, the parties may not assign this Agreement, other than assignments by the Purchaser to affiliates thereof (including, without limitation one or more of its members).</w:t>
      </w:r>
    </w:p>
    <w:p>
      <w:pPr>
        <w:spacing w:after="0" w:line="214" w:lineRule="exact"/>
        <w:rPr>
          <w:rFonts w:ascii="Arial" w:cs="Arial" w:eastAsia="Arial" w:hAnsi="Arial"/>
          <w:sz w:val="22"/>
          <w:szCs w:val="22"/>
          <w:color w:val="010000"/>
        </w:rPr>
      </w:pPr>
    </w:p>
    <w:p>
      <w:pPr>
        <w:ind w:left="-20" w:right="200" w:firstLine="656"/>
        <w:spacing w:after="0" w:line="238" w:lineRule="auto"/>
        <w:tabs>
          <w:tab w:leader="none" w:pos="1420"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Severability</w:t>
      </w:r>
      <w:r>
        <w:rPr>
          <w:rFonts w:ascii="Arial" w:cs="Arial" w:eastAsia="Arial" w:hAnsi="Arial"/>
          <w:sz w:val="22"/>
          <w:szCs w:val="22"/>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this Agreement.</w:t>
      </w:r>
    </w:p>
    <w:p>
      <w:pPr>
        <w:spacing w:after="0" w:line="211" w:lineRule="exact"/>
        <w:rPr>
          <w:rFonts w:ascii="Arial" w:cs="Arial" w:eastAsia="Arial" w:hAnsi="Arial"/>
          <w:sz w:val="22"/>
          <w:szCs w:val="22"/>
          <w:color w:val="010000"/>
        </w:rPr>
      </w:pPr>
    </w:p>
    <w:p>
      <w:pPr>
        <w:ind w:left="-20" w:right="40" w:firstLine="656"/>
        <w:spacing w:after="0" w:line="238" w:lineRule="auto"/>
        <w:tabs>
          <w:tab w:leader="none" w:pos="1420"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simultaneously in two or more counterparts, none of which need contain the signatures of more than one party, but all such counterparts taken together shall constitute one and the same agreement. Signatures to this Agreement transmitted via facsimile or e-mail shall be valid and effective to bind the party so signing.</w:t>
      </w:r>
    </w:p>
    <w:p>
      <w:pPr>
        <w:spacing w:after="0" w:line="211" w:lineRule="exact"/>
        <w:rPr>
          <w:rFonts w:ascii="Arial" w:cs="Arial" w:eastAsia="Arial" w:hAnsi="Arial"/>
          <w:sz w:val="22"/>
          <w:szCs w:val="22"/>
          <w:color w:val="010000"/>
        </w:rPr>
      </w:pPr>
    </w:p>
    <w:p>
      <w:pPr>
        <w:jc w:val="both"/>
        <w:ind w:left="-20" w:right="240" w:firstLine="656"/>
        <w:spacing w:after="0"/>
        <w:tabs>
          <w:tab w:leader="none" w:pos="1432"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Descriptive Headings; Interpretation</w:t>
      </w:r>
      <w:r>
        <w:rPr>
          <w:rFonts w:ascii="Arial" w:cs="Arial" w:eastAsia="Arial" w:hAnsi="Arial"/>
          <w:sz w:val="22"/>
          <w:szCs w:val="22"/>
          <w:color w:val="auto"/>
        </w:rPr>
        <w:t>. The descriptive headings of this Agreement are inserted for convenience only and do not constitute a substantive part of this Agreement. The use of the word “including” in this Agreement shall be by way of example rather than by limitation.</w:t>
      </w:r>
    </w:p>
    <w:p>
      <w:pPr>
        <w:spacing w:after="0" w:line="213" w:lineRule="exact"/>
        <w:rPr>
          <w:rFonts w:ascii="Arial" w:cs="Arial" w:eastAsia="Arial" w:hAnsi="Arial"/>
          <w:sz w:val="22"/>
          <w:szCs w:val="22"/>
          <w:color w:val="010000"/>
        </w:rPr>
      </w:pPr>
    </w:p>
    <w:p>
      <w:pPr>
        <w:ind w:left="-20" w:right="60" w:firstLine="656"/>
        <w:spacing w:after="0" w:line="257" w:lineRule="auto"/>
        <w:tabs>
          <w:tab w:leader="none" w:pos="1408" w:val="left"/>
        </w:tabs>
        <w:numPr>
          <w:ilvl w:val="0"/>
          <w:numId w:val="204"/>
        </w:numPr>
        <w:rPr>
          <w:rFonts w:ascii="Arial" w:cs="Arial" w:eastAsia="Arial" w:hAnsi="Arial"/>
          <w:sz w:val="21"/>
          <w:szCs w:val="21"/>
          <w:color w:val="010000"/>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deemed to be a contract made under the laws of the State of New York and for all purposes shall be construed in accordance with the internal laws of the State of New York, without giving effect to conflicts of law principles that would result in the application of the laws of another jurisdiction.</w:t>
      </w:r>
    </w:p>
    <w:p>
      <w:pPr>
        <w:spacing w:after="0" w:line="196" w:lineRule="exact"/>
        <w:rPr>
          <w:rFonts w:ascii="Arial" w:cs="Arial" w:eastAsia="Arial" w:hAnsi="Arial"/>
          <w:sz w:val="21"/>
          <w:szCs w:val="21"/>
          <w:color w:val="010000"/>
        </w:rPr>
      </w:pPr>
    </w:p>
    <w:p>
      <w:pPr>
        <w:ind w:left="-20" w:right="220" w:firstLine="656"/>
        <w:spacing w:after="0" w:line="250" w:lineRule="auto"/>
        <w:tabs>
          <w:tab w:leader="none" w:pos="1433" w:val="left"/>
        </w:tabs>
        <w:numPr>
          <w:ilvl w:val="0"/>
          <w:numId w:val="204"/>
        </w:numPr>
        <w:rPr>
          <w:rFonts w:ascii="Arial" w:cs="Arial" w:eastAsia="Arial" w:hAnsi="Arial"/>
          <w:sz w:val="22"/>
          <w:szCs w:val="22"/>
          <w:color w:val="010000"/>
        </w:rPr>
      </w:pPr>
      <w:r>
        <w:rPr>
          <w:rFonts w:ascii="Arial" w:cs="Arial" w:eastAsia="Arial" w:hAnsi="Arial"/>
          <w:sz w:val="22"/>
          <w:szCs w:val="22"/>
          <w:u w:val="single" w:color="auto"/>
          <w:color w:val="auto"/>
        </w:rPr>
        <w:t>Amendments</w:t>
      </w:r>
      <w:r>
        <w:rPr>
          <w:rFonts w:ascii="Arial" w:cs="Arial" w:eastAsia="Arial" w:hAnsi="Arial"/>
          <w:sz w:val="22"/>
          <w:szCs w:val="22"/>
          <w:color w:val="auto"/>
        </w:rPr>
        <w:t>. This Agreement may not be amended, modified or waived as to any particular provision, except by a written instrument executed by the parties hereto.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113" w:name="page114"/>
    <w:bookmarkEnd w:id="113"/>
    <w:p>
      <w:pPr>
        <w:spacing w:after="0"/>
        <w:rPr>
          <w:sz w:val="20"/>
          <w:szCs w:val="20"/>
          <w:color w:val="auto"/>
        </w:rPr>
      </w:pPr>
      <w:r>
        <w:rPr>
          <w:rFonts w:ascii="Arial" w:cs="Arial" w:eastAsia="Arial" w:hAnsi="Arial"/>
          <w:sz w:val="22"/>
          <w:szCs w:val="22"/>
          <w:color w:val="auto"/>
        </w:rPr>
        <w:t>IN WITNESS WHEREOF, the parties hereto have executed this Agreement.</w:t>
      </w:r>
    </w:p>
    <w:p>
      <w:pPr>
        <w:spacing w:after="0" w:line="23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ARYA SCIENCES HOLDINGS III</w:t>
      </w:r>
    </w:p>
    <w:p>
      <w:pPr>
        <w:spacing w:after="0" w:line="229"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Samuel M.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14605</wp:posOffset>
            </wp:positionV>
            <wp:extent cx="32061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Samuel M. Cohn</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271780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Registration and Shareholder Rights Agreement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22"/>
          <w:szCs w:val="22"/>
          <w:b w:val="1"/>
          <w:bCs w:val="1"/>
          <w:color w:val="auto"/>
        </w:rPr>
        <w:t>REGISTRATION AND SHAREHOLDER RIGHTS AGREEMENT</w:t>
      </w:r>
    </w:p>
    <w:p>
      <w:pPr>
        <w:spacing w:after="0" w:line="240" w:lineRule="exact"/>
        <w:rPr>
          <w:sz w:val="20"/>
          <w:szCs w:val="20"/>
          <w:color w:val="auto"/>
        </w:rPr>
      </w:pPr>
    </w:p>
    <w:p>
      <w:pPr>
        <w:ind w:right="200" w:firstLine="648"/>
        <w:spacing w:after="0" w:line="235" w:lineRule="auto"/>
        <w:rPr>
          <w:sz w:val="20"/>
          <w:szCs w:val="20"/>
          <w:color w:val="auto"/>
        </w:rPr>
      </w:pPr>
      <w:r>
        <w:rPr>
          <w:rFonts w:ascii="Arial" w:cs="Arial" w:eastAsia="Arial" w:hAnsi="Arial"/>
          <w:sz w:val="22"/>
          <w:szCs w:val="22"/>
          <w:color w:val="auto"/>
        </w:rPr>
        <w:t>THIS REGISTRATION AND SHAREHOLDER RIGHTS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August 11, 2020, is made and entered into by and among ARYA Sciences Acquisition Corp III, a Cayman Islands exempted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ARYA Sciences Holdings III, a Cayman Island exempted limited company (the “</w:t>
      </w:r>
      <w:r>
        <w:rPr>
          <w:rFonts w:ascii="Arial" w:cs="Arial" w:eastAsia="Arial" w:hAnsi="Arial"/>
          <w:sz w:val="22"/>
          <w:szCs w:val="22"/>
          <w:b w:val="1"/>
          <w:bCs w:val="1"/>
          <w:i w:val="1"/>
          <w:iCs w:val="1"/>
          <w:color w:val="auto"/>
        </w:rPr>
        <w:t>Sponsor</w:t>
      </w:r>
      <w:r>
        <w:rPr>
          <w:rFonts w:ascii="Arial" w:cs="Arial" w:eastAsia="Arial" w:hAnsi="Arial"/>
          <w:sz w:val="22"/>
          <w:szCs w:val="22"/>
          <w:color w:val="auto"/>
        </w:rPr>
        <w:t xml:space="preserve">”), and the undersigned parties listed under Holder on the signature page hereto (each such party, including the Sponsor and any person or entity who hereafter becomes a party to this Agreement pursuant to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of this Agreement, a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and collectively, the “</w:t>
      </w:r>
      <w:r>
        <w:rPr>
          <w:rFonts w:ascii="Arial" w:cs="Arial" w:eastAsia="Arial" w:hAnsi="Arial"/>
          <w:sz w:val="22"/>
          <w:szCs w:val="22"/>
          <w:b w:val="1"/>
          <w:bCs w:val="1"/>
          <w:i w:val="1"/>
          <w:iCs w:val="1"/>
          <w:color w:val="auto"/>
        </w:rPr>
        <w:t>Holders</w:t>
      </w:r>
      <w:r>
        <w:rPr>
          <w:rFonts w:ascii="Arial" w:cs="Arial" w:eastAsia="Arial" w:hAnsi="Arial"/>
          <w:sz w:val="22"/>
          <w:szCs w:val="22"/>
          <w:color w:val="auto"/>
        </w:rPr>
        <w:t>”).</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Sponsor currently owns 3,647,500 shares of the Company’s Class B ordinary shares, par value $0.0001</w:t>
      </w:r>
      <w:r>
        <w:rPr>
          <w:rFonts w:ascii="Arial" w:cs="Arial" w:eastAsia="Arial" w:hAnsi="Arial"/>
          <w:sz w:val="22"/>
          <w:szCs w:val="22"/>
          <w:b w:val="1"/>
          <w:bCs w:val="1"/>
          <w:color w:val="auto"/>
        </w:rPr>
        <w:t xml:space="preserve"> </w:t>
      </w:r>
      <w:r>
        <w:rPr>
          <w:rFonts w:ascii="Arial" w:cs="Arial" w:eastAsia="Arial" w:hAnsi="Arial"/>
          <w:sz w:val="22"/>
          <w:szCs w:val="22"/>
          <w:color w:val="auto"/>
        </w:rPr>
        <w:t>per share (the “</w:t>
      </w:r>
      <w:r>
        <w:rPr>
          <w:rFonts w:ascii="Arial" w:cs="Arial" w:eastAsia="Arial" w:hAnsi="Arial"/>
          <w:sz w:val="22"/>
          <w:szCs w:val="22"/>
          <w:b w:val="1"/>
          <w:bCs w:val="1"/>
          <w:i w:val="1"/>
          <w:iCs w:val="1"/>
          <w:color w:val="auto"/>
        </w:rPr>
        <w:t>Class B Ordinary Shares</w:t>
      </w:r>
      <w:r>
        <w:rPr>
          <w:rFonts w:ascii="Arial" w:cs="Arial" w:eastAsia="Arial" w:hAnsi="Arial"/>
          <w:sz w:val="22"/>
          <w:szCs w:val="22"/>
          <w:color w:val="auto"/>
        </w:rPr>
        <w:t>”), and the other Holders currently own an aggregate of 90,000 Class B Ordinary Shares, which were received from the Sponsor;</w:t>
      </w:r>
    </w:p>
    <w:p>
      <w:pPr>
        <w:spacing w:after="0" w:line="204" w:lineRule="exact"/>
        <w:rPr>
          <w:sz w:val="20"/>
          <w:szCs w:val="20"/>
          <w:color w:val="auto"/>
        </w:rPr>
      </w:pPr>
    </w:p>
    <w:p>
      <w:pPr>
        <w:ind w:right="40"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Class B Ordinary Shares are convertible into the Company’s Class A ordinary shares, par value $0.0001</w:t>
      </w:r>
      <w:r>
        <w:rPr>
          <w:rFonts w:ascii="Arial" w:cs="Arial" w:eastAsia="Arial" w:hAnsi="Arial"/>
          <w:sz w:val="22"/>
          <w:szCs w:val="22"/>
          <w:b w:val="1"/>
          <w:bCs w:val="1"/>
          <w:color w:val="auto"/>
        </w:rPr>
        <w:t xml:space="preserve"> </w:t>
      </w:r>
      <w:r>
        <w:rPr>
          <w:rFonts w:ascii="Arial" w:cs="Arial" w:eastAsia="Arial" w:hAnsi="Arial"/>
          <w:sz w:val="22"/>
          <w:szCs w:val="22"/>
          <w:color w:val="auto"/>
        </w:rPr>
        <w:t>per share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Ordinary Shares</w:t>
      </w:r>
      <w:r>
        <w:rPr>
          <w:rFonts w:ascii="Arial" w:cs="Arial" w:eastAsia="Arial" w:hAnsi="Arial"/>
          <w:sz w:val="22"/>
          <w:szCs w:val="22"/>
          <w:color w:val="auto"/>
        </w:rPr>
        <w:t>”), at the time of the initial Business Combination on a one-for-one basis, subject to adjustment, on the terms and conditions provided in the Company’s amended and restated memorandum and articles of association, as may be amended from time to time;</w:t>
      </w:r>
    </w:p>
    <w:p>
      <w:pPr>
        <w:spacing w:after="0" w:line="207" w:lineRule="exact"/>
        <w:rPr>
          <w:sz w:val="20"/>
          <w:szCs w:val="20"/>
          <w:color w:val="auto"/>
        </w:rPr>
      </w:pPr>
    </w:p>
    <w:p>
      <w:pPr>
        <w:ind w:right="160"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August 6, 2020, the Company and the Sponsor entered into that certain Private Placement Shares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pursuant to which the Sponsor agreed to purchase 460,000 Ordinary Shares (or up to 499,000 Ordinary Shares if the Underwriters’ (as defined below) option to purchase additional Ordinary Shares in connection with the Company’s initial public offering is exercised in full) (the “</w:t>
      </w:r>
      <w:r>
        <w:rPr>
          <w:rFonts w:ascii="Arial" w:cs="Arial" w:eastAsia="Arial" w:hAnsi="Arial"/>
          <w:sz w:val="22"/>
          <w:szCs w:val="22"/>
          <w:b w:val="1"/>
          <w:bCs w:val="1"/>
          <w:i w:val="1"/>
          <w:iCs w:val="1"/>
          <w:color w:val="auto"/>
        </w:rPr>
        <w:t>Private Placement Shares</w:t>
      </w:r>
      <w:r>
        <w:rPr>
          <w:rFonts w:ascii="Arial" w:cs="Arial" w:eastAsia="Arial" w:hAnsi="Arial"/>
          <w:sz w:val="22"/>
          <w:szCs w:val="22"/>
          <w:color w:val="auto"/>
        </w:rPr>
        <w:t>”), in a private placement transaction occurring simultaneously with the closing of the Company’s initial public offering;</w:t>
      </w:r>
    </w:p>
    <w:p>
      <w:pPr>
        <w:spacing w:after="0" w:line="209" w:lineRule="exact"/>
        <w:rPr>
          <w:sz w:val="20"/>
          <w:szCs w:val="20"/>
          <w:color w:val="auto"/>
        </w:rPr>
      </w:pPr>
    </w:p>
    <w:p>
      <w:pPr>
        <w:ind w:right="140"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order to finance the Company’s transaction costs in connection with an intended Business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below), the Sponsor, an affiliate of the Sponsor or certain of the Company’s officers or directors may, but are not obligated to, loan the Company funds as the Company may require, of which up to $1,500,000 of such loans may be convertible into shares of the post-Business Combination company at a price of $10.00 per share at the option of the lender (the “</w:t>
      </w:r>
      <w:r>
        <w:rPr>
          <w:rFonts w:ascii="Arial" w:cs="Arial" w:eastAsia="Arial" w:hAnsi="Arial"/>
          <w:sz w:val="22"/>
          <w:szCs w:val="22"/>
          <w:b w:val="1"/>
          <w:bCs w:val="1"/>
          <w:i w:val="1"/>
          <w:iCs w:val="1"/>
          <w:color w:val="auto"/>
        </w:rPr>
        <w:t>Working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Capital Shares</w:t>
      </w:r>
      <w:r>
        <w:rPr>
          <w:rFonts w:ascii="Arial" w:cs="Arial" w:eastAsia="Arial" w:hAnsi="Arial"/>
          <w:sz w:val="22"/>
          <w:szCs w:val="22"/>
          <w:color w:val="auto"/>
        </w:rPr>
        <w:t>”); and</w:t>
      </w:r>
    </w:p>
    <w:p>
      <w:pPr>
        <w:spacing w:after="0" w:line="209" w:lineRule="exact"/>
        <w:rPr>
          <w:sz w:val="20"/>
          <w:szCs w:val="20"/>
          <w:color w:val="auto"/>
        </w:rPr>
      </w:pPr>
    </w:p>
    <w:p>
      <w:pPr>
        <w:ind w:right="400" w:firstLine="648"/>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the Holders desire to enter into this Agreement, pursuant to which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grant the Holders certain registration rights with respect to certain securities of the Company, as set forth in this Agreement.</w:t>
      </w:r>
    </w:p>
    <w:p>
      <w:pPr>
        <w:spacing w:after="0" w:line="121" w:lineRule="exact"/>
        <w:rPr>
          <w:sz w:val="20"/>
          <w:szCs w:val="20"/>
          <w:color w:val="auto"/>
        </w:rPr>
      </w:pPr>
    </w:p>
    <w:p>
      <w:pPr>
        <w:jc w:val="both"/>
        <w:ind w:right="160" w:firstLine="648"/>
        <w:spacing w:after="0" w:line="243"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representations, covenants and agreements contained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other good and valuable consideration, the receipt and sufficiency of which are hereby acknowledged, the parties hereto, intending to be legally bound, hereby agree as follows: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22"/>
          <w:szCs w:val="22"/>
          <w:b w:val="1"/>
          <w:bCs w:val="1"/>
          <w:color w:val="010000"/>
        </w:rPr>
        <w:t>Section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ind w:firstLine="656"/>
        <w:spacing w:after="0" w:line="250" w:lineRule="auto"/>
        <w:tabs>
          <w:tab w:leader="none" w:pos="1635" w:val="left"/>
        </w:tabs>
        <w:numPr>
          <w:ilvl w:val="0"/>
          <w:numId w:val="205"/>
        </w:numPr>
        <w:rPr>
          <w:rFonts w:ascii="Arial" w:cs="Arial" w:eastAsia="Arial" w:hAnsi="Arial"/>
          <w:sz w:val="22"/>
          <w:szCs w:val="22"/>
          <w:color w:val="010000"/>
        </w:rPr>
      </w:pPr>
      <w:r>
        <w:rPr>
          <w:rFonts w:ascii="Arial" w:cs="Arial" w:eastAsia="Arial" w:hAnsi="Arial"/>
          <w:sz w:val="22"/>
          <w:szCs w:val="22"/>
          <w:color w:val="auto"/>
        </w:rPr>
        <w:t xml:space="preserve">Definitions. The terms defined in this </w:t>
      </w:r>
      <w:r>
        <w:rPr>
          <w:rFonts w:ascii="Arial" w:cs="Arial" w:eastAsia="Arial" w:hAnsi="Arial"/>
          <w:sz w:val="22"/>
          <w:szCs w:val="22"/>
          <w:i w:val="1"/>
          <w:iCs w:val="1"/>
          <w:color w:val="auto"/>
        </w:rPr>
        <w:t>Article I</w:t>
      </w:r>
      <w:r>
        <w:rPr>
          <w:rFonts w:ascii="Arial" w:cs="Arial" w:eastAsia="Arial" w:hAnsi="Arial"/>
          <w:sz w:val="22"/>
          <w:szCs w:val="22"/>
          <w:color w:val="auto"/>
        </w:rPr>
        <w:t xml:space="preserve"> shall, for all purposes of this Agreement, have the respective meanings set forth below:</w:t>
      </w:r>
    </w:p>
    <w:p>
      <w:pPr>
        <w:spacing w:after="0" w:line="202"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Adverse Disclosure</w:t>
      </w:r>
      <w:r>
        <w:rPr>
          <w:rFonts w:ascii="Arial" w:cs="Arial" w:eastAsia="Arial" w:hAnsi="Arial"/>
          <w:sz w:val="22"/>
          <w:szCs w:val="22"/>
          <w:color w:val="auto"/>
        </w:rPr>
        <w:t>” shall mean any public disclosure of material non-public information, which disclosure, in the good faith judgment of the principal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given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shall mean the Board of Directors of the Company.</w:t>
      </w:r>
    </w:p>
    <w:p>
      <w:pPr>
        <w:spacing w:after="0" w:line="233"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Combination</w:t>
      </w:r>
      <w:r>
        <w:rPr>
          <w:rFonts w:ascii="Arial" w:cs="Arial" w:eastAsia="Arial" w:hAnsi="Arial"/>
          <w:sz w:val="22"/>
          <w:szCs w:val="22"/>
          <w:color w:val="auto"/>
        </w:rPr>
        <w:t>” shall mean any merger, share exchange, asset acquisition, share purchase, reorganization or other similar business combination with one or more businesses, involving the Company.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shall mean the U.S.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have the meaning given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Demanding Holder</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shall mean the Securities Exchange Act of 1934, as it may be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S-1</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S-3</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2.3.1</w:t>
      </w:r>
      <w:r>
        <w:rPr>
          <w:rFonts w:ascii="Arial" w:cs="Arial" w:eastAsia="Arial" w:hAnsi="Arial"/>
          <w:sz w:val="22"/>
          <w:szCs w:val="22"/>
          <w:color w:val="auto"/>
        </w:rPr>
        <w:t>.</w:t>
      </w:r>
    </w:p>
    <w:p>
      <w:pPr>
        <w:spacing w:after="0" w:line="233"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Founder Shares</w:t>
      </w:r>
      <w:r>
        <w:rPr>
          <w:rFonts w:ascii="Arial" w:cs="Arial" w:eastAsia="Arial" w:hAnsi="Arial"/>
          <w:sz w:val="22"/>
          <w:szCs w:val="22"/>
          <w:color w:val="auto"/>
        </w:rPr>
        <w:t>” shall mean the Class B Ordinary Shares and shall be deemed to include the Ordinary Shares issuable upon conversion thereof.</w:t>
      </w:r>
    </w:p>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Founder Shares Lock-up Period</w:t>
      </w:r>
      <w:r>
        <w:rPr>
          <w:rFonts w:ascii="Arial" w:cs="Arial" w:eastAsia="Arial" w:hAnsi="Arial"/>
          <w:sz w:val="19"/>
          <w:szCs w:val="19"/>
          <w:color w:val="auto"/>
        </w:rPr>
        <w:t>” shall mean, with respect to the Founder Shares, the period ending on the earlier of (A) one year after the completion of the Company’s initial Business Combination and (B) subsequent to the Company’s initial Business Combination, (x) if the last reported sales price of the Ordinary Shares equals or exceeds $12.00 per share (as adjusted for share splits, share capitalizations, reorganizations, recapitalizations and the like) for any twenty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117" w:name="page118"/>
    <w:bookmarkEnd w:id="117"/>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Holders</w:t>
      </w:r>
      <w:r>
        <w:rPr>
          <w:rFonts w:ascii="Arial" w:cs="Arial" w:eastAsia="Arial" w:hAnsi="Arial"/>
          <w:sz w:val="22"/>
          <w:szCs w:val="22"/>
          <w:color w:val="auto"/>
        </w:rPr>
        <w:t>” shall have the meaning given in the Preamble.</w:t>
      </w:r>
    </w:p>
    <w:p>
      <w:pPr>
        <w:spacing w:after="0" w:line="234"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Insider Letter</w:t>
      </w:r>
      <w:r>
        <w:rPr>
          <w:rFonts w:ascii="Arial" w:cs="Arial" w:eastAsia="Arial" w:hAnsi="Arial"/>
          <w:sz w:val="22"/>
          <w:szCs w:val="22"/>
          <w:color w:val="auto"/>
        </w:rPr>
        <w:t>” shall mean that certain letter agreement, dated as of the date hereof, by and among the Company, the Sponsor and each of the Company’s officers, directors and director nominees.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Maximum Number of Securities</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2.1.4</w:t>
      </w:r>
      <w:r>
        <w:rPr>
          <w:rFonts w:ascii="Arial" w:cs="Arial" w:eastAsia="Arial" w:hAnsi="Arial"/>
          <w:sz w:val="22"/>
          <w:szCs w:val="22"/>
          <w:color w:val="auto"/>
        </w:rPr>
        <w:t>.</w:t>
      </w:r>
    </w:p>
    <w:p>
      <w:pPr>
        <w:spacing w:after="0" w:line="233" w:lineRule="exact"/>
        <w:rPr>
          <w:sz w:val="20"/>
          <w:szCs w:val="20"/>
          <w:color w:val="auto"/>
        </w:rPr>
      </w:pPr>
    </w:p>
    <w:p>
      <w:pPr>
        <w:ind w:right="240"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Misstatement</w:t>
      </w:r>
      <w:r>
        <w:rPr>
          <w:rFonts w:ascii="Arial" w:cs="Arial" w:eastAsia="Arial" w:hAnsi="Arial"/>
          <w:sz w:val="19"/>
          <w:szCs w:val="19"/>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Nominee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Ordinary Shares</w:t>
      </w:r>
      <w:r>
        <w:rPr>
          <w:rFonts w:ascii="Arial" w:cs="Arial" w:eastAsia="Arial" w:hAnsi="Arial"/>
          <w:sz w:val="22"/>
          <w:szCs w:val="22"/>
          <w:color w:val="auto"/>
        </w:rPr>
        <w:t>” shall have the meaning given in the Recitals hereto.</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Transferees</w:t>
      </w:r>
      <w:r>
        <w:rPr>
          <w:rFonts w:ascii="Arial" w:cs="Arial" w:eastAsia="Arial" w:hAnsi="Arial"/>
          <w:sz w:val="21"/>
          <w:szCs w:val="21"/>
          <w:color w:val="auto"/>
        </w:rPr>
        <w:t>” shall mean a person or entity to whom a Holder of Registrable Securities is permitted to transfer such Registrable Securities prior to the expiration of the Founder Shares Lock-up Period or Private Placement Lock-up Period, as the case may be, under the Insider Letter, the Private Placement Shares Purchase Agreement and any other applicable agreement between such Holder and the Company, and to any transferee thereafter.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Piggyback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2.2.1</w:t>
      </w:r>
      <w:r>
        <w:rPr>
          <w:rFonts w:ascii="Arial" w:cs="Arial" w:eastAsia="Arial" w:hAnsi="Arial"/>
          <w:sz w:val="22"/>
          <w:szCs w:val="22"/>
          <w:color w:val="auto"/>
        </w:rPr>
        <w:t>.</w:t>
      </w:r>
    </w:p>
    <w:p>
      <w:pPr>
        <w:spacing w:after="0" w:line="23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Private Placement Lock-up Period</w:t>
      </w:r>
      <w:r>
        <w:rPr>
          <w:rFonts w:ascii="Arial" w:cs="Arial" w:eastAsia="Arial" w:hAnsi="Arial"/>
          <w:sz w:val="22"/>
          <w:szCs w:val="22"/>
          <w:color w:val="auto"/>
        </w:rPr>
        <w:t>” shall mean, with respect to the Private Placement Shares that are held by the initial purchasers or their Permitted Transferees, the period ending thirty (30) days after the completion of the Company’s initial Business Combination.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Private Placement Shares</w:t>
      </w:r>
      <w:r>
        <w:rPr>
          <w:rFonts w:ascii="Arial" w:cs="Arial" w:eastAsia="Arial" w:hAnsi="Arial"/>
          <w:sz w:val="22"/>
          <w:szCs w:val="22"/>
          <w:color w:val="auto"/>
        </w:rPr>
        <w:t>” shall have the meaning given in the Recitals hereto.</w:t>
      </w:r>
    </w:p>
    <w:p>
      <w:pPr>
        <w:spacing w:after="0" w:line="233" w:lineRule="exact"/>
        <w:rPr>
          <w:sz w:val="20"/>
          <w:szCs w:val="20"/>
          <w:color w:val="auto"/>
        </w:rPr>
      </w:pPr>
    </w:p>
    <w:p>
      <w:pPr>
        <w:ind w:right="36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Prospectus</w:t>
      </w:r>
      <w:r>
        <w:rPr>
          <w:rFonts w:ascii="Arial" w:cs="Arial" w:eastAsia="Arial" w:hAnsi="Arial"/>
          <w:sz w:val="22"/>
          <w:szCs w:val="2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18" w:name="page119"/>
    <w:bookmarkEnd w:id="118"/>
    <w:p>
      <w:pPr>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Registrable Security</w:t>
      </w:r>
      <w:r>
        <w:rPr>
          <w:rFonts w:ascii="Arial" w:cs="Arial" w:eastAsia="Arial" w:hAnsi="Arial"/>
          <w:sz w:val="19"/>
          <w:szCs w:val="19"/>
          <w:color w:val="auto"/>
        </w:rPr>
        <w:t xml:space="preserve">” shall mean (a) the Founder Shares (including any Ordinary Shares or other equivalent equity security issued or issuable upon the conversion of any such Founder Shares or exercisable for Ordinary Shares), (b) the Private Placement Shares, (c) the Working Capital Shares,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Ordinary Shares by way of a share capitalization or share split or in connection with a combination of shares, recapitalization, merger, consolidation or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200" w:lineRule="exact"/>
        <w:rPr>
          <w:sz w:val="20"/>
          <w:szCs w:val="20"/>
          <w:color w:val="auto"/>
        </w:rPr>
      </w:pPr>
    </w:p>
    <w:p>
      <w:pPr>
        <w:spacing w:after="0" w:line="238"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w:t>
      </w:r>
      <w:r>
        <w:rPr>
          <w:rFonts w:ascii="Arial" w:cs="Arial" w:eastAsia="Arial" w:hAnsi="Arial"/>
          <w:sz w:val="22"/>
          <w:szCs w:val="22"/>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213"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Expenses</w:t>
      </w:r>
      <w:r>
        <w:rPr>
          <w:rFonts w:ascii="Arial" w:cs="Arial" w:eastAsia="Arial" w:hAnsi="Arial"/>
          <w:sz w:val="22"/>
          <w:szCs w:val="22"/>
          <w:color w:val="auto"/>
        </w:rPr>
        <w:t>” shall mean the out-of-pocket expenses of a Registration, including, without limitation, the following:</w:t>
      </w:r>
    </w:p>
    <w:p>
      <w:pPr>
        <w:spacing w:after="0" w:line="202" w:lineRule="exact"/>
        <w:rPr>
          <w:sz w:val="20"/>
          <w:szCs w:val="20"/>
          <w:color w:val="auto"/>
        </w:rPr>
      </w:pPr>
    </w:p>
    <w:p>
      <w:pPr>
        <w:ind w:right="560" w:firstLine="656"/>
        <w:spacing w:after="0" w:line="328" w:lineRule="auto"/>
        <w:tabs>
          <w:tab w:leader="none" w:pos="1434"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31" w:lineRule="exact"/>
        <w:rPr>
          <w:rFonts w:ascii="Arial" w:cs="Arial" w:eastAsia="Arial" w:hAnsi="Arial"/>
          <w:sz w:val="19"/>
          <w:szCs w:val="19"/>
          <w:color w:val="auto"/>
        </w:rPr>
      </w:pPr>
    </w:p>
    <w:p>
      <w:pPr>
        <w:ind w:right="220" w:firstLine="656"/>
        <w:spacing w:after="0" w:line="274" w:lineRule="auto"/>
        <w:tabs>
          <w:tab w:leader="none" w:pos="1422" w:val="left"/>
        </w:tabs>
        <w:numPr>
          <w:ilvl w:val="0"/>
          <w:numId w:val="206"/>
        </w:numPr>
        <w:rPr>
          <w:rFonts w:ascii="Arial" w:cs="Arial" w:eastAsia="Arial" w:hAnsi="Arial"/>
          <w:sz w:val="21"/>
          <w:szCs w:val="21"/>
          <w:color w:val="auto"/>
        </w:rPr>
      </w:pPr>
      <w:r>
        <w:rPr>
          <w:rFonts w:ascii="Arial" w:cs="Arial" w:eastAsia="Arial" w:hAnsi="Arial"/>
          <w:sz w:val="21"/>
          <w:szCs w:val="21"/>
          <w:color w:val="auto"/>
        </w:rPr>
        <w:t>fees and expenses of compliance with securities or blue sky laws (including reasonable fees and disbursements of counsel for the Underwriters in connection with blue sky qualifications of Registrable Securities);</w:t>
      </w:r>
    </w:p>
    <w:p>
      <w:pPr>
        <w:spacing w:after="0" w:line="177" w:lineRule="exact"/>
        <w:rPr>
          <w:rFonts w:ascii="Arial" w:cs="Arial" w:eastAsia="Arial" w:hAnsi="Arial"/>
          <w:sz w:val="21"/>
          <w:szCs w:val="21"/>
          <w:color w:val="auto"/>
        </w:rPr>
      </w:pPr>
    </w:p>
    <w:p>
      <w:pPr>
        <w:ind w:left="1440" w:hanging="784"/>
        <w:spacing w:after="0"/>
        <w:tabs>
          <w:tab w:leader="none" w:pos="14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printing, messenger, telephone and delivery expenses;</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reasonable fees and disbursements of counsel for the Company;</w:t>
      </w:r>
    </w:p>
    <w:p>
      <w:pPr>
        <w:spacing w:after="0" w:line="233" w:lineRule="exact"/>
        <w:rPr>
          <w:rFonts w:ascii="Arial" w:cs="Arial" w:eastAsia="Arial" w:hAnsi="Arial"/>
          <w:sz w:val="22"/>
          <w:szCs w:val="22"/>
          <w:color w:val="auto"/>
        </w:rPr>
      </w:pPr>
    </w:p>
    <w:p>
      <w:pPr>
        <w:ind w:right="360" w:firstLine="656"/>
        <w:spacing w:after="0" w:line="250" w:lineRule="auto"/>
        <w:tabs>
          <w:tab w:leader="none" w:pos="1464"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reasonable fees and disbursements of all independent registered public accountants of the Company incurred specifically in connection with such Registration; and</w:t>
      </w:r>
    </w:p>
    <w:p>
      <w:pPr>
        <w:spacing w:after="0" w:line="201" w:lineRule="exact"/>
        <w:rPr>
          <w:rFonts w:ascii="Arial" w:cs="Arial" w:eastAsia="Arial" w:hAnsi="Arial"/>
          <w:sz w:val="22"/>
          <w:szCs w:val="22"/>
          <w:color w:val="auto"/>
        </w:rPr>
      </w:pPr>
    </w:p>
    <w:p>
      <w:pPr>
        <w:ind w:right="460" w:firstLine="656"/>
        <w:spacing w:after="0"/>
        <w:tabs>
          <w:tab w:leader="none" w:pos="145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w:t>
      </w:r>
    </w:p>
    <w:p>
      <w:pPr>
        <w:spacing w:after="0" w:line="213" w:lineRule="exact"/>
        <w:rPr>
          <w:sz w:val="20"/>
          <w:szCs w:val="20"/>
          <w:color w:val="auto"/>
        </w:rPr>
      </w:pPr>
    </w:p>
    <w:p>
      <w:pPr>
        <w:ind w:right="440"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9" w:name="page120"/>
    <w:bookmarkEnd w:id="11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Requesting Holder</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shall mean the Securities Act of 1933, as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Shelf</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Sponsor</w:t>
      </w:r>
      <w:r>
        <w:rPr>
          <w:rFonts w:ascii="Arial" w:cs="Arial" w:eastAsia="Arial" w:hAnsi="Arial"/>
          <w:sz w:val="22"/>
          <w:szCs w:val="22"/>
          <w:color w:val="auto"/>
        </w:rPr>
        <w:t>” shall have the meaning given in the Recitals hereto.</w:t>
      </w:r>
    </w:p>
    <w:p>
      <w:pPr>
        <w:spacing w:after="0" w:line="233" w:lineRule="exact"/>
        <w:rPr>
          <w:sz w:val="20"/>
          <w:szCs w:val="20"/>
          <w:color w:val="auto"/>
        </w:rPr>
      </w:pPr>
    </w:p>
    <w:p>
      <w:pPr>
        <w:ind w:right="4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Sponsor Director</w:t>
      </w:r>
      <w:r>
        <w:rPr>
          <w:rFonts w:ascii="Arial" w:cs="Arial" w:eastAsia="Arial" w:hAnsi="Arial"/>
          <w:sz w:val="22"/>
          <w:szCs w:val="22"/>
          <w:color w:val="auto"/>
        </w:rPr>
        <w:t>” means an individual elected to the Board that has been nominated by the Sponsor pursuant to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Subsequent Shelf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Takedown Requesting Holder</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2.3.3</w:t>
      </w:r>
      <w:r>
        <w:rPr>
          <w:rFonts w:ascii="Arial" w:cs="Arial" w:eastAsia="Arial" w:hAnsi="Arial"/>
          <w:sz w:val="22"/>
          <w:szCs w:val="22"/>
          <w:color w:val="auto"/>
        </w:rPr>
        <w:t>.</w:t>
      </w:r>
    </w:p>
    <w:p>
      <w:pPr>
        <w:spacing w:after="0" w:line="233" w:lineRule="exact"/>
        <w:rPr>
          <w:sz w:val="20"/>
          <w:szCs w:val="20"/>
          <w:color w:val="auto"/>
        </w:rPr>
      </w:pPr>
    </w:p>
    <w:p>
      <w:pPr>
        <w:ind w:right="3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shall mean a securities dealer who purchases any Registrable Securities as principal in an Underwritten Offering and not as part of such dealer’s market-making activities.</w:t>
      </w:r>
    </w:p>
    <w:p>
      <w:pPr>
        <w:spacing w:after="0" w:line="202"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Underwritten Registration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Underwritten Offering</w:t>
      </w:r>
      <w:r>
        <w:rPr>
          <w:rFonts w:ascii="Arial" w:cs="Arial" w:eastAsia="Arial" w:hAnsi="Arial"/>
          <w:sz w:val="22"/>
          <w:szCs w:val="22"/>
          <w:color w:val="auto"/>
        </w:rPr>
        <w:t>” shall mean a Registration in which securities of the Company are sold to an Underwriter in a firm commitment underwriting for distribution to the public.</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Underwritten Shelf Takedown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Working Capital Shares</w:t>
      </w:r>
      <w:r>
        <w:rPr>
          <w:rFonts w:ascii="Arial" w:cs="Arial" w:eastAsia="Arial" w:hAnsi="Arial"/>
          <w:sz w:val="22"/>
          <w:szCs w:val="22"/>
          <w:color w:val="auto"/>
        </w:rPr>
        <w:t>” shall have the meaning given in the Recitals hereto.</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REGISTRATIONS</w:t>
      </w:r>
    </w:p>
    <w:p>
      <w:pPr>
        <w:spacing w:after="0" w:line="215" w:lineRule="exact"/>
        <w:rPr>
          <w:sz w:val="20"/>
          <w:szCs w:val="20"/>
          <w:color w:val="auto"/>
        </w:rPr>
      </w:pPr>
    </w:p>
    <w:p>
      <w:pPr>
        <w:ind w:left="1460" w:hanging="804"/>
        <w:spacing w:after="0"/>
        <w:tabs>
          <w:tab w:leader="none" w:pos="1460" w:val="left"/>
        </w:tabs>
        <w:numPr>
          <w:ilvl w:val="0"/>
          <w:numId w:val="207"/>
        </w:numPr>
        <w:rPr>
          <w:rFonts w:ascii="Arial" w:cs="Arial" w:eastAsia="Arial" w:hAnsi="Arial"/>
          <w:sz w:val="22"/>
          <w:szCs w:val="22"/>
          <w:color w:val="010000"/>
        </w:rPr>
      </w:pPr>
      <w:r>
        <w:rPr>
          <w:rFonts w:ascii="Arial" w:cs="Arial" w:eastAsia="Arial" w:hAnsi="Arial"/>
          <w:sz w:val="22"/>
          <w:szCs w:val="22"/>
          <w:color w:val="auto"/>
        </w:rPr>
        <w:t>Demand Registration.</w:t>
      </w:r>
    </w:p>
    <w:p>
      <w:pPr>
        <w:spacing w:after="0" w:line="233" w:lineRule="exact"/>
        <w:rPr>
          <w:rFonts w:ascii="Arial" w:cs="Arial" w:eastAsia="Arial" w:hAnsi="Arial"/>
          <w:sz w:val="22"/>
          <w:szCs w:val="22"/>
          <w:color w:val="010000"/>
        </w:rPr>
      </w:pPr>
    </w:p>
    <w:p>
      <w:pPr>
        <w:jc w:val="both"/>
        <w:ind w:firstLine="1304"/>
        <w:spacing w:after="0" w:line="270" w:lineRule="auto"/>
        <w:tabs>
          <w:tab w:leader="none" w:pos="2067" w:val="left"/>
        </w:tabs>
        <w:numPr>
          <w:ilvl w:val="1"/>
          <w:numId w:val="207"/>
        </w:numPr>
        <w:rPr>
          <w:rFonts w:ascii="Arial" w:cs="Arial" w:eastAsia="Arial" w:hAnsi="Arial"/>
          <w:sz w:val="19"/>
          <w:szCs w:val="19"/>
          <w:color w:val="010000"/>
        </w:rPr>
      </w:pPr>
      <w:r>
        <w:rPr>
          <w:rFonts w:ascii="Arial" w:cs="Arial" w:eastAsia="Arial" w:hAnsi="Arial"/>
          <w:sz w:val="19"/>
          <w:szCs w:val="19"/>
          <w:u w:val="single" w:color="auto"/>
          <w:color w:val="auto"/>
        </w:rPr>
        <w:t>Request for Registration</w:t>
      </w:r>
      <w:r>
        <w:rPr>
          <w:rFonts w:ascii="Arial" w:cs="Arial" w:eastAsia="Arial" w:hAnsi="Arial"/>
          <w:sz w:val="19"/>
          <w:szCs w:val="19"/>
          <w:color w:val="auto"/>
        </w:rPr>
        <w:t xml:space="preserve">. Subject to the provisions of </w:t>
      </w:r>
      <w:r>
        <w:rPr>
          <w:rFonts w:ascii="Arial" w:cs="Arial" w:eastAsia="Arial" w:hAnsi="Arial"/>
          <w:sz w:val="19"/>
          <w:szCs w:val="19"/>
          <w:u w:val="single" w:color="auto"/>
          <w:color w:val="auto"/>
        </w:rPr>
        <w:t>subsection 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hereof, at any time and from time to time on or after the date the Company consummates the initial Business Combination, the Holders of at least a majority in interest of the then-outstanding number of Registrable Securities (the “</w:t>
      </w:r>
      <w:r>
        <w:rPr>
          <w:rFonts w:ascii="Arial" w:cs="Arial" w:eastAsia="Arial" w:hAnsi="Arial"/>
          <w:sz w:val="19"/>
          <w:szCs w:val="19"/>
          <w:b w:val="1"/>
          <w:bCs w:val="1"/>
          <w:i w:val="1"/>
          <w:iCs w:val="1"/>
          <w:color w:val="auto"/>
        </w:rPr>
        <w:t>Demanding Holders</w:t>
      </w:r>
      <w:r>
        <w:rPr>
          <w:rFonts w:ascii="Arial" w:cs="Arial" w:eastAsia="Arial" w:hAnsi="Arial"/>
          <w:sz w:val="19"/>
          <w:szCs w:val="19"/>
          <w:color w:val="auto"/>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9"/>
          <w:szCs w:val="19"/>
          <w:b w:val="1"/>
          <w:bCs w:val="1"/>
          <w:i w:val="1"/>
          <w:iCs w:val="1"/>
          <w:color w:val="auto"/>
        </w:rPr>
        <w:t>Demand Registration</w:t>
      </w:r>
      <w:r>
        <w:rPr>
          <w:rFonts w:ascii="Arial" w:cs="Arial" w:eastAsia="Arial" w:hAnsi="Arial"/>
          <w:sz w:val="19"/>
          <w:szCs w:val="19"/>
          <w:color w:val="auto"/>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9"/>
          <w:szCs w:val="19"/>
          <w:b w:val="1"/>
          <w:bCs w:val="1"/>
          <w:i w:val="1"/>
          <w:iCs w:val="1"/>
          <w:color w:val="auto"/>
        </w:rPr>
        <w:t>Requesting Holder</w:t>
      </w:r>
      <w:r>
        <w:rPr>
          <w:rFonts w:ascii="Arial" w:cs="Arial" w:eastAsia="Arial" w:hAnsi="Arial"/>
          <w:sz w:val="19"/>
          <w:szCs w:val="19"/>
          <w:color w:val="auto"/>
        </w:rPr>
        <w:t xml:space="preserve">”) shall so notify the Company, in writing, within three (3)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with respect to any or all Registrable Securities;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Registration shall not be counted for such purposes unless a Form S-1 or any similar long-form registration statement that may be available at such time (“</w:t>
      </w:r>
      <w:r>
        <w:rPr>
          <w:rFonts w:ascii="Arial" w:cs="Arial" w:eastAsia="Arial" w:hAnsi="Arial"/>
          <w:sz w:val="19"/>
          <w:szCs w:val="19"/>
          <w:b w:val="1"/>
          <w:bCs w:val="1"/>
          <w:i w:val="1"/>
          <w:iCs w:val="1"/>
          <w:color w:val="auto"/>
        </w:rPr>
        <w:t>Form S-1</w:t>
      </w:r>
      <w:r>
        <w:rPr>
          <w:rFonts w:ascii="Arial" w:cs="Arial" w:eastAsia="Arial" w:hAnsi="Arial"/>
          <w:sz w:val="19"/>
          <w:szCs w:val="19"/>
          <w:color w:val="auto"/>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an Underwritten Shelf Takedown shall not count as a Demand Registration.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jc w:val="both"/>
        <w:ind w:firstLine="1304"/>
        <w:spacing w:after="0" w:line="272" w:lineRule="auto"/>
        <w:tabs>
          <w:tab w:leader="none" w:pos="2005" w:val="left"/>
        </w:tabs>
        <w:numPr>
          <w:ilvl w:val="0"/>
          <w:numId w:val="208"/>
        </w:numPr>
        <w:rPr>
          <w:rFonts w:ascii="Arial" w:cs="Arial" w:eastAsia="Arial" w:hAnsi="Arial"/>
          <w:sz w:val="19"/>
          <w:szCs w:val="19"/>
          <w:color w:val="010000"/>
        </w:rPr>
      </w:pPr>
      <w:r>
        <w:rPr>
          <w:rFonts w:ascii="Arial" w:cs="Arial" w:eastAsia="Arial" w:hAnsi="Arial"/>
          <w:sz w:val="19"/>
          <w:szCs w:val="19"/>
          <w:u w:val="single" w:color="auto"/>
          <w:color w:val="auto"/>
        </w:rPr>
        <w:t>Effective Registration</w:t>
      </w:r>
      <w:r>
        <w:rPr>
          <w:rFonts w:ascii="Arial" w:cs="Arial" w:eastAsia="Arial" w:hAnsi="Arial"/>
          <w:sz w:val="19"/>
          <w:szCs w:val="19"/>
          <w:color w:val="auto"/>
        </w:rPr>
        <w:t xml:space="preserve">. Notwithstanding the provisions of </w:t>
      </w:r>
      <w:r>
        <w:rPr>
          <w:rFonts w:ascii="Arial" w:cs="Arial" w:eastAsia="Arial" w:hAnsi="Arial"/>
          <w:sz w:val="19"/>
          <w:szCs w:val="19"/>
          <w:u w:val="single" w:color="auto"/>
          <w:color w:val="auto"/>
        </w:rPr>
        <w:t>subsection 2.1.1</w:t>
      </w:r>
      <w:r>
        <w:rPr>
          <w:rFonts w:ascii="Arial" w:cs="Arial" w:eastAsia="Arial" w:hAnsi="Arial"/>
          <w:sz w:val="19"/>
          <w:szCs w:val="19"/>
          <w:color w:val="auto"/>
        </w:rPr>
        <w:t xml:space="preserve">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3" w:lineRule="exact"/>
        <w:rPr>
          <w:rFonts w:ascii="Arial" w:cs="Arial" w:eastAsia="Arial" w:hAnsi="Arial"/>
          <w:sz w:val="19"/>
          <w:szCs w:val="19"/>
          <w:color w:val="010000"/>
        </w:rPr>
      </w:pPr>
    </w:p>
    <w:p>
      <w:pPr>
        <w:jc w:val="both"/>
        <w:ind w:firstLine="1304"/>
        <w:spacing w:after="0" w:line="233" w:lineRule="auto"/>
        <w:tabs>
          <w:tab w:leader="none" w:pos="2025" w:val="left"/>
        </w:tabs>
        <w:numPr>
          <w:ilvl w:val="0"/>
          <w:numId w:val="208"/>
        </w:numPr>
        <w:rPr>
          <w:rFonts w:ascii="Arial" w:cs="Arial" w:eastAsia="Arial" w:hAnsi="Arial"/>
          <w:sz w:val="22"/>
          <w:szCs w:val="22"/>
          <w:color w:val="010000"/>
        </w:rPr>
      </w:pPr>
      <w:r>
        <w:rPr>
          <w:rFonts w:ascii="Arial" w:cs="Arial" w:eastAsia="Arial" w:hAnsi="Arial"/>
          <w:sz w:val="22"/>
          <w:szCs w:val="22"/>
          <w:u w:val="single" w:color="auto"/>
          <w:color w:val="auto"/>
        </w:rPr>
        <w:t>Underwritten Offering</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subsection 2.1.4</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22"/>
          <w:szCs w:val="22"/>
          <w:u w:val="single" w:color="auto"/>
          <w:color w:val="auto"/>
        </w:rPr>
        <w:t>subsection 2.1.3</w:t>
      </w:r>
      <w:r>
        <w:rPr>
          <w:rFonts w:ascii="Arial" w:cs="Arial" w:eastAsia="Arial" w:hAnsi="Arial"/>
          <w:sz w:val="22"/>
          <w:szCs w:val="22"/>
          <w:color w:val="auto"/>
        </w:rPr>
        <w:t xml:space="preserve"> shall enter into an underwriting agreement in customary form with the Underwriter(s) selected for such Underwritten Offering by the majority-in-interest of the Demanding Holders initiating the Demand Registration.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jc w:val="both"/>
        <w:ind w:firstLine="1304"/>
        <w:spacing w:after="0" w:line="268" w:lineRule="auto"/>
        <w:tabs>
          <w:tab w:leader="none" w:pos="2229" w:val="left"/>
        </w:tabs>
        <w:numPr>
          <w:ilvl w:val="1"/>
          <w:numId w:val="209"/>
        </w:numPr>
        <w:rPr>
          <w:rFonts w:ascii="Arial" w:cs="Arial" w:eastAsia="Arial" w:hAnsi="Arial"/>
          <w:sz w:val="19"/>
          <w:szCs w:val="19"/>
          <w:color w:val="010000"/>
        </w:rPr>
      </w:pPr>
      <w:r>
        <w:rPr>
          <w:rFonts w:ascii="Arial" w:cs="Arial" w:eastAsia="Arial" w:hAnsi="Arial"/>
          <w:sz w:val="19"/>
          <w:szCs w:val="19"/>
          <w:u w:val="single" w:color="auto"/>
          <w:color w:val="auto"/>
        </w:rPr>
        <w:t>Reduction of Underwritten Offering</w:t>
      </w:r>
      <w:r>
        <w:rPr>
          <w:rFonts w:ascii="Arial" w:cs="Arial" w:eastAsia="Arial" w:hAnsi="Arial"/>
          <w:sz w:val="19"/>
          <w:szCs w:val="19"/>
          <w:color w:val="auto"/>
        </w:rPr>
        <w:t>. If the managing Underwriter or Underwriters in an Underwritten 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9"/>
          <w:szCs w:val="19"/>
          <w:b w:val="1"/>
          <w:bCs w:val="1"/>
          <w:i w:val="1"/>
          <w:iCs w:val="1"/>
          <w:color w:val="auto"/>
        </w:rPr>
        <w:t>Maximum Number of Securities</w:t>
      </w:r>
      <w:r>
        <w:rPr>
          <w:rFonts w:ascii="Arial" w:cs="Arial" w:eastAsia="Arial" w:hAnsi="Arial"/>
          <w:sz w:val="19"/>
          <w:szCs w:val="19"/>
          <w:color w:val="auto"/>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9"/>
          <w:szCs w:val="19"/>
          <w:b w:val="1"/>
          <w:bCs w:val="1"/>
          <w:i w:val="1"/>
          <w:iCs w:val="1"/>
          <w:color w:val="auto"/>
        </w:rPr>
        <w:t>Pro Rata</w:t>
      </w:r>
      <w:r>
        <w:rPr>
          <w:rFonts w:ascii="Arial" w:cs="Arial" w:eastAsia="Arial" w:hAnsi="Arial"/>
          <w:sz w:val="19"/>
          <w:szCs w:val="19"/>
          <w:color w:val="auto"/>
        </w:rPr>
        <w:t>”))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w:t>
      </w:r>
    </w:p>
    <w:p>
      <w:pPr>
        <w:spacing w:after="0" w:line="1" w:lineRule="exact"/>
        <w:rPr>
          <w:rFonts w:ascii="Arial" w:cs="Arial" w:eastAsia="Arial" w:hAnsi="Arial"/>
          <w:sz w:val="19"/>
          <w:szCs w:val="19"/>
          <w:color w:val="010000"/>
        </w:rPr>
      </w:pPr>
    </w:p>
    <w:p>
      <w:pPr>
        <w:jc w:val="both"/>
        <w:ind w:firstLine="8"/>
        <w:spacing w:after="0" w:line="234" w:lineRule="auto"/>
        <w:tabs>
          <w:tab w:leader="none" w:pos="258"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14" w:lineRule="exact"/>
        <w:rPr>
          <w:rFonts w:ascii="Arial" w:cs="Arial" w:eastAsia="Arial" w:hAnsi="Arial"/>
          <w:sz w:val="22"/>
          <w:szCs w:val="22"/>
          <w:color w:val="auto"/>
        </w:rPr>
      </w:pPr>
    </w:p>
    <w:p>
      <w:pPr>
        <w:jc w:val="both"/>
        <w:ind w:firstLine="1304"/>
        <w:spacing w:after="0" w:line="246" w:lineRule="auto"/>
        <w:tabs>
          <w:tab w:leader="none" w:pos="2034" w:val="left"/>
        </w:tabs>
        <w:numPr>
          <w:ilvl w:val="1"/>
          <w:numId w:val="210"/>
        </w:numPr>
        <w:rPr>
          <w:rFonts w:ascii="Arial" w:cs="Arial" w:eastAsia="Arial" w:hAnsi="Arial"/>
          <w:sz w:val="21"/>
          <w:szCs w:val="21"/>
          <w:color w:val="010000"/>
        </w:rPr>
      </w:pPr>
      <w:r>
        <w:rPr>
          <w:rFonts w:ascii="Arial" w:cs="Arial" w:eastAsia="Arial" w:hAnsi="Arial"/>
          <w:sz w:val="21"/>
          <w:szCs w:val="21"/>
          <w:u w:val="single" w:color="auto"/>
          <w:color w:val="auto"/>
        </w:rPr>
        <w:t>Demand Registration Withdrawal</w:t>
      </w:r>
      <w:r>
        <w:rPr>
          <w:rFonts w:ascii="Arial" w:cs="Arial" w:eastAsia="Arial" w:hAnsi="Arial"/>
          <w:sz w:val="21"/>
          <w:szCs w:val="21"/>
          <w:color w:val="auto"/>
        </w:rPr>
        <w:t xml:space="preserve">. A majority-in-interest of the Demanding Holders initiating a Demand Registration or a majority-in-interest of the Requesting Holders (if any), pursuant to a Registration under </w:t>
      </w:r>
      <w:r>
        <w:rPr>
          <w:rFonts w:ascii="Arial" w:cs="Arial" w:eastAsia="Arial" w:hAnsi="Arial"/>
          <w:sz w:val="21"/>
          <w:szCs w:val="21"/>
          <w:u w:val="single" w:color="auto"/>
          <w:color w:val="auto"/>
        </w:rPr>
        <w:t>subsection 2.1.1</w:t>
      </w:r>
      <w:r>
        <w:rPr>
          <w:rFonts w:ascii="Arial" w:cs="Arial" w:eastAsia="Arial" w:hAnsi="Arial"/>
          <w:sz w:val="21"/>
          <w:szCs w:val="21"/>
          <w:color w:val="auto"/>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21"/>
          <w:szCs w:val="21"/>
          <w:u w:val="single" w:color="auto"/>
          <w:color w:val="auto"/>
        </w:rPr>
        <w:t>subsection 2.1.5</w:t>
      </w:r>
      <w:r>
        <w:rPr>
          <w:rFonts w:ascii="Arial" w:cs="Arial" w:eastAsia="Arial" w:hAnsi="Arial"/>
          <w:sz w:val="21"/>
          <w:szCs w:val="21"/>
          <w:color w:val="auto"/>
        </w:rPr>
        <w: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ind w:left="1440" w:hanging="784"/>
        <w:spacing w:after="0"/>
        <w:tabs>
          <w:tab w:leader="none" w:pos="1440" w:val="left"/>
        </w:tabs>
        <w:numPr>
          <w:ilvl w:val="0"/>
          <w:numId w:val="211"/>
        </w:numPr>
        <w:rPr>
          <w:rFonts w:ascii="Arial" w:cs="Arial" w:eastAsia="Arial" w:hAnsi="Arial"/>
          <w:sz w:val="22"/>
          <w:szCs w:val="22"/>
          <w:color w:val="010000"/>
        </w:rPr>
      </w:pPr>
      <w:r>
        <w:rPr>
          <w:rFonts w:ascii="Arial" w:cs="Arial" w:eastAsia="Arial" w:hAnsi="Arial"/>
          <w:sz w:val="22"/>
          <w:szCs w:val="22"/>
          <w:color w:val="auto"/>
        </w:rPr>
        <w:t>Piggyback Registration.</w:t>
      </w:r>
    </w:p>
    <w:p>
      <w:pPr>
        <w:spacing w:after="0" w:line="233" w:lineRule="exact"/>
        <w:rPr>
          <w:rFonts w:ascii="Arial" w:cs="Arial" w:eastAsia="Arial" w:hAnsi="Arial"/>
          <w:sz w:val="22"/>
          <w:szCs w:val="22"/>
          <w:color w:val="010000"/>
        </w:rPr>
      </w:pPr>
    </w:p>
    <w:p>
      <w:pPr>
        <w:jc w:val="both"/>
        <w:ind w:firstLine="1304"/>
        <w:spacing w:after="0" w:line="269" w:lineRule="auto"/>
        <w:tabs>
          <w:tab w:leader="none" w:pos="2593" w:val="left"/>
        </w:tabs>
        <w:numPr>
          <w:ilvl w:val="1"/>
          <w:numId w:val="211"/>
        </w:numPr>
        <w:rPr>
          <w:rFonts w:ascii="Arial" w:cs="Arial" w:eastAsia="Arial" w:hAnsi="Arial"/>
          <w:sz w:val="19"/>
          <w:szCs w:val="19"/>
          <w:color w:val="010000"/>
        </w:rPr>
      </w:pPr>
      <w:r>
        <w:rPr>
          <w:rFonts w:ascii="Arial" w:cs="Arial" w:eastAsia="Arial" w:hAnsi="Arial"/>
          <w:sz w:val="19"/>
          <w:szCs w:val="19"/>
          <w:u w:val="single" w:color="auto"/>
          <w:color w:val="auto"/>
        </w:rPr>
        <w:t>Piggyback Rights</w:t>
      </w:r>
      <w:r>
        <w:rPr>
          <w:rFonts w:ascii="Arial" w:cs="Arial" w:eastAsia="Arial" w:hAnsi="Arial"/>
          <w:sz w:val="19"/>
          <w:szCs w:val="19"/>
          <w:color w:val="auto"/>
        </w:rPr>
        <w:t xml:space="preserve">.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Arial" w:cs="Arial" w:eastAsia="Arial" w:hAnsi="Arial"/>
          <w:sz w:val="19"/>
          <w:szCs w:val="19"/>
          <w:b w:val="1"/>
          <w:bCs w:val="1"/>
          <w:i w:val="1"/>
          <w:iCs w:val="1"/>
          <w:color w:val="auto"/>
        </w:rPr>
        <w:t>Piggyback</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Registration</w:t>
      </w:r>
      <w:r>
        <w:rPr>
          <w:rFonts w:ascii="Arial" w:cs="Arial" w:eastAsia="Arial" w:hAnsi="Arial"/>
          <w:sz w:val="19"/>
          <w:szCs w:val="19"/>
          <w:color w:val="auto"/>
        </w:rPr>
        <w:t>”). The Company shall, in good faith, cause such Registrable Securities to be included in such Piggyback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shall enter into an underwriting agreement in customary form with the Underwriter(s) selected for such Underwritten Offering by the Company. The notice periods set forth in this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shall not apply to an Underwritten Shelf Takedown conducted in accordance with </w:t>
      </w:r>
      <w:r>
        <w:rPr>
          <w:rFonts w:ascii="Arial" w:cs="Arial" w:eastAsia="Arial" w:hAnsi="Arial"/>
          <w:sz w:val="19"/>
          <w:szCs w:val="19"/>
          <w:u w:val="single" w:color="auto"/>
          <w:color w:val="auto"/>
        </w:rPr>
        <w:t>subsection 2.3.3</w:t>
      </w:r>
      <w:r>
        <w:rPr>
          <w:rFonts w:ascii="Arial" w:cs="Arial" w:eastAsia="Arial" w:hAnsi="Arial"/>
          <w:sz w:val="19"/>
          <w:szCs w:val="19"/>
          <w:color w:val="auto"/>
        </w:rPr>
        <w:t>.</w:t>
      </w:r>
    </w:p>
    <w:p>
      <w:pPr>
        <w:spacing w:after="0" w:line="200" w:lineRule="exact"/>
        <w:rPr>
          <w:rFonts w:ascii="Arial" w:cs="Arial" w:eastAsia="Arial" w:hAnsi="Arial"/>
          <w:sz w:val="19"/>
          <w:szCs w:val="19"/>
          <w:color w:val="010000"/>
        </w:rPr>
      </w:pPr>
    </w:p>
    <w:p>
      <w:pPr>
        <w:spacing w:after="0" w:line="246" w:lineRule="exact"/>
        <w:rPr>
          <w:rFonts w:ascii="Arial" w:cs="Arial" w:eastAsia="Arial" w:hAnsi="Arial"/>
          <w:sz w:val="19"/>
          <w:szCs w:val="19"/>
          <w:color w:val="010000"/>
        </w:rPr>
      </w:pPr>
    </w:p>
    <w:p>
      <w:pPr>
        <w:jc w:val="both"/>
        <w:ind w:firstLine="1304"/>
        <w:spacing w:after="0" w:line="245" w:lineRule="auto"/>
        <w:tabs>
          <w:tab w:leader="none" w:pos="2073" w:val="left"/>
        </w:tabs>
        <w:numPr>
          <w:ilvl w:val="1"/>
          <w:numId w:val="211"/>
        </w:numPr>
        <w:rPr>
          <w:rFonts w:ascii="Arial" w:cs="Arial" w:eastAsia="Arial" w:hAnsi="Arial"/>
          <w:sz w:val="21"/>
          <w:szCs w:val="21"/>
          <w:color w:val="010000"/>
        </w:rPr>
      </w:pPr>
      <w:r>
        <w:rPr>
          <w:rFonts w:ascii="Arial" w:cs="Arial" w:eastAsia="Arial" w:hAnsi="Arial"/>
          <w:sz w:val="21"/>
          <w:szCs w:val="21"/>
          <w:u w:val="single" w:color="auto"/>
          <w:color w:val="auto"/>
        </w:rPr>
        <w:t>Reduction of Piggyback Registration</w:t>
      </w:r>
      <w:r>
        <w:rPr>
          <w:rFonts w:ascii="Arial" w:cs="Arial" w:eastAsia="Arial" w:hAnsi="Arial"/>
          <w:sz w:val="21"/>
          <w:szCs w:val="21"/>
          <w:color w:val="auto"/>
        </w:rPr>
        <w:t xml:space="preserve">. If the managing Underwriter or Underwriters in an Underwritten 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21"/>
          <w:szCs w:val="21"/>
          <w:u w:val="single" w:color="auto"/>
          <w:color w:val="auto"/>
        </w:rPr>
        <w:t>Section 2.2</w:t>
      </w:r>
      <w:r>
        <w:rPr>
          <w:rFonts w:ascii="Arial" w:cs="Arial" w:eastAsia="Arial" w:hAnsi="Arial"/>
          <w:sz w:val="21"/>
          <w:szCs w:val="21"/>
          <w:color w:val="auto"/>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211" w:lineRule="exact"/>
        <w:rPr>
          <w:rFonts w:ascii="Arial" w:cs="Arial" w:eastAsia="Arial" w:hAnsi="Arial"/>
          <w:sz w:val="21"/>
          <w:szCs w:val="21"/>
          <w:color w:val="010000"/>
        </w:rPr>
      </w:pPr>
    </w:p>
    <w:p>
      <w:pPr>
        <w:jc w:val="both"/>
        <w:ind w:firstLine="1952"/>
        <w:spacing w:after="0" w:line="273" w:lineRule="auto"/>
        <w:tabs>
          <w:tab w:leader="none" w:pos="2808" w:val="left"/>
        </w:tabs>
        <w:numPr>
          <w:ilvl w:val="2"/>
          <w:numId w:val="211"/>
        </w:numPr>
        <w:rPr>
          <w:rFonts w:ascii="Arial" w:cs="Arial" w:eastAsia="Arial" w:hAnsi="Arial"/>
          <w:sz w:val="19"/>
          <w:szCs w:val="19"/>
          <w:color w:val="010000"/>
        </w:rPr>
      </w:pPr>
      <w:r>
        <w:rPr>
          <w:rFonts w:ascii="Arial" w:cs="Arial" w:eastAsia="Arial" w:hAnsi="Arial"/>
          <w:sz w:val="19"/>
          <w:szCs w:val="19"/>
          <w:color w:val="auto"/>
        </w:rPr>
        <w:t xml:space="preserve">If the Registration is undertaken for the Company’s account, the Company shall include in any such Registration (A) first, the Ordinary Shares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hereof, Pro Rata based on the respective number of Registrable Securities that each Holder has so requested exercising its rights to register its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hereof, which can be sold without exceeding the Maximum Number of Securities; and (C) third, to the extent that the Maximum Number of Securities has not been 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jc w:val="both"/>
        <w:ind w:firstLine="1952"/>
        <w:spacing w:after="0" w:line="272" w:lineRule="auto"/>
        <w:tabs>
          <w:tab w:leader="none" w:pos="2916" w:val="left"/>
        </w:tabs>
        <w:numPr>
          <w:ilvl w:val="2"/>
          <w:numId w:val="212"/>
        </w:numPr>
        <w:rPr>
          <w:rFonts w:ascii="Arial" w:cs="Arial" w:eastAsia="Arial" w:hAnsi="Arial"/>
          <w:sz w:val="19"/>
          <w:szCs w:val="19"/>
          <w:color w:val="010000"/>
        </w:rPr>
      </w:pPr>
      <w:r>
        <w:rPr>
          <w:rFonts w:ascii="Arial" w:cs="Arial" w:eastAsia="Arial" w:hAnsi="Arial"/>
          <w:sz w:val="19"/>
          <w:szCs w:val="19"/>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8" w:lineRule="exact"/>
        <w:rPr>
          <w:rFonts w:ascii="Arial" w:cs="Arial" w:eastAsia="Arial" w:hAnsi="Arial"/>
          <w:sz w:val="19"/>
          <w:szCs w:val="19"/>
          <w:color w:val="010000"/>
        </w:rPr>
      </w:pPr>
    </w:p>
    <w:p>
      <w:pPr>
        <w:jc w:val="both"/>
        <w:ind w:firstLine="1304"/>
        <w:spacing w:after="0" w:line="245" w:lineRule="auto"/>
        <w:tabs>
          <w:tab w:leader="none" w:pos="2389" w:val="left"/>
        </w:tabs>
        <w:numPr>
          <w:ilvl w:val="1"/>
          <w:numId w:val="213"/>
        </w:numPr>
        <w:rPr>
          <w:rFonts w:ascii="Arial" w:cs="Arial" w:eastAsia="Arial" w:hAnsi="Arial"/>
          <w:sz w:val="21"/>
          <w:szCs w:val="21"/>
          <w:color w:val="010000"/>
        </w:rPr>
      </w:pPr>
      <w:r>
        <w:rPr>
          <w:rFonts w:ascii="Arial" w:cs="Arial" w:eastAsia="Arial" w:hAnsi="Arial"/>
          <w:sz w:val="21"/>
          <w:szCs w:val="21"/>
          <w:u w:val="single" w:color="auto"/>
          <w:color w:val="auto"/>
        </w:rPr>
        <w:t>Piggyback Registration Withdrawal</w:t>
      </w:r>
      <w:r>
        <w:rPr>
          <w:rFonts w:ascii="Arial" w:cs="Arial" w:eastAsia="Arial" w:hAnsi="Arial"/>
          <w:sz w:val="21"/>
          <w:szCs w:val="21"/>
          <w:color w:val="auto"/>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21"/>
          <w:szCs w:val="21"/>
          <w:u w:val="single" w:color="auto"/>
          <w:color w:val="auto"/>
        </w:rPr>
        <w:t>subsection 2.2.3</w:t>
      </w:r>
      <w:r>
        <w:rPr>
          <w:rFonts w:ascii="Arial" w:cs="Arial" w:eastAsia="Arial" w:hAnsi="Arial"/>
          <w:sz w:val="21"/>
          <w:szCs w:val="21"/>
          <w:color w:val="auto"/>
        </w:rPr>
        <w:t>.</w:t>
      </w:r>
    </w:p>
    <w:p>
      <w:pPr>
        <w:spacing w:after="0" w:line="211" w:lineRule="exact"/>
        <w:rPr>
          <w:rFonts w:ascii="Arial" w:cs="Arial" w:eastAsia="Arial" w:hAnsi="Arial"/>
          <w:sz w:val="21"/>
          <w:szCs w:val="21"/>
          <w:color w:val="010000"/>
        </w:rPr>
      </w:pPr>
    </w:p>
    <w:p>
      <w:pPr>
        <w:ind w:firstLine="1304"/>
        <w:spacing w:after="0" w:line="328" w:lineRule="auto"/>
        <w:tabs>
          <w:tab w:leader="none" w:pos="2094" w:val="left"/>
        </w:tabs>
        <w:numPr>
          <w:ilvl w:val="1"/>
          <w:numId w:val="213"/>
        </w:numPr>
        <w:rPr>
          <w:rFonts w:ascii="Arial" w:cs="Arial" w:eastAsia="Arial" w:hAnsi="Arial"/>
          <w:sz w:val="19"/>
          <w:szCs w:val="19"/>
          <w:color w:val="010000"/>
        </w:rPr>
      </w:pPr>
      <w:r>
        <w:rPr>
          <w:rFonts w:ascii="Arial" w:cs="Arial" w:eastAsia="Arial" w:hAnsi="Arial"/>
          <w:sz w:val="19"/>
          <w:szCs w:val="19"/>
          <w:u w:val="single" w:color="auto"/>
          <w:color w:val="auto"/>
        </w:rPr>
        <w:t>Unlimited Piggyback Registration Rights</w:t>
      </w:r>
      <w:r>
        <w:rPr>
          <w:rFonts w:ascii="Arial" w:cs="Arial" w:eastAsia="Arial" w:hAnsi="Arial"/>
          <w:sz w:val="19"/>
          <w:szCs w:val="19"/>
          <w:color w:val="auto"/>
        </w:rPr>
        <w:t xml:space="preserve">. For purposes of clarity, any Registration effected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hereof shall not be counted as a Registration pursuant to a Demand Registration effected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w:t>
      </w:r>
    </w:p>
    <w:p>
      <w:pPr>
        <w:spacing w:after="0" w:line="131" w:lineRule="exact"/>
        <w:rPr>
          <w:rFonts w:ascii="Arial" w:cs="Arial" w:eastAsia="Arial" w:hAnsi="Arial"/>
          <w:sz w:val="19"/>
          <w:szCs w:val="19"/>
          <w:color w:val="010000"/>
        </w:rPr>
      </w:pPr>
    </w:p>
    <w:p>
      <w:pPr>
        <w:ind w:left="1440" w:hanging="784"/>
        <w:spacing w:after="0"/>
        <w:tabs>
          <w:tab w:leader="none" w:pos="1440" w:val="left"/>
        </w:tabs>
        <w:numPr>
          <w:ilvl w:val="0"/>
          <w:numId w:val="214"/>
        </w:numPr>
        <w:rPr>
          <w:rFonts w:ascii="Arial" w:cs="Arial" w:eastAsia="Arial" w:hAnsi="Arial"/>
          <w:sz w:val="22"/>
          <w:szCs w:val="22"/>
          <w:color w:val="010000"/>
        </w:rPr>
      </w:pPr>
      <w:r>
        <w:rPr>
          <w:rFonts w:ascii="Arial" w:cs="Arial" w:eastAsia="Arial" w:hAnsi="Arial"/>
          <w:sz w:val="22"/>
          <w:szCs w:val="22"/>
          <w:color w:val="auto"/>
        </w:rPr>
        <w:t>Shelf Registrations.</w:t>
      </w:r>
    </w:p>
    <w:p>
      <w:pPr>
        <w:spacing w:after="0" w:line="233" w:lineRule="exact"/>
        <w:rPr>
          <w:rFonts w:ascii="Arial" w:cs="Arial" w:eastAsia="Arial" w:hAnsi="Arial"/>
          <w:sz w:val="22"/>
          <w:szCs w:val="22"/>
          <w:color w:val="010000"/>
        </w:rPr>
      </w:pPr>
    </w:p>
    <w:p>
      <w:pPr>
        <w:jc w:val="both"/>
        <w:ind w:firstLine="1304"/>
        <w:spacing w:after="0" w:line="269" w:lineRule="auto"/>
        <w:tabs>
          <w:tab w:leader="none" w:pos="2094" w:val="left"/>
        </w:tabs>
        <w:numPr>
          <w:ilvl w:val="1"/>
          <w:numId w:val="214"/>
        </w:numPr>
        <w:rPr>
          <w:rFonts w:ascii="Arial" w:cs="Arial" w:eastAsia="Arial" w:hAnsi="Arial"/>
          <w:sz w:val="19"/>
          <w:szCs w:val="19"/>
          <w:color w:val="010000"/>
        </w:rPr>
      </w:pPr>
      <w:r>
        <w:rPr>
          <w:rFonts w:ascii="Arial" w:cs="Arial" w:eastAsia="Arial" w:hAnsi="Arial"/>
          <w:sz w:val="19"/>
          <w:szCs w:val="19"/>
          <w:color w:val="auto"/>
        </w:rPr>
        <w:t>The Holders of Registrable Securities may at any time, and from time to time, request in writing that the 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9"/>
          <w:szCs w:val="19"/>
          <w:b w:val="1"/>
          <w:bCs w:val="1"/>
          <w:i w:val="1"/>
          <w:iCs w:val="1"/>
          <w:color w:val="auto"/>
        </w:rPr>
        <w:t>Form S-3</w:t>
      </w:r>
      <w:r>
        <w:rPr>
          <w:rFonts w:ascii="Arial" w:cs="Arial" w:eastAsia="Arial" w:hAnsi="Arial"/>
          <w:sz w:val="19"/>
          <w:szCs w:val="19"/>
          <w:color w:val="auto"/>
        </w:rPr>
        <w:t xml:space="preserve">”), or if the Company is ineligible to use Form S-3, on Form S-1; a registration statement filed pursuant to this </w:t>
      </w:r>
      <w:r>
        <w:rPr>
          <w:rFonts w:ascii="Arial" w:cs="Arial" w:eastAsia="Arial" w:hAnsi="Arial"/>
          <w:sz w:val="19"/>
          <w:szCs w:val="19"/>
          <w:u w:val="single" w:color="auto"/>
          <w:color w:val="auto"/>
        </w:rPr>
        <w:t>subsection 2.3.1</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Shelf</w:t>
      </w:r>
      <w:r>
        <w:rPr>
          <w:rFonts w:ascii="Arial" w:cs="Arial" w:eastAsia="Arial" w:hAnsi="Arial"/>
          <w:sz w:val="19"/>
          <w:szCs w:val="19"/>
          <w:color w:val="auto"/>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Arial" w:cs="Arial" w:eastAsia="Arial" w:hAnsi="Arial"/>
          <w:sz w:val="19"/>
          <w:szCs w:val="19"/>
          <w:u w:val="single" w:color="auto"/>
          <w:color w:val="auto"/>
        </w:rPr>
        <w:t>subsection 2.3.1</w:t>
      </w:r>
      <w:r>
        <w:rPr>
          <w:rFonts w:ascii="Arial" w:cs="Arial" w:eastAsia="Arial" w:hAnsi="Arial"/>
          <w:sz w:val="19"/>
          <w:szCs w:val="19"/>
          <w:color w:val="auto"/>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Commission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jc w:val="both"/>
        <w:ind w:firstLine="1304"/>
        <w:spacing w:after="0" w:line="270" w:lineRule="auto"/>
        <w:tabs>
          <w:tab w:leader="none" w:pos="2127" w:val="left"/>
        </w:tabs>
        <w:numPr>
          <w:ilvl w:val="0"/>
          <w:numId w:val="215"/>
        </w:numPr>
        <w:rPr>
          <w:rFonts w:ascii="Arial" w:cs="Arial" w:eastAsia="Arial" w:hAnsi="Arial"/>
          <w:sz w:val="19"/>
          <w:szCs w:val="19"/>
          <w:color w:val="010000"/>
        </w:rPr>
      </w:pPr>
      <w:r>
        <w:rPr>
          <w:rFonts w:ascii="Arial" w:cs="Arial" w:eastAsia="Arial" w:hAnsi="Arial"/>
          <w:sz w:val="19"/>
          <w:szCs w:val="19"/>
          <w:color w:val="auto"/>
        </w:rPr>
        <w:t>If any Shelf ceases to be effective under the Securities Act for any reason at any time while Registrable 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Arial" w:cs="Arial" w:eastAsia="Arial" w:hAnsi="Arial"/>
          <w:sz w:val="19"/>
          <w:szCs w:val="19"/>
          <w:b w:val="1"/>
          <w:bCs w:val="1"/>
          <w:i w:val="1"/>
          <w:iCs w:val="1"/>
          <w:color w:val="auto"/>
        </w:rPr>
        <w:t>Subsequent Shelf Registration</w:t>
      </w:r>
      <w:r>
        <w:rPr>
          <w:rFonts w:ascii="Arial" w:cs="Arial" w:eastAsia="Arial" w:hAnsi="Arial"/>
          <w:sz w:val="19"/>
          <w:szCs w:val="19"/>
          <w:color w:val="auto"/>
        </w:rPr>
        <w:t xml:space="preserve">”) registering the resale of all Registrable Securities including on such Shelf, and pursuant to any method or combination of methods 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Company shall only be required to cause such Registrable Securities to be so covered once annually after inquiry of the Holders.</w:t>
      </w:r>
    </w:p>
    <w:p>
      <w:pPr>
        <w:spacing w:after="0" w:line="190" w:lineRule="exact"/>
        <w:rPr>
          <w:rFonts w:ascii="Arial" w:cs="Arial" w:eastAsia="Arial" w:hAnsi="Arial"/>
          <w:sz w:val="19"/>
          <w:szCs w:val="19"/>
          <w:color w:val="010000"/>
        </w:rPr>
      </w:pPr>
    </w:p>
    <w:p>
      <w:pPr>
        <w:jc w:val="both"/>
        <w:ind w:firstLine="1304"/>
        <w:spacing w:after="0" w:line="271" w:lineRule="auto"/>
        <w:tabs>
          <w:tab w:leader="none" w:pos="2234" w:val="left"/>
        </w:tabs>
        <w:numPr>
          <w:ilvl w:val="0"/>
          <w:numId w:val="215"/>
        </w:numPr>
        <w:rPr>
          <w:rFonts w:ascii="Arial" w:cs="Arial" w:eastAsia="Arial" w:hAnsi="Arial"/>
          <w:sz w:val="19"/>
          <w:szCs w:val="19"/>
          <w:color w:val="010000"/>
        </w:rPr>
      </w:pPr>
      <w:r>
        <w:rPr>
          <w:rFonts w:ascii="Arial" w:cs="Arial" w:eastAsia="Arial" w:hAnsi="Arial"/>
          <w:sz w:val="19"/>
          <w:szCs w:val="19"/>
          <w:color w:val="auto"/>
        </w:rPr>
        <w:t>At any time and from time to time after a Shelf has been declared effective by the Commission, the Sponsor may request to sell all or any portion of its Registrable Securities in an underwritten offering that is registered pursuant to the Shelf (each, an “</w:t>
      </w:r>
      <w:r>
        <w:rPr>
          <w:rFonts w:ascii="Arial" w:cs="Arial" w:eastAsia="Arial" w:hAnsi="Arial"/>
          <w:sz w:val="19"/>
          <w:szCs w:val="19"/>
          <w:b w:val="1"/>
          <w:bCs w:val="1"/>
          <w:i w:val="1"/>
          <w:iCs w:val="1"/>
          <w:color w:val="auto"/>
        </w:rPr>
        <w:t>Underwritten Shelf Takedown</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only be obligated to effect an Underwritten Shelf Takedown if such offering shall include securities with a total offering price (including piggyback securities and before deduction of underwriting discounts) reasonably expected to exceed, in the aggregate, $10,000,000. All requests for Underwritten Shelf Takedowns shall be made by giving written notice to the Company at least 48 hours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Arial" w:cs="Arial" w:eastAsia="Arial" w:hAnsi="Arial"/>
          <w:sz w:val="19"/>
          <w:szCs w:val="19"/>
          <w:b w:val="1"/>
          <w:bCs w:val="1"/>
          <w:i w:val="1"/>
          <w:iCs w:val="1"/>
          <w:color w:val="auto"/>
        </w:rPr>
        <w:t>Takedown Requesting Holder</w:t>
      </w:r>
      <w:r>
        <w:rPr>
          <w:rFonts w:ascii="Arial" w:cs="Arial" w:eastAsia="Arial" w:hAnsi="Arial"/>
          <w:sz w:val="19"/>
          <w:szCs w:val="19"/>
          <w:color w:val="auto"/>
        </w:rPr>
        <w:t xml:space="preserve">”) at least 24 hours prior to the public announcement of such Underwritten Shelf Takedown pursuant to written contractual piggyback registration rights of such holder (including to those set forth herein). The Sponsor and the Takedown Requesting Holders (if any) shall have the right to select the underwriter(s) for such offering (which shall consist of one or more reputable nationally recognized investment banks), subject to the Company’s prior approval which shall not be unreasonably withheld, conditioned or delayed. For purposes of clarity, any Registration effected pursuant to this </w:t>
      </w:r>
      <w:r>
        <w:rPr>
          <w:rFonts w:ascii="Arial" w:cs="Arial" w:eastAsia="Arial" w:hAnsi="Arial"/>
          <w:sz w:val="19"/>
          <w:szCs w:val="19"/>
          <w:u w:val="single" w:color="auto"/>
          <w:color w:val="auto"/>
        </w:rPr>
        <w:t>subsection 2.3.3</w:t>
      </w:r>
      <w:r>
        <w:rPr>
          <w:rFonts w:ascii="Arial" w:cs="Arial" w:eastAsia="Arial" w:hAnsi="Arial"/>
          <w:sz w:val="19"/>
          <w:szCs w:val="19"/>
          <w:color w:val="auto"/>
        </w:rPr>
        <w:t xml:space="preserve"> shall not be counted as a Registration pursuant to a Demand Registration effected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jc w:val="both"/>
        <w:ind w:firstLine="1304"/>
        <w:spacing w:after="0" w:line="272" w:lineRule="auto"/>
        <w:tabs>
          <w:tab w:leader="none" w:pos="2106" w:val="left"/>
        </w:tabs>
        <w:numPr>
          <w:ilvl w:val="1"/>
          <w:numId w:val="216"/>
        </w:numPr>
        <w:rPr>
          <w:rFonts w:ascii="Arial" w:cs="Arial" w:eastAsia="Arial" w:hAnsi="Arial"/>
          <w:sz w:val="19"/>
          <w:szCs w:val="19"/>
          <w:color w:val="010000"/>
        </w:rPr>
      </w:pPr>
      <w:r>
        <w:rPr>
          <w:rFonts w:ascii="Arial" w:cs="Arial" w:eastAsia="Arial" w:hAnsi="Arial"/>
          <w:sz w:val="19"/>
          <w:szCs w:val="19"/>
          <w:color w:val="auto"/>
        </w:rPr>
        <w:t>If the managing Underwriter or Underwriters in an Underwritten Shelf Takedown, in good faith, advises 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 based on the respective number of Registrable Securities that each Takedown Requesting Holder has so requested to be included in such Underwritten Shelf Takedown.</w:t>
      </w:r>
    </w:p>
    <w:p>
      <w:pPr>
        <w:spacing w:after="0" w:line="188" w:lineRule="exact"/>
        <w:rPr>
          <w:rFonts w:ascii="Arial" w:cs="Arial" w:eastAsia="Arial" w:hAnsi="Arial"/>
          <w:sz w:val="19"/>
          <w:szCs w:val="19"/>
          <w:color w:val="010000"/>
        </w:rPr>
      </w:pPr>
    </w:p>
    <w:p>
      <w:pPr>
        <w:jc w:val="both"/>
        <w:ind w:firstLine="1304"/>
        <w:spacing w:after="0" w:line="235" w:lineRule="auto"/>
        <w:tabs>
          <w:tab w:leader="none" w:pos="2199" w:val="left"/>
        </w:tabs>
        <w:numPr>
          <w:ilvl w:val="1"/>
          <w:numId w:val="216"/>
        </w:numPr>
        <w:rPr>
          <w:rFonts w:ascii="Arial" w:cs="Arial" w:eastAsia="Arial" w:hAnsi="Arial"/>
          <w:sz w:val="22"/>
          <w:szCs w:val="22"/>
          <w:color w:val="010000"/>
        </w:rPr>
      </w:pPr>
      <w:r>
        <w:rPr>
          <w:rFonts w:ascii="Arial" w:cs="Arial" w:eastAsia="Arial" w:hAnsi="Arial"/>
          <w:sz w:val="22"/>
          <w:szCs w:val="22"/>
          <w:color w:val="auto"/>
        </w:rPr>
        <w:t xml:space="preserve">The Sponsor and the Takedown Requesting Holders (if any) shall have the right to withdraw from an Underwritten Shelf Takedown for any or no reason whatsoever upon written notification to the Company and the Underwriter or Underwriters (if any) of its intention to 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Arial" w:cs="Arial" w:eastAsia="Arial" w:hAnsi="Arial"/>
          <w:sz w:val="22"/>
          <w:szCs w:val="22"/>
          <w:u w:val="single" w:color="auto"/>
          <w:color w:val="auto"/>
        </w:rPr>
        <w:t>subsection 2.3.5</w:t>
      </w:r>
      <w:r>
        <w:rPr>
          <w:rFonts w:ascii="Arial" w:cs="Arial" w:eastAsia="Arial" w:hAnsi="Arial"/>
          <w:sz w:val="22"/>
          <w:szCs w:val="22"/>
          <w:color w:val="auto"/>
        </w:rPr>
        <w:t>.</w:t>
      </w:r>
    </w:p>
    <w:p>
      <w:pPr>
        <w:spacing w:after="0" w:line="214" w:lineRule="exact"/>
        <w:rPr>
          <w:rFonts w:ascii="Arial" w:cs="Arial" w:eastAsia="Arial" w:hAnsi="Arial"/>
          <w:sz w:val="22"/>
          <w:szCs w:val="22"/>
          <w:color w:val="010000"/>
        </w:rPr>
      </w:pPr>
    </w:p>
    <w:p>
      <w:pPr>
        <w:jc w:val="both"/>
        <w:ind w:firstLine="656"/>
        <w:spacing w:after="0" w:line="271" w:lineRule="auto"/>
        <w:tabs>
          <w:tab w:leader="none" w:pos="1552" w:val="left"/>
        </w:tabs>
        <w:numPr>
          <w:ilvl w:val="0"/>
          <w:numId w:val="217"/>
        </w:numPr>
        <w:rPr>
          <w:rFonts w:ascii="Arial" w:cs="Arial" w:eastAsia="Arial" w:hAnsi="Arial"/>
          <w:sz w:val="19"/>
          <w:szCs w:val="19"/>
          <w:color w:val="010000"/>
        </w:rPr>
      </w:pPr>
      <w:r>
        <w:rPr>
          <w:rFonts w:ascii="Arial" w:cs="Arial" w:eastAsia="Arial" w:hAnsi="Arial"/>
          <w:sz w:val="19"/>
          <w:szCs w:val="19"/>
          <w:color w:val="auto"/>
        </w:rPr>
        <w:t>Restrictions on Registration Rights. If (A)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010000"/>
        </w:rPr>
        <w:t>Section 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COMPANY PROCEDURES</w:t>
      </w:r>
    </w:p>
    <w:p>
      <w:pPr>
        <w:spacing w:after="0" w:line="215" w:lineRule="exact"/>
        <w:rPr>
          <w:sz w:val="20"/>
          <w:szCs w:val="20"/>
          <w:color w:val="auto"/>
        </w:rPr>
      </w:pPr>
    </w:p>
    <w:p>
      <w:pPr>
        <w:jc w:val="both"/>
        <w:ind w:firstLine="656"/>
        <w:spacing w:after="0" w:line="238" w:lineRule="auto"/>
        <w:tabs>
          <w:tab w:leader="none" w:pos="1757" w:val="left"/>
        </w:tabs>
        <w:numPr>
          <w:ilvl w:val="0"/>
          <w:numId w:val="218"/>
        </w:numPr>
        <w:rPr>
          <w:rFonts w:ascii="Arial" w:cs="Arial" w:eastAsia="Arial" w:hAnsi="Arial"/>
          <w:sz w:val="22"/>
          <w:szCs w:val="22"/>
          <w:color w:val="010000"/>
        </w:rPr>
      </w:pPr>
      <w:r>
        <w:rPr>
          <w:rFonts w:ascii="Arial" w:cs="Arial" w:eastAsia="Arial" w:hAnsi="Arial"/>
          <w:sz w:val="22"/>
          <w:szCs w:val="22"/>
          <w:color w:val="auto"/>
        </w:rPr>
        <w:t>General Procedures. If at any time on or after the date the Company consummates an initial Business 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211" w:lineRule="exact"/>
        <w:rPr>
          <w:rFonts w:ascii="Arial" w:cs="Arial" w:eastAsia="Arial" w:hAnsi="Arial"/>
          <w:sz w:val="22"/>
          <w:szCs w:val="22"/>
          <w:color w:val="010000"/>
        </w:rPr>
      </w:pPr>
    </w:p>
    <w:p>
      <w:pPr>
        <w:jc w:val="both"/>
        <w:ind w:right="20" w:firstLine="1304"/>
        <w:spacing w:after="0" w:line="257" w:lineRule="auto"/>
        <w:tabs>
          <w:tab w:leader="none" w:pos="2058" w:val="left"/>
        </w:tabs>
        <w:numPr>
          <w:ilvl w:val="1"/>
          <w:numId w:val="218"/>
        </w:numPr>
        <w:rPr>
          <w:rFonts w:ascii="Arial" w:cs="Arial" w:eastAsia="Arial" w:hAnsi="Arial"/>
          <w:sz w:val="21"/>
          <w:szCs w:val="21"/>
          <w:color w:val="010000"/>
        </w:rPr>
      </w:pPr>
      <w:r>
        <w:rPr>
          <w:rFonts w:ascii="Arial" w:cs="Arial" w:eastAsia="Arial" w:hAnsi="Arial"/>
          <w:sz w:val="21"/>
          <w:szCs w:val="21"/>
          <w:color w:val="auto"/>
        </w:rPr>
        <w:t>prepare and file with the Commission as soon as practicable a Registration Statement with respect to such Registrable Securities and use its reasonable best efforts to cause such Registration Statement to become effective and remain effective until all Registrable Securities covered by such Registration Statement have been sold;</w:t>
      </w:r>
    </w:p>
    <w:p>
      <w:pPr>
        <w:spacing w:after="0" w:line="196" w:lineRule="exact"/>
        <w:rPr>
          <w:rFonts w:ascii="Arial" w:cs="Arial" w:eastAsia="Arial" w:hAnsi="Arial"/>
          <w:sz w:val="21"/>
          <w:szCs w:val="21"/>
          <w:color w:val="010000"/>
        </w:rPr>
      </w:pPr>
    </w:p>
    <w:p>
      <w:pPr>
        <w:jc w:val="both"/>
        <w:ind w:firstLine="1304"/>
        <w:spacing w:after="0" w:line="279" w:lineRule="auto"/>
        <w:tabs>
          <w:tab w:leader="none" w:pos="1911" w:val="left"/>
        </w:tabs>
        <w:numPr>
          <w:ilvl w:val="1"/>
          <w:numId w:val="218"/>
        </w:numPr>
        <w:rPr>
          <w:rFonts w:ascii="Arial" w:cs="Arial" w:eastAsia="Arial" w:hAnsi="Arial"/>
          <w:sz w:val="19"/>
          <w:szCs w:val="19"/>
          <w:color w:val="010000"/>
        </w:rPr>
      </w:pPr>
      <w:r>
        <w:rPr>
          <w:rFonts w:ascii="Arial" w:cs="Arial" w:eastAsia="Arial" w:hAnsi="Arial"/>
          <w:sz w:val="19"/>
          <w:szCs w:val="19"/>
          <w:color w:val="auto"/>
        </w:rPr>
        <w:t>prepare and file with the Commission such amendments and post-effective amendments to the Registration 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7" w:lineRule="exact"/>
        <w:rPr>
          <w:rFonts w:ascii="Arial" w:cs="Arial" w:eastAsia="Arial" w:hAnsi="Arial"/>
          <w:sz w:val="19"/>
          <w:szCs w:val="19"/>
          <w:color w:val="010000"/>
        </w:rPr>
      </w:pPr>
    </w:p>
    <w:p>
      <w:pPr>
        <w:jc w:val="both"/>
        <w:ind w:firstLine="1304"/>
        <w:spacing w:after="0" w:line="277" w:lineRule="auto"/>
        <w:tabs>
          <w:tab w:leader="none" w:pos="2047" w:val="left"/>
        </w:tabs>
        <w:numPr>
          <w:ilvl w:val="1"/>
          <w:numId w:val="218"/>
        </w:numPr>
        <w:rPr>
          <w:rFonts w:ascii="Arial" w:cs="Arial" w:eastAsia="Arial" w:hAnsi="Arial"/>
          <w:sz w:val="19"/>
          <w:szCs w:val="19"/>
          <w:color w:val="010000"/>
        </w:rPr>
      </w:pPr>
      <w:r>
        <w:rPr>
          <w:rFonts w:ascii="Arial" w:cs="Arial" w:eastAsia="Arial" w:hAnsi="Arial"/>
          <w:sz w:val="19"/>
          <w:szCs w:val="19"/>
          <w:color w:val="auto"/>
        </w:rPr>
        <w:t>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7" w:name="page128"/>
    <w:bookmarkEnd w:id="127"/>
    <w:p>
      <w:pPr>
        <w:jc w:val="both"/>
        <w:ind w:firstLine="1304"/>
        <w:spacing w:after="0" w:line="273" w:lineRule="auto"/>
        <w:tabs>
          <w:tab w:leader="none" w:pos="2280" w:val="left"/>
        </w:tabs>
        <w:numPr>
          <w:ilvl w:val="0"/>
          <w:numId w:val="219"/>
        </w:numPr>
        <w:rPr>
          <w:rFonts w:ascii="Arial" w:cs="Arial" w:eastAsia="Arial" w:hAnsi="Arial"/>
          <w:sz w:val="19"/>
          <w:szCs w:val="19"/>
          <w:color w:val="010000"/>
        </w:rPr>
      </w:pPr>
      <w:r>
        <w:rPr>
          <w:rFonts w:ascii="Arial" w:cs="Arial" w:eastAsia="Arial" w:hAnsi="Arial"/>
          <w:sz w:val="19"/>
          <w:szCs w:val="19"/>
          <w:color w:val="auto"/>
        </w:rPr>
        <w:t xml:space="preserve">prior to any public offering of Registrable Securities,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8" w:lineRule="exact"/>
        <w:rPr>
          <w:rFonts w:ascii="Arial" w:cs="Arial" w:eastAsia="Arial" w:hAnsi="Arial"/>
          <w:sz w:val="19"/>
          <w:szCs w:val="19"/>
          <w:color w:val="010000"/>
        </w:rPr>
      </w:pPr>
    </w:p>
    <w:p>
      <w:pPr>
        <w:ind w:right="20" w:firstLine="1304"/>
        <w:spacing w:after="0" w:line="250" w:lineRule="auto"/>
        <w:tabs>
          <w:tab w:leader="none" w:pos="2239"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cause all such Registrable Securities to be listed on each securities exchange or automated quotation system on which similar securities issued by the Company are then listed;</w:t>
      </w:r>
    </w:p>
    <w:p>
      <w:pPr>
        <w:spacing w:after="0" w:line="201" w:lineRule="exact"/>
        <w:rPr>
          <w:rFonts w:ascii="Arial" w:cs="Arial" w:eastAsia="Arial" w:hAnsi="Arial"/>
          <w:sz w:val="22"/>
          <w:szCs w:val="22"/>
          <w:color w:val="010000"/>
        </w:rPr>
      </w:pPr>
    </w:p>
    <w:p>
      <w:pPr>
        <w:ind w:firstLine="1304"/>
        <w:spacing w:after="0" w:line="250" w:lineRule="auto"/>
        <w:tabs>
          <w:tab w:leader="none" w:pos="2094"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provide for a transfer agent and registrar for all such Registrable Securities no later than the effective date of such Registration Statement;</w:t>
      </w:r>
    </w:p>
    <w:p>
      <w:pPr>
        <w:spacing w:after="0" w:line="201" w:lineRule="exact"/>
        <w:rPr>
          <w:rFonts w:ascii="Arial" w:cs="Arial" w:eastAsia="Arial" w:hAnsi="Arial"/>
          <w:sz w:val="22"/>
          <w:szCs w:val="22"/>
          <w:color w:val="010000"/>
        </w:rPr>
      </w:pPr>
    </w:p>
    <w:p>
      <w:pPr>
        <w:jc w:val="both"/>
        <w:ind w:firstLine="1304"/>
        <w:spacing w:after="0" w:line="287" w:lineRule="auto"/>
        <w:tabs>
          <w:tab w:leader="none" w:pos="2361" w:val="left"/>
        </w:tabs>
        <w:numPr>
          <w:ilvl w:val="0"/>
          <w:numId w:val="219"/>
        </w:numPr>
        <w:rPr>
          <w:rFonts w:ascii="Arial" w:cs="Arial" w:eastAsia="Arial" w:hAnsi="Arial"/>
          <w:sz w:val="19"/>
          <w:szCs w:val="19"/>
          <w:color w:val="010000"/>
        </w:rPr>
      </w:pPr>
      <w:r>
        <w:rPr>
          <w:rFonts w:ascii="Arial" w:cs="Arial" w:eastAsia="Arial" w:hAnsi="Arial"/>
          <w:sz w:val="19"/>
          <w:szCs w:val="19"/>
          <w:color w:val="auto"/>
        </w:rPr>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69" w:lineRule="exact"/>
        <w:rPr>
          <w:rFonts w:ascii="Arial" w:cs="Arial" w:eastAsia="Arial" w:hAnsi="Arial"/>
          <w:sz w:val="19"/>
          <w:szCs w:val="19"/>
          <w:color w:val="010000"/>
        </w:rPr>
      </w:pPr>
    </w:p>
    <w:p>
      <w:pPr>
        <w:jc w:val="both"/>
        <w:ind w:firstLine="1304"/>
        <w:spacing w:after="0"/>
        <w:tabs>
          <w:tab w:leader="none" w:pos="2087"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at least five (5) days prior to the filing of any Registration Statement or Prospectus or any amendment or supplement to such Registration Statement or Prospectus (other than by way of a document incorporated by reference) furnish a copy thereof to each seller of such Registrable Securities or its counsel;</w:t>
      </w:r>
    </w:p>
    <w:p>
      <w:pPr>
        <w:spacing w:after="0" w:line="213" w:lineRule="exact"/>
        <w:rPr>
          <w:rFonts w:ascii="Arial" w:cs="Arial" w:eastAsia="Arial" w:hAnsi="Arial"/>
          <w:sz w:val="22"/>
          <w:szCs w:val="22"/>
          <w:color w:val="010000"/>
        </w:rPr>
      </w:pPr>
    </w:p>
    <w:p>
      <w:pPr>
        <w:jc w:val="both"/>
        <w:ind w:firstLine="1304"/>
        <w:spacing w:after="0" w:line="238" w:lineRule="auto"/>
        <w:tabs>
          <w:tab w:leader="none" w:pos="2061" w:val="left"/>
        </w:tabs>
        <w:numPr>
          <w:ilvl w:val="0"/>
          <w:numId w:val="219"/>
        </w:numPr>
        <w:rPr>
          <w:rFonts w:ascii="Arial" w:cs="Arial" w:eastAsia="Arial" w:hAnsi="Arial"/>
          <w:sz w:val="22"/>
          <w:szCs w:val="22"/>
          <w:color w:val="010000"/>
        </w:rPr>
      </w:pPr>
      <w:r>
        <w:rPr>
          <w:rFonts w:ascii="Arial" w:cs="Arial" w:eastAsia="Arial" w:hAnsi="Arial"/>
          <w:sz w:val="22"/>
          <w:szCs w:val="22"/>
          <w:color w:val="auto"/>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3.4</w:t>
      </w:r>
      <w:r>
        <w:rPr>
          <w:rFonts w:ascii="Arial" w:cs="Arial" w:eastAsia="Arial" w:hAnsi="Arial"/>
          <w:sz w:val="22"/>
          <w:szCs w:val="22"/>
          <w:color w:val="auto"/>
        </w:rPr>
        <w:t xml:space="preserve"> hereof;</w:t>
      </w:r>
    </w:p>
    <w:p>
      <w:pPr>
        <w:spacing w:after="0" w:line="211" w:lineRule="exact"/>
        <w:rPr>
          <w:rFonts w:ascii="Arial" w:cs="Arial" w:eastAsia="Arial" w:hAnsi="Arial"/>
          <w:sz w:val="22"/>
          <w:szCs w:val="22"/>
          <w:color w:val="010000"/>
        </w:rPr>
      </w:pPr>
    </w:p>
    <w:p>
      <w:pPr>
        <w:jc w:val="both"/>
        <w:ind w:firstLine="1304"/>
        <w:spacing w:after="0" w:line="248" w:lineRule="auto"/>
        <w:tabs>
          <w:tab w:leader="none" w:pos="2160" w:val="left"/>
        </w:tabs>
        <w:numPr>
          <w:ilvl w:val="0"/>
          <w:numId w:val="219"/>
        </w:numPr>
        <w:rPr>
          <w:rFonts w:ascii="Arial" w:cs="Arial" w:eastAsia="Arial" w:hAnsi="Arial"/>
          <w:sz w:val="21"/>
          <w:szCs w:val="21"/>
          <w:color w:val="010000"/>
        </w:rPr>
      </w:pPr>
      <w:r>
        <w:rPr>
          <w:rFonts w:ascii="Arial" w:cs="Arial" w:eastAsia="Arial" w:hAnsi="Arial"/>
          <w:sz w:val="21"/>
          <w:szCs w:val="21"/>
          <w:color w:val="auto"/>
        </w:rPr>
        <w:t xml:space="preserve">permit a representative of the Holders, the Underwriters, if any, and any attorney or accountant retained 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representatives or Underwriters enter into a confidentiality agreement, in form and substance reasonably satisfactory to the Company, prior to the release or disclosure of any such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8" w:name="page129"/>
    <w:bookmarkEnd w:id="128"/>
    <w:p>
      <w:pPr>
        <w:jc w:val="both"/>
        <w:ind w:firstLine="1304"/>
        <w:spacing w:after="0" w:line="238" w:lineRule="auto"/>
        <w:tabs>
          <w:tab w:leader="none" w:pos="2022" w:val="left"/>
        </w:tabs>
        <w:numPr>
          <w:ilvl w:val="2"/>
          <w:numId w:val="220"/>
        </w:numPr>
        <w:rPr>
          <w:rFonts w:ascii="Arial" w:cs="Arial" w:eastAsia="Arial" w:hAnsi="Arial"/>
          <w:sz w:val="22"/>
          <w:szCs w:val="22"/>
          <w:color w:val="010000"/>
        </w:rPr>
      </w:pPr>
      <w:r>
        <w:rPr>
          <w:rFonts w:ascii="Arial" w:cs="Arial" w:eastAsia="Arial" w:hAnsi="Arial"/>
          <w:sz w:val="22"/>
          <w:szCs w:val="22"/>
          <w:color w:val="auto"/>
        </w:rPr>
        <w:t>obtain a “cold comfort” letter from the Company’s independent registered public accountants in the event 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212" w:lineRule="exact"/>
        <w:rPr>
          <w:rFonts w:ascii="Arial" w:cs="Arial" w:eastAsia="Arial" w:hAnsi="Arial"/>
          <w:sz w:val="22"/>
          <w:szCs w:val="22"/>
          <w:color w:val="010000"/>
        </w:rPr>
      </w:pPr>
    </w:p>
    <w:p>
      <w:pPr>
        <w:jc w:val="both"/>
        <w:ind w:firstLine="1304"/>
        <w:spacing w:after="0" w:line="248" w:lineRule="auto"/>
        <w:tabs>
          <w:tab w:leader="none" w:pos="2243" w:val="left"/>
        </w:tabs>
        <w:numPr>
          <w:ilvl w:val="2"/>
          <w:numId w:val="220"/>
        </w:numPr>
        <w:rPr>
          <w:rFonts w:ascii="Arial" w:cs="Arial" w:eastAsia="Arial" w:hAnsi="Arial"/>
          <w:sz w:val="21"/>
          <w:szCs w:val="21"/>
          <w:color w:val="010000"/>
        </w:rPr>
      </w:pPr>
      <w:r>
        <w:rPr>
          <w:rFonts w:ascii="Arial" w:cs="Arial" w:eastAsia="Arial" w:hAnsi="Arial"/>
          <w:sz w:val="21"/>
          <w:szCs w:val="21"/>
          <w:color w:val="auto"/>
        </w:rPr>
        <w:t>on the date the Registrable Securities are delivered for sale pursuant to such Registration, obtain an 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203" w:lineRule="exact"/>
        <w:rPr>
          <w:rFonts w:ascii="Arial" w:cs="Arial" w:eastAsia="Arial" w:hAnsi="Arial"/>
          <w:sz w:val="21"/>
          <w:szCs w:val="21"/>
          <w:color w:val="010000"/>
        </w:rPr>
      </w:pPr>
    </w:p>
    <w:p>
      <w:pPr>
        <w:ind w:right="20" w:firstLine="1304"/>
        <w:spacing w:after="0" w:line="250" w:lineRule="auto"/>
        <w:tabs>
          <w:tab w:leader="none" w:pos="2126" w:val="left"/>
        </w:tabs>
        <w:numPr>
          <w:ilvl w:val="2"/>
          <w:numId w:val="220"/>
        </w:numPr>
        <w:rPr>
          <w:rFonts w:ascii="Arial" w:cs="Arial" w:eastAsia="Arial" w:hAnsi="Arial"/>
          <w:sz w:val="22"/>
          <w:szCs w:val="22"/>
          <w:color w:val="010000"/>
        </w:rPr>
      </w:pPr>
      <w:r>
        <w:rPr>
          <w:rFonts w:ascii="Arial" w:cs="Arial" w:eastAsia="Arial" w:hAnsi="Arial"/>
          <w:sz w:val="22"/>
          <w:szCs w:val="22"/>
          <w:color w:val="auto"/>
        </w:rPr>
        <w:t>in the event of any Underwritten Offering, enter into and perform its obligations under an underwriting agreement, in usual and customary form, with the managing Underwriter of such offering;</w:t>
      </w:r>
    </w:p>
    <w:p>
      <w:pPr>
        <w:spacing w:after="0" w:line="201" w:lineRule="exact"/>
        <w:rPr>
          <w:rFonts w:ascii="Arial" w:cs="Arial" w:eastAsia="Arial" w:hAnsi="Arial"/>
          <w:sz w:val="22"/>
          <w:szCs w:val="22"/>
          <w:color w:val="010000"/>
        </w:rPr>
      </w:pPr>
    </w:p>
    <w:p>
      <w:pPr>
        <w:jc w:val="both"/>
        <w:ind w:firstLine="1304"/>
        <w:spacing w:after="0" w:line="252" w:lineRule="auto"/>
        <w:tabs>
          <w:tab w:leader="none" w:pos="2149" w:val="left"/>
        </w:tabs>
        <w:numPr>
          <w:ilvl w:val="2"/>
          <w:numId w:val="220"/>
        </w:numPr>
        <w:rPr>
          <w:rFonts w:ascii="Arial" w:cs="Arial" w:eastAsia="Arial" w:hAnsi="Arial"/>
          <w:sz w:val="21"/>
          <w:szCs w:val="21"/>
          <w:color w:val="010000"/>
        </w:rPr>
      </w:pPr>
      <w:r>
        <w:rPr>
          <w:rFonts w:ascii="Arial" w:cs="Arial" w:eastAsia="Arial" w:hAnsi="Arial"/>
          <w:sz w:val="21"/>
          <w:szCs w:val="21"/>
          <w:color w:val="auto"/>
        </w:rPr>
        <w:t>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200" w:lineRule="exact"/>
        <w:rPr>
          <w:rFonts w:ascii="Arial" w:cs="Arial" w:eastAsia="Arial" w:hAnsi="Arial"/>
          <w:sz w:val="21"/>
          <w:szCs w:val="21"/>
          <w:color w:val="010000"/>
        </w:rPr>
      </w:pPr>
    </w:p>
    <w:p>
      <w:pPr>
        <w:jc w:val="both"/>
        <w:ind w:firstLine="1304"/>
        <w:spacing w:after="0" w:line="297" w:lineRule="auto"/>
        <w:tabs>
          <w:tab w:leader="none" w:pos="1980" w:val="left"/>
        </w:tabs>
        <w:numPr>
          <w:ilvl w:val="2"/>
          <w:numId w:val="220"/>
        </w:numPr>
        <w:rPr>
          <w:rFonts w:ascii="Arial" w:cs="Arial" w:eastAsia="Arial" w:hAnsi="Arial"/>
          <w:sz w:val="19"/>
          <w:szCs w:val="19"/>
          <w:color w:val="010000"/>
        </w:rPr>
      </w:pPr>
      <w:r>
        <w:rPr>
          <w:rFonts w:ascii="Arial" w:cs="Arial" w:eastAsia="Arial" w:hAnsi="Arial"/>
          <w:sz w:val="19"/>
          <w:szCs w:val="19"/>
          <w:color w:val="auto"/>
        </w:rPr>
        <w:t>if the Registration involves the Registration of Registrable Securities involving gross proceeds in excess of $50,000,000, use its reasonable efforts to make available senior executives of the Company to participate in customary “road show” presentations that may be reasonably requested by the Underwriter in any Underwritten Offering; and</w:t>
      </w:r>
    </w:p>
    <w:p>
      <w:pPr>
        <w:spacing w:after="0" w:line="160" w:lineRule="exact"/>
        <w:rPr>
          <w:rFonts w:ascii="Arial" w:cs="Arial" w:eastAsia="Arial" w:hAnsi="Arial"/>
          <w:sz w:val="19"/>
          <w:szCs w:val="19"/>
          <w:color w:val="010000"/>
        </w:rPr>
      </w:pPr>
    </w:p>
    <w:p>
      <w:pPr>
        <w:ind w:right="20" w:firstLine="1304"/>
        <w:spacing w:after="0" w:line="250" w:lineRule="auto"/>
        <w:tabs>
          <w:tab w:leader="none" w:pos="2099" w:val="left"/>
        </w:tabs>
        <w:numPr>
          <w:ilvl w:val="2"/>
          <w:numId w:val="220"/>
        </w:numPr>
        <w:rPr>
          <w:rFonts w:ascii="Arial" w:cs="Arial" w:eastAsia="Arial" w:hAnsi="Arial"/>
          <w:sz w:val="22"/>
          <w:szCs w:val="22"/>
          <w:color w:val="010000"/>
        </w:rPr>
      </w:pPr>
      <w:r>
        <w:rPr>
          <w:rFonts w:ascii="Arial" w:cs="Arial" w:eastAsia="Arial" w:hAnsi="Arial"/>
          <w:sz w:val="22"/>
          <w:szCs w:val="22"/>
          <w:color w:val="auto"/>
        </w:rPr>
        <w:t>otherwise, in good faith, cooperate reasonably with, and take such customary actions as may reasonably be requested by the Holders, in connection with such Registration.</w:t>
      </w:r>
    </w:p>
    <w:p>
      <w:pPr>
        <w:spacing w:after="0" w:line="201" w:lineRule="exact"/>
        <w:rPr>
          <w:rFonts w:ascii="Arial" w:cs="Arial" w:eastAsia="Arial" w:hAnsi="Arial"/>
          <w:sz w:val="22"/>
          <w:szCs w:val="22"/>
          <w:color w:val="010000"/>
        </w:rPr>
      </w:pPr>
    </w:p>
    <w:p>
      <w:pPr>
        <w:jc w:val="both"/>
        <w:ind w:firstLine="656"/>
        <w:spacing w:after="0" w:line="287" w:lineRule="auto"/>
        <w:tabs>
          <w:tab w:leader="none" w:pos="1634" w:val="left"/>
        </w:tabs>
        <w:numPr>
          <w:ilvl w:val="1"/>
          <w:numId w:val="221"/>
        </w:numPr>
        <w:rPr>
          <w:rFonts w:ascii="Arial" w:cs="Arial" w:eastAsia="Arial" w:hAnsi="Arial"/>
          <w:sz w:val="19"/>
          <w:szCs w:val="19"/>
          <w:color w:val="010000"/>
        </w:rPr>
      </w:pPr>
      <w:r>
        <w:rPr>
          <w:rFonts w:ascii="Arial" w:cs="Arial" w:eastAsia="Arial" w:hAnsi="Arial"/>
          <w:sz w:val="19"/>
          <w:szCs w:val="19"/>
          <w:color w:val="auto"/>
        </w:rPr>
        <w:t>Registration Expenses.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69" w:lineRule="exact"/>
        <w:rPr>
          <w:rFonts w:ascii="Arial" w:cs="Arial" w:eastAsia="Arial" w:hAnsi="Arial"/>
          <w:sz w:val="19"/>
          <w:szCs w:val="19"/>
          <w:color w:val="010000"/>
        </w:rPr>
      </w:pPr>
    </w:p>
    <w:p>
      <w:pPr>
        <w:jc w:val="both"/>
        <w:ind w:firstLine="656"/>
        <w:spacing w:after="0" w:line="276" w:lineRule="auto"/>
        <w:tabs>
          <w:tab w:leader="none" w:pos="1650" w:val="left"/>
        </w:tabs>
        <w:numPr>
          <w:ilvl w:val="1"/>
          <w:numId w:val="221"/>
        </w:numPr>
        <w:rPr>
          <w:rFonts w:ascii="Arial" w:cs="Arial" w:eastAsia="Arial" w:hAnsi="Arial"/>
          <w:sz w:val="19"/>
          <w:szCs w:val="19"/>
          <w:color w:val="010000"/>
        </w:rPr>
      </w:pPr>
      <w:r>
        <w:rPr>
          <w:rFonts w:ascii="Arial" w:cs="Arial" w:eastAsia="Arial" w:hAnsi="Arial"/>
          <w:sz w:val="19"/>
          <w:szCs w:val="19"/>
          <w:color w:val="auto"/>
        </w:rPr>
        <w:t>Requirements for Participation in Underwritten Offerings. No person may participate in any Underwritten Offering for equity securities of the Company pursuant to a Registration initiated by the Company hereunder unless such person</w:t>
      </w:r>
    </w:p>
    <w:p>
      <w:pPr>
        <w:spacing w:after="0" w:line="1" w:lineRule="exact"/>
        <w:rPr>
          <w:rFonts w:ascii="Arial" w:cs="Arial" w:eastAsia="Arial" w:hAnsi="Arial"/>
          <w:sz w:val="19"/>
          <w:szCs w:val="19"/>
          <w:color w:val="010000"/>
        </w:rPr>
      </w:pPr>
    </w:p>
    <w:p>
      <w:pPr>
        <w:ind w:left="280" w:hanging="272"/>
        <w:spacing w:after="0"/>
        <w:tabs>
          <w:tab w:leader="none" w:pos="28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agrees to sell such person’s securities on the basis provided in any underwriting arrangements approved by the Company and</w:t>
      </w:r>
    </w:p>
    <w:p>
      <w:pPr>
        <w:spacing w:after="0" w:line="24" w:lineRule="exact"/>
        <w:rPr>
          <w:rFonts w:ascii="Arial" w:cs="Arial" w:eastAsia="Arial" w:hAnsi="Arial"/>
          <w:sz w:val="19"/>
          <w:szCs w:val="19"/>
          <w:color w:val="auto"/>
        </w:rPr>
      </w:pPr>
    </w:p>
    <w:p>
      <w:pPr>
        <w:ind w:firstLine="8"/>
        <w:spacing w:after="0" w:line="308" w:lineRule="auto"/>
        <w:tabs>
          <w:tab w:leader="none" w:pos="355" w:val="left"/>
        </w:tabs>
        <w:numPr>
          <w:ilvl w:val="0"/>
          <w:numId w:val="222"/>
        </w:numPr>
        <w:rPr>
          <w:rFonts w:ascii="Arial" w:cs="Arial" w:eastAsia="Arial" w:hAnsi="Arial"/>
          <w:sz w:val="19"/>
          <w:szCs w:val="19"/>
          <w:color w:val="auto"/>
        </w:rPr>
      </w:pPr>
      <w:r>
        <w:rPr>
          <w:rFonts w:ascii="Arial" w:cs="Arial" w:eastAsia="Arial" w:hAnsi="Arial"/>
          <w:sz w:val="19"/>
          <w:szCs w:val="19"/>
          <w:color w:val="auto"/>
        </w:rPr>
        <w:t>completes and executes all customary questionnaires, powers of attorney, indemnities, lock-up agreements, underwriting agreements and other customary documents as may be reasonably required under the terms of such underwriting arrangements.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9" w:name="page130"/>
    <w:bookmarkEnd w:id="129"/>
    <w:p>
      <w:pPr>
        <w:jc w:val="both"/>
        <w:ind w:firstLine="656"/>
        <w:spacing w:after="0" w:line="271" w:lineRule="auto"/>
        <w:tabs>
          <w:tab w:leader="none" w:pos="1500" w:val="left"/>
        </w:tabs>
        <w:numPr>
          <w:ilvl w:val="0"/>
          <w:numId w:val="223"/>
        </w:numPr>
        <w:rPr>
          <w:rFonts w:ascii="Arial" w:cs="Arial" w:eastAsia="Arial" w:hAnsi="Arial"/>
          <w:sz w:val="19"/>
          <w:szCs w:val="19"/>
          <w:color w:val="010000"/>
        </w:rPr>
      </w:pPr>
      <w:r>
        <w:rPr>
          <w:rFonts w:ascii="Arial" w:cs="Arial" w:eastAsia="Arial" w:hAnsi="Arial"/>
          <w:sz w:val="19"/>
          <w:szCs w:val="19"/>
          <w:color w:val="auto"/>
        </w:rPr>
        <w:t>Suspension of Sales; Adverse Disclosure. 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w:t>
      </w:r>
    </w:p>
    <w:p>
      <w:pPr>
        <w:spacing w:after="0" w:line="191" w:lineRule="exact"/>
        <w:rPr>
          <w:rFonts w:ascii="Arial" w:cs="Arial" w:eastAsia="Arial" w:hAnsi="Arial"/>
          <w:sz w:val="19"/>
          <w:szCs w:val="19"/>
          <w:color w:val="010000"/>
        </w:rPr>
      </w:pPr>
    </w:p>
    <w:p>
      <w:pPr>
        <w:jc w:val="both"/>
        <w:ind w:firstLine="656"/>
        <w:spacing w:after="0" w:line="273" w:lineRule="auto"/>
        <w:tabs>
          <w:tab w:leader="none" w:pos="1389" w:val="left"/>
        </w:tabs>
        <w:numPr>
          <w:ilvl w:val="0"/>
          <w:numId w:val="223"/>
        </w:numPr>
        <w:rPr>
          <w:rFonts w:ascii="Arial" w:cs="Arial" w:eastAsia="Arial" w:hAnsi="Arial"/>
          <w:sz w:val="19"/>
          <w:szCs w:val="19"/>
          <w:color w:val="010000"/>
        </w:rPr>
      </w:pPr>
      <w:r>
        <w:rPr>
          <w:rFonts w:ascii="Arial" w:cs="Arial" w:eastAsia="Arial" w:hAnsi="Arial"/>
          <w:sz w:val="19"/>
          <w:szCs w:val="19"/>
          <w:color w:val="auto"/>
        </w:rPr>
        <w:t>Reporting Obligations.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AND CONTRIBUTION</w:t>
      </w:r>
    </w:p>
    <w:p>
      <w:pPr>
        <w:spacing w:after="0" w:line="215" w:lineRule="exact"/>
        <w:rPr>
          <w:sz w:val="20"/>
          <w:szCs w:val="20"/>
          <w:color w:val="auto"/>
        </w:rPr>
      </w:pPr>
    </w:p>
    <w:p>
      <w:pPr>
        <w:ind w:left="1460" w:hanging="804"/>
        <w:spacing w:after="0"/>
        <w:tabs>
          <w:tab w:leader="none" w:pos="1460" w:val="left"/>
        </w:tabs>
        <w:numPr>
          <w:ilvl w:val="0"/>
          <w:numId w:val="224"/>
        </w:numPr>
        <w:rPr>
          <w:rFonts w:ascii="Arial" w:cs="Arial" w:eastAsia="Arial" w:hAnsi="Arial"/>
          <w:sz w:val="22"/>
          <w:szCs w:val="22"/>
          <w:color w:val="010000"/>
        </w:rPr>
      </w:pPr>
      <w:r>
        <w:rPr>
          <w:rFonts w:ascii="Arial" w:cs="Arial" w:eastAsia="Arial" w:hAnsi="Arial"/>
          <w:sz w:val="22"/>
          <w:szCs w:val="22"/>
          <w:color w:val="auto"/>
        </w:rPr>
        <w:t>Indemnification.</w:t>
      </w:r>
    </w:p>
    <w:p>
      <w:pPr>
        <w:spacing w:after="0" w:line="233" w:lineRule="exact"/>
        <w:rPr>
          <w:rFonts w:ascii="Arial" w:cs="Arial" w:eastAsia="Arial" w:hAnsi="Arial"/>
          <w:sz w:val="22"/>
          <w:szCs w:val="22"/>
          <w:color w:val="010000"/>
        </w:rPr>
      </w:pPr>
    </w:p>
    <w:p>
      <w:pPr>
        <w:jc w:val="both"/>
        <w:ind w:firstLine="1304"/>
        <w:spacing w:after="0" w:line="274" w:lineRule="auto"/>
        <w:tabs>
          <w:tab w:leader="none" w:pos="2094" w:val="left"/>
        </w:tabs>
        <w:numPr>
          <w:ilvl w:val="1"/>
          <w:numId w:val="224"/>
        </w:numPr>
        <w:rPr>
          <w:rFonts w:ascii="Arial" w:cs="Arial" w:eastAsia="Arial" w:hAnsi="Arial"/>
          <w:sz w:val="19"/>
          <w:szCs w:val="19"/>
          <w:color w:val="010000"/>
        </w:rPr>
      </w:pPr>
      <w:r>
        <w:rPr>
          <w:rFonts w:ascii="Arial" w:cs="Arial" w:eastAsia="Arial" w:hAnsi="Arial"/>
          <w:sz w:val="19"/>
          <w:szCs w:val="19"/>
          <w:color w:val="auto"/>
        </w:rPr>
        <w:t>The Company agrees to indemnify, to the extent permitted by law, each Holder of Registrable Securities, 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both"/>
        <w:ind w:firstLine="1304"/>
        <w:spacing w:after="0" w:line="271" w:lineRule="auto"/>
        <w:tabs>
          <w:tab w:leader="none" w:pos="2592" w:val="left"/>
        </w:tabs>
        <w:numPr>
          <w:ilvl w:val="0"/>
          <w:numId w:val="225"/>
        </w:numPr>
        <w:rPr>
          <w:rFonts w:ascii="Arial" w:cs="Arial" w:eastAsia="Arial" w:hAnsi="Arial"/>
          <w:sz w:val="19"/>
          <w:szCs w:val="19"/>
          <w:color w:val="010000"/>
        </w:rPr>
      </w:pPr>
      <w:r>
        <w:rPr>
          <w:rFonts w:ascii="Arial" w:cs="Arial" w:eastAsia="Arial" w:hAnsi="Arial"/>
          <w:sz w:val="19"/>
          <w:szCs w:val="19"/>
          <w:color w:val="auto"/>
        </w:rPr>
        <w:t xml:space="preserve">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0" w:lineRule="exact"/>
        <w:rPr>
          <w:rFonts w:ascii="Arial" w:cs="Arial" w:eastAsia="Arial" w:hAnsi="Arial"/>
          <w:sz w:val="19"/>
          <w:szCs w:val="19"/>
          <w:color w:val="010000"/>
        </w:rPr>
      </w:pPr>
    </w:p>
    <w:p>
      <w:pPr>
        <w:spacing w:after="0" w:line="234" w:lineRule="exact"/>
        <w:rPr>
          <w:rFonts w:ascii="Arial" w:cs="Arial" w:eastAsia="Arial" w:hAnsi="Arial"/>
          <w:sz w:val="19"/>
          <w:szCs w:val="19"/>
          <w:color w:val="010000"/>
        </w:rPr>
      </w:pPr>
    </w:p>
    <w:p>
      <w:pPr>
        <w:jc w:val="both"/>
        <w:ind w:firstLine="1304"/>
        <w:spacing w:after="0" w:line="271" w:lineRule="auto"/>
        <w:tabs>
          <w:tab w:leader="none" w:pos="2196" w:val="left"/>
        </w:tabs>
        <w:numPr>
          <w:ilvl w:val="0"/>
          <w:numId w:val="225"/>
        </w:numPr>
        <w:rPr>
          <w:rFonts w:ascii="Arial" w:cs="Arial" w:eastAsia="Arial" w:hAnsi="Arial"/>
          <w:sz w:val="19"/>
          <w:szCs w:val="19"/>
          <w:color w:val="010000"/>
        </w:rPr>
      </w:pPr>
      <w:r>
        <w:rPr>
          <w:rFonts w:ascii="Arial" w:cs="Arial" w:eastAsia="Arial" w:hAnsi="Arial"/>
          <w:sz w:val="19"/>
          <w:szCs w:val="19"/>
          <w:color w:val="auto"/>
        </w:rPr>
        <w:t>Any person entitled to indemnification herein shall (i) give prompt written notice to the indemnifying party of any claim with respect to which he, she or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jc w:val="both"/>
        <w:ind w:firstLine="1304"/>
        <w:spacing w:after="0" w:line="282" w:lineRule="auto"/>
        <w:tabs>
          <w:tab w:leader="none" w:pos="2112" w:val="left"/>
        </w:tabs>
        <w:numPr>
          <w:ilvl w:val="0"/>
          <w:numId w:val="226"/>
        </w:numPr>
        <w:rPr>
          <w:rFonts w:ascii="Arial" w:cs="Arial" w:eastAsia="Arial" w:hAnsi="Arial"/>
          <w:sz w:val="19"/>
          <w:szCs w:val="19"/>
          <w:color w:val="010000"/>
        </w:rPr>
      </w:pPr>
      <w:r>
        <w:rPr>
          <w:rFonts w:ascii="Arial" w:cs="Arial" w:eastAsia="Arial" w:hAnsi="Arial"/>
          <w:sz w:val="19"/>
          <w:szCs w:val="19"/>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74" w:lineRule="exact"/>
        <w:rPr>
          <w:rFonts w:ascii="Arial" w:cs="Arial" w:eastAsia="Arial" w:hAnsi="Arial"/>
          <w:sz w:val="19"/>
          <w:szCs w:val="19"/>
          <w:color w:val="010000"/>
        </w:rPr>
      </w:pPr>
    </w:p>
    <w:p>
      <w:pPr>
        <w:jc w:val="both"/>
        <w:ind w:firstLine="1304"/>
        <w:spacing w:after="0" w:line="270" w:lineRule="auto"/>
        <w:tabs>
          <w:tab w:leader="none" w:pos="2155" w:val="left"/>
        </w:tabs>
        <w:numPr>
          <w:ilvl w:val="0"/>
          <w:numId w:val="226"/>
        </w:numPr>
        <w:rPr>
          <w:rFonts w:ascii="Arial" w:cs="Arial" w:eastAsia="Arial" w:hAnsi="Arial"/>
          <w:sz w:val="19"/>
          <w:szCs w:val="19"/>
          <w:color w:val="010000"/>
        </w:rPr>
      </w:pPr>
      <w:r>
        <w:rPr>
          <w:rFonts w:ascii="Arial" w:cs="Arial" w:eastAsia="Arial" w:hAnsi="Arial"/>
          <w:sz w:val="19"/>
          <w:szCs w:val="19"/>
          <w:color w:val="auto"/>
        </w:rPr>
        <w:t xml:space="preserve">If the indemnification provided under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liability of any Holder under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9"/>
          <w:szCs w:val="19"/>
          <w:u w:val="single" w:color="auto"/>
          <w:color w:val="auto"/>
        </w:rPr>
        <w:t>subsections 4.1.1</w:t>
      </w:r>
      <w:r>
        <w:rPr>
          <w:rFonts w:ascii="Arial" w:cs="Arial" w:eastAsia="Arial" w:hAnsi="Arial"/>
          <w:sz w:val="19"/>
          <w:szCs w:val="19"/>
          <w:color w:val="auto"/>
        </w:rPr>
        <w:t xml:space="preserve">, </w:t>
      </w:r>
      <w:r>
        <w:rPr>
          <w:rFonts w:ascii="Arial" w:cs="Arial" w:eastAsia="Arial" w:hAnsi="Arial"/>
          <w:sz w:val="19"/>
          <w:szCs w:val="19"/>
          <w:u w:val="single" w:color="auto"/>
          <w:color w:val="auto"/>
        </w:rPr>
        <w:t>4.1.2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4.1.3</w:t>
      </w:r>
      <w:r>
        <w:rPr>
          <w:rFonts w:ascii="Arial" w:cs="Arial" w:eastAsia="Arial" w:hAnsi="Arial"/>
          <w:sz w:val="19"/>
          <w:szCs w:val="19"/>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were determined by pro rata allocation or by any other method of allocation, which does not take account of the equitable considerations referred to in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No person guilty of fraudulent misrepresentation (within the meaning of Section 11(f) of the Securities Act) shall be entitled to contribution pursuant to this </w:t>
      </w:r>
      <w:r>
        <w:rPr>
          <w:rFonts w:ascii="Arial" w:cs="Arial" w:eastAsia="Arial" w:hAnsi="Arial"/>
          <w:sz w:val="19"/>
          <w:szCs w:val="19"/>
          <w:u w:val="single" w:color="auto"/>
          <w:color w:val="auto"/>
        </w:rPr>
        <w:t>subsection 4.1.5</w:t>
      </w:r>
      <w:r>
        <w:rPr>
          <w:rFonts w:ascii="Arial" w:cs="Arial" w:eastAsia="Arial" w:hAnsi="Arial"/>
          <w:sz w:val="19"/>
          <w:szCs w:val="19"/>
          <w:color w:val="auto"/>
        </w:rPr>
        <w:t xml:space="preserve"> from any person who was not guilty of such fraudulent misrepresentation.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Section 11.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RIGHTS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Subject to the terms and conditions of this Agreement, at any time and from time to time on or after the date that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 consummates an initial Business Combination and for so long as the Sponsor holds any Registrable Securities:</w:t>
      </w:r>
    </w:p>
    <w:p>
      <w:pPr>
        <w:spacing w:after="0" w:line="250" w:lineRule="exact"/>
        <w:rPr>
          <w:sz w:val="20"/>
          <w:szCs w:val="20"/>
          <w:color w:val="auto"/>
        </w:rPr>
      </w:pPr>
    </w:p>
    <w:p>
      <w:pPr>
        <w:jc w:val="both"/>
        <w:ind w:firstLine="1304"/>
        <w:spacing w:after="0" w:line="287" w:lineRule="auto"/>
        <w:tabs>
          <w:tab w:leader="none" w:pos="2095" w:val="left"/>
        </w:tabs>
        <w:numPr>
          <w:ilvl w:val="0"/>
          <w:numId w:val="227"/>
        </w:numPr>
        <w:rPr>
          <w:rFonts w:ascii="Arial" w:cs="Arial" w:eastAsia="Arial" w:hAnsi="Arial"/>
          <w:sz w:val="19"/>
          <w:szCs w:val="19"/>
          <w:color w:val="010000"/>
        </w:rPr>
      </w:pPr>
      <w:r>
        <w:rPr>
          <w:rFonts w:ascii="Arial" w:cs="Arial" w:eastAsia="Arial" w:hAnsi="Arial"/>
          <w:sz w:val="19"/>
          <w:szCs w:val="19"/>
          <w:color w:val="auto"/>
        </w:rPr>
        <w:t>The Sponsor shall have the right, but not the obligation, to designate three individuals to be appointed or nominated, as the case may be, for election to the Board (including any successor, each, a “</w:t>
      </w:r>
      <w:r>
        <w:rPr>
          <w:rFonts w:ascii="Arial" w:cs="Arial" w:eastAsia="Arial" w:hAnsi="Arial"/>
          <w:sz w:val="19"/>
          <w:szCs w:val="19"/>
          <w:b w:val="1"/>
          <w:bCs w:val="1"/>
          <w:i w:val="1"/>
          <w:iCs w:val="1"/>
          <w:color w:val="auto"/>
        </w:rPr>
        <w:t>Nominee</w:t>
      </w:r>
      <w:r>
        <w:rPr>
          <w:rFonts w:ascii="Arial" w:cs="Arial" w:eastAsia="Arial" w:hAnsi="Arial"/>
          <w:sz w:val="19"/>
          <w:szCs w:val="19"/>
          <w:color w:val="auto"/>
        </w:rPr>
        <w:t>”) by giving written notice to the Company on or before the time such information is reasonably requested by the Board or the Nominating Committee of the Board, as applicable, for inclusion in a proxy statement for a meeting of shareholders provided to the Sponsor.</w:t>
      </w:r>
    </w:p>
    <w:p>
      <w:pPr>
        <w:spacing w:after="0" w:line="169" w:lineRule="exact"/>
        <w:rPr>
          <w:rFonts w:ascii="Arial" w:cs="Arial" w:eastAsia="Arial" w:hAnsi="Arial"/>
          <w:sz w:val="19"/>
          <w:szCs w:val="19"/>
          <w:color w:val="010000"/>
        </w:rPr>
      </w:pPr>
    </w:p>
    <w:p>
      <w:pPr>
        <w:jc w:val="both"/>
        <w:ind w:firstLine="1304"/>
        <w:spacing w:after="0" w:line="297" w:lineRule="auto"/>
        <w:tabs>
          <w:tab w:leader="none" w:pos="2185" w:val="left"/>
        </w:tabs>
        <w:numPr>
          <w:ilvl w:val="0"/>
          <w:numId w:val="227"/>
        </w:numPr>
        <w:rPr>
          <w:rFonts w:ascii="Arial" w:cs="Arial" w:eastAsia="Arial" w:hAnsi="Arial"/>
          <w:sz w:val="19"/>
          <w:szCs w:val="19"/>
          <w:color w:val="010000"/>
        </w:rPr>
      </w:pPr>
      <w:r>
        <w:rPr>
          <w:rFonts w:ascii="Arial" w:cs="Arial" w:eastAsia="Arial" w:hAnsi="Arial"/>
          <w:sz w:val="19"/>
          <w:szCs w:val="19"/>
          <w:color w:val="auto"/>
        </w:rPr>
        <w:t>The Company will, as promptly as practicable, use its best efforts to take all necessary and desirable actions (including, without limitation, calling special meetings of the Board and the shareholders and recommending, supporting and soliciting proxies) so that there are three Sponsor Directors serving on the Board at all times.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2" w:name="page133"/>
    <w:bookmarkEnd w:id="132"/>
    <w:p>
      <w:pPr>
        <w:jc w:val="both"/>
        <w:ind w:firstLine="1304"/>
        <w:spacing w:after="0" w:line="279" w:lineRule="auto"/>
        <w:tabs>
          <w:tab w:leader="none" w:pos="2020" w:val="left"/>
        </w:tabs>
        <w:numPr>
          <w:ilvl w:val="0"/>
          <w:numId w:val="228"/>
        </w:numPr>
        <w:rPr>
          <w:rFonts w:ascii="Arial" w:cs="Arial" w:eastAsia="Arial" w:hAnsi="Arial"/>
          <w:sz w:val="19"/>
          <w:szCs w:val="19"/>
          <w:color w:val="010000"/>
        </w:rPr>
      </w:pPr>
      <w:r>
        <w:rPr>
          <w:rFonts w:ascii="Arial" w:cs="Arial" w:eastAsia="Arial" w:hAnsi="Arial"/>
          <w:sz w:val="19"/>
          <w:szCs w:val="19"/>
          <w:color w:val="auto"/>
        </w:rPr>
        <w:t>The Company shall, to the fullest extent permitted by applicable law, use its best efforts to take all actions necessary to ensure that: (i) 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w:t>
      </w:r>
    </w:p>
    <w:p>
      <w:pPr>
        <w:spacing w:after="0" w:line="177" w:lineRule="exact"/>
        <w:rPr>
          <w:rFonts w:ascii="Arial" w:cs="Arial" w:eastAsia="Arial" w:hAnsi="Arial"/>
          <w:sz w:val="19"/>
          <w:szCs w:val="19"/>
          <w:color w:val="010000"/>
        </w:rPr>
      </w:pPr>
    </w:p>
    <w:p>
      <w:pPr>
        <w:jc w:val="both"/>
        <w:ind w:firstLine="1304"/>
        <w:spacing w:after="0" w:line="287" w:lineRule="auto"/>
        <w:tabs>
          <w:tab w:leader="none" w:pos="2069" w:val="left"/>
        </w:tabs>
        <w:numPr>
          <w:ilvl w:val="0"/>
          <w:numId w:val="228"/>
        </w:numPr>
        <w:rPr>
          <w:rFonts w:ascii="Arial" w:cs="Arial" w:eastAsia="Arial" w:hAnsi="Arial"/>
          <w:sz w:val="19"/>
          <w:szCs w:val="19"/>
          <w:color w:val="010000"/>
        </w:rPr>
      </w:pPr>
      <w:r>
        <w:rPr>
          <w:rFonts w:ascii="Arial" w:cs="Arial" w:eastAsia="Arial" w:hAnsi="Arial"/>
          <w:sz w:val="19"/>
          <w:szCs w:val="19"/>
          <w:color w:val="auto"/>
        </w:rPr>
        <w:t>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69" w:lineRule="exact"/>
        <w:rPr>
          <w:rFonts w:ascii="Arial" w:cs="Arial" w:eastAsia="Arial" w:hAnsi="Arial"/>
          <w:sz w:val="19"/>
          <w:szCs w:val="19"/>
          <w:color w:val="010000"/>
        </w:rPr>
      </w:pPr>
    </w:p>
    <w:p>
      <w:pPr>
        <w:jc w:val="both"/>
        <w:ind w:firstLine="1304"/>
        <w:spacing w:after="0" w:line="282" w:lineRule="auto"/>
        <w:tabs>
          <w:tab w:leader="none" w:pos="2072" w:val="left"/>
        </w:tabs>
        <w:numPr>
          <w:ilvl w:val="0"/>
          <w:numId w:val="228"/>
        </w:numPr>
        <w:rPr>
          <w:rFonts w:ascii="Arial" w:cs="Arial" w:eastAsia="Arial" w:hAnsi="Arial"/>
          <w:sz w:val="19"/>
          <w:szCs w:val="19"/>
          <w:color w:val="010000"/>
        </w:rPr>
      </w:pPr>
      <w:r>
        <w:rPr>
          <w:rFonts w:ascii="Arial" w:cs="Arial" w:eastAsia="Arial" w:hAnsi="Arial"/>
          <w:sz w:val="19"/>
          <w:szCs w:val="19"/>
          <w:color w:val="auto"/>
        </w:rPr>
        <w:t>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174" w:lineRule="exact"/>
        <w:rPr>
          <w:rFonts w:ascii="Arial" w:cs="Arial" w:eastAsia="Arial" w:hAnsi="Arial"/>
          <w:sz w:val="19"/>
          <w:szCs w:val="19"/>
          <w:color w:val="010000"/>
        </w:rPr>
      </w:pPr>
    </w:p>
    <w:p>
      <w:pPr>
        <w:jc w:val="both"/>
        <w:ind w:firstLine="1304"/>
        <w:spacing w:after="0" w:line="236" w:lineRule="auto"/>
        <w:tabs>
          <w:tab w:leader="none" w:pos="2085"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214" w:lineRule="exact"/>
        <w:rPr>
          <w:rFonts w:ascii="Arial" w:cs="Arial" w:eastAsia="Arial" w:hAnsi="Arial"/>
          <w:sz w:val="22"/>
          <w:szCs w:val="22"/>
          <w:color w:val="010000"/>
        </w:rPr>
      </w:pPr>
    </w:p>
    <w:p>
      <w:pPr>
        <w:jc w:val="both"/>
        <w:ind w:firstLine="1304"/>
        <w:spacing w:after="0" w:line="235" w:lineRule="auto"/>
        <w:tabs>
          <w:tab w:leader="none" w:pos="2140"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 xml:space="preserve">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Arial" w:cs="Arial" w:eastAsia="Arial" w:hAnsi="Arial"/>
          <w:sz w:val="22"/>
          <w:szCs w:val="22"/>
          <w:i w:val="1"/>
          <w:iCs w:val="1"/>
          <w:color w:val="auto"/>
        </w:rPr>
        <w:t>provided that</w:t>
      </w:r>
      <w:r>
        <w:rPr>
          <w:rFonts w:ascii="Arial" w:cs="Arial" w:eastAsia="Arial" w:hAnsi="Arial"/>
          <w:sz w:val="22"/>
          <w:szCs w:val="22"/>
          <w:color w:val="auto"/>
        </w:rPr>
        <w:t xml:space="preserve"> upon removal or resignation of such Sponsor Director for any reason, the Company shall take all actions reasonably necessary to extend such directors’ and officers’ liability insurance coverage for a period of not less than six (6) years from any such event in respect of any act or omission occurring at or prior to such event.</w:t>
      </w:r>
    </w:p>
    <w:p>
      <w:pPr>
        <w:spacing w:after="0" w:line="214" w:lineRule="exact"/>
        <w:rPr>
          <w:rFonts w:ascii="Arial" w:cs="Arial" w:eastAsia="Arial" w:hAnsi="Arial"/>
          <w:sz w:val="22"/>
          <w:szCs w:val="22"/>
          <w:color w:val="010000"/>
        </w:rPr>
      </w:pPr>
    </w:p>
    <w:p>
      <w:pPr>
        <w:jc w:val="both"/>
        <w:ind w:firstLine="1304"/>
        <w:spacing w:after="0" w:line="235" w:lineRule="auto"/>
        <w:tabs>
          <w:tab w:leader="none" w:pos="2037" w:val="left"/>
        </w:tabs>
        <w:numPr>
          <w:ilvl w:val="0"/>
          <w:numId w:val="228"/>
        </w:numPr>
        <w:rPr>
          <w:rFonts w:ascii="Arial" w:cs="Arial" w:eastAsia="Arial" w:hAnsi="Arial"/>
          <w:sz w:val="22"/>
          <w:szCs w:val="22"/>
          <w:color w:val="010000"/>
        </w:rPr>
      </w:pPr>
      <w:r>
        <w:rPr>
          <w:rFonts w:ascii="Arial" w:cs="Arial" w:eastAsia="Arial" w:hAnsi="Arial"/>
          <w:sz w:val="22"/>
          <w:szCs w:val="22"/>
          <w:color w:val="auto"/>
        </w:rPr>
        <w:t>For so long as a Sponsor Director serves on the Board, the Company shall not amend, alter or repeal any right to indemnification or exculpation covering or benefiting any Sponsor Director nominated pursuant to this Agreement as and to the extent consistent with applicable law, whether such right is contained in the Company’s amended and restated memorandum and articles of association, each as amended, or another document (except to the extent such amendment or alteration permits the Company to provide broader indemnification or exculpation rights on a retroactive basis than permitted prior thereto).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3" w:name="page134"/>
    <w:bookmarkEnd w:id="133"/>
    <w:p>
      <w:pPr>
        <w:ind w:firstLine="1304"/>
        <w:spacing w:after="0" w:line="328" w:lineRule="auto"/>
        <w:tabs>
          <w:tab w:leader="none" w:pos="2177" w:val="left"/>
        </w:tabs>
        <w:numPr>
          <w:ilvl w:val="1"/>
          <w:numId w:val="229"/>
        </w:numPr>
        <w:rPr>
          <w:rFonts w:ascii="Arial" w:cs="Arial" w:eastAsia="Arial" w:hAnsi="Arial"/>
          <w:sz w:val="19"/>
          <w:szCs w:val="19"/>
          <w:color w:val="010000"/>
        </w:rPr>
      </w:pPr>
      <w:r>
        <w:rPr>
          <w:rFonts w:ascii="Arial" w:cs="Arial" w:eastAsia="Arial" w:hAnsi="Arial"/>
          <w:sz w:val="19"/>
          <w:szCs w:val="19"/>
          <w:color w:val="auto"/>
        </w:rPr>
        <w:t>Each Nominee may, but does not need to qualify as “independent” pursuant to listing standards of the Nasdaq Capital Market (or such other national securities exchange upon which the Company’s securities are then listed).</w:t>
      </w:r>
    </w:p>
    <w:p>
      <w:pPr>
        <w:spacing w:after="0" w:line="132" w:lineRule="exact"/>
        <w:rPr>
          <w:rFonts w:ascii="Arial" w:cs="Arial" w:eastAsia="Arial" w:hAnsi="Arial"/>
          <w:sz w:val="19"/>
          <w:szCs w:val="19"/>
          <w:color w:val="010000"/>
        </w:rPr>
      </w:pPr>
    </w:p>
    <w:p>
      <w:pPr>
        <w:jc w:val="both"/>
        <w:ind w:firstLine="1304"/>
        <w:spacing w:after="0" w:line="276" w:lineRule="auto"/>
        <w:tabs>
          <w:tab w:leader="none" w:pos="2124" w:val="left"/>
        </w:tabs>
        <w:numPr>
          <w:ilvl w:val="1"/>
          <w:numId w:val="229"/>
        </w:numPr>
        <w:rPr>
          <w:rFonts w:ascii="Arial" w:cs="Arial" w:eastAsia="Arial" w:hAnsi="Arial"/>
          <w:sz w:val="19"/>
          <w:szCs w:val="19"/>
          <w:color w:val="010000"/>
        </w:rPr>
      </w:pPr>
      <w:r>
        <w:rPr>
          <w:rFonts w:ascii="Arial" w:cs="Arial" w:eastAsia="Arial" w:hAnsi="Arial"/>
          <w:sz w:val="19"/>
          <w:szCs w:val="19"/>
          <w:color w:val="auto"/>
        </w:rPr>
        <w:t>Any Nominee will be subject to the Company’s customary due diligence process, including its review of a completed questionnaire and a background check. Based on the foregoing, the Company may object to any Nominee provided</w:t>
      </w:r>
    </w:p>
    <w:p>
      <w:pPr>
        <w:spacing w:after="0" w:line="1" w:lineRule="exact"/>
        <w:rPr>
          <w:rFonts w:ascii="Arial" w:cs="Arial" w:eastAsia="Arial" w:hAnsi="Arial"/>
          <w:sz w:val="19"/>
          <w:szCs w:val="19"/>
          <w:color w:val="010000"/>
        </w:rPr>
      </w:pPr>
    </w:p>
    <w:p>
      <w:pPr>
        <w:jc w:val="both"/>
        <w:ind w:firstLine="8"/>
        <w:spacing w:after="0" w:line="269" w:lineRule="auto"/>
        <w:tabs>
          <w:tab w:leader="none" w:pos="318" w:val="left"/>
        </w:tabs>
        <w:numPr>
          <w:ilvl w:val="0"/>
          <w:numId w:val="230"/>
        </w:numPr>
        <w:rPr>
          <w:rFonts w:ascii="Arial" w:cs="Arial" w:eastAsia="Arial" w:hAnsi="Arial"/>
          <w:sz w:val="19"/>
          <w:szCs w:val="19"/>
          <w:color w:val="auto"/>
        </w:rPr>
      </w:pPr>
      <w:r>
        <w:rPr>
          <w:rFonts w:ascii="Arial" w:cs="Arial" w:eastAsia="Arial" w:hAnsi="Arial"/>
          <w:sz w:val="19"/>
          <w:szCs w:val="19"/>
          <w:color w:val="auto"/>
        </w:rPr>
        <w:t>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sixty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thirty (30) calendar days of the Company’s notice to Sponsor of its objection to the Nominee and such replacement Nominee shall be subject to the review process outlined above.</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firstLine="1304"/>
        <w:spacing w:after="0" w:line="252" w:lineRule="auto"/>
        <w:tabs>
          <w:tab w:leader="none" w:pos="2065" w:val="left"/>
        </w:tabs>
        <w:numPr>
          <w:ilvl w:val="1"/>
          <w:numId w:val="230"/>
        </w:numPr>
        <w:rPr>
          <w:rFonts w:ascii="Arial" w:cs="Arial" w:eastAsia="Arial" w:hAnsi="Arial"/>
          <w:sz w:val="21"/>
          <w:szCs w:val="21"/>
          <w:color w:val="010000"/>
        </w:rPr>
      </w:pPr>
      <w:r>
        <w:rPr>
          <w:rFonts w:ascii="Arial" w:cs="Arial" w:eastAsia="Arial" w:hAnsi="Arial"/>
          <w:sz w:val="21"/>
          <w:szCs w:val="21"/>
          <w:color w:val="auto"/>
        </w:rPr>
        <w:t>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2"/>
          <w:szCs w:val="22"/>
          <w:b w:val="1"/>
          <w:bCs w:val="1"/>
          <w:color w:val="010000"/>
        </w:rPr>
        <w:t>Section 12.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jc w:val="both"/>
        <w:ind w:firstLine="656"/>
        <w:spacing w:after="0" w:line="276" w:lineRule="auto"/>
        <w:tabs>
          <w:tab w:leader="none" w:pos="1494" w:val="left"/>
        </w:tabs>
        <w:numPr>
          <w:ilvl w:val="1"/>
          <w:numId w:val="231"/>
        </w:numPr>
        <w:rPr>
          <w:rFonts w:ascii="Arial" w:cs="Arial" w:eastAsia="Arial" w:hAnsi="Arial"/>
          <w:sz w:val="19"/>
          <w:szCs w:val="19"/>
          <w:color w:val="010000"/>
        </w:rPr>
      </w:pPr>
      <w:r>
        <w:rPr>
          <w:rFonts w:ascii="Arial" w:cs="Arial" w:eastAsia="Arial" w:hAnsi="Arial"/>
          <w:sz w:val="19"/>
          <w:szCs w:val="19"/>
          <w:color w:val="auto"/>
        </w:rPr>
        <w:t>Notices. Any notice or communication under this Agreement must be in writing and given by (i) deposit in the United States mail, addressed to the party to be notified, postage prepaid and registered or certified with return receipt requested,</w:t>
      </w:r>
    </w:p>
    <w:p>
      <w:pPr>
        <w:spacing w:after="0" w:line="1" w:lineRule="exact"/>
        <w:rPr>
          <w:rFonts w:ascii="Arial" w:cs="Arial" w:eastAsia="Arial" w:hAnsi="Arial"/>
          <w:sz w:val="19"/>
          <w:szCs w:val="19"/>
          <w:color w:val="010000"/>
        </w:rPr>
      </w:pPr>
    </w:p>
    <w:p>
      <w:pPr>
        <w:jc w:val="both"/>
        <w:ind w:firstLine="8"/>
        <w:spacing w:after="0" w:line="242" w:lineRule="auto"/>
        <w:tabs>
          <w:tab w:leader="none" w:pos="321" w:val="left"/>
        </w:tabs>
        <w:numPr>
          <w:ilvl w:val="0"/>
          <w:numId w:val="232"/>
        </w:numPr>
        <w:rPr>
          <w:rFonts w:ascii="Arial" w:cs="Arial" w:eastAsia="Arial" w:hAnsi="Arial"/>
          <w:sz w:val="21"/>
          <w:szCs w:val="21"/>
          <w:color w:val="auto"/>
        </w:rPr>
      </w:pPr>
      <w:r>
        <w:rPr>
          <w:rFonts w:ascii="Arial" w:cs="Arial" w:eastAsia="Arial" w:hAnsi="Arial"/>
          <w:sz w:val="21"/>
          <w:szCs w:val="21"/>
          <w:color w:val="auto"/>
        </w:rPr>
        <w:t>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51 Astor Place, 10th Floor, New York, New York 1003, Attention: Adam Stone, with copy to; Kirkland &amp; Ellis LLP, 601 Lexington Avenue, New York, New York 10022, Attention: Christian O. Nagler and Ross M. Leff,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w:t>
      </w:r>
    </w:p>
    <w:p>
      <w:pPr>
        <w:spacing w:after="0" w:line="219" w:lineRule="exact"/>
        <w:rPr>
          <w:rFonts w:ascii="Arial" w:cs="Arial" w:eastAsia="Arial" w:hAnsi="Arial"/>
          <w:sz w:val="21"/>
          <w:szCs w:val="21"/>
          <w:color w:val="auto"/>
        </w:rPr>
      </w:pPr>
    </w:p>
    <w:p>
      <w:pPr>
        <w:ind w:left="1380" w:hanging="724"/>
        <w:spacing w:after="0"/>
        <w:tabs>
          <w:tab w:leader="none" w:pos="1380" w:val="left"/>
        </w:tabs>
        <w:numPr>
          <w:ilvl w:val="1"/>
          <w:numId w:val="232"/>
        </w:numPr>
        <w:rPr>
          <w:rFonts w:ascii="Arial" w:cs="Arial" w:eastAsia="Arial" w:hAnsi="Arial"/>
          <w:sz w:val="22"/>
          <w:szCs w:val="22"/>
          <w:color w:val="010000"/>
        </w:rPr>
      </w:pPr>
      <w:r>
        <w:rPr>
          <w:rFonts w:ascii="Arial" w:cs="Arial" w:eastAsia="Arial" w:hAnsi="Arial"/>
          <w:sz w:val="22"/>
          <w:szCs w:val="22"/>
          <w:color w:val="auto"/>
        </w:rPr>
        <w:t>Assignment; No Third Party Beneficiaries.</w:t>
      </w:r>
    </w:p>
    <w:p>
      <w:pPr>
        <w:spacing w:after="0" w:line="233" w:lineRule="exact"/>
        <w:rPr>
          <w:rFonts w:ascii="Arial" w:cs="Arial" w:eastAsia="Arial" w:hAnsi="Arial"/>
          <w:sz w:val="22"/>
          <w:szCs w:val="22"/>
          <w:color w:val="010000"/>
        </w:rPr>
      </w:pPr>
    </w:p>
    <w:p>
      <w:pPr>
        <w:ind w:firstLine="1304"/>
        <w:spacing w:after="0" w:line="250" w:lineRule="auto"/>
        <w:tabs>
          <w:tab w:leader="none" w:pos="2090" w:val="left"/>
        </w:tabs>
        <w:numPr>
          <w:ilvl w:val="2"/>
          <w:numId w:val="232"/>
        </w:numPr>
        <w:rPr>
          <w:rFonts w:ascii="Arial" w:cs="Arial" w:eastAsia="Arial" w:hAnsi="Arial"/>
          <w:sz w:val="22"/>
          <w:szCs w:val="22"/>
          <w:color w:val="010000"/>
        </w:rPr>
      </w:pPr>
      <w:r>
        <w:rPr>
          <w:rFonts w:ascii="Arial" w:cs="Arial" w:eastAsia="Arial" w:hAnsi="Arial"/>
          <w:sz w:val="22"/>
          <w:szCs w:val="22"/>
          <w:color w:val="auto"/>
        </w:rPr>
        <w:t>This Agreement and the rights, duties and obligations of the Company hereunder may not be assigned or delegated by the Company in whole or in part.</w:t>
      </w:r>
    </w:p>
    <w:p>
      <w:pPr>
        <w:spacing w:after="0" w:line="201" w:lineRule="exact"/>
        <w:rPr>
          <w:rFonts w:ascii="Arial" w:cs="Arial" w:eastAsia="Arial" w:hAnsi="Arial"/>
          <w:sz w:val="22"/>
          <w:szCs w:val="22"/>
          <w:color w:val="010000"/>
        </w:rPr>
      </w:pPr>
    </w:p>
    <w:p>
      <w:pPr>
        <w:jc w:val="both"/>
        <w:ind w:firstLine="1304"/>
        <w:spacing w:after="0" w:line="297" w:lineRule="auto"/>
        <w:tabs>
          <w:tab w:leader="none" w:pos="2062" w:val="left"/>
        </w:tabs>
        <w:numPr>
          <w:ilvl w:val="2"/>
          <w:numId w:val="232"/>
        </w:numPr>
        <w:rPr>
          <w:rFonts w:ascii="Arial" w:cs="Arial" w:eastAsia="Arial" w:hAnsi="Arial"/>
          <w:sz w:val="19"/>
          <w:szCs w:val="19"/>
          <w:color w:val="010000"/>
        </w:rPr>
      </w:pPr>
      <w:r>
        <w:rPr>
          <w:rFonts w:ascii="Arial" w:cs="Arial" w:eastAsia="Arial" w:hAnsi="Arial"/>
          <w:sz w:val="19"/>
          <w:szCs w:val="19"/>
          <w:color w:val="auto"/>
        </w:rPr>
        <w:t>Prior to the expiration of the Founder Shares Lock-up Period or the Private Placement Lock-up Period, as the case may be, no Holder may assign or delegate such Holder’s rights, duties or obligations under this Agreement, in whole or in part, except in connection with a transfer of Registrable Securities by such Holder to a Permitted Transferee.</w:t>
      </w:r>
    </w:p>
    <w:p>
      <w:pPr>
        <w:spacing w:after="0" w:line="160" w:lineRule="exact"/>
        <w:rPr>
          <w:rFonts w:ascii="Arial" w:cs="Arial" w:eastAsia="Arial" w:hAnsi="Arial"/>
          <w:sz w:val="19"/>
          <w:szCs w:val="19"/>
          <w:color w:val="010000"/>
        </w:rPr>
      </w:pPr>
    </w:p>
    <w:p>
      <w:pPr>
        <w:ind w:firstLine="1304"/>
        <w:spacing w:after="0" w:line="328" w:lineRule="auto"/>
        <w:tabs>
          <w:tab w:leader="none" w:pos="2141" w:val="left"/>
        </w:tabs>
        <w:numPr>
          <w:ilvl w:val="2"/>
          <w:numId w:val="232"/>
        </w:numPr>
        <w:rPr>
          <w:rFonts w:ascii="Arial" w:cs="Arial" w:eastAsia="Arial" w:hAnsi="Arial"/>
          <w:sz w:val="19"/>
          <w:szCs w:val="19"/>
          <w:color w:val="010000"/>
        </w:rPr>
      </w:pPr>
      <w:r>
        <w:rPr>
          <w:rFonts w:ascii="Arial" w:cs="Arial" w:eastAsia="Arial" w:hAnsi="Arial"/>
          <w:sz w:val="19"/>
          <w:szCs w:val="19"/>
          <w:color w:val="auto"/>
        </w:rPr>
        <w:t>This Agreement and the provisions hereof shall be binding upon and shall inure to the benefit of each of the parties and its successors and the permitted assigns of the Holders, which shall include Permitted Transferees.</w:t>
      </w:r>
    </w:p>
    <w:p>
      <w:pPr>
        <w:spacing w:after="0" w:line="131" w:lineRule="exact"/>
        <w:rPr>
          <w:rFonts w:ascii="Arial" w:cs="Arial" w:eastAsia="Arial" w:hAnsi="Arial"/>
          <w:sz w:val="19"/>
          <w:szCs w:val="19"/>
          <w:color w:val="010000"/>
        </w:rPr>
      </w:pPr>
    </w:p>
    <w:p>
      <w:pPr>
        <w:ind w:right="20" w:firstLine="1304"/>
        <w:spacing w:after="0" w:line="250" w:lineRule="auto"/>
        <w:tabs>
          <w:tab w:leader="none" w:pos="2155" w:val="left"/>
        </w:tabs>
        <w:numPr>
          <w:ilvl w:val="2"/>
          <w:numId w:val="232"/>
        </w:numPr>
        <w:rPr>
          <w:rFonts w:ascii="Arial" w:cs="Arial" w:eastAsia="Arial" w:hAnsi="Arial"/>
          <w:sz w:val="22"/>
          <w:szCs w:val="22"/>
          <w:color w:val="010000"/>
        </w:rPr>
      </w:pPr>
      <w:r>
        <w:rPr>
          <w:rFonts w:ascii="Arial" w:cs="Arial" w:eastAsia="Arial" w:hAnsi="Arial"/>
          <w:sz w:val="22"/>
          <w:szCs w:val="22"/>
          <w:color w:val="auto"/>
        </w:rPr>
        <w:t xml:space="preserve">This Agreement shall not confer any rights or benefits on any persons that are not parties hereto, other than as expressly set forth in this Agreement and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hereof.</w:t>
      </w:r>
    </w:p>
    <w:p>
      <w:pPr>
        <w:spacing w:after="0" w:line="201" w:lineRule="exact"/>
        <w:rPr>
          <w:rFonts w:ascii="Arial" w:cs="Arial" w:eastAsia="Arial" w:hAnsi="Arial"/>
          <w:sz w:val="22"/>
          <w:szCs w:val="22"/>
          <w:color w:val="010000"/>
        </w:rPr>
      </w:pPr>
    </w:p>
    <w:p>
      <w:pPr>
        <w:jc w:val="both"/>
        <w:ind w:firstLine="1304"/>
        <w:spacing w:after="0" w:line="282" w:lineRule="auto"/>
        <w:tabs>
          <w:tab w:leader="none" w:pos="2333" w:val="left"/>
        </w:tabs>
        <w:numPr>
          <w:ilvl w:val="2"/>
          <w:numId w:val="232"/>
        </w:numPr>
        <w:rPr>
          <w:rFonts w:ascii="Arial" w:cs="Arial" w:eastAsia="Arial" w:hAnsi="Arial"/>
          <w:sz w:val="19"/>
          <w:szCs w:val="19"/>
          <w:color w:val="010000"/>
        </w:rPr>
      </w:pPr>
      <w:r>
        <w:rPr>
          <w:rFonts w:ascii="Arial" w:cs="Arial" w:eastAsia="Arial" w:hAnsi="Arial"/>
          <w:sz w:val="19"/>
          <w:szCs w:val="19"/>
          <w:color w:val="auto"/>
        </w:rPr>
        <w:t xml:space="preserve">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9"/>
          <w:szCs w:val="19"/>
          <w:u w:val="single" w:color="auto"/>
          <w:color w:val="auto"/>
        </w:rPr>
        <w:t>Section 6.2</w:t>
      </w:r>
      <w:r>
        <w:rPr>
          <w:rFonts w:ascii="Arial" w:cs="Arial" w:eastAsia="Arial" w:hAnsi="Arial"/>
          <w:sz w:val="19"/>
          <w:szCs w:val="19"/>
          <w:color w:val="auto"/>
        </w:rPr>
        <w:t xml:space="preserve"> shall be null and void.</w:t>
      </w:r>
    </w:p>
    <w:p>
      <w:pPr>
        <w:spacing w:after="0" w:line="174" w:lineRule="exact"/>
        <w:rPr>
          <w:rFonts w:ascii="Arial" w:cs="Arial" w:eastAsia="Arial" w:hAnsi="Arial"/>
          <w:sz w:val="19"/>
          <w:szCs w:val="19"/>
          <w:color w:val="010000"/>
        </w:rPr>
      </w:pPr>
    </w:p>
    <w:p>
      <w:pPr>
        <w:jc w:val="both"/>
        <w:ind w:firstLine="656"/>
        <w:spacing w:after="0" w:line="236" w:lineRule="auto"/>
        <w:tabs>
          <w:tab w:leader="none" w:pos="1537" w:val="left"/>
        </w:tabs>
        <w:numPr>
          <w:ilvl w:val="1"/>
          <w:numId w:val="232"/>
        </w:numPr>
        <w:rPr>
          <w:rFonts w:ascii="Arial" w:cs="Arial" w:eastAsia="Arial" w:hAnsi="Arial"/>
          <w:sz w:val="22"/>
          <w:szCs w:val="22"/>
          <w:color w:val="010000"/>
        </w:rPr>
      </w:pPr>
      <w:r>
        <w:rPr>
          <w:rFonts w:ascii="Arial" w:cs="Arial" w:eastAsia="Arial" w:hAnsi="Arial"/>
          <w:sz w:val="22"/>
          <w:szCs w:val="22"/>
          <w:color w:val="auto"/>
        </w:rPr>
        <w:t>Severability.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5" w:name="page136"/>
    <w:bookmarkEnd w:id="135"/>
    <w:p>
      <w:pPr>
        <w:jc w:val="both"/>
        <w:ind w:right="20" w:firstLine="656"/>
        <w:spacing w:after="0"/>
        <w:tabs>
          <w:tab w:leader="none" w:pos="1901" w:val="left"/>
        </w:tabs>
        <w:numPr>
          <w:ilvl w:val="0"/>
          <w:numId w:val="233"/>
        </w:numPr>
        <w:rPr>
          <w:rFonts w:ascii="Arial" w:cs="Arial" w:eastAsia="Arial" w:hAnsi="Arial"/>
          <w:sz w:val="22"/>
          <w:szCs w:val="22"/>
          <w:color w:val="010000"/>
        </w:rPr>
      </w:pPr>
      <w:r>
        <w:rPr>
          <w:rFonts w:ascii="Arial" w:cs="Arial" w:eastAsia="Arial" w:hAnsi="Arial"/>
          <w:sz w:val="22"/>
          <w:szCs w:val="22"/>
          <w:color w:val="auto"/>
        </w:rPr>
        <w:t>Counterparts. This Agreement may be executed in multiple counterparts (including facsimile or PDF counterparts), each of which shall be deemed an original, and all of which together shall constitute the same instrument, but only one of which need be produced.</w:t>
      </w:r>
    </w:p>
    <w:p>
      <w:pPr>
        <w:spacing w:after="0" w:line="213" w:lineRule="exact"/>
        <w:rPr>
          <w:rFonts w:ascii="Arial" w:cs="Arial" w:eastAsia="Arial" w:hAnsi="Arial"/>
          <w:sz w:val="22"/>
          <w:szCs w:val="22"/>
          <w:color w:val="010000"/>
        </w:rPr>
      </w:pPr>
    </w:p>
    <w:p>
      <w:pPr>
        <w:jc w:val="both"/>
        <w:ind w:firstLine="656"/>
        <w:spacing w:after="0" w:line="238" w:lineRule="auto"/>
        <w:tabs>
          <w:tab w:leader="none" w:pos="1408" w:val="left"/>
        </w:tabs>
        <w:numPr>
          <w:ilvl w:val="0"/>
          <w:numId w:val="233"/>
        </w:numPr>
        <w:rPr>
          <w:rFonts w:ascii="Arial" w:cs="Arial" w:eastAsia="Arial" w:hAnsi="Arial"/>
          <w:sz w:val="22"/>
          <w:szCs w:val="22"/>
          <w:color w:val="010000"/>
        </w:rPr>
      </w:pPr>
      <w:r>
        <w:rPr>
          <w:rFonts w:ascii="Arial" w:cs="Arial" w:eastAsia="Arial" w:hAnsi="Arial"/>
          <w:sz w:val="22"/>
          <w:szCs w:val="22"/>
          <w:color w:val="auto"/>
        </w:rPr>
        <w:t>Entire Agreement.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211" w:lineRule="exact"/>
        <w:rPr>
          <w:rFonts w:ascii="Arial" w:cs="Arial" w:eastAsia="Arial" w:hAnsi="Arial"/>
          <w:sz w:val="22"/>
          <w:szCs w:val="22"/>
          <w:color w:val="010000"/>
        </w:rPr>
      </w:pPr>
    </w:p>
    <w:p>
      <w:pPr>
        <w:jc w:val="both"/>
        <w:ind w:firstLine="656"/>
        <w:spacing w:after="0" w:line="249" w:lineRule="auto"/>
        <w:tabs>
          <w:tab w:leader="none" w:pos="1713" w:val="left"/>
        </w:tabs>
        <w:numPr>
          <w:ilvl w:val="0"/>
          <w:numId w:val="233"/>
        </w:numPr>
        <w:rPr>
          <w:rFonts w:ascii="Arial" w:cs="Arial" w:eastAsia="Arial" w:hAnsi="Arial"/>
          <w:sz w:val="21"/>
          <w:szCs w:val="21"/>
          <w:color w:val="010000"/>
        </w:rPr>
      </w:pPr>
      <w:r>
        <w:rPr>
          <w:rFonts w:ascii="Arial" w:cs="Arial" w:eastAsia="Arial" w:hAnsi="Arial"/>
          <w:sz w:val="21"/>
          <w:szCs w:val="21"/>
          <w:color w:val="auto"/>
        </w:rPr>
        <w:t>Governing Law; Venue. NOTWITHSTANDING THE PLACE WHERE THIS AGREEMENT MAY BE 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99" w:lineRule="exact"/>
        <w:rPr>
          <w:rFonts w:ascii="Arial" w:cs="Arial" w:eastAsia="Arial" w:hAnsi="Arial"/>
          <w:sz w:val="21"/>
          <w:szCs w:val="21"/>
          <w:color w:val="010000"/>
        </w:rPr>
      </w:pPr>
    </w:p>
    <w:p>
      <w:pPr>
        <w:jc w:val="both"/>
        <w:ind w:firstLine="656"/>
        <w:spacing w:after="0" w:line="236" w:lineRule="auto"/>
        <w:tabs>
          <w:tab w:leader="none" w:pos="1410" w:val="left"/>
        </w:tabs>
        <w:numPr>
          <w:ilvl w:val="0"/>
          <w:numId w:val="233"/>
        </w:numPr>
        <w:rPr>
          <w:rFonts w:ascii="Arial" w:cs="Arial" w:eastAsia="Arial" w:hAnsi="Arial"/>
          <w:sz w:val="22"/>
          <w:szCs w:val="22"/>
          <w:b w:val="1"/>
          <w:bCs w:val="1"/>
          <w:color w:val="010000"/>
        </w:rPr>
      </w:pPr>
      <w:r>
        <w:rPr>
          <w:rFonts w:ascii="Arial" w:cs="Arial" w:eastAsia="Arial" w:hAnsi="Arial"/>
          <w:sz w:val="22"/>
          <w:szCs w:val="22"/>
          <w:b w:val="1"/>
          <w:bCs w:val="1"/>
          <w:color w:val="auto"/>
        </w:rPr>
        <w:t>WAIVER OF TRIAL BY JURY.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214" w:lineRule="exact"/>
        <w:rPr>
          <w:rFonts w:ascii="Arial" w:cs="Arial" w:eastAsia="Arial" w:hAnsi="Arial"/>
          <w:sz w:val="22"/>
          <w:szCs w:val="22"/>
          <w:b w:val="1"/>
          <w:bCs w:val="1"/>
          <w:color w:val="010000"/>
        </w:rPr>
      </w:pPr>
    </w:p>
    <w:p>
      <w:pPr>
        <w:jc w:val="both"/>
        <w:ind w:firstLine="656"/>
        <w:spacing w:after="0" w:line="273" w:lineRule="auto"/>
        <w:tabs>
          <w:tab w:leader="none" w:pos="1386" w:val="left"/>
        </w:tabs>
        <w:numPr>
          <w:ilvl w:val="0"/>
          <w:numId w:val="233"/>
        </w:numPr>
        <w:rPr>
          <w:rFonts w:ascii="Arial" w:cs="Arial" w:eastAsia="Arial" w:hAnsi="Arial"/>
          <w:sz w:val="19"/>
          <w:szCs w:val="19"/>
          <w:color w:val="010000"/>
        </w:rPr>
      </w:pPr>
      <w:r>
        <w:rPr>
          <w:rFonts w:ascii="Arial" w:cs="Arial" w:eastAsia="Arial" w:hAnsi="Arial"/>
          <w:sz w:val="19"/>
          <w:szCs w:val="19"/>
          <w:color w:val="auto"/>
        </w:rPr>
        <w:t>Amendments and Modifications. Upon the written consent of the Company and the Holders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(1) Holder, solely in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7" w:lineRule="exact"/>
        <w:rPr>
          <w:rFonts w:ascii="Arial" w:cs="Arial" w:eastAsia="Arial" w:hAnsi="Arial"/>
          <w:sz w:val="19"/>
          <w:szCs w:val="19"/>
          <w:color w:val="010000"/>
        </w:rPr>
      </w:pPr>
    </w:p>
    <w:p>
      <w:pPr>
        <w:ind w:firstLine="656"/>
        <w:spacing w:after="0" w:line="250" w:lineRule="auto"/>
        <w:tabs>
          <w:tab w:leader="none" w:pos="1438" w:val="left"/>
        </w:tabs>
        <w:numPr>
          <w:ilvl w:val="0"/>
          <w:numId w:val="233"/>
        </w:numPr>
        <w:rPr>
          <w:rFonts w:ascii="Arial" w:cs="Arial" w:eastAsia="Arial" w:hAnsi="Arial"/>
          <w:sz w:val="22"/>
          <w:szCs w:val="22"/>
          <w:color w:val="010000"/>
        </w:rPr>
      </w:pPr>
      <w:r>
        <w:rPr>
          <w:rFonts w:ascii="Arial" w:cs="Arial" w:eastAsia="Arial" w:hAnsi="Arial"/>
          <w:sz w:val="22"/>
          <w:szCs w:val="22"/>
          <w:color w:val="auto"/>
        </w:rPr>
        <w:t>Titles and Headings. Titles and headings of sections of this Agreement are for convenience only and shall not affect the construction of any provision of this Agreement.</w:t>
      </w:r>
    </w:p>
    <w:p>
      <w:pPr>
        <w:spacing w:after="0" w:line="201" w:lineRule="exact"/>
        <w:rPr>
          <w:rFonts w:ascii="Arial" w:cs="Arial" w:eastAsia="Arial" w:hAnsi="Arial"/>
          <w:sz w:val="22"/>
          <w:szCs w:val="22"/>
          <w:color w:val="010000"/>
        </w:rPr>
      </w:pPr>
    </w:p>
    <w:p>
      <w:pPr>
        <w:jc w:val="both"/>
        <w:ind w:firstLine="656"/>
        <w:spacing w:after="0" w:line="246" w:lineRule="auto"/>
        <w:tabs>
          <w:tab w:leader="none" w:pos="1486" w:val="left"/>
        </w:tabs>
        <w:numPr>
          <w:ilvl w:val="0"/>
          <w:numId w:val="233"/>
        </w:numPr>
        <w:rPr>
          <w:rFonts w:ascii="Arial" w:cs="Arial" w:eastAsia="Arial" w:hAnsi="Arial"/>
          <w:sz w:val="21"/>
          <w:szCs w:val="21"/>
          <w:color w:val="010000"/>
        </w:rPr>
      </w:pPr>
      <w:r>
        <w:rPr>
          <w:rFonts w:ascii="Arial" w:cs="Arial" w:eastAsia="Arial" w:hAnsi="Arial"/>
          <w:sz w:val="21"/>
          <w:szCs w:val="21"/>
          <w:color w:val="auto"/>
        </w:rPr>
        <w:t>Waivers and Extensions.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6" w:name="page137"/>
    <w:bookmarkEnd w:id="136"/>
    <w:p>
      <w:pPr>
        <w:jc w:val="both"/>
        <w:ind w:firstLine="656"/>
        <w:spacing w:after="0" w:line="246" w:lineRule="auto"/>
        <w:tabs>
          <w:tab w:leader="none" w:pos="1483" w:val="left"/>
        </w:tabs>
        <w:numPr>
          <w:ilvl w:val="0"/>
          <w:numId w:val="234"/>
        </w:numPr>
        <w:rPr>
          <w:rFonts w:ascii="Arial" w:cs="Arial" w:eastAsia="Arial" w:hAnsi="Arial"/>
          <w:sz w:val="21"/>
          <w:szCs w:val="21"/>
          <w:color w:val="010000"/>
        </w:rPr>
      </w:pPr>
      <w:r>
        <w:rPr>
          <w:rFonts w:ascii="Arial" w:cs="Arial" w:eastAsia="Arial" w:hAnsi="Arial"/>
          <w:sz w:val="21"/>
          <w:szCs w:val="21"/>
          <w:color w:val="auto"/>
        </w:rPr>
        <w:t>Remedies Cumulative. In the event that the Company fails to observe or perform any covenant or agreement to 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207" w:lineRule="exact"/>
        <w:rPr>
          <w:rFonts w:ascii="Arial" w:cs="Arial" w:eastAsia="Arial" w:hAnsi="Arial"/>
          <w:sz w:val="21"/>
          <w:szCs w:val="21"/>
          <w:color w:val="010000"/>
        </w:rPr>
      </w:pPr>
    </w:p>
    <w:p>
      <w:pPr>
        <w:jc w:val="both"/>
        <w:ind w:firstLine="656"/>
        <w:spacing w:after="0" w:line="248" w:lineRule="auto"/>
        <w:tabs>
          <w:tab w:leader="none" w:pos="1736" w:val="left"/>
        </w:tabs>
        <w:numPr>
          <w:ilvl w:val="0"/>
          <w:numId w:val="234"/>
        </w:numPr>
        <w:rPr>
          <w:rFonts w:ascii="Arial" w:cs="Arial" w:eastAsia="Arial" w:hAnsi="Arial"/>
          <w:sz w:val="21"/>
          <w:szCs w:val="21"/>
          <w:color w:val="010000"/>
        </w:rPr>
      </w:pPr>
      <w:r>
        <w:rPr>
          <w:rFonts w:ascii="Arial" w:cs="Arial" w:eastAsia="Arial" w:hAnsi="Arial"/>
          <w:sz w:val="21"/>
          <w:szCs w:val="21"/>
          <w:color w:val="auto"/>
        </w:rPr>
        <w:t>Other Registration Rights. The Company represents and warrants that no person, other than a Holder of 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203" w:lineRule="exact"/>
        <w:rPr>
          <w:rFonts w:ascii="Arial" w:cs="Arial" w:eastAsia="Arial" w:hAnsi="Arial"/>
          <w:sz w:val="21"/>
          <w:szCs w:val="21"/>
          <w:color w:val="010000"/>
        </w:rPr>
      </w:pPr>
    </w:p>
    <w:p>
      <w:pPr>
        <w:jc w:val="both"/>
        <w:ind w:firstLine="656"/>
        <w:spacing w:after="0"/>
        <w:tabs>
          <w:tab w:leader="none" w:pos="1452" w:val="left"/>
        </w:tabs>
        <w:numPr>
          <w:ilvl w:val="0"/>
          <w:numId w:val="234"/>
        </w:numPr>
        <w:rPr>
          <w:rFonts w:ascii="Arial" w:cs="Arial" w:eastAsia="Arial" w:hAnsi="Arial"/>
          <w:sz w:val="22"/>
          <w:szCs w:val="22"/>
          <w:color w:val="010000"/>
        </w:rPr>
      </w:pPr>
      <w:r>
        <w:rPr>
          <w:rFonts w:ascii="Arial" w:cs="Arial" w:eastAsia="Arial" w:hAnsi="Arial"/>
          <w:sz w:val="22"/>
          <w:szCs w:val="22"/>
          <w:color w:val="auto"/>
        </w:rPr>
        <w:t xml:space="preserve">Term. This Agreement shall terminate upon the earlier of (i) the tenth anniversary of the date of this Agreement and (ii) the date as of which no Registrable Securities remain outstanding. The provisions of Section 3.5 and </w:t>
      </w:r>
      <w:r>
        <w:rPr>
          <w:rFonts w:ascii="Arial" w:cs="Arial" w:eastAsia="Arial" w:hAnsi="Arial"/>
          <w:sz w:val="22"/>
          <w:szCs w:val="22"/>
          <w:i w:val="1"/>
          <w:iCs w:val="1"/>
          <w:color w:val="auto"/>
        </w:rPr>
        <w:t>Article IV</w:t>
      </w:r>
      <w:r>
        <w:rPr>
          <w:rFonts w:ascii="Arial" w:cs="Arial" w:eastAsia="Arial" w:hAnsi="Arial"/>
          <w:sz w:val="22"/>
          <w:szCs w:val="22"/>
          <w:color w:val="auto"/>
        </w:rPr>
        <w:t xml:space="preserve"> shall survive any termination.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7" w:name="page138"/>
    <w:bookmarkEnd w:id="137"/>
    <w:p>
      <w:pPr>
        <w:ind w:left="66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undersigned have caused this Agreement to be executed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HOLDINGS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Registration and Shareholder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38" w:name="page139"/>
    <w:bookmarkEnd w:id="138"/>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Todd Wider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and Shareholder Rights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448945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9" w:name="page140"/>
    <w:bookmarkEnd w:id="139"/>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Bradley Campbell</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and Shareholder Rights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0" w:name="page141"/>
    <w:bookmarkEnd w:id="140"/>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Saqib Islam</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and Shareholder Rights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INVESTMENT MANAGEMENT TRUST AGREEMENT</w:t>
      </w:r>
    </w:p>
    <w:p>
      <w:pPr>
        <w:spacing w:after="0" w:line="239"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This Investment Management Trust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effective as of August 11, 2020 by and between ARYA Sciences Acquisition Corp III, a Cayman Islands exempted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Continental Stock Transfer &amp; Trust Company, a New York corporation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WHEREAS, the Company’s registration statements on Form S-1, File Nos. 333-239986 and 333-241828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Registration Statements</w:t>
      </w:r>
      <w:r>
        <w:rPr>
          <w:rFonts w:ascii="Arial" w:cs="Arial" w:eastAsia="Arial" w:hAnsi="Arial"/>
          <w:sz w:val="19"/>
          <w:szCs w:val="19"/>
          <w:color w:val="auto"/>
        </w:rPr>
        <w:t>”) and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for the initial public offering of the Company’s Class A ordinary</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shares, par value $0.0001 per share (“</w:t>
      </w:r>
      <w:r>
        <w:rPr>
          <w:rFonts w:ascii="Arial" w:cs="Arial" w:eastAsia="Arial" w:hAnsi="Arial"/>
          <w:sz w:val="19"/>
          <w:szCs w:val="19"/>
          <w:b w:val="1"/>
          <w:bCs w:val="1"/>
          <w:i w:val="1"/>
          <w:iCs w:val="1"/>
          <w:color w:val="auto"/>
        </w:rPr>
        <w:t>Ordinary Shares</w:t>
      </w:r>
      <w:r>
        <w:rPr>
          <w:rFonts w:ascii="Arial" w:cs="Arial" w:eastAsia="Arial" w:hAnsi="Arial"/>
          <w:sz w:val="19"/>
          <w:szCs w:val="19"/>
          <w:color w:val="auto"/>
        </w:rPr>
        <w:t>”) (such initial public offering hereinafter referred to as the “</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has been declared effective as of the date hereof by the U.S. Securities and Exchange Commission; and</w:t>
      </w:r>
    </w:p>
    <w:p>
      <w:pPr>
        <w:spacing w:after="0" w:line="215"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WHEREAS, the Company has entered into an Underwriting Agreement (the “</w:t>
      </w:r>
      <w:r>
        <w:rPr>
          <w:rFonts w:ascii="Arial" w:cs="Arial" w:eastAsia="Arial" w:hAnsi="Arial"/>
          <w:sz w:val="22"/>
          <w:szCs w:val="22"/>
          <w:b w:val="1"/>
          <w:bCs w:val="1"/>
          <w:i w:val="1"/>
          <w:iCs w:val="1"/>
          <w:color w:val="auto"/>
        </w:rPr>
        <w:t>Underwriting Agreement</w:t>
      </w:r>
      <w:r>
        <w:rPr>
          <w:rFonts w:ascii="Arial" w:cs="Arial" w:eastAsia="Arial" w:hAnsi="Arial"/>
          <w:sz w:val="22"/>
          <w:szCs w:val="22"/>
          <w:color w:val="auto"/>
        </w:rPr>
        <w:t>”) with Jefferies LLC and Goldman Sachs &amp; Co. LLC, as representatives (the “</w:t>
      </w:r>
      <w:r>
        <w:rPr>
          <w:rFonts w:ascii="Arial" w:cs="Arial" w:eastAsia="Arial" w:hAnsi="Arial"/>
          <w:sz w:val="22"/>
          <w:szCs w:val="22"/>
          <w:b w:val="1"/>
          <w:bCs w:val="1"/>
          <w:i w:val="1"/>
          <w:iCs w:val="1"/>
          <w:color w:val="auto"/>
        </w:rPr>
        <w:t>Representatives</w:t>
      </w:r>
      <w:r>
        <w:rPr>
          <w:rFonts w:ascii="Arial" w:cs="Arial" w:eastAsia="Arial" w:hAnsi="Arial"/>
          <w:sz w:val="22"/>
          <w:szCs w:val="22"/>
          <w:color w:val="auto"/>
        </w:rPr>
        <w:t>”) to the several underwriters (the “</w:t>
      </w:r>
      <w:r>
        <w:rPr>
          <w:rFonts w:ascii="Arial" w:cs="Arial" w:eastAsia="Arial" w:hAnsi="Arial"/>
          <w:sz w:val="22"/>
          <w:szCs w:val="22"/>
          <w:b w:val="1"/>
          <w:bCs w:val="1"/>
          <w:i w:val="1"/>
          <w:iCs w:val="1"/>
          <w:color w:val="auto"/>
        </w:rPr>
        <w:t>Underwriters</w:t>
      </w:r>
      <w:r>
        <w:rPr>
          <w:rFonts w:ascii="Arial" w:cs="Arial" w:eastAsia="Arial" w:hAnsi="Arial"/>
          <w:sz w:val="22"/>
          <w:szCs w:val="22"/>
          <w:color w:val="auto"/>
        </w:rPr>
        <w:t>”) named therein; and</w:t>
      </w:r>
    </w:p>
    <w:p>
      <w:pPr>
        <w:spacing w:after="0" w:line="213" w:lineRule="exact"/>
        <w:rPr>
          <w:sz w:val="20"/>
          <w:szCs w:val="20"/>
          <w:color w:val="auto"/>
        </w:rPr>
      </w:pPr>
    </w:p>
    <w:p>
      <w:pPr>
        <w:ind w:right="80" w:firstLine="648"/>
        <w:spacing w:after="0" w:line="246" w:lineRule="auto"/>
        <w:rPr>
          <w:sz w:val="20"/>
          <w:szCs w:val="20"/>
          <w:color w:val="auto"/>
        </w:rPr>
      </w:pPr>
      <w:r>
        <w:rPr>
          <w:rFonts w:ascii="Arial" w:cs="Arial" w:eastAsia="Arial" w:hAnsi="Arial"/>
          <w:sz w:val="21"/>
          <w:szCs w:val="21"/>
          <w:color w:val="auto"/>
        </w:rPr>
        <w:t>WHEREAS, as described in the Prospectus, $130,000,000 of the gross proceeds of the Offering and sale of the Sponsor Shares (as defined in the Underwriting Agreement) (or $149,500,000 if the Underwriters’ option to purchase additional Ordinary Shares is exercised in full) will be delivered to the Trustee to be deposited and held in a segregated trust account located at all times in the United States (the “</w:t>
      </w:r>
      <w:r>
        <w:rPr>
          <w:rFonts w:ascii="Arial" w:cs="Arial" w:eastAsia="Arial" w:hAnsi="Arial"/>
          <w:sz w:val="21"/>
          <w:szCs w:val="21"/>
          <w:b w:val="1"/>
          <w:bCs w:val="1"/>
          <w:i w:val="1"/>
          <w:iCs w:val="1"/>
          <w:color w:val="auto"/>
        </w:rPr>
        <w:t>Trust Account</w:t>
      </w:r>
      <w:r>
        <w:rPr>
          <w:rFonts w:ascii="Arial" w:cs="Arial" w:eastAsia="Arial" w:hAnsi="Arial"/>
          <w:sz w:val="21"/>
          <w:szCs w:val="21"/>
          <w:color w:val="auto"/>
        </w:rPr>
        <w:t>”) for the benefit of the Company and the holders of the Ordinary Shares issued in the Offering as hereinafter provided (the amount to be delivered to the Trustee (and any interest subsequently earned thereon) is referred to herein as the “</w:t>
      </w:r>
      <w:r>
        <w:rPr>
          <w:rFonts w:ascii="Arial" w:cs="Arial" w:eastAsia="Arial" w:hAnsi="Arial"/>
          <w:sz w:val="21"/>
          <w:szCs w:val="21"/>
          <w:b w:val="1"/>
          <w:bCs w:val="1"/>
          <w:i w:val="1"/>
          <w:iCs w:val="1"/>
          <w:color w:val="auto"/>
        </w:rPr>
        <w:t>Property,</w:t>
      </w:r>
      <w:r>
        <w:rPr>
          <w:rFonts w:ascii="Arial" w:cs="Arial" w:eastAsia="Arial" w:hAnsi="Arial"/>
          <w:sz w:val="21"/>
          <w:szCs w:val="21"/>
          <w:color w:val="auto"/>
        </w:rPr>
        <w:t>” the shareholders for whose benefit the Trustee shall hold the Property will be referred to as the “</w:t>
      </w:r>
      <w:r>
        <w:rPr>
          <w:rFonts w:ascii="Arial" w:cs="Arial" w:eastAsia="Arial" w:hAnsi="Arial"/>
          <w:sz w:val="21"/>
          <w:szCs w:val="21"/>
          <w:b w:val="1"/>
          <w:bCs w:val="1"/>
          <w:i w:val="1"/>
          <w:iCs w:val="1"/>
          <w:color w:val="auto"/>
        </w:rPr>
        <w:t>Public Shareholders,</w:t>
      </w:r>
      <w:r>
        <w:rPr>
          <w:rFonts w:ascii="Arial" w:cs="Arial" w:eastAsia="Arial" w:hAnsi="Arial"/>
          <w:sz w:val="21"/>
          <w:szCs w:val="21"/>
          <w:color w:val="auto"/>
        </w:rPr>
        <w:t>” and the Public Shareholders and the Company will be referred to together as the “</w:t>
      </w:r>
      <w:r>
        <w:rPr>
          <w:rFonts w:ascii="Arial" w:cs="Arial" w:eastAsia="Arial" w:hAnsi="Arial"/>
          <w:sz w:val="21"/>
          <w:szCs w:val="21"/>
          <w:b w:val="1"/>
          <w:bCs w:val="1"/>
          <w:i w:val="1"/>
          <w:iCs w:val="1"/>
          <w:color w:val="auto"/>
        </w:rPr>
        <w:t>Beneficiaries</w:t>
      </w:r>
      <w:r>
        <w:rPr>
          <w:rFonts w:ascii="Arial" w:cs="Arial" w:eastAsia="Arial" w:hAnsi="Arial"/>
          <w:sz w:val="21"/>
          <w:szCs w:val="21"/>
          <w:color w:val="auto"/>
        </w:rPr>
        <w:t>”); and</w:t>
      </w:r>
    </w:p>
    <w:p>
      <w:pPr>
        <w:spacing w:after="0" w:line="207"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WHEREAS, pursuant to the Underwriting Agreement, a portion of the Property equal to $4,550,000, or $5,232,500 if the Underwriters’ option to purchase additional Ordinary Shares is exercised in full, is attributable to deferred underwriting discounts and commissions that will be payable by the Company to the Underwriter upon the consummation of the Business Combination (as defined below) (the “</w:t>
      </w:r>
      <w:r>
        <w:rPr>
          <w:rFonts w:ascii="Arial" w:cs="Arial" w:eastAsia="Arial" w:hAnsi="Arial"/>
          <w:sz w:val="22"/>
          <w:szCs w:val="22"/>
          <w:b w:val="1"/>
          <w:bCs w:val="1"/>
          <w:i w:val="1"/>
          <w:iCs w:val="1"/>
          <w:color w:val="auto"/>
        </w:rPr>
        <w:t>Deferred Discount</w:t>
      </w:r>
      <w:r>
        <w:rPr>
          <w:rFonts w:ascii="Arial" w:cs="Arial" w:eastAsia="Arial" w:hAnsi="Arial"/>
          <w:sz w:val="22"/>
          <w:szCs w:val="22"/>
          <w:color w:val="auto"/>
        </w:rPr>
        <w:t>”); and</w:t>
      </w:r>
    </w:p>
    <w:p>
      <w:pPr>
        <w:spacing w:after="0" w:line="212" w:lineRule="exact"/>
        <w:rPr>
          <w:sz w:val="20"/>
          <w:szCs w:val="20"/>
          <w:color w:val="auto"/>
        </w:rPr>
      </w:pPr>
    </w:p>
    <w:p>
      <w:pPr>
        <w:ind w:right="680" w:firstLine="648"/>
        <w:spacing w:after="0" w:line="250" w:lineRule="auto"/>
        <w:rPr>
          <w:sz w:val="20"/>
          <w:szCs w:val="20"/>
          <w:color w:val="auto"/>
        </w:rPr>
      </w:pPr>
      <w:r>
        <w:rPr>
          <w:rFonts w:ascii="Arial" w:cs="Arial" w:eastAsia="Arial" w:hAnsi="Arial"/>
          <w:sz w:val="22"/>
          <w:szCs w:val="22"/>
          <w:color w:val="auto"/>
        </w:rPr>
        <w:t>WHEREAS, the Company and the Trustee desire to enter into this Agreement to set forth the terms and conditions pursuant to which the Trustee shall hold the Property.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IT IS AGREED:</w:t>
      </w:r>
    </w:p>
    <w:p>
      <w:pPr>
        <w:spacing w:after="0" w:line="233" w:lineRule="exact"/>
        <w:rPr>
          <w:sz w:val="20"/>
          <w:szCs w:val="20"/>
          <w:color w:val="auto"/>
        </w:rPr>
      </w:pPr>
    </w:p>
    <w:p>
      <w:pPr>
        <w:ind w:left="1420" w:hanging="764"/>
        <w:spacing w:after="0"/>
        <w:tabs>
          <w:tab w:leader="none" w:pos="142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Agreements and Covenants of Trustee. The Trustee hereby agrees and covenants to:</w:t>
      </w:r>
    </w:p>
    <w:p>
      <w:pPr>
        <w:spacing w:after="0" w:line="233" w:lineRule="exact"/>
        <w:rPr>
          <w:rFonts w:ascii="Arial" w:cs="Arial" w:eastAsia="Arial" w:hAnsi="Arial"/>
          <w:sz w:val="22"/>
          <w:szCs w:val="22"/>
          <w:color w:val="auto"/>
        </w:rPr>
      </w:pPr>
    </w:p>
    <w:p>
      <w:pPr>
        <w:jc w:val="both"/>
        <w:ind w:firstLine="1304"/>
        <w:spacing w:after="0" w:line="287" w:lineRule="auto"/>
        <w:tabs>
          <w:tab w:leader="none" w:pos="2234" w:val="left"/>
        </w:tabs>
        <w:numPr>
          <w:ilvl w:val="1"/>
          <w:numId w:val="235"/>
        </w:numPr>
        <w:rPr>
          <w:rFonts w:ascii="Arial" w:cs="Arial" w:eastAsia="Arial" w:hAnsi="Arial"/>
          <w:sz w:val="19"/>
          <w:szCs w:val="19"/>
          <w:color w:val="010000"/>
        </w:rPr>
      </w:pPr>
      <w:r>
        <w:rPr>
          <w:rFonts w:ascii="Arial" w:cs="Arial" w:eastAsia="Arial" w:hAnsi="Arial"/>
          <w:sz w:val="19"/>
          <w:szCs w:val="19"/>
          <w:color w:val="auto"/>
        </w:rPr>
        <w:t>Hold the Property in trust for the Beneficiaries in accordance with the terms of this Agreement in the Trust Account established by the Trustee located in the United States at J.P. Morgan Chase Bank, N.A. (or at another U.S. chartered commercial bank with consolidated assets of $100 billion or more) in the United States, maintained by Trustee and at a brokerage institution selected by the Trustee that is reasonably satisfactory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2" w:name="page143"/>
    <w:bookmarkEnd w:id="142"/>
    <w:p>
      <w:pPr>
        <w:ind w:left="2140" w:hanging="836"/>
        <w:spacing w:after="0"/>
        <w:tabs>
          <w:tab w:leader="none" w:pos="2140" w:val="left"/>
        </w:tabs>
        <w:numPr>
          <w:ilvl w:val="1"/>
          <w:numId w:val="236"/>
        </w:numPr>
        <w:rPr>
          <w:rFonts w:ascii="Arial" w:cs="Arial" w:eastAsia="Arial" w:hAnsi="Arial"/>
          <w:sz w:val="19"/>
          <w:szCs w:val="19"/>
          <w:color w:val="010000"/>
        </w:rPr>
      </w:pPr>
      <w:r>
        <w:rPr>
          <w:rFonts w:ascii="Arial" w:cs="Arial" w:eastAsia="Arial" w:hAnsi="Arial"/>
          <w:sz w:val="19"/>
          <w:szCs w:val="19"/>
          <w:color w:val="auto"/>
        </w:rPr>
        <w:t>Manage, supervise and administer the Trust Account subject to the terms and conditions set forth herein;</w:t>
      </w:r>
    </w:p>
    <w:p>
      <w:pPr>
        <w:spacing w:after="0" w:line="268" w:lineRule="exact"/>
        <w:rPr>
          <w:rFonts w:ascii="Arial" w:cs="Arial" w:eastAsia="Arial" w:hAnsi="Arial"/>
          <w:sz w:val="19"/>
          <w:szCs w:val="19"/>
          <w:color w:val="010000"/>
        </w:rPr>
      </w:pPr>
    </w:p>
    <w:p>
      <w:pPr>
        <w:jc w:val="both"/>
        <w:ind w:firstLine="1304"/>
        <w:spacing w:after="0" w:line="273" w:lineRule="auto"/>
        <w:tabs>
          <w:tab w:leader="none" w:pos="2278" w:val="left"/>
        </w:tabs>
        <w:numPr>
          <w:ilvl w:val="1"/>
          <w:numId w:val="236"/>
        </w:numPr>
        <w:rPr>
          <w:rFonts w:ascii="Arial" w:cs="Arial" w:eastAsia="Arial" w:hAnsi="Arial"/>
          <w:sz w:val="19"/>
          <w:szCs w:val="19"/>
          <w:color w:val="010000"/>
        </w:rPr>
      </w:pPr>
      <w:r>
        <w:rPr>
          <w:rFonts w:ascii="Arial" w:cs="Arial" w:eastAsia="Arial" w:hAnsi="Arial"/>
          <w:sz w:val="19"/>
          <w:szCs w:val="19"/>
          <w:color w:val="auto"/>
        </w:rPr>
        <w:t>In a timely manner, upon the written instruction of the Company, invest and reinvest the Property in United States government securities within the meaning of Section 2(a)(16) of the Investment Company Act of 1940, as amended, having a maturity of 185 days or less, or in money market funds meeting the conditions of paragraphs (d)(1), (d)(2), (d)</w:t>
      </w:r>
    </w:p>
    <w:p>
      <w:pPr>
        <w:spacing w:after="0" w:line="1" w:lineRule="exact"/>
        <w:rPr>
          <w:rFonts w:ascii="Arial" w:cs="Arial" w:eastAsia="Arial" w:hAnsi="Arial"/>
          <w:sz w:val="19"/>
          <w:szCs w:val="19"/>
          <w:color w:val="010000"/>
        </w:rPr>
      </w:pPr>
    </w:p>
    <w:p>
      <w:pPr>
        <w:jc w:val="both"/>
        <w:ind w:firstLine="8"/>
        <w:spacing w:after="0" w:line="280" w:lineRule="auto"/>
        <w:tabs>
          <w:tab w:leader="none" w:pos="313"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and (d)(4) of Rule 2a-7 promulgated under the Investment Company Act of 1940, as amended (or any successor rule), which invest only in direct U.S. government treasury obligations, as determined by the Company; the Trustee may not invest in any other securities or assets, it being understood that the Trust Account will earn no interest while account funds are uninvested awaiting the Company’s instructions hereunder and the Trustee may earn bank credits or other consideration;</w:t>
      </w:r>
    </w:p>
    <w:p>
      <w:pPr>
        <w:spacing w:after="0" w:line="177" w:lineRule="exact"/>
        <w:rPr>
          <w:rFonts w:ascii="Arial" w:cs="Arial" w:eastAsia="Arial" w:hAnsi="Arial"/>
          <w:sz w:val="19"/>
          <w:szCs w:val="19"/>
          <w:color w:val="auto"/>
        </w:rPr>
      </w:pPr>
    </w:p>
    <w:p>
      <w:pPr>
        <w:ind w:firstLine="1304"/>
        <w:spacing w:after="0" w:line="250" w:lineRule="auto"/>
        <w:tabs>
          <w:tab w:leader="none" w:pos="2188" w:val="left"/>
        </w:tabs>
        <w:numPr>
          <w:ilvl w:val="1"/>
          <w:numId w:val="237"/>
        </w:numPr>
        <w:rPr>
          <w:rFonts w:ascii="Arial" w:cs="Arial" w:eastAsia="Arial" w:hAnsi="Arial"/>
          <w:sz w:val="22"/>
          <w:szCs w:val="22"/>
          <w:color w:val="010000"/>
        </w:rPr>
      </w:pPr>
      <w:r>
        <w:rPr>
          <w:rFonts w:ascii="Arial" w:cs="Arial" w:eastAsia="Arial" w:hAnsi="Arial"/>
          <w:sz w:val="22"/>
          <w:szCs w:val="22"/>
          <w:color w:val="auto"/>
        </w:rPr>
        <w:t>Collect and receive, when due, all principal, interest or other income arising from the Property, which shall become part of the “</w:t>
      </w:r>
      <w:r>
        <w:rPr>
          <w:rFonts w:ascii="Arial" w:cs="Arial" w:eastAsia="Arial" w:hAnsi="Arial"/>
          <w:sz w:val="22"/>
          <w:szCs w:val="22"/>
          <w:b w:val="1"/>
          <w:bCs w:val="1"/>
          <w:i w:val="1"/>
          <w:iCs w:val="1"/>
          <w:color w:val="auto"/>
        </w:rPr>
        <w:t>Property,</w:t>
      </w:r>
      <w:r>
        <w:rPr>
          <w:rFonts w:ascii="Arial" w:cs="Arial" w:eastAsia="Arial" w:hAnsi="Arial"/>
          <w:sz w:val="22"/>
          <w:szCs w:val="22"/>
          <w:color w:val="auto"/>
        </w:rPr>
        <w:t>” as such term is used herein;</w:t>
      </w:r>
    </w:p>
    <w:p>
      <w:pPr>
        <w:spacing w:after="0" w:line="201" w:lineRule="exact"/>
        <w:rPr>
          <w:rFonts w:ascii="Arial" w:cs="Arial" w:eastAsia="Arial" w:hAnsi="Arial"/>
          <w:sz w:val="22"/>
          <w:szCs w:val="22"/>
          <w:color w:val="010000"/>
        </w:rPr>
      </w:pPr>
    </w:p>
    <w:p>
      <w:pPr>
        <w:ind w:firstLine="1304"/>
        <w:spacing w:after="0" w:line="250" w:lineRule="auto"/>
        <w:tabs>
          <w:tab w:leader="none" w:pos="1991" w:val="left"/>
        </w:tabs>
        <w:numPr>
          <w:ilvl w:val="1"/>
          <w:numId w:val="237"/>
        </w:numPr>
        <w:rPr>
          <w:rFonts w:ascii="Arial" w:cs="Arial" w:eastAsia="Arial" w:hAnsi="Arial"/>
          <w:sz w:val="22"/>
          <w:szCs w:val="22"/>
          <w:color w:val="010000"/>
        </w:rPr>
      </w:pPr>
      <w:r>
        <w:rPr>
          <w:rFonts w:ascii="Arial" w:cs="Arial" w:eastAsia="Arial" w:hAnsi="Arial"/>
          <w:sz w:val="22"/>
          <w:szCs w:val="22"/>
          <w:color w:val="auto"/>
        </w:rPr>
        <w:t>Promptly notify the Company and the Representatives of all communications received by the Trustee with respect to any Property requiring action by the Company;</w:t>
      </w:r>
    </w:p>
    <w:p>
      <w:pPr>
        <w:spacing w:after="0" w:line="201" w:lineRule="exact"/>
        <w:rPr>
          <w:rFonts w:ascii="Arial" w:cs="Arial" w:eastAsia="Arial" w:hAnsi="Arial"/>
          <w:sz w:val="22"/>
          <w:szCs w:val="22"/>
          <w:color w:val="010000"/>
        </w:rPr>
      </w:pPr>
    </w:p>
    <w:p>
      <w:pPr>
        <w:ind w:right="20" w:firstLine="1304"/>
        <w:spacing w:after="0" w:line="328" w:lineRule="auto"/>
        <w:tabs>
          <w:tab w:leader="none" w:pos="2124" w:val="left"/>
        </w:tabs>
        <w:numPr>
          <w:ilvl w:val="1"/>
          <w:numId w:val="237"/>
        </w:numPr>
        <w:rPr>
          <w:rFonts w:ascii="Arial" w:cs="Arial" w:eastAsia="Arial" w:hAnsi="Arial"/>
          <w:sz w:val="19"/>
          <w:szCs w:val="19"/>
          <w:color w:val="010000"/>
        </w:rPr>
      </w:pPr>
      <w:r>
        <w:rPr>
          <w:rFonts w:ascii="Arial" w:cs="Arial" w:eastAsia="Arial" w:hAnsi="Arial"/>
          <w:sz w:val="19"/>
          <w:szCs w:val="19"/>
          <w:color w:val="auto"/>
        </w:rPr>
        <w:t>Supply any necessary information or documents as may be requested by the Company (or its authorized agents) in connection with the Company’s preparation of the tax returns relating to assets held in the Trust Account;</w:t>
      </w:r>
    </w:p>
    <w:p>
      <w:pPr>
        <w:spacing w:after="0" w:line="131" w:lineRule="exact"/>
        <w:rPr>
          <w:rFonts w:ascii="Arial" w:cs="Arial" w:eastAsia="Arial" w:hAnsi="Arial"/>
          <w:sz w:val="19"/>
          <w:szCs w:val="19"/>
          <w:color w:val="010000"/>
        </w:rPr>
      </w:pPr>
    </w:p>
    <w:p>
      <w:pPr>
        <w:ind w:firstLine="1304"/>
        <w:spacing w:after="0" w:line="250" w:lineRule="auto"/>
        <w:tabs>
          <w:tab w:leader="none" w:pos="2250" w:val="left"/>
        </w:tabs>
        <w:numPr>
          <w:ilvl w:val="1"/>
          <w:numId w:val="237"/>
        </w:numPr>
        <w:rPr>
          <w:rFonts w:ascii="Arial" w:cs="Arial" w:eastAsia="Arial" w:hAnsi="Arial"/>
          <w:sz w:val="22"/>
          <w:szCs w:val="22"/>
          <w:color w:val="010000"/>
        </w:rPr>
      </w:pPr>
      <w:r>
        <w:rPr>
          <w:rFonts w:ascii="Arial" w:cs="Arial" w:eastAsia="Arial" w:hAnsi="Arial"/>
          <w:sz w:val="22"/>
          <w:szCs w:val="22"/>
          <w:color w:val="auto"/>
        </w:rPr>
        <w:t>Participate in any plan or proceeding for protecting or enforcing any right or interest arising from the Property if, as and when instructed by the Company to do so;</w:t>
      </w:r>
    </w:p>
    <w:p>
      <w:pPr>
        <w:spacing w:after="0" w:line="201" w:lineRule="exact"/>
        <w:rPr>
          <w:rFonts w:ascii="Arial" w:cs="Arial" w:eastAsia="Arial" w:hAnsi="Arial"/>
          <w:sz w:val="22"/>
          <w:szCs w:val="22"/>
          <w:color w:val="010000"/>
        </w:rPr>
      </w:pPr>
    </w:p>
    <w:p>
      <w:pPr>
        <w:ind w:firstLine="1304"/>
        <w:spacing w:after="0" w:line="250" w:lineRule="auto"/>
        <w:tabs>
          <w:tab w:leader="none" w:pos="2043" w:val="left"/>
        </w:tabs>
        <w:numPr>
          <w:ilvl w:val="1"/>
          <w:numId w:val="237"/>
        </w:numPr>
        <w:rPr>
          <w:rFonts w:ascii="Arial" w:cs="Arial" w:eastAsia="Arial" w:hAnsi="Arial"/>
          <w:sz w:val="22"/>
          <w:szCs w:val="22"/>
          <w:color w:val="010000"/>
        </w:rPr>
      </w:pPr>
      <w:r>
        <w:rPr>
          <w:rFonts w:ascii="Arial" w:cs="Arial" w:eastAsia="Arial" w:hAnsi="Arial"/>
          <w:sz w:val="22"/>
          <w:szCs w:val="22"/>
          <w:color w:val="auto"/>
        </w:rPr>
        <w:t>Render to the Company monthly written statements of the activities of, and amounts in, the Trust Account reflecting all receipts and disbursements of the Trust Account;</w:t>
      </w:r>
    </w:p>
    <w:p>
      <w:pPr>
        <w:spacing w:after="0" w:line="201" w:lineRule="exact"/>
        <w:rPr>
          <w:rFonts w:ascii="Arial" w:cs="Arial" w:eastAsia="Arial" w:hAnsi="Arial"/>
          <w:sz w:val="22"/>
          <w:szCs w:val="22"/>
          <w:color w:val="010000"/>
        </w:rPr>
      </w:pPr>
    </w:p>
    <w:p>
      <w:pPr>
        <w:jc w:val="both"/>
        <w:ind w:firstLine="1304"/>
        <w:spacing w:after="0" w:line="271" w:lineRule="auto"/>
        <w:tabs>
          <w:tab w:leader="none" w:pos="2148" w:val="left"/>
        </w:tabs>
        <w:numPr>
          <w:ilvl w:val="1"/>
          <w:numId w:val="237"/>
        </w:numPr>
        <w:rPr>
          <w:rFonts w:ascii="Arial" w:cs="Arial" w:eastAsia="Arial" w:hAnsi="Arial"/>
          <w:sz w:val="19"/>
          <w:szCs w:val="19"/>
          <w:color w:val="010000"/>
        </w:rPr>
      </w:pPr>
      <w:r>
        <w:rPr>
          <w:rFonts w:ascii="Arial" w:cs="Arial" w:eastAsia="Arial" w:hAnsi="Arial"/>
          <w:sz w:val="19"/>
          <w:szCs w:val="19"/>
          <w:color w:val="auto"/>
        </w:rPr>
        <w:t>Commence liquidation of the Trust Account only after and promptly following (x) receipt of, and only in accordance with, the terms of a letter from the Company (“</w:t>
      </w:r>
      <w:r>
        <w:rPr>
          <w:rFonts w:ascii="Arial" w:cs="Arial" w:eastAsia="Arial" w:hAnsi="Arial"/>
          <w:sz w:val="19"/>
          <w:szCs w:val="19"/>
          <w:b w:val="1"/>
          <w:bCs w:val="1"/>
          <w:i w:val="1"/>
          <w:iCs w:val="1"/>
          <w:color w:val="auto"/>
        </w:rPr>
        <w:t>Termination Letter</w:t>
      </w:r>
      <w:r>
        <w:rPr>
          <w:rFonts w:ascii="Arial" w:cs="Arial" w:eastAsia="Arial" w:hAnsi="Arial"/>
          <w:sz w:val="19"/>
          <w:szCs w:val="19"/>
          <w:color w:val="auto"/>
        </w:rPr>
        <w:t xml:space="preserve">”) in a form substantially similar to that attached hereto as either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or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as applicable, signed on behalf of the Company by its Chief Executive Officer, Chief Financial Officer or other authorized officer of the Company, and complete the liquidation of the Trust Account and distribute the Property in the Trust Account, including interest earned on the funds held in the Trust Account and not previously released to the Company to pay its income taxes, if any, (less up to $100,000 of interest to pay dissolution expenses), only as directed in the Termination Letter and the other documents referred to therein, or (y) upon the date which is the later of (1) 24 months after the closing of the Offering and (2) such later date as may be approved by the Company’s shareholders in accordance with the Company’s amended and restated memorandum and articles of association, if a Termination Letter has not been received by the Trustee prior to such date, in which case the Trust Account shall be liquidated in accordance with the procedures set forth in the Termination Letter attached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 xml:space="preserve"> and the Property in the Trust Account, including interest earned on the funds held in the Trust Account and not previously released to the Company to pay its income taxes, if any, (less up to $100,000 of interest to pay dissolution expenses), shall be distributed to the Public Shareholders of record as of such date. It is acknowledged and agreed that there should be no reduction in the principal amount per share initially deposited in the Trust Account;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3" w:name="page144"/>
    <w:bookmarkEnd w:id="143"/>
    <w:p>
      <w:pPr>
        <w:jc w:val="both"/>
        <w:ind w:firstLine="1304"/>
        <w:spacing w:after="0" w:line="272" w:lineRule="auto"/>
        <w:tabs>
          <w:tab w:leader="none" w:pos="2177" w:val="left"/>
        </w:tabs>
        <w:numPr>
          <w:ilvl w:val="2"/>
          <w:numId w:val="238"/>
        </w:numPr>
        <w:rPr>
          <w:rFonts w:ascii="Arial" w:cs="Arial" w:eastAsia="Arial" w:hAnsi="Arial"/>
          <w:sz w:val="19"/>
          <w:szCs w:val="19"/>
          <w:color w:val="010000"/>
        </w:rPr>
      </w:pPr>
      <w:r>
        <w:rPr>
          <w:rFonts w:ascii="Arial" w:cs="Arial" w:eastAsia="Arial" w:hAnsi="Arial"/>
          <w:sz w:val="19"/>
          <w:szCs w:val="19"/>
          <w:color w:val="auto"/>
        </w:rPr>
        <w:t xml:space="preserve">Upon written request from the Company, which may be given from time to time in a form substantially similar to that attached hereto as </w:t>
      </w:r>
      <w:r>
        <w:rPr>
          <w:rFonts w:ascii="Arial" w:cs="Arial" w:eastAsia="Arial" w:hAnsi="Arial"/>
          <w:sz w:val="19"/>
          <w:szCs w:val="19"/>
          <w:b w:val="1"/>
          <w:bCs w:val="1"/>
          <w:u w:val="single" w:color="auto"/>
          <w:color w:val="auto"/>
        </w:rPr>
        <w:t>Exhibit C</w:t>
      </w:r>
      <w:r>
        <w:rPr>
          <w:rFonts w:ascii="Arial" w:cs="Arial" w:eastAsia="Arial" w:hAnsi="Arial"/>
          <w:sz w:val="19"/>
          <w:szCs w:val="19"/>
          <w:color w:val="auto"/>
        </w:rPr>
        <w:t xml:space="preserve"> (a “</w:t>
      </w:r>
      <w:r>
        <w:rPr>
          <w:rFonts w:ascii="Arial" w:cs="Arial" w:eastAsia="Arial" w:hAnsi="Arial"/>
          <w:sz w:val="19"/>
          <w:szCs w:val="19"/>
          <w:b w:val="1"/>
          <w:bCs w:val="1"/>
          <w:i w:val="1"/>
          <w:iCs w:val="1"/>
          <w:color w:val="auto"/>
        </w:rPr>
        <w:t>Tax Payment Withdrawal Instruction</w:t>
      </w:r>
      <w:r>
        <w:rPr>
          <w:rFonts w:ascii="Arial" w:cs="Arial" w:eastAsia="Arial" w:hAnsi="Arial"/>
          <w:sz w:val="19"/>
          <w:szCs w:val="19"/>
          <w:color w:val="auto"/>
        </w:rPr>
        <w:t xml:space="preserve">”), withdraw from the Trust Account and distribute to the Company the amount of interest earned on the Property requested by the Company to cover any tax obligation owed by the Company as a result of assets of the Company or interest or other income earned on the Property, which amount shall be delivered directly to the Company by electronic funds transfer or other method of prompt payment, and the Company shall forward such payment to the relevant taxing authority, so long as there is no reduction in the principal amount initially deposited in the Trust Account;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to the extent there is not sufficient cash in the Trust Account to pay such tax obligation, the Trustee shall liquidate such assets held in the Trust Account as shall be designated by the Company in writing to make such distribution, so long as there is no reduction in the principal per share amount initially deposited in the Trust Account (it being acknowledged and agreed that any such amount in excess of interest income earned on the Property shall not be payable from the Trust Account). The written request of the Company referenced above shall constitute presumptive evidence that the Company is entitled to said funds, and the Trustee shall have no responsibility to look beyond said request;</w:t>
      </w:r>
    </w:p>
    <w:p>
      <w:pPr>
        <w:spacing w:after="0" w:line="188" w:lineRule="exact"/>
        <w:rPr>
          <w:rFonts w:ascii="Arial" w:cs="Arial" w:eastAsia="Arial" w:hAnsi="Arial"/>
          <w:sz w:val="19"/>
          <w:szCs w:val="19"/>
          <w:color w:val="010000"/>
        </w:rPr>
      </w:pPr>
    </w:p>
    <w:p>
      <w:pPr>
        <w:jc w:val="both"/>
        <w:ind w:firstLine="1304"/>
        <w:spacing w:after="0" w:line="236" w:lineRule="auto"/>
        <w:tabs>
          <w:tab w:leader="none" w:pos="2169" w:val="left"/>
        </w:tabs>
        <w:numPr>
          <w:ilvl w:val="2"/>
          <w:numId w:val="238"/>
        </w:numPr>
        <w:rPr>
          <w:rFonts w:ascii="Arial" w:cs="Arial" w:eastAsia="Arial" w:hAnsi="Arial"/>
          <w:sz w:val="22"/>
          <w:szCs w:val="22"/>
          <w:color w:val="010000"/>
        </w:rPr>
      </w:pPr>
      <w:r>
        <w:rPr>
          <w:rFonts w:ascii="Arial" w:cs="Arial" w:eastAsia="Arial" w:hAnsi="Arial"/>
          <w:sz w:val="22"/>
          <w:szCs w:val="22"/>
          <w:color w:val="auto"/>
        </w:rPr>
        <w:t xml:space="preserve">Upon written request from the Company, which may be given from time to time in a form substantially similar to that attached hereto as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xml:space="preserve"> (a “</w:t>
      </w:r>
      <w:r>
        <w:rPr>
          <w:rFonts w:ascii="Arial" w:cs="Arial" w:eastAsia="Arial" w:hAnsi="Arial"/>
          <w:sz w:val="22"/>
          <w:szCs w:val="22"/>
          <w:b w:val="1"/>
          <w:bCs w:val="1"/>
          <w:i w:val="1"/>
          <w:iCs w:val="1"/>
          <w:color w:val="auto"/>
        </w:rPr>
        <w:t>Shareholder Redemption Withdrawal Instruction</w:t>
      </w:r>
      <w:r>
        <w:rPr>
          <w:rFonts w:ascii="Arial" w:cs="Arial" w:eastAsia="Arial" w:hAnsi="Arial"/>
          <w:sz w:val="22"/>
          <w:szCs w:val="22"/>
          <w:color w:val="auto"/>
        </w:rPr>
        <w:t>”), the Trustee shall distribute to the remitting brokers on behalf of Public Shareholders redeeming Ordinary Shares the amount required to pay redeemed Ordinary Shares from Public Shareholders pursuant to the Company’s amended and restated memorandum and articles of association; and</w:t>
      </w:r>
    </w:p>
    <w:p>
      <w:pPr>
        <w:spacing w:after="0" w:line="214" w:lineRule="exact"/>
        <w:rPr>
          <w:rFonts w:ascii="Arial" w:cs="Arial" w:eastAsia="Arial" w:hAnsi="Arial"/>
          <w:sz w:val="22"/>
          <w:szCs w:val="22"/>
          <w:color w:val="010000"/>
        </w:rPr>
      </w:pPr>
    </w:p>
    <w:p>
      <w:pPr>
        <w:ind w:left="2260" w:hanging="956"/>
        <w:spacing w:after="0"/>
        <w:tabs>
          <w:tab w:leader="none" w:pos="2260" w:val="left"/>
        </w:tabs>
        <w:numPr>
          <w:ilvl w:val="2"/>
          <w:numId w:val="238"/>
        </w:numPr>
        <w:rPr>
          <w:rFonts w:ascii="Arial" w:cs="Arial" w:eastAsia="Arial" w:hAnsi="Arial"/>
          <w:sz w:val="19"/>
          <w:szCs w:val="19"/>
          <w:color w:val="010000"/>
        </w:rPr>
      </w:pPr>
      <w:r>
        <w:rPr>
          <w:rFonts w:ascii="Arial" w:cs="Arial" w:eastAsia="Arial" w:hAnsi="Arial"/>
          <w:sz w:val="19"/>
          <w:szCs w:val="19"/>
          <w:color w:val="auto"/>
        </w:rPr>
        <w:t xml:space="preserve">Not make any withdrawals or distributions from the Trust Account other than pursuant to </w:t>
      </w:r>
      <w:r>
        <w:rPr>
          <w:rFonts w:ascii="Arial" w:cs="Arial" w:eastAsia="Arial" w:hAnsi="Arial"/>
          <w:sz w:val="19"/>
          <w:szCs w:val="19"/>
          <w:u w:val="single" w:color="auto"/>
          <w:color w:val="auto"/>
        </w:rPr>
        <w:t>Section 1(i)</w:t>
      </w:r>
      <w:r>
        <w:rPr>
          <w:rFonts w:ascii="Arial" w:cs="Arial" w:eastAsia="Arial" w:hAnsi="Arial"/>
          <w:sz w:val="19"/>
          <w:szCs w:val="19"/>
          <w:color w:val="auto"/>
        </w:rPr>
        <w:t>,</w:t>
      </w:r>
    </w:p>
    <w:p>
      <w:pPr>
        <w:spacing w:after="0" w:line="42" w:lineRule="exact"/>
        <w:rPr>
          <w:rFonts w:ascii="Arial" w:cs="Arial" w:eastAsia="Arial" w:hAnsi="Arial"/>
          <w:sz w:val="19"/>
          <w:szCs w:val="19"/>
          <w:color w:val="010000"/>
        </w:rPr>
      </w:pPr>
    </w:p>
    <w:p>
      <w:pPr>
        <w:ind w:left="260" w:hanging="252"/>
        <w:spacing w:after="0"/>
        <w:tabs>
          <w:tab w:leader="none" w:pos="260" w:val="left"/>
        </w:tabs>
        <w:numPr>
          <w:ilvl w:val="0"/>
          <w:numId w:val="239"/>
        </w:numPr>
        <w:rPr>
          <w:rFonts w:ascii="Arial" w:cs="Arial" w:eastAsia="Arial" w:hAnsi="Arial"/>
          <w:sz w:val="22"/>
          <w:szCs w:val="22"/>
          <w:u w:val="single" w:color="auto"/>
          <w:color w:val="auto"/>
        </w:rPr>
      </w:pPr>
      <w:r>
        <w:rPr>
          <w:rFonts w:ascii="Arial" w:cs="Arial" w:eastAsia="Arial" w:hAnsi="Arial"/>
          <w:sz w:val="22"/>
          <w:szCs w:val="22"/>
          <w:color w:val="auto"/>
        </w:rPr>
        <w:t xml:space="preserve">or </w:t>
      </w:r>
      <w:r>
        <w:rPr>
          <w:rFonts w:ascii="Arial" w:cs="Arial" w:eastAsia="Arial" w:hAnsi="Arial"/>
          <w:sz w:val="22"/>
          <w:szCs w:val="22"/>
          <w:u w:val="single" w:color="auto"/>
          <w:color w:val="auto"/>
        </w:rPr>
        <w:t>(k)</w:t>
      </w:r>
      <w:r>
        <w:rPr>
          <w:rFonts w:ascii="Arial" w:cs="Arial" w:eastAsia="Arial" w:hAnsi="Arial"/>
          <w:sz w:val="22"/>
          <w:szCs w:val="22"/>
          <w:color w:val="auto"/>
        </w:rPr>
        <w:t xml:space="preserve"> above.</w:t>
      </w:r>
    </w:p>
    <w:p>
      <w:pPr>
        <w:spacing w:after="0" w:line="215" w:lineRule="exact"/>
        <w:rPr>
          <w:rFonts w:ascii="Arial" w:cs="Arial" w:eastAsia="Arial" w:hAnsi="Arial"/>
          <w:sz w:val="22"/>
          <w:szCs w:val="22"/>
          <w:u w:val="single" w:color="auto"/>
          <w:color w:val="auto"/>
        </w:rPr>
      </w:pPr>
    </w:p>
    <w:p>
      <w:pPr>
        <w:ind w:left="1460" w:hanging="804"/>
        <w:spacing w:after="0"/>
        <w:tabs>
          <w:tab w:leader="none" w:pos="1460" w:val="left"/>
        </w:tabs>
        <w:numPr>
          <w:ilvl w:val="1"/>
          <w:numId w:val="239"/>
        </w:numPr>
        <w:rPr>
          <w:rFonts w:ascii="Arial" w:cs="Arial" w:eastAsia="Arial" w:hAnsi="Arial"/>
          <w:sz w:val="22"/>
          <w:szCs w:val="22"/>
          <w:color w:val="auto"/>
        </w:rPr>
      </w:pPr>
      <w:r>
        <w:rPr>
          <w:rFonts w:ascii="Arial" w:cs="Arial" w:eastAsia="Arial" w:hAnsi="Arial"/>
          <w:sz w:val="22"/>
          <w:szCs w:val="22"/>
          <w:color w:val="auto"/>
        </w:rPr>
        <w:t>Agreements and Covenants of the Company. The Company hereby agrees and covenants to:</w:t>
      </w:r>
    </w:p>
    <w:p>
      <w:pPr>
        <w:spacing w:after="0" w:line="233" w:lineRule="exact"/>
        <w:rPr>
          <w:rFonts w:ascii="Arial" w:cs="Arial" w:eastAsia="Arial" w:hAnsi="Arial"/>
          <w:sz w:val="22"/>
          <w:szCs w:val="22"/>
          <w:color w:val="auto"/>
        </w:rPr>
      </w:pPr>
    </w:p>
    <w:p>
      <w:pPr>
        <w:jc w:val="both"/>
        <w:ind w:firstLine="1304"/>
        <w:spacing w:after="0" w:line="282" w:lineRule="auto"/>
        <w:tabs>
          <w:tab w:leader="none" w:pos="2319" w:val="left"/>
        </w:tabs>
        <w:numPr>
          <w:ilvl w:val="2"/>
          <w:numId w:val="239"/>
        </w:numPr>
        <w:rPr>
          <w:rFonts w:ascii="Arial" w:cs="Arial" w:eastAsia="Arial" w:hAnsi="Arial"/>
          <w:sz w:val="19"/>
          <w:szCs w:val="19"/>
          <w:color w:val="010000"/>
        </w:rPr>
      </w:pPr>
      <w:r>
        <w:rPr>
          <w:rFonts w:ascii="Arial" w:cs="Arial" w:eastAsia="Arial" w:hAnsi="Arial"/>
          <w:sz w:val="19"/>
          <w:szCs w:val="19"/>
          <w:color w:val="auto"/>
        </w:rPr>
        <w:t xml:space="preserve">Give all instructions to the Trustee hereunder in writing, signed by the Company’s Chief Executive Officer, Chief Financial Officer or other authorized officer of the Company. In addition, except with respect to its duties under </w:t>
      </w:r>
      <w:r>
        <w:rPr>
          <w:rFonts w:ascii="Arial" w:cs="Arial" w:eastAsia="Arial" w:hAnsi="Arial"/>
          <w:sz w:val="19"/>
          <w:szCs w:val="19"/>
          <w:u w:val="single" w:color="auto"/>
          <w:color w:val="auto"/>
        </w:rPr>
        <w:t>Sections 1(i)</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(k)</w:t>
      </w:r>
      <w:r>
        <w:rPr>
          <w:rFonts w:ascii="Arial" w:cs="Arial" w:eastAsia="Arial" w:hAnsi="Arial"/>
          <w:sz w:val="19"/>
          <w:szCs w:val="19"/>
          <w:color w:val="auto"/>
        </w:rPr>
        <w:t xml:space="preserve"> hereof, the Trustee shall be entitled to rely on, and shall be protected in relying on, any verbal or telephonic advice or instruction which it, in good faith and with reasonable care, believes to be given by any one of the persons authorized above to give written instructions,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promptly confirm such instructions in writing;</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4" w:name="page145"/>
    <w:bookmarkEnd w:id="144"/>
    <w:p>
      <w:pPr>
        <w:jc w:val="both"/>
        <w:ind w:firstLine="1304"/>
        <w:spacing w:after="0" w:line="244" w:lineRule="auto"/>
        <w:tabs>
          <w:tab w:leader="none" w:pos="2155" w:val="left"/>
        </w:tabs>
        <w:numPr>
          <w:ilvl w:val="0"/>
          <w:numId w:val="240"/>
        </w:numPr>
        <w:rPr>
          <w:rFonts w:ascii="Arial" w:cs="Arial" w:eastAsia="Arial" w:hAnsi="Arial"/>
          <w:sz w:val="21"/>
          <w:szCs w:val="21"/>
          <w:color w:val="010000"/>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4</w:t>
      </w:r>
      <w:r>
        <w:rPr>
          <w:rFonts w:ascii="Arial" w:cs="Arial" w:eastAsia="Arial" w:hAnsi="Arial"/>
          <w:sz w:val="21"/>
          <w:szCs w:val="21"/>
          <w:color w:val="auto"/>
        </w:rPr>
        <w:t xml:space="preserve"> hereof, hold the Trustee harmless and indemnify the Trustee from and against any and all reasonable and documented expenses, including reasonable counsel fees and disbursements, or losses suffered by the Trustee in connection with any action taken by it hereunder and in connection with any action, suit or other proceeding brought against the Trustee involving any claim, or in connection with any claim or demand, which in any way arises out of or relates to this Agreement, the services of the Trustee hereunder, or the Property or any interest earned on the Property, except for expenses and losses resulting from the Trustee’s gross negligence, fraud or willful misconduct. Promptly after the receipt by the Trustee of notice of demand or claim or the commencement of any action, suit or proceeding, pursuant to which the Trustee intends to seek indemnification under this </w:t>
      </w:r>
      <w:r>
        <w:rPr>
          <w:rFonts w:ascii="Arial" w:cs="Arial" w:eastAsia="Arial" w:hAnsi="Arial"/>
          <w:sz w:val="21"/>
          <w:szCs w:val="21"/>
          <w:u w:val="single" w:color="auto"/>
          <w:color w:val="auto"/>
        </w:rPr>
        <w:t>Section 2(b)</w:t>
      </w:r>
      <w:r>
        <w:rPr>
          <w:rFonts w:ascii="Arial" w:cs="Arial" w:eastAsia="Arial" w:hAnsi="Arial"/>
          <w:sz w:val="21"/>
          <w:szCs w:val="21"/>
          <w:color w:val="auto"/>
        </w:rPr>
        <w:t>, it shall notify the Company in writing of such claim (hereinafter referred to as the “</w:t>
      </w:r>
      <w:r>
        <w:rPr>
          <w:rFonts w:ascii="Arial" w:cs="Arial" w:eastAsia="Arial" w:hAnsi="Arial"/>
          <w:sz w:val="21"/>
          <w:szCs w:val="21"/>
          <w:b w:val="1"/>
          <w:bCs w:val="1"/>
          <w:i w:val="1"/>
          <w:iCs w:val="1"/>
          <w:color w:val="auto"/>
        </w:rPr>
        <w:t>Indemnified Claim</w:t>
      </w:r>
      <w:r>
        <w:rPr>
          <w:rFonts w:ascii="Arial" w:cs="Arial" w:eastAsia="Arial" w:hAnsi="Arial"/>
          <w:sz w:val="21"/>
          <w:szCs w:val="21"/>
          <w:color w:val="auto"/>
        </w:rPr>
        <w:t xml:space="preserve">”). The Trustee shall have the right to conduct and manage the defense against such Indemnified Claim;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Trustee shall obtain the consent of the Company with respect to the selection of counsel, which consent shall not be unreasonably withheld. The Trustee may not agree to settle any Indemnified Claim without the prior written consent of the Company, which such consent shall not be unreasonably withheld. The Company may participate in such action with its own counsel;</w:t>
      </w:r>
    </w:p>
    <w:p>
      <w:pPr>
        <w:spacing w:after="0" w:line="210" w:lineRule="exact"/>
        <w:rPr>
          <w:rFonts w:ascii="Arial" w:cs="Arial" w:eastAsia="Arial" w:hAnsi="Arial"/>
          <w:sz w:val="21"/>
          <w:szCs w:val="21"/>
          <w:color w:val="010000"/>
        </w:rPr>
      </w:pPr>
    </w:p>
    <w:p>
      <w:pPr>
        <w:jc w:val="both"/>
        <w:ind w:firstLine="1304"/>
        <w:spacing w:after="0" w:line="277" w:lineRule="auto"/>
        <w:tabs>
          <w:tab w:leader="none" w:pos="2280" w:val="left"/>
        </w:tabs>
        <w:numPr>
          <w:ilvl w:val="0"/>
          <w:numId w:val="240"/>
        </w:numPr>
        <w:rPr>
          <w:rFonts w:ascii="Arial" w:cs="Arial" w:eastAsia="Arial" w:hAnsi="Arial"/>
          <w:sz w:val="19"/>
          <w:szCs w:val="19"/>
          <w:color w:val="010000"/>
        </w:rPr>
      </w:pPr>
      <w:r>
        <w:rPr>
          <w:rFonts w:ascii="Arial" w:cs="Arial" w:eastAsia="Arial" w:hAnsi="Arial"/>
          <w:sz w:val="19"/>
          <w:szCs w:val="19"/>
          <w:color w:val="auto"/>
        </w:rPr>
        <w:t xml:space="preserve">Pay the Trustee the fees set forth on Schedule A hereto, including an initial acceptance fee, annual administration fee, and transaction processing fee which fees shall be subject to modification by the parties from time to time. It is expressly understood that the Property shall not be used to pay such fees unless and until it is distributed to the Company pursuant to </w:t>
      </w:r>
      <w:r>
        <w:rPr>
          <w:rFonts w:ascii="Arial" w:cs="Arial" w:eastAsia="Arial" w:hAnsi="Arial"/>
          <w:sz w:val="19"/>
          <w:szCs w:val="19"/>
          <w:u w:val="single" w:color="auto"/>
          <w:color w:val="auto"/>
        </w:rPr>
        <w:t>Sections 1(i)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1(k)</w:t>
      </w:r>
      <w:r>
        <w:rPr>
          <w:rFonts w:ascii="Arial" w:cs="Arial" w:eastAsia="Arial" w:hAnsi="Arial"/>
          <w:sz w:val="19"/>
          <w:szCs w:val="19"/>
          <w:color w:val="auto"/>
        </w:rPr>
        <w:t xml:space="preserve"> hereof. The Company shall pay the Trustee the initial acceptance fee and the first annual administration fee at the consummation of the Offering. The Trustee shall refund to the Company the annual administration fee (on a pro rata basis) with respect to any period after the liquidation of the Trust Account. The Company shall not be responsible for any other fees or charges of the Trustee except as set forth in this </w:t>
      </w:r>
      <w:r>
        <w:rPr>
          <w:rFonts w:ascii="Arial" w:cs="Arial" w:eastAsia="Arial" w:hAnsi="Arial"/>
          <w:sz w:val="19"/>
          <w:szCs w:val="19"/>
          <w:u w:val="single" w:color="auto"/>
          <w:color w:val="auto"/>
        </w:rPr>
        <w:t>Section 2(c)</w:t>
      </w:r>
      <w:r>
        <w:rPr>
          <w:rFonts w:ascii="Arial" w:cs="Arial" w:eastAsia="Arial" w:hAnsi="Arial"/>
          <w:sz w:val="19"/>
          <w:szCs w:val="19"/>
          <w:color w:val="auto"/>
        </w:rPr>
        <w:t xml:space="preserve"> and as may be provided in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hereof;</w:t>
      </w:r>
    </w:p>
    <w:p>
      <w:pPr>
        <w:spacing w:after="0" w:line="178" w:lineRule="exact"/>
        <w:rPr>
          <w:rFonts w:ascii="Arial" w:cs="Arial" w:eastAsia="Arial" w:hAnsi="Arial"/>
          <w:sz w:val="19"/>
          <w:szCs w:val="19"/>
          <w:color w:val="010000"/>
        </w:rPr>
      </w:pPr>
    </w:p>
    <w:p>
      <w:pPr>
        <w:jc w:val="both"/>
        <w:ind w:firstLine="1304"/>
        <w:spacing w:after="0" w:line="252" w:lineRule="auto"/>
        <w:tabs>
          <w:tab w:leader="none" w:pos="2145" w:val="left"/>
        </w:tabs>
        <w:numPr>
          <w:ilvl w:val="0"/>
          <w:numId w:val="240"/>
        </w:numPr>
        <w:rPr>
          <w:rFonts w:ascii="Arial" w:cs="Arial" w:eastAsia="Arial" w:hAnsi="Arial"/>
          <w:sz w:val="21"/>
          <w:szCs w:val="21"/>
          <w:color w:val="010000"/>
        </w:rPr>
      </w:pPr>
      <w:r>
        <w:rPr>
          <w:rFonts w:ascii="Arial" w:cs="Arial" w:eastAsia="Arial" w:hAnsi="Arial"/>
          <w:sz w:val="21"/>
          <w:szCs w:val="21"/>
          <w:color w:val="auto"/>
        </w:rPr>
        <w:t>In connection with any vote of the Company’s shareholders regarding a merger, share exchange, asset acquisition, share purchase, reorganization or similar business combination involving the Company and one or more businesses (the “</w:t>
      </w:r>
      <w:r>
        <w:rPr>
          <w:rFonts w:ascii="Arial" w:cs="Arial" w:eastAsia="Arial" w:hAnsi="Arial"/>
          <w:sz w:val="21"/>
          <w:szCs w:val="21"/>
          <w:b w:val="1"/>
          <w:bCs w:val="1"/>
          <w:i w:val="1"/>
          <w:iCs w:val="1"/>
          <w:color w:val="auto"/>
        </w:rPr>
        <w:t>Business Combination</w:t>
      </w:r>
      <w:r>
        <w:rPr>
          <w:rFonts w:ascii="Arial" w:cs="Arial" w:eastAsia="Arial" w:hAnsi="Arial"/>
          <w:sz w:val="21"/>
          <w:szCs w:val="21"/>
          <w:color w:val="auto"/>
        </w:rPr>
        <w:t>”), provide to the Trustee an affidavit or certificate of the inspector of elections for the shareholder meeting verifying the vote of such shareholders regarding such Business Combination;</w:t>
      </w:r>
    </w:p>
    <w:p>
      <w:pPr>
        <w:spacing w:after="0" w:line="200" w:lineRule="exact"/>
        <w:rPr>
          <w:rFonts w:ascii="Arial" w:cs="Arial" w:eastAsia="Arial" w:hAnsi="Arial"/>
          <w:sz w:val="21"/>
          <w:szCs w:val="21"/>
          <w:color w:val="010000"/>
        </w:rPr>
      </w:pPr>
    </w:p>
    <w:p>
      <w:pPr>
        <w:ind w:firstLine="1304"/>
        <w:spacing w:after="0" w:line="328" w:lineRule="auto"/>
        <w:tabs>
          <w:tab w:leader="none" w:pos="2160" w:val="left"/>
        </w:tabs>
        <w:numPr>
          <w:ilvl w:val="0"/>
          <w:numId w:val="240"/>
        </w:numPr>
        <w:rPr>
          <w:rFonts w:ascii="Arial" w:cs="Arial" w:eastAsia="Arial" w:hAnsi="Arial"/>
          <w:sz w:val="19"/>
          <w:szCs w:val="19"/>
          <w:color w:val="010000"/>
        </w:rPr>
      </w:pPr>
      <w:r>
        <w:rPr>
          <w:rFonts w:ascii="Arial" w:cs="Arial" w:eastAsia="Arial" w:hAnsi="Arial"/>
          <w:sz w:val="19"/>
          <w:szCs w:val="19"/>
          <w:color w:val="auto"/>
        </w:rPr>
        <w:t>Provide the Representatives with a copy of any Termination Letter(s) and/or any other correspondence that is sent to the Trustee with respect to any proposed withdrawal from the Trust Account promptly after it issues the same;</w:t>
      </w:r>
    </w:p>
    <w:p>
      <w:pPr>
        <w:spacing w:after="0" w:line="131" w:lineRule="exact"/>
        <w:rPr>
          <w:rFonts w:ascii="Arial" w:cs="Arial" w:eastAsia="Arial" w:hAnsi="Arial"/>
          <w:sz w:val="19"/>
          <w:szCs w:val="19"/>
          <w:color w:val="010000"/>
        </w:rPr>
      </w:pPr>
    </w:p>
    <w:p>
      <w:pPr>
        <w:jc w:val="both"/>
        <w:ind w:firstLine="1304"/>
        <w:spacing w:after="0" w:line="287" w:lineRule="auto"/>
        <w:tabs>
          <w:tab w:leader="none" w:pos="2015" w:val="left"/>
        </w:tabs>
        <w:numPr>
          <w:ilvl w:val="0"/>
          <w:numId w:val="240"/>
        </w:numPr>
        <w:rPr>
          <w:rFonts w:ascii="Arial" w:cs="Arial" w:eastAsia="Arial" w:hAnsi="Arial"/>
          <w:sz w:val="19"/>
          <w:szCs w:val="19"/>
          <w:color w:val="010000"/>
        </w:rPr>
      </w:pPr>
      <w:r>
        <w:rPr>
          <w:rFonts w:ascii="Arial" w:cs="Arial" w:eastAsia="Arial" w:hAnsi="Arial"/>
          <w:sz w:val="19"/>
          <w:szCs w:val="19"/>
          <w:color w:val="auto"/>
        </w:rPr>
        <w:t xml:space="preserve">Unless otherwise agreed between the Company and the Representatives, ensure that any Instruction Letter (as defined in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delivered in connection with a Termination Letter in the form of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xml:space="preserve"> expressly provides that the Deferred Discount is paid directly to the account or accounts directed by the Representatives on behalf of the Underwriters prior to any transfer of the funds held in the Trust Account to the Company or any other person;</w:t>
      </w:r>
    </w:p>
    <w:p>
      <w:pPr>
        <w:spacing w:after="0" w:line="169" w:lineRule="exact"/>
        <w:rPr>
          <w:rFonts w:ascii="Arial" w:cs="Arial" w:eastAsia="Arial" w:hAnsi="Arial"/>
          <w:sz w:val="19"/>
          <w:szCs w:val="19"/>
          <w:color w:val="010000"/>
        </w:rPr>
      </w:pPr>
    </w:p>
    <w:p>
      <w:pPr>
        <w:ind w:firstLine="1304"/>
        <w:spacing w:after="0" w:line="250" w:lineRule="auto"/>
        <w:tabs>
          <w:tab w:leader="none" w:pos="2122" w:val="left"/>
        </w:tabs>
        <w:numPr>
          <w:ilvl w:val="0"/>
          <w:numId w:val="240"/>
        </w:numPr>
        <w:rPr>
          <w:rFonts w:ascii="Arial" w:cs="Arial" w:eastAsia="Arial" w:hAnsi="Arial"/>
          <w:sz w:val="22"/>
          <w:szCs w:val="22"/>
          <w:color w:val="010000"/>
        </w:rPr>
      </w:pPr>
      <w:r>
        <w:rPr>
          <w:rFonts w:ascii="Arial" w:cs="Arial" w:eastAsia="Arial" w:hAnsi="Arial"/>
          <w:sz w:val="22"/>
          <w:szCs w:val="22"/>
          <w:color w:val="auto"/>
        </w:rPr>
        <w:t>Instruct the Trustee to make only those distributions that are permitted under this Agreement, and refrain from instructing the Trustee to make any distributions that are not permitted under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5" w:name="page146"/>
    <w:bookmarkEnd w:id="145"/>
    <w:p>
      <w:pPr>
        <w:jc w:val="both"/>
        <w:ind w:firstLine="1304"/>
        <w:spacing w:after="0" w:line="246" w:lineRule="auto"/>
        <w:tabs>
          <w:tab w:leader="none" w:pos="2143" w:val="left"/>
        </w:tabs>
        <w:numPr>
          <w:ilvl w:val="1"/>
          <w:numId w:val="241"/>
        </w:numPr>
        <w:rPr>
          <w:rFonts w:ascii="Arial" w:cs="Arial" w:eastAsia="Arial" w:hAnsi="Arial"/>
          <w:sz w:val="21"/>
          <w:szCs w:val="21"/>
          <w:color w:val="010000"/>
        </w:rPr>
      </w:pPr>
      <w:r>
        <w:rPr>
          <w:rFonts w:ascii="Arial" w:cs="Arial" w:eastAsia="Arial" w:hAnsi="Arial"/>
          <w:sz w:val="21"/>
          <w:szCs w:val="21"/>
          <w:color w:val="auto"/>
        </w:rPr>
        <w:t>If the Company seeks to amend any provisions of its amended and restated memorandum and articles of association (A) to modify the substance or timing of the Company’s obligation to provide holders of the Ordinary Shares the right to have their shares redeemed in connection with the Company’s initial Business Combination or to redeem 100% of the Ordinary Shares if the Company does not complete its initial Business Combination within the time period set forth therein or (B) with respect to any other provision relating to the rights of holders of the Ordinary Shares (in each case, an “</w:t>
      </w:r>
      <w:r>
        <w:rPr>
          <w:rFonts w:ascii="Arial" w:cs="Arial" w:eastAsia="Arial" w:hAnsi="Arial"/>
          <w:sz w:val="21"/>
          <w:szCs w:val="21"/>
          <w:b w:val="1"/>
          <w:bCs w:val="1"/>
          <w:i w:val="1"/>
          <w:iCs w:val="1"/>
          <w:color w:val="auto"/>
        </w:rPr>
        <w:t>Amendment</w:t>
      </w:r>
      <w:r>
        <w:rPr>
          <w:rFonts w:ascii="Arial" w:cs="Arial" w:eastAsia="Arial" w:hAnsi="Arial"/>
          <w:sz w:val="21"/>
          <w:szCs w:val="21"/>
          <w:color w:val="auto"/>
        </w:rPr>
        <w:t>”), the Company will provide the Trustee with a letter (an “</w:t>
      </w:r>
      <w:r>
        <w:rPr>
          <w:rFonts w:ascii="Arial" w:cs="Arial" w:eastAsia="Arial" w:hAnsi="Arial"/>
          <w:sz w:val="21"/>
          <w:szCs w:val="21"/>
          <w:b w:val="1"/>
          <w:bCs w:val="1"/>
          <w:i w:val="1"/>
          <w:iCs w:val="1"/>
          <w:color w:val="auto"/>
        </w:rPr>
        <w:t>Amendment Notification Letter</w:t>
      </w:r>
      <w:r>
        <w:rPr>
          <w:rFonts w:ascii="Arial" w:cs="Arial" w:eastAsia="Arial" w:hAnsi="Arial"/>
          <w:sz w:val="21"/>
          <w:szCs w:val="21"/>
          <w:color w:val="auto"/>
        </w:rPr>
        <w:t xml:space="preserve">”) in the form of </w:t>
      </w:r>
      <w:r>
        <w:rPr>
          <w:rFonts w:ascii="Arial" w:cs="Arial" w:eastAsia="Arial" w:hAnsi="Arial"/>
          <w:sz w:val="21"/>
          <w:szCs w:val="21"/>
          <w:b w:val="1"/>
          <w:bCs w:val="1"/>
          <w:u w:val="single" w:color="auto"/>
          <w:color w:val="auto"/>
        </w:rPr>
        <w:t>Exhibit D</w:t>
      </w:r>
      <w:r>
        <w:rPr>
          <w:rFonts w:ascii="Arial" w:cs="Arial" w:eastAsia="Arial" w:hAnsi="Arial"/>
          <w:sz w:val="21"/>
          <w:szCs w:val="21"/>
          <w:color w:val="auto"/>
        </w:rPr>
        <w:t xml:space="preserve"> providing instructions for the distribution of funds to Public Shareholders who exercise their redemption option and properly tender their shares in connection with such Amendment; and</w:t>
      </w:r>
    </w:p>
    <w:p>
      <w:pPr>
        <w:spacing w:after="0" w:line="207" w:lineRule="exact"/>
        <w:rPr>
          <w:rFonts w:ascii="Arial" w:cs="Arial" w:eastAsia="Arial" w:hAnsi="Arial"/>
          <w:sz w:val="21"/>
          <w:szCs w:val="21"/>
          <w:color w:val="010000"/>
        </w:rPr>
      </w:pPr>
    </w:p>
    <w:p>
      <w:pPr>
        <w:jc w:val="both"/>
        <w:ind w:firstLine="1304"/>
        <w:spacing w:after="0"/>
        <w:tabs>
          <w:tab w:leader="none" w:pos="2070" w:val="left"/>
        </w:tabs>
        <w:numPr>
          <w:ilvl w:val="1"/>
          <w:numId w:val="241"/>
        </w:numPr>
        <w:rPr>
          <w:rFonts w:ascii="Arial" w:cs="Arial" w:eastAsia="Arial" w:hAnsi="Arial"/>
          <w:sz w:val="22"/>
          <w:szCs w:val="22"/>
          <w:color w:val="010000"/>
        </w:rPr>
      </w:pPr>
      <w:r>
        <w:rPr>
          <w:rFonts w:ascii="Arial" w:cs="Arial" w:eastAsia="Arial" w:hAnsi="Arial"/>
          <w:sz w:val="22"/>
          <w:szCs w:val="22"/>
          <w:color w:val="auto"/>
        </w:rPr>
        <w:t>Within five (5) business days after the Underwriters exercise their option to purchase additional Ordinary Shares (or any unexercised portion thereof) or such option to purchase additional Ordinary Shares expires, provide the Trustee with a notice in writing of the total amount of the Deferred Discount.</w:t>
      </w:r>
    </w:p>
    <w:p>
      <w:pPr>
        <w:spacing w:after="0" w:line="213" w:lineRule="exact"/>
        <w:rPr>
          <w:rFonts w:ascii="Arial" w:cs="Arial" w:eastAsia="Arial" w:hAnsi="Arial"/>
          <w:sz w:val="22"/>
          <w:szCs w:val="22"/>
          <w:color w:val="010000"/>
        </w:rPr>
      </w:pPr>
    </w:p>
    <w:p>
      <w:pPr>
        <w:ind w:left="1460" w:hanging="804"/>
        <w:spacing w:after="0"/>
        <w:tabs>
          <w:tab w:leader="none" w:pos="1460" w:val="left"/>
        </w:tabs>
        <w:numPr>
          <w:ilvl w:val="0"/>
          <w:numId w:val="242"/>
        </w:numPr>
        <w:rPr>
          <w:rFonts w:ascii="Arial" w:cs="Arial" w:eastAsia="Arial" w:hAnsi="Arial"/>
          <w:sz w:val="22"/>
          <w:szCs w:val="22"/>
          <w:color w:val="auto"/>
        </w:rPr>
      </w:pPr>
      <w:r>
        <w:rPr>
          <w:rFonts w:ascii="Arial" w:cs="Arial" w:eastAsia="Arial" w:hAnsi="Arial"/>
          <w:sz w:val="22"/>
          <w:szCs w:val="22"/>
          <w:color w:val="auto"/>
        </w:rPr>
        <w:t>Limitations of Liability. The Trustee shall have no responsibility or liability to:</w:t>
      </w:r>
    </w:p>
    <w:p>
      <w:pPr>
        <w:spacing w:after="0" w:line="233" w:lineRule="exact"/>
        <w:rPr>
          <w:rFonts w:ascii="Arial" w:cs="Arial" w:eastAsia="Arial" w:hAnsi="Arial"/>
          <w:sz w:val="22"/>
          <w:szCs w:val="22"/>
          <w:color w:val="auto"/>
        </w:rPr>
      </w:pPr>
    </w:p>
    <w:p>
      <w:pPr>
        <w:ind w:right="20" w:firstLine="1304"/>
        <w:spacing w:after="0" w:line="250" w:lineRule="auto"/>
        <w:tabs>
          <w:tab w:leader="none" w:pos="2067"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Imply obligations, perform duties, inquire or otherwise be subject to the provisions of any agreement or document other than this Agreement and that which is expressly set forth herein;</w:t>
      </w:r>
    </w:p>
    <w:p>
      <w:pPr>
        <w:spacing w:after="0" w:line="201" w:lineRule="exact"/>
        <w:rPr>
          <w:rFonts w:ascii="Arial" w:cs="Arial" w:eastAsia="Arial" w:hAnsi="Arial"/>
          <w:sz w:val="22"/>
          <w:szCs w:val="22"/>
          <w:color w:val="010000"/>
        </w:rPr>
      </w:pPr>
    </w:p>
    <w:p>
      <w:pPr>
        <w:jc w:val="both"/>
        <w:ind w:firstLine="1304"/>
        <w:spacing w:after="0"/>
        <w:tabs>
          <w:tab w:leader="none" w:pos="2220"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 xml:space="preserve">Take any action with respect to the Property, other than as directed in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hereof, and the Trustee shall have no liability to any third party except for liability arising out of the Trustee’s gross negligence, fraud or willful misconduct;</w:t>
      </w:r>
    </w:p>
    <w:p>
      <w:pPr>
        <w:spacing w:after="0" w:line="213" w:lineRule="exact"/>
        <w:rPr>
          <w:rFonts w:ascii="Arial" w:cs="Arial" w:eastAsia="Arial" w:hAnsi="Arial"/>
          <w:sz w:val="22"/>
          <w:szCs w:val="22"/>
          <w:color w:val="010000"/>
        </w:rPr>
      </w:pPr>
    </w:p>
    <w:p>
      <w:pPr>
        <w:jc w:val="both"/>
        <w:ind w:firstLine="1304"/>
        <w:spacing w:after="0" w:line="238" w:lineRule="auto"/>
        <w:tabs>
          <w:tab w:leader="none" w:pos="2076"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Institute any proceeding for the collection of any principal and income arising from, or institute, appear in or defend any proceeding of any kind with respect to, any of the Property unless and until it shall have received written instructions from the Company given as provided herein to do so and the Company shall have advanced or guaranteed to it funds sufficient to pay any expenses incident thereto;</w:t>
      </w:r>
    </w:p>
    <w:p>
      <w:pPr>
        <w:spacing w:after="0" w:line="211" w:lineRule="exact"/>
        <w:rPr>
          <w:rFonts w:ascii="Arial" w:cs="Arial" w:eastAsia="Arial" w:hAnsi="Arial"/>
          <w:sz w:val="22"/>
          <w:szCs w:val="22"/>
          <w:color w:val="010000"/>
        </w:rPr>
      </w:pPr>
    </w:p>
    <w:p>
      <w:pPr>
        <w:ind w:left="2140" w:hanging="836"/>
        <w:spacing w:after="0"/>
        <w:tabs>
          <w:tab w:leader="none" w:pos="2140"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 xml:space="preserve">Change the investment of any Property, other than in compliance with </w:t>
      </w:r>
      <w:r>
        <w:rPr>
          <w:rFonts w:ascii="Arial" w:cs="Arial" w:eastAsia="Arial" w:hAnsi="Arial"/>
          <w:sz w:val="22"/>
          <w:szCs w:val="22"/>
          <w:u w:val="single" w:color="auto"/>
          <w:color w:val="auto"/>
        </w:rPr>
        <w:t>Section 1</w:t>
      </w:r>
      <w:r>
        <w:rPr>
          <w:rFonts w:ascii="Arial" w:cs="Arial" w:eastAsia="Arial" w:hAnsi="Arial"/>
          <w:sz w:val="22"/>
          <w:szCs w:val="22"/>
          <w:color w:val="auto"/>
        </w:rPr>
        <w:t xml:space="preserve"> hereof;</w:t>
      </w:r>
    </w:p>
    <w:p>
      <w:pPr>
        <w:spacing w:after="0" w:line="233" w:lineRule="exact"/>
        <w:rPr>
          <w:rFonts w:ascii="Arial" w:cs="Arial" w:eastAsia="Arial" w:hAnsi="Arial"/>
          <w:sz w:val="22"/>
          <w:szCs w:val="22"/>
          <w:color w:val="010000"/>
        </w:rPr>
      </w:pPr>
    </w:p>
    <w:p>
      <w:pPr>
        <w:ind w:left="2140" w:hanging="836"/>
        <w:spacing w:after="0"/>
        <w:tabs>
          <w:tab w:leader="none" w:pos="2140"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Refund any depreciation in principal of any Property;</w:t>
      </w:r>
    </w:p>
    <w:p>
      <w:pPr>
        <w:spacing w:after="0" w:line="233" w:lineRule="exact"/>
        <w:rPr>
          <w:rFonts w:ascii="Arial" w:cs="Arial" w:eastAsia="Arial" w:hAnsi="Arial"/>
          <w:sz w:val="22"/>
          <w:szCs w:val="22"/>
          <w:color w:val="010000"/>
        </w:rPr>
      </w:pPr>
    </w:p>
    <w:p>
      <w:pPr>
        <w:jc w:val="both"/>
        <w:ind w:firstLine="1304"/>
        <w:spacing w:after="0"/>
        <w:tabs>
          <w:tab w:leader="none" w:pos="2079" w:val="left"/>
        </w:tabs>
        <w:numPr>
          <w:ilvl w:val="1"/>
          <w:numId w:val="242"/>
        </w:numPr>
        <w:rPr>
          <w:rFonts w:ascii="Arial" w:cs="Arial" w:eastAsia="Arial" w:hAnsi="Arial"/>
          <w:sz w:val="22"/>
          <w:szCs w:val="22"/>
          <w:color w:val="010000"/>
        </w:rPr>
      </w:pPr>
      <w:r>
        <w:rPr>
          <w:rFonts w:ascii="Arial" w:cs="Arial" w:eastAsia="Arial" w:hAnsi="Arial"/>
          <w:sz w:val="22"/>
          <w:szCs w:val="22"/>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213" w:lineRule="exact"/>
        <w:rPr>
          <w:rFonts w:ascii="Arial" w:cs="Arial" w:eastAsia="Arial" w:hAnsi="Arial"/>
          <w:sz w:val="22"/>
          <w:szCs w:val="22"/>
          <w:color w:val="010000"/>
        </w:rPr>
      </w:pPr>
    </w:p>
    <w:p>
      <w:pPr>
        <w:jc w:val="both"/>
        <w:ind w:firstLine="1304"/>
        <w:spacing w:after="0" w:line="244" w:lineRule="auto"/>
        <w:tabs>
          <w:tab w:leader="none" w:pos="2130" w:val="left"/>
        </w:tabs>
        <w:numPr>
          <w:ilvl w:val="1"/>
          <w:numId w:val="242"/>
        </w:numPr>
        <w:rPr>
          <w:rFonts w:ascii="Arial" w:cs="Arial" w:eastAsia="Arial" w:hAnsi="Arial"/>
          <w:sz w:val="21"/>
          <w:szCs w:val="21"/>
          <w:color w:val="010000"/>
        </w:rPr>
      </w:pPr>
      <w:r>
        <w:rPr>
          <w:rFonts w:ascii="Arial" w:cs="Arial" w:eastAsia="Arial" w:hAnsi="Arial"/>
          <w:sz w:val="21"/>
          <w:szCs w:val="21"/>
          <w:color w:val="auto"/>
        </w:rPr>
        <w:t>The other parties hereto or to anyone else for any action taken or omitted by it, or any action suffered by it to be taken or omitted, in good faith and in the Trustee’s best judgment, except for the Trustee’s gross negligence, fraud or willful misconduct. The Trustee may rely conclusively and shall be protected in acting upon any order, notice, demand, certificate, opinion or advice of counsel (including counsel chosen by the Trustee with written notification to the Company, which counsel may be the Company’s counsel), statement, instrument, report or other paper or document (not only as to its due execution and the validity and effectiveness of its provisions, but also as to the truth and acceptability of any information therein contained) which the Trustee believes, in good faith and with reasonable care,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6" w:name="page147"/>
    <w:bookmarkEnd w:id="146"/>
    <w:p>
      <w:pPr>
        <w:ind w:left="2140" w:hanging="836"/>
        <w:spacing w:after="0"/>
        <w:tabs>
          <w:tab w:leader="none" w:pos="2140" w:val="left"/>
        </w:tabs>
        <w:numPr>
          <w:ilvl w:val="1"/>
          <w:numId w:val="243"/>
        </w:numPr>
        <w:rPr>
          <w:rFonts w:ascii="Arial" w:cs="Arial" w:eastAsia="Arial" w:hAnsi="Arial"/>
          <w:sz w:val="22"/>
          <w:szCs w:val="22"/>
          <w:color w:val="010000"/>
        </w:rPr>
      </w:pPr>
      <w:r>
        <w:rPr>
          <w:rFonts w:ascii="Arial" w:cs="Arial" w:eastAsia="Arial" w:hAnsi="Arial"/>
          <w:sz w:val="22"/>
          <w:szCs w:val="22"/>
          <w:color w:val="auto"/>
        </w:rPr>
        <w:t>Verify the accuracy of the information contained in the Registration Statements;</w:t>
      </w:r>
    </w:p>
    <w:p>
      <w:pPr>
        <w:spacing w:after="0" w:line="233" w:lineRule="exact"/>
        <w:rPr>
          <w:rFonts w:ascii="Arial" w:cs="Arial" w:eastAsia="Arial" w:hAnsi="Arial"/>
          <w:sz w:val="22"/>
          <w:szCs w:val="22"/>
          <w:color w:val="010000"/>
        </w:rPr>
      </w:pPr>
    </w:p>
    <w:p>
      <w:pPr>
        <w:ind w:firstLine="1304"/>
        <w:spacing w:after="0" w:line="250" w:lineRule="auto"/>
        <w:tabs>
          <w:tab w:leader="none" w:pos="2148" w:val="left"/>
        </w:tabs>
        <w:numPr>
          <w:ilvl w:val="1"/>
          <w:numId w:val="243"/>
        </w:numPr>
        <w:rPr>
          <w:rFonts w:ascii="Arial" w:cs="Arial" w:eastAsia="Arial" w:hAnsi="Arial"/>
          <w:sz w:val="22"/>
          <w:szCs w:val="22"/>
          <w:color w:val="010000"/>
        </w:rPr>
      </w:pPr>
      <w:r>
        <w:rPr>
          <w:rFonts w:ascii="Arial" w:cs="Arial" w:eastAsia="Arial" w:hAnsi="Arial"/>
          <w:sz w:val="22"/>
          <w:szCs w:val="22"/>
          <w:color w:val="auto"/>
        </w:rPr>
        <w:t>Provide any assurance that any Business Combination entered into by the Company or any other action taken by the Company is as contemplated by the Registration Statements;</w:t>
      </w:r>
    </w:p>
    <w:p>
      <w:pPr>
        <w:spacing w:after="0" w:line="201" w:lineRule="exact"/>
        <w:rPr>
          <w:rFonts w:ascii="Arial" w:cs="Arial" w:eastAsia="Arial" w:hAnsi="Arial"/>
          <w:sz w:val="22"/>
          <w:szCs w:val="22"/>
          <w:color w:val="010000"/>
        </w:rPr>
      </w:pPr>
    </w:p>
    <w:p>
      <w:pPr>
        <w:jc w:val="both"/>
        <w:ind w:firstLine="1304"/>
        <w:spacing w:after="0"/>
        <w:tabs>
          <w:tab w:leader="none" w:pos="2078" w:val="left"/>
        </w:tabs>
        <w:numPr>
          <w:ilvl w:val="1"/>
          <w:numId w:val="243"/>
        </w:numPr>
        <w:rPr>
          <w:rFonts w:ascii="Arial" w:cs="Arial" w:eastAsia="Arial" w:hAnsi="Arial"/>
          <w:sz w:val="22"/>
          <w:szCs w:val="22"/>
          <w:color w:val="010000"/>
        </w:rPr>
      </w:pPr>
      <w:r>
        <w:rPr>
          <w:rFonts w:ascii="Arial" w:cs="Arial" w:eastAsia="Arial" w:hAnsi="Arial"/>
          <w:sz w:val="22"/>
          <w:szCs w:val="22"/>
          <w:color w:val="auto"/>
        </w:rPr>
        <w:t>File information returns with respect to the Trust Account with any local, state or federal taxing authority or provide periodic written statements to the Company documenting the taxes payable by the Company, if any, relating to any interest income earned on the Property;</w:t>
      </w:r>
    </w:p>
    <w:p>
      <w:pPr>
        <w:spacing w:after="0" w:line="213" w:lineRule="exact"/>
        <w:rPr>
          <w:rFonts w:ascii="Arial" w:cs="Arial" w:eastAsia="Arial" w:hAnsi="Arial"/>
          <w:sz w:val="22"/>
          <w:szCs w:val="22"/>
          <w:color w:val="010000"/>
        </w:rPr>
      </w:pPr>
    </w:p>
    <w:p>
      <w:pPr>
        <w:jc w:val="both"/>
        <w:ind w:firstLine="1304"/>
        <w:spacing w:after="0" w:line="297" w:lineRule="auto"/>
        <w:tabs>
          <w:tab w:leader="none" w:pos="2196" w:val="left"/>
        </w:tabs>
        <w:numPr>
          <w:ilvl w:val="1"/>
          <w:numId w:val="243"/>
        </w:numPr>
        <w:rPr>
          <w:rFonts w:ascii="Arial" w:cs="Arial" w:eastAsia="Arial" w:hAnsi="Arial"/>
          <w:sz w:val="19"/>
          <w:szCs w:val="19"/>
          <w:color w:val="010000"/>
        </w:rPr>
      </w:pPr>
      <w:r>
        <w:rPr>
          <w:rFonts w:ascii="Arial" w:cs="Arial" w:eastAsia="Arial" w:hAnsi="Arial"/>
          <w:sz w:val="19"/>
          <w:szCs w:val="19"/>
          <w:color w:val="auto"/>
        </w:rPr>
        <w:t xml:space="preserve">Prepare, execute and file tax reports, income or other tax returns and pay any taxes with respect to any income generated by, and activities relating to, the Trust Account, regardless of whether such tax is payable by the Trust Account or the Company, including, but not limited to, income tax obligations, except pursuant to </w:t>
      </w:r>
      <w:r>
        <w:rPr>
          <w:rFonts w:ascii="Arial" w:cs="Arial" w:eastAsia="Arial" w:hAnsi="Arial"/>
          <w:sz w:val="19"/>
          <w:szCs w:val="19"/>
          <w:u w:val="single" w:color="auto"/>
          <w:color w:val="auto"/>
        </w:rPr>
        <w:t>Section 1(j)</w:t>
      </w:r>
      <w:r>
        <w:rPr>
          <w:rFonts w:ascii="Arial" w:cs="Arial" w:eastAsia="Arial" w:hAnsi="Arial"/>
          <w:sz w:val="19"/>
          <w:szCs w:val="19"/>
          <w:color w:val="auto"/>
        </w:rPr>
        <w:t xml:space="preserve"> hereof; or</w:t>
      </w:r>
    </w:p>
    <w:p>
      <w:pPr>
        <w:spacing w:after="0" w:line="160" w:lineRule="exact"/>
        <w:rPr>
          <w:rFonts w:ascii="Arial" w:cs="Arial" w:eastAsia="Arial" w:hAnsi="Arial"/>
          <w:sz w:val="19"/>
          <w:szCs w:val="19"/>
          <w:color w:val="010000"/>
        </w:rPr>
      </w:pPr>
    </w:p>
    <w:p>
      <w:pPr>
        <w:ind w:firstLine="1304"/>
        <w:spacing w:after="0" w:line="250" w:lineRule="auto"/>
        <w:tabs>
          <w:tab w:leader="none" w:pos="2393" w:val="left"/>
        </w:tabs>
        <w:numPr>
          <w:ilvl w:val="1"/>
          <w:numId w:val="243"/>
        </w:numPr>
        <w:rPr>
          <w:rFonts w:ascii="Arial" w:cs="Arial" w:eastAsia="Arial" w:hAnsi="Arial"/>
          <w:sz w:val="22"/>
          <w:szCs w:val="22"/>
          <w:color w:val="010000"/>
        </w:rPr>
      </w:pPr>
      <w:r>
        <w:rPr>
          <w:rFonts w:ascii="Arial" w:cs="Arial" w:eastAsia="Arial" w:hAnsi="Arial"/>
          <w:sz w:val="22"/>
          <w:szCs w:val="22"/>
          <w:color w:val="auto"/>
        </w:rPr>
        <w:t xml:space="preserve">Verify calculations, qualify or otherwise approve the Company’s written requests for distributions pursuant to </w:t>
      </w:r>
      <w:r>
        <w:rPr>
          <w:rFonts w:ascii="Arial" w:cs="Arial" w:eastAsia="Arial" w:hAnsi="Arial"/>
          <w:sz w:val="22"/>
          <w:szCs w:val="22"/>
          <w:u w:val="single" w:color="auto"/>
          <w:color w:val="auto"/>
        </w:rPr>
        <w:t>Sections 1(i)</w:t>
      </w:r>
      <w:r>
        <w:rPr>
          <w:rFonts w:ascii="Arial" w:cs="Arial" w:eastAsia="Arial" w:hAnsi="Arial"/>
          <w:sz w:val="22"/>
          <w:szCs w:val="22"/>
          <w:color w:val="auto"/>
        </w:rPr>
        <w:t xml:space="preserve">, </w:t>
      </w:r>
      <w:r>
        <w:rPr>
          <w:rFonts w:ascii="Arial" w:cs="Arial" w:eastAsia="Arial" w:hAnsi="Arial"/>
          <w:sz w:val="22"/>
          <w:szCs w:val="22"/>
          <w:u w:val="single" w:color="auto"/>
          <w:color w:val="auto"/>
        </w:rPr>
        <w:t>1(j)</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1(k)</w:t>
      </w:r>
      <w:r>
        <w:rPr>
          <w:rFonts w:ascii="Arial" w:cs="Arial" w:eastAsia="Arial" w:hAnsi="Arial"/>
          <w:sz w:val="22"/>
          <w:szCs w:val="22"/>
          <w:color w:val="auto"/>
        </w:rPr>
        <w:t xml:space="preserve"> hereof.</w:t>
      </w:r>
    </w:p>
    <w:p>
      <w:pPr>
        <w:spacing w:after="0" w:line="201" w:lineRule="exact"/>
        <w:rPr>
          <w:rFonts w:ascii="Arial" w:cs="Arial" w:eastAsia="Arial" w:hAnsi="Arial"/>
          <w:sz w:val="22"/>
          <w:szCs w:val="22"/>
          <w:color w:val="010000"/>
        </w:rPr>
      </w:pPr>
    </w:p>
    <w:p>
      <w:pPr>
        <w:jc w:val="both"/>
        <w:ind w:firstLine="656"/>
        <w:spacing w:after="0" w:line="282" w:lineRule="auto"/>
        <w:tabs>
          <w:tab w:leader="none" w:pos="1645"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Trust Account Waiver. The Trustee has no right of set-off or any right, title, interest or claim of any kind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xml:space="preserve">”) to, or to any monies in, the Trust Account, and hereby irrevocably waives any Claim to, or to any monies in, the Trust Account that it may have now or in the future. In the event the Trustee has any Claim against the Company under this Agreement, including, without limitation, under </w:t>
      </w:r>
      <w:r>
        <w:rPr>
          <w:rFonts w:ascii="Arial" w:cs="Arial" w:eastAsia="Arial" w:hAnsi="Arial"/>
          <w:sz w:val="19"/>
          <w:szCs w:val="19"/>
          <w:u w:val="single" w:color="auto"/>
          <w:color w:val="auto"/>
        </w:rPr>
        <w:t>Section 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2(c)</w:t>
      </w:r>
      <w:r>
        <w:rPr>
          <w:rFonts w:ascii="Arial" w:cs="Arial" w:eastAsia="Arial" w:hAnsi="Arial"/>
          <w:sz w:val="19"/>
          <w:szCs w:val="19"/>
          <w:color w:val="auto"/>
        </w:rPr>
        <w:t xml:space="preserve"> hereof, the Trustee shall pursue such Claim solely against the Company and its assets outside the Trust Account and not against the Property or any monies in the Trust Account.</w:t>
      </w:r>
    </w:p>
    <w:p>
      <w:pPr>
        <w:spacing w:after="0" w:line="174" w:lineRule="exact"/>
        <w:rPr>
          <w:rFonts w:ascii="Arial" w:cs="Arial" w:eastAsia="Arial" w:hAnsi="Arial"/>
          <w:sz w:val="19"/>
          <w:szCs w:val="19"/>
          <w:color w:val="auto"/>
        </w:rPr>
      </w:pPr>
    </w:p>
    <w:p>
      <w:pPr>
        <w:ind w:left="1460" w:hanging="804"/>
        <w:spacing w:after="0"/>
        <w:tabs>
          <w:tab w:leader="none" w:pos="146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Termination. This Agreement shall terminate as follows:</w:t>
      </w:r>
    </w:p>
    <w:p>
      <w:pPr>
        <w:spacing w:after="0" w:line="233" w:lineRule="exact"/>
        <w:rPr>
          <w:rFonts w:ascii="Arial" w:cs="Arial" w:eastAsia="Arial" w:hAnsi="Arial"/>
          <w:sz w:val="22"/>
          <w:szCs w:val="22"/>
          <w:color w:val="auto"/>
        </w:rPr>
      </w:pPr>
    </w:p>
    <w:p>
      <w:pPr>
        <w:jc w:val="both"/>
        <w:ind w:firstLine="1304"/>
        <w:spacing w:after="0" w:line="274" w:lineRule="auto"/>
        <w:tabs>
          <w:tab w:leader="none" w:pos="2261" w:val="left"/>
        </w:tabs>
        <w:numPr>
          <w:ilvl w:val="1"/>
          <w:numId w:val="244"/>
        </w:numPr>
        <w:rPr>
          <w:rFonts w:ascii="Arial" w:cs="Arial" w:eastAsia="Arial" w:hAnsi="Arial"/>
          <w:sz w:val="19"/>
          <w:szCs w:val="19"/>
          <w:color w:val="010000"/>
        </w:rPr>
      </w:pPr>
      <w:r>
        <w:rPr>
          <w:rFonts w:ascii="Arial" w:cs="Arial" w:eastAsia="Arial" w:hAnsi="Arial"/>
          <w:sz w:val="19"/>
          <w:szCs w:val="19"/>
          <w:color w:val="auto"/>
        </w:rPr>
        <w:t xml:space="preserve">If the Trustee gives written notice to the Company that it desires to resign under this Agreement, the Company shall use its reasonable efforts to locate a successor trustee, pending which the Trustee shall continue to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that the Company does not locate a successor trustee within ninety (90)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7" w:name="page148"/>
    <w:bookmarkEnd w:id="147"/>
    <w:p>
      <w:pPr>
        <w:jc w:val="both"/>
        <w:ind w:firstLine="1304"/>
        <w:spacing w:after="0"/>
        <w:tabs>
          <w:tab w:leader="none" w:pos="2203" w:val="left"/>
        </w:tabs>
        <w:numPr>
          <w:ilvl w:val="1"/>
          <w:numId w:val="245"/>
        </w:numPr>
        <w:rPr>
          <w:rFonts w:ascii="Arial" w:cs="Arial" w:eastAsia="Arial" w:hAnsi="Arial"/>
          <w:sz w:val="22"/>
          <w:szCs w:val="22"/>
          <w:color w:val="010000"/>
        </w:rPr>
      </w:pPr>
      <w:r>
        <w:rPr>
          <w:rFonts w:ascii="Arial" w:cs="Arial" w:eastAsia="Arial" w:hAnsi="Arial"/>
          <w:sz w:val="22"/>
          <w:szCs w:val="22"/>
          <w:color w:val="auto"/>
        </w:rPr>
        <w:t xml:space="preserve">At such time that the Trustee has completed the liquidation of the Trust Account and its obligations in accordance with the provisions of </w:t>
      </w:r>
      <w:r>
        <w:rPr>
          <w:rFonts w:ascii="Arial" w:cs="Arial" w:eastAsia="Arial" w:hAnsi="Arial"/>
          <w:sz w:val="22"/>
          <w:szCs w:val="22"/>
          <w:u w:val="single" w:color="auto"/>
          <w:color w:val="auto"/>
        </w:rPr>
        <w:t>Section 1(i)</w:t>
      </w:r>
      <w:r>
        <w:rPr>
          <w:rFonts w:ascii="Arial" w:cs="Arial" w:eastAsia="Arial" w:hAnsi="Arial"/>
          <w:sz w:val="22"/>
          <w:szCs w:val="22"/>
          <w:color w:val="auto"/>
        </w:rPr>
        <w:t xml:space="preserve"> hereof and distributed the Property in accordance with the provisions of the Termination Letter, this Agreement shall terminate except with respect to </w:t>
      </w:r>
      <w:r>
        <w:rPr>
          <w:rFonts w:ascii="Arial" w:cs="Arial" w:eastAsia="Arial" w:hAnsi="Arial"/>
          <w:sz w:val="22"/>
          <w:szCs w:val="22"/>
          <w:u w:val="single" w:color="auto"/>
          <w:color w:val="auto"/>
        </w:rPr>
        <w:t>Section 2(b)</w:t>
      </w:r>
      <w:r>
        <w:rPr>
          <w:rFonts w:ascii="Arial" w:cs="Arial" w:eastAsia="Arial" w:hAnsi="Arial"/>
          <w:sz w:val="22"/>
          <w:szCs w:val="22"/>
          <w:color w:val="auto"/>
        </w:rPr>
        <w:t>.</w:t>
      </w:r>
    </w:p>
    <w:p>
      <w:pPr>
        <w:spacing w:after="0" w:line="213" w:lineRule="exact"/>
        <w:rPr>
          <w:rFonts w:ascii="Arial" w:cs="Arial" w:eastAsia="Arial" w:hAnsi="Arial"/>
          <w:sz w:val="22"/>
          <w:szCs w:val="22"/>
          <w:color w:val="010000"/>
        </w:rPr>
      </w:pPr>
    </w:p>
    <w:p>
      <w:pPr>
        <w:ind w:left="1460" w:hanging="804"/>
        <w:spacing w:after="0"/>
        <w:tabs>
          <w:tab w:leader="none" w:pos="1460" w:val="left"/>
        </w:tabs>
        <w:numPr>
          <w:ilvl w:val="0"/>
          <w:numId w:val="246"/>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33" w:lineRule="exact"/>
        <w:rPr>
          <w:rFonts w:ascii="Arial" w:cs="Arial" w:eastAsia="Arial" w:hAnsi="Arial"/>
          <w:sz w:val="22"/>
          <w:szCs w:val="22"/>
          <w:color w:val="auto"/>
        </w:rPr>
      </w:pPr>
    </w:p>
    <w:p>
      <w:pPr>
        <w:jc w:val="both"/>
        <w:ind w:firstLine="1304"/>
        <w:spacing w:after="0" w:line="233" w:lineRule="auto"/>
        <w:tabs>
          <w:tab w:leader="none" w:pos="2135"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The Company and the Trustee each acknowledge that the Trustee will follow the security procedures set forth herein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confidential information, or of any change in its authorized personnel. In executing funds transfers, the Trustee shall rely upon all information supplied to it by the Company, including, account names, account numbers, and all other identifying information relating to a Beneficiary, Beneficiary’s bank or intermediary bank. Except for any liability arising out of the Trustee’s gross negligence, fraud or willful misconduct, the Trustee shall not be liable for any loss, liability or expense resulting from any error in the information or transmission of the funds.</w:t>
      </w:r>
    </w:p>
    <w:p>
      <w:pPr>
        <w:spacing w:after="0" w:line="219" w:lineRule="exact"/>
        <w:rPr>
          <w:rFonts w:ascii="Arial" w:cs="Arial" w:eastAsia="Arial" w:hAnsi="Arial"/>
          <w:sz w:val="22"/>
          <w:szCs w:val="22"/>
          <w:color w:val="010000"/>
        </w:rPr>
      </w:pPr>
    </w:p>
    <w:p>
      <w:pPr>
        <w:jc w:val="both"/>
        <w:ind w:firstLine="1304"/>
        <w:spacing w:after="0" w:line="238" w:lineRule="auto"/>
        <w:tabs>
          <w:tab w:leader="none" w:pos="2261"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This Agreement shall be governed by and construed and enforced in accordance with the laws of the State of New York, without giving effect to conflicts of law principles that would result in the application of the substantive laws of another jurisdiction. This Agreement may be executed in several original or facsimile counterparts, each one of which shall constitute an original, and together shall constitute but one instrument.</w:t>
      </w:r>
    </w:p>
    <w:p>
      <w:pPr>
        <w:spacing w:after="0" w:line="211" w:lineRule="exact"/>
        <w:rPr>
          <w:rFonts w:ascii="Arial" w:cs="Arial" w:eastAsia="Arial" w:hAnsi="Arial"/>
          <w:sz w:val="22"/>
          <w:szCs w:val="22"/>
          <w:color w:val="010000"/>
        </w:rPr>
      </w:pPr>
    </w:p>
    <w:p>
      <w:pPr>
        <w:jc w:val="both"/>
        <w:ind w:firstLine="1304"/>
        <w:spacing w:after="0" w:line="246" w:lineRule="auto"/>
        <w:tabs>
          <w:tab w:leader="none" w:pos="2149" w:val="left"/>
        </w:tabs>
        <w:numPr>
          <w:ilvl w:val="1"/>
          <w:numId w:val="246"/>
        </w:numPr>
        <w:rPr>
          <w:rFonts w:ascii="Arial" w:cs="Arial" w:eastAsia="Arial" w:hAnsi="Arial"/>
          <w:sz w:val="21"/>
          <w:szCs w:val="21"/>
          <w:color w:val="010000"/>
        </w:rPr>
      </w:pPr>
      <w:r>
        <w:rPr>
          <w:rFonts w:ascii="Arial" w:cs="Arial" w:eastAsia="Arial" w:hAnsi="Arial"/>
          <w:sz w:val="21"/>
          <w:szCs w:val="21"/>
          <w:color w:val="auto"/>
        </w:rPr>
        <w:t xml:space="preserve">This Agreement contains the entire agreement and understanding of the parties hereto with respect to the subject matter hereof. Except for </w:t>
      </w:r>
      <w:r>
        <w:rPr>
          <w:rFonts w:ascii="Arial" w:cs="Arial" w:eastAsia="Arial" w:hAnsi="Arial"/>
          <w:sz w:val="21"/>
          <w:szCs w:val="21"/>
          <w:u w:val="single" w:color="auto"/>
          <w:color w:val="auto"/>
        </w:rPr>
        <w:t>Section 1(i)</w:t>
      </w:r>
      <w:r>
        <w:rPr>
          <w:rFonts w:ascii="Arial" w:cs="Arial" w:eastAsia="Arial" w:hAnsi="Arial"/>
          <w:sz w:val="21"/>
          <w:szCs w:val="21"/>
          <w:color w:val="auto"/>
        </w:rPr>
        <w:t xml:space="preserve">, </w:t>
      </w:r>
      <w:r>
        <w:rPr>
          <w:rFonts w:ascii="Arial" w:cs="Arial" w:eastAsia="Arial" w:hAnsi="Arial"/>
          <w:sz w:val="21"/>
          <w:szCs w:val="21"/>
          <w:u w:val="single" w:color="auto"/>
          <w:color w:val="auto"/>
        </w:rPr>
        <w:t>1(j)</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1(k)</w:t>
      </w:r>
      <w:r>
        <w:rPr>
          <w:rFonts w:ascii="Arial" w:cs="Arial" w:eastAsia="Arial" w:hAnsi="Arial"/>
          <w:sz w:val="21"/>
          <w:szCs w:val="21"/>
          <w:color w:val="auto"/>
        </w:rPr>
        <w:t xml:space="preserve"> hereof (which sections may not be modified, amended or deleted without the affirmative vote of sixty-five percent (65%) of the then outstanding Ordinary Shares and Class B ordinary shares, par value $0.0001 per share, of the Company, voting together as a single class;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amendment will affect any Public Shareholder who has properly elected to redeem his or her Ordinary Shares in connection with a shareholder vote for an Amendment, this Agreement or any provision hereof may only be changed, amended or modified (other than to correct a typographical error) by a writing signed by each of the parties hereto.</w:t>
      </w:r>
    </w:p>
    <w:p>
      <w:pPr>
        <w:spacing w:after="0" w:line="211" w:lineRule="exact"/>
        <w:rPr>
          <w:rFonts w:ascii="Arial" w:cs="Arial" w:eastAsia="Arial" w:hAnsi="Arial"/>
          <w:sz w:val="21"/>
          <w:szCs w:val="21"/>
          <w:color w:val="010000"/>
        </w:rPr>
      </w:pPr>
    </w:p>
    <w:p>
      <w:pPr>
        <w:jc w:val="both"/>
        <w:ind w:firstLine="1304"/>
        <w:spacing w:after="0" w:line="238" w:lineRule="auto"/>
        <w:tabs>
          <w:tab w:leader="none" w:pos="2220"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The parties hereto consent to the jurisdiction and venue of any state or federal court located in the City of New York, State of New York, for purposes of resolving any disputes hereunder. AS TO ANY CLAIM, CROSS-CLAIM OR COUNTERCLAIM IN ANY WAY RELATING TO THIS AGREEMENT, EACH PARTY WAIVES THE RIGHT TO TRIAL BY JURY.</w:t>
      </w:r>
    </w:p>
    <w:p>
      <w:pPr>
        <w:spacing w:after="0" w:line="211" w:lineRule="exact"/>
        <w:rPr>
          <w:rFonts w:ascii="Arial" w:cs="Arial" w:eastAsia="Arial" w:hAnsi="Arial"/>
          <w:sz w:val="22"/>
          <w:szCs w:val="22"/>
          <w:color w:val="010000"/>
        </w:rPr>
      </w:pPr>
    </w:p>
    <w:p>
      <w:pPr>
        <w:jc w:val="both"/>
        <w:ind w:firstLine="1304"/>
        <w:spacing w:after="0"/>
        <w:tabs>
          <w:tab w:leader="none" w:pos="2283" w:val="left"/>
        </w:tabs>
        <w:numPr>
          <w:ilvl w:val="1"/>
          <w:numId w:val="246"/>
        </w:numPr>
        <w:rPr>
          <w:rFonts w:ascii="Arial" w:cs="Arial" w:eastAsia="Arial" w:hAnsi="Arial"/>
          <w:sz w:val="22"/>
          <w:szCs w:val="22"/>
          <w:color w:val="010000"/>
        </w:rPr>
      </w:pPr>
      <w:r>
        <w:rPr>
          <w:rFonts w:ascii="Arial" w:cs="Arial" w:eastAsia="Arial" w:hAnsi="Arial"/>
          <w:sz w:val="22"/>
          <w:szCs w:val="22"/>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electronic mail or facsimile transmission: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if to the Trustee, to:</w:t>
      </w:r>
    </w:p>
    <w:p>
      <w:pPr>
        <w:spacing w:after="0" w:line="23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Continental Stock Transfer &amp; Trust Company</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 State Street, 30th Floor</w:t>
      </w:r>
    </w:p>
    <w:p>
      <w:pPr>
        <w:ind w:left="640"/>
        <w:spacing w:after="0" w:line="230" w:lineRule="auto"/>
        <w:rPr>
          <w:sz w:val="20"/>
          <w:szCs w:val="20"/>
          <w:color w:val="auto"/>
        </w:rPr>
      </w:pPr>
      <w:r>
        <w:rPr>
          <w:rFonts w:ascii="Arial" w:cs="Arial" w:eastAsia="Arial" w:hAnsi="Arial"/>
          <w:sz w:val="22"/>
          <w:szCs w:val="22"/>
          <w:color w:val="auto"/>
        </w:rPr>
        <w:t>New York, New York 10004</w:t>
      </w:r>
    </w:p>
    <w:p>
      <w:pPr>
        <w:spacing w:after="0" w:line="1"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9"/>
          <w:szCs w:val="19"/>
          <w:color w:val="auto"/>
        </w:rPr>
        <w:t>Attn:</w:t>
      </w:r>
      <w:r>
        <w:rPr>
          <w:sz w:val="20"/>
          <w:szCs w:val="20"/>
          <w:color w:val="auto"/>
        </w:rPr>
        <w:tab/>
      </w:r>
      <w:r>
        <w:rPr>
          <w:rFonts w:ascii="Arial" w:cs="Arial" w:eastAsia="Arial" w:hAnsi="Arial"/>
          <w:sz w:val="19"/>
          <w:szCs w:val="19"/>
          <w:color w:val="auto"/>
        </w:rPr>
        <w:t>Francis E. Wolf, Jr. &amp; Celeste Gonzalez</w:t>
      </w:r>
    </w:p>
    <w:p>
      <w:pPr>
        <w:spacing w:after="0" w:line="15" w:lineRule="exact"/>
        <w:rPr>
          <w:sz w:val="20"/>
          <w:szCs w:val="20"/>
          <w:color w:val="auto"/>
        </w:rPr>
      </w:pPr>
    </w:p>
    <w:p>
      <w:pPr>
        <w:ind w:left="640"/>
        <w:spacing w:after="0"/>
        <w:tabs>
          <w:tab w:leader="none" w:pos="14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fwolf@continentalstock.com</w:t>
      </w:r>
    </w:p>
    <w:p>
      <w:pPr>
        <w:ind w:left="1300"/>
        <w:spacing w:after="0"/>
        <w:rPr>
          <w:sz w:val="20"/>
          <w:szCs w:val="20"/>
          <w:color w:val="auto"/>
        </w:rPr>
      </w:pPr>
      <w:r>
        <w:rPr>
          <w:rFonts w:ascii="Arial" w:cs="Arial" w:eastAsia="Arial" w:hAnsi="Arial"/>
          <w:sz w:val="22"/>
          <w:szCs w:val="22"/>
          <w:color w:val="auto"/>
        </w:rPr>
        <w:t>cgonzalez@continentalstock.com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if to the Company, to:</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ARYA Sciences Acquisition Corp III</w:t>
      </w:r>
    </w:p>
    <w:p>
      <w:pPr>
        <w:ind w:left="640"/>
        <w:spacing w:after="0" w:line="238" w:lineRule="auto"/>
        <w:rPr>
          <w:sz w:val="20"/>
          <w:szCs w:val="20"/>
          <w:color w:val="auto"/>
        </w:rPr>
      </w:pPr>
      <w:r>
        <w:rPr>
          <w:rFonts w:ascii="Arial" w:cs="Arial" w:eastAsia="Arial" w:hAnsi="Arial"/>
          <w:sz w:val="22"/>
          <w:szCs w:val="22"/>
          <w:color w:val="auto"/>
        </w:rPr>
        <w:t>51 Astor Place, 10th Floor</w:t>
      </w:r>
    </w:p>
    <w:p>
      <w:pPr>
        <w:ind w:left="640"/>
        <w:spacing w:after="0" w:line="230" w:lineRule="auto"/>
        <w:rPr>
          <w:sz w:val="20"/>
          <w:szCs w:val="20"/>
          <w:color w:val="auto"/>
        </w:rPr>
      </w:pPr>
      <w:r>
        <w:rPr>
          <w:rFonts w:ascii="Arial" w:cs="Arial" w:eastAsia="Arial" w:hAnsi="Arial"/>
          <w:sz w:val="22"/>
          <w:szCs w:val="22"/>
          <w:color w:val="auto"/>
        </w:rPr>
        <w:t>New York, NY 10004</w:t>
      </w:r>
    </w:p>
    <w:p>
      <w:pPr>
        <w:ind w:left="640"/>
        <w:spacing w:after="0" w:line="231" w:lineRule="auto"/>
        <w:tabs>
          <w:tab w:leader="none" w:pos="14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Samuel M. Cohn</w:t>
      </w:r>
    </w:p>
    <w:p>
      <w:pPr>
        <w:ind w:left="640"/>
        <w:spacing w:after="0"/>
        <w:tabs>
          <w:tab w:leader="none" w:pos="1480" w:val="left"/>
        </w:tabs>
        <w:rPr>
          <w:sz w:val="20"/>
          <w:szCs w:val="20"/>
          <w:color w:val="auto"/>
        </w:rPr>
      </w:pPr>
      <w:r>
        <w:rPr>
          <w:rFonts w:ascii="Arial" w:cs="Arial" w:eastAsia="Arial" w:hAnsi="Arial"/>
          <w:sz w:val="22"/>
          <w:szCs w:val="22"/>
          <w:color w:val="auto"/>
        </w:rPr>
        <w:t>Email:</w:t>
        <w:tab/>
        <w:t>Cohn@perceptivelife.com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 each case, with copies to:</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Kirkland &amp; Ellis LLP</w:t>
      </w:r>
    </w:p>
    <w:p>
      <w:pPr>
        <w:ind w:left="640"/>
        <w:spacing w:after="0" w:line="238" w:lineRule="auto"/>
        <w:rPr>
          <w:sz w:val="20"/>
          <w:szCs w:val="20"/>
          <w:color w:val="auto"/>
        </w:rPr>
      </w:pPr>
      <w:r>
        <w:rPr>
          <w:rFonts w:ascii="Arial" w:cs="Arial" w:eastAsia="Arial" w:hAnsi="Arial"/>
          <w:sz w:val="22"/>
          <w:szCs w:val="22"/>
          <w:color w:val="auto"/>
        </w:rPr>
        <w:t>601 Lexington Avenue</w:t>
      </w:r>
    </w:p>
    <w:p>
      <w:pPr>
        <w:ind w:left="640"/>
        <w:spacing w:after="0" w:line="230" w:lineRule="auto"/>
        <w:rPr>
          <w:sz w:val="20"/>
          <w:szCs w:val="20"/>
          <w:color w:val="auto"/>
        </w:rPr>
      </w:pPr>
      <w:r>
        <w:rPr>
          <w:rFonts w:ascii="Arial" w:cs="Arial" w:eastAsia="Arial" w:hAnsi="Arial"/>
          <w:sz w:val="22"/>
          <w:szCs w:val="22"/>
          <w:color w:val="auto"/>
        </w:rPr>
        <w:t>New York, New York 10022</w:t>
      </w:r>
    </w:p>
    <w:p>
      <w:pPr>
        <w:ind w:left="640"/>
        <w:spacing w:after="0" w:line="231" w:lineRule="auto"/>
        <w:tabs>
          <w:tab w:leader="none" w:pos="140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Christian O. Nagler</w:t>
      </w:r>
    </w:p>
    <w:p>
      <w:pPr>
        <w:ind w:left="1300"/>
        <w:spacing w:after="0" w:line="230" w:lineRule="auto"/>
        <w:rPr>
          <w:sz w:val="20"/>
          <w:szCs w:val="20"/>
          <w:color w:val="auto"/>
        </w:rPr>
      </w:pPr>
      <w:r>
        <w:rPr>
          <w:rFonts w:ascii="Arial" w:cs="Arial" w:eastAsia="Arial" w:hAnsi="Arial"/>
          <w:sz w:val="22"/>
          <w:szCs w:val="22"/>
          <w:color w:val="auto"/>
        </w:rPr>
        <w:t>Ross M. Leff</w:t>
      </w:r>
    </w:p>
    <w:p>
      <w:pPr>
        <w:ind w:left="640"/>
        <w:spacing w:after="0"/>
        <w:tabs>
          <w:tab w:leader="none" w:pos="14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cnagler@kirkland.com</w:t>
      </w:r>
    </w:p>
    <w:p>
      <w:pPr>
        <w:ind w:left="1300"/>
        <w:spacing w:after="0"/>
        <w:rPr>
          <w:sz w:val="20"/>
          <w:szCs w:val="20"/>
          <w:color w:val="auto"/>
        </w:rPr>
      </w:pPr>
      <w:r>
        <w:rPr>
          <w:rFonts w:ascii="Arial" w:cs="Arial" w:eastAsia="Arial" w:hAnsi="Arial"/>
          <w:sz w:val="22"/>
          <w:szCs w:val="22"/>
          <w:color w:val="auto"/>
        </w:rPr>
        <w:t>ross.leff@kirkland.com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Jefferies LLC</w:t>
      </w:r>
    </w:p>
    <w:p>
      <w:pPr>
        <w:ind w:left="640"/>
        <w:spacing w:after="0" w:line="238" w:lineRule="auto"/>
        <w:rPr>
          <w:sz w:val="20"/>
          <w:szCs w:val="20"/>
          <w:color w:val="auto"/>
        </w:rPr>
      </w:pPr>
      <w:r>
        <w:rPr>
          <w:rFonts w:ascii="Arial" w:cs="Arial" w:eastAsia="Arial" w:hAnsi="Arial"/>
          <w:sz w:val="22"/>
          <w:szCs w:val="22"/>
          <w:color w:val="auto"/>
        </w:rPr>
        <w:t>520 Madison Avenue</w:t>
      </w:r>
    </w:p>
    <w:p>
      <w:pPr>
        <w:ind w:left="640"/>
        <w:spacing w:after="0" w:line="230" w:lineRule="auto"/>
        <w:rPr>
          <w:sz w:val="20"/>
          <w:szCs w:val="20"/>
          <w:color w:val="auto"/>
        </w:rPr>
      </w:pPr>
      <w:r>
        <w:rPr>
          <w:rFonts w:ascii="Arial" w:cs="Arial" w:eastAsia="Arial" w:hAnsi="Arial"/>
          <w:sz w:val="22"/>
          <w:szCs w:val="22"/>
          <w:color w:val="auto"/>
        </w:rPr>
        <w:t>New York, New York 10022</w:t>
      </w:r>
    </w:p>
    <w:p>
      <w:pPr>
        <w:ind w:left="640"/>
        <w:spacing w:after="0" w:line="231" w:lineRule="auto"/>
        <w:tabs>
          <w:tab w:leader="none" w:pos="14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General Counsel</w:t>
      </w:r>
    </w:p>
    <w:p>
      <w:pPr>
        <w:ind w:left="640"/>
        <w:spacing w:after="0"/>
        <w:rPr>
          <w:sz w:val="20"/>
          <w:szCs w:val="20"/>
          <w:color w:val="auto"/>
        </w:rPr>
      </w:pPr>
      <w:r>
        <w:rPr>
          <w:rFonts w:ascii="Arial" w:cs="Arial" w:eastAsia="Arial" w:hAnsi="Arial"/>
          <w:sz w:val="22"/>
          <w:szCs w:val="22"/>
          <w:color w:val="auto"/>
        </w:rPr>
        <w:t>Facsimile: (646) 619-4437</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Goldman Sachs &amp; Co. LLC</w:t>
      </w:r>
    </w:p>
    <w:p>
      <w:pPr>
        <w:ind w:left="640"/>
        <w:spacing w:after="0" w:line="238" w:lineRule="auto"/>
        <w:rPr>
          <w:sz w:val="20"/>
          <w:szCs w:val="20"/>
          <w:color w:val="auto"/>
        </w:rPr>
      </w:pPr>
      <w:r>
        <w:rPr>
          <w:rFonts w:ascii="Arial" w:cs="Arial" w:eastAsia="Arial" w:hAnsi="Arial"/>
          <w:sz w:val="22"/>
          <w:szCs w:val="22"/>
          <w:color w:val="auto"/>
        </w:rPr>
        <w:t>200 West Street</w:t>
      </w:r>
    </w:p>
    <w:p>
      <w:pPr>
        <w:ind w:left="640"/>
        <w:spacing w:after="0" w:line="230" w:lineRule="auto"/>
        <w:rPr>
          <w:sz w:val="20"/>
          <w:szCs w:val="20"/>
          <w:color w:val="auto"/>
        </w:rPr>
      </w:pPr>
      <w:r>
        <w:rPr>
          <w:rFonts w:ascii="Arial" w:cs="Arial" w:eastAsia="Arial" w:hAnsi="Arial"/>
          <w:sz w:val="22"/>
          <w:szCs w:val="22"/>
          <w:color w:val="auto"/>
        </w:rPr>
        <w:t>New York, NY 10282</w:t>
      </w:r>
    </w:p>
    <w:p>
      <w:pPr>
        <w:spacing w:after="0" w:line="1"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22"/>
          <w:szCs w:val="22"/>
          <w:color w:val="auto"/>
        </w:rPr>
        <w:t>Attn:</w:t>
      </w:r>
      <w:r>
        <w:rPr>
          <w:sz w:val="20"/>
          <w:szCs w:val="20"/>
          <w:color w:val="auto"/>
        </w:rPr>
        <w:tab/>
      </w:r>
      <w:r>
        <w:rPr>
          <w:rFonts w:ascii="Arial" w:cs="Arial" w:eastAsia="Arial" w:hAnsi="Arial"/>
          <w:sz w:val="22"/>
          <w:szCs w:val="22"/>
          <w:color w:val="auto"/>
        </w:rPr>
        <w:t>Registration Department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Skadden, Arps, Slate, Meagher &amp; Flom LLP</w:t>
      </w:r>
    </w:p>
    <w:p>
      <w:pPr>
        <w:ind w:left="640"/>
        <w:spacing w:after="0" w:line="238" w:lineRule="auto"/>
        <w:rPr>
          <w:sz w:val="20"/>
          <w:szCs w:val="20"/>
          <w:color w:val="auto"/>
        </w:rPr>
      </w:pPr>
      <w:r>
        <w:rPr>
          <w:rFonts w:ascii="Arial" w:cs="Arial" w:eastAsia="Arial" w:hAnsi="Arial"/>
          <w:sz w:val="22"/>
          <w:szCs w:val="22"/>
          <w:color w:val="auto"/>
        </w:rPr>
        <w:t>525 University Avenue, Suite 1400</w:t>
      </w:r>
    </w:p>
    <w:p>
      <w:pPr>
        <w:ind w:left="640"/>
        <w:spacing w:after="0" w:line="230" w:lineRule="auto"/>
        <w:rPr>
          <w:sz w:val="20"/>
          <w:szCs w:val="20"/>
          <w:color w:val="auto"/>
        </w:rPr>
      </w:pPr>
      <w:r>
        <w:rPr>
          <w:rFonts w:ascii="Arial" w:cs="Arial" w:eastAsia="Arial" w:hAnsi="Arial"/>
          <w:sz w:val="22"/>
          <w:szCs w:val="22"/>
          <w:color w:val="auto"/>
        </w:rPr>
        <w:t>Palo Alto, California 94301</w:t>
      </w:r>
    </w:p>
    <w:p>
      <w:pPr>
        <w:ind w:left="640"/>
        <w:spacing w:after="0" w:line="231" w:lineRule="auto"/>
        <w:tabs>
          <w:tab w:leader="none" w:pos="1400" w:val="left"/>
        </w:tabs>
        <w:rPr>
          <w:sz w:val="20"/>
          <w:szCs w:val="20"/>
          <w:color w:val="auto"/>
        </w:rPr>
      </w:pPr>
      <w:r>
        <w:rPr>
          <w:rFonts w:ascii="Arial" w:cs="Arial" w:eastAsia="Arial" w:hAnsi="Arial"/>
          <w:sz w:val="22"/>
          <w:szCs w:val="22"/>
          <w:color w:val="auto"/>
        </w:rPr>
        <w:t>Attn.:</w:t>
        <w:tab/>
        <w:t>Gregg A. Noel</w:t>
      </w:r>
    </w:p>
    <w:p>
      <w:pPr>
        <w:ind w:left="1300"/>
        <w:spacing w:after="0" w:line="230" w:lineRule="auto"/>
        <w:rPr>
          <w:sz w:val="20"/>
          <w:szCs w:val="20"/>
          <w:color w:val="auto"/>
        </w:rPr>
      </w:pPr>
      <w:r>
        <w:rPr>
          <w:rFonts w:ascii="Arial" w:cs="Arial" w:eastAsia="Arial" w:hAnsi="Arial"/>
          <w:sz w:val="22"/>
          <w:szCs w:val="22"/>
          <w:color w:val="auto"/>
        </w:rPr>
        <w:t>Michael J. Mies</w:t>
      </w:r>
    </w:p>
    <w:p>
      <w:pPr>
        <w:ind w:left="640"/>
        <w:spacing w:after="0"/>
        <w:tabs>
          <w:tab w:leader="none" w:pos="142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gregg.noel@skadden.com</w:t>
      </w:r>
    </w:p>
    <w:p>
      <w:pPr>
        <w:ind w:left="1300"/>
        <w:spacing w:after="0"/>
        <w:rPr>
          <w:sz w:val="20"/>
          <w:szCs w:val="20"/>
          <w:color w:val="auto"/>
        </w:rPr>
      </w:pPr>
      <w:r>
        <w:rPr>
          <w:rFonts w:ascii="Arial" w:cs="Arial" w:eastAsia="Arial" w:hAnsi="Arial"/>
          <w:sz w:val="22"/>
          <w:szCs w:val="22"/>
          <w:color w:val="auto"/>
        </w:rPr>
        <w:t>michael.mies@skadden.com</w:t>
      </w:r>
    </w:p>
    <w:p>
      <w:pPr>
        <w:spacing w:after="0" w:line="393"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118" w:right="1440" w:bottom="1440" w:gutter="0" w:footer="0" w:header="0"/>
        </w:sectPr>
      </w:pPr>
    </w:p>
    <w:bookmarkStart w:id="149" w:name="page150"/>
    <w:bookmarkEnd w:id="149"/>
    <w:p>
      <w:pPr>
        <w:jc w:val="both"/>
        <w:ind w:firstLine="1304"/>
        <w:spacing w:after="0" w:line="252" w:lineRule="auto"/>
        <w:tabs>
          <w:tab w:leader="none" w:pos="2149" w:val="left"/>
        </w:tabs>
        <w:numPr>
          <w:ilvl w:val="0"/>
          <w:numId w:val="247"/>
        </w:numPr>
        <w:rPr>
          <w:rFonts w:ascii="Arial" w:cs="Arial" w:eastAsia="Arial" w:hAnsi="Arial"/>
          <w:sz w:val="21"/>
          <w:szCs w:val="21"/>
          <w:color w:val="010000"/>
        </w:rPr>
      </w:pPr>
      <w:r>
        <w:rPr>
          <w:rFonts w:ascii="Arial" w:cs="Arial" w:eastAsia="Arial" w:hAnsi="Arial"/>
          <w:sz w:val="21"/>
          <w:szCs w:val="21"/>
          <w:color w:val="auto"/>
        </w:rPr>
        <w:t>Each of the Company and the Trustee hereby represents that it has the full right and power and has been duly authorized to enter into this Agreement and to perform its respective obligations as contemplated hereunder. The Trustee acknowledges and agrees that it shall not make any claims or proceed against the Trust Account, including by way of set-off, and shall not be entitled to any funds in the Trust Account under any circumstance.</w:t>
      </w:r>
    </w:p>
    <w:p>
      <w:pPr>
        <w:spacing w:after="0" w:line="201" w:lineRule="exact"/>
        <w:rPr>
          <w:rFonts w:ascii="Arial" w:cs="Arial" w:eastAsia="Arial" w:hAnsi="Arial"/>
          <w:sz w:val="21"/>
          <w:szCs w:val="21"/>
          <w:color w:val="010000"/>
        </w:rPr>
      </w:pPr>
    </w:p>
    <w:p>
      <w:pPr>
        <w:jc w:val="both"/>
        <w:ind w:firstLine="1304"/>
        <w:spacing w:after="0"/>
        <w:tabs>
          <w:tab w:leader="none" w:pos="2057"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This Agreement is the joint product of the Trustee and the Company and each provision hereof has been subject to the mutual consultation, negotiation and agreement of such parties and shall not be construed for or against any party hereto.</w:t>
      </w:r>
    </w:p>
    <w:p>
      <w:pPr>
        <w:spacing w:after="0" w:line="213" w:lineRule="exact"/>
        <w:rPr>
          <w:rFonts w:ascii="Arial" w:cs="Arial" w:eastAsia="Arial" w:hAnsi="Arial"/>
          <w:sz w:val="22"/>
          <w:szCs w:val="22"/>
          <w:color w:val="010000"/>
        </w:rPr>
      </w:pPr>
    </w:p>
    <w:p>
      <w:pPr>
        <w:jc w:val="both"/>
        <w:ind w:firstLine="1304"/>
        <w:spacing w:after="0" w:line="257" w:lineRule="auto"/>
        <w:tabs>
          <w:tab w:leader="none" w:pos="2034" w:val="left"/>
        </w:tabs>
        <w:numPr>
          <w:ilvl w:val="0"/>
          <w:numId w:val="247"/>
        </w:numPr>
        <w:rPr>
          <w:rFonts w:ascii="Arial" w:cs="Arial" w:eastAsia="Arial" w:hAnsi="Arial"/>
          <w:sz w:val="21"/>
          <w:szCs w:val="21"/>
          <w:color w:val="010000"/>
        </w:rPr>
      </w:pPr>
      <w:r>
        <w:rPr>
          <w:rFonts w:ascii="Arial" w:cs="Arial" w:eastAsia="Arial" w:hAnsi="Arial"/>
          <w:sz w:val="21"/>
          <w:szCs w:val="21"/>
          <w:color w:val="auto"/>
        </w:rPr>
        <w:t>This Agreement may be executed in any number of counterparts, each of which shall be deemed to be an original, but all such counterparts shall together constitute one and the same instrument. Delivery of a signed counterpart of this Agreement by facsimile or electronic transmission shall constitute valid and sufficient delivery thereof.</w:t>
      </w:r>
    </w:p>
    <w:p>
      <w:pPr>
        <w:spacing w:after="0" w:line="196" w:lineRule="exact"/>
        <w:rPr>
          <w:rFonts w:ascii="Arial" w:cs="Arial" w:eastAsia="Arial" w:hAnsi="Arial"/>
          <w:sz w:val="21"/>
          <w:szCs w:val="21"/>
          <w:color w:val="010000"/>
        </w:rPr>
      </w:pPr>
    </w:p>
    <w:p>
      <w:pPr>
        <w:ind w:right="20" w:firstLine="1304"/>
        <w:spacing w:after="0" w:line="250" w:lineRule="auto"/>
        <w:tabs>
          <w:tab w:leader="none" w:pos="2024"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Each of the Company and the Trustee hereby acknowledges and agrees that the Representatives on behalf of the Underwriters are third-party beneficiaries of this Agreement.</w:t>
      </w:r>
    </w:p>
    <w:p>
      <w:pPr>
        <w:spacing w:after="0" w:line="201" w:lineRule="exact"/>
        <w:rPr>
          <w:rFonts w:ascii="Arial" w:cs="Arial" w:eastAsia="Arial" w:hAnsi="Arial"/>
          <w:sz w:val="22"/>
          <w:szCs w:val="22"/>
          <w:color w:val="010000"/>
        </w:rPr>
      </w:pPr>
    </w:p>
    <w:p>
      <w:pPr>
        <w:ind w:right="20" w:firstLine="1304"/>
        <w:spacing w:after="0" w:line="250" w:lineRule="auto"/>
        <w:tabs>
          <w:tab w:leader="none" w:pos="2233" w:val="left"/>
        </w:tabs>
        <w:numPr>
          <w:ilvl w:val="0"/>
          <w:numId w:val="247"/>
        </w:numPr>
        <w:rPr>
          <w:rFonts w:ascii="Arial" w:cs="Arial" w:eastAsia="Arial" w:hAnsi="Arial"/>
          <w:sz w:val="22"/>
          <w:szCs w:val="22"/>
          <w:color w:val="010000"/>
        </w:rPr>
      </w:pPr>
      <w:r>
        <w:rPr>
          <w:rFonts w:ascii="Arial" w:cs="Arial" w:eastAsia="Arial" w:hAnsi="Arial"/>
          <w:sz w:val="22"/>
          <w:szCs w:val="22"/>
          <w:color w:val="auto"/>
        </w:rPr>
        <w:t>Except as specified herein, no party to this Agreement may assign its rights or delegate its obligations hereunder to any other person or entity.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0" w:name="page151"/>
    <w:bookmarkEnd w:id="150"/>
    <w:p>
      <w:pPr>
        <w:ind w:firstLine="648"/>
        <w:spacing w:after="0" w:line="251" w:lineRule="auto"/>
        <w:rPr>
          <w:sz w:val="20"/>
          <w:szCs w:val="20"/>
          <w:color w:val="auto"/>
        </w:rPr>
      </w:pPr>
      <w:r>
        <w:rPr>
          <w:rFonts w:ascii="Arial" w:cs="Arial" w:eastAsia="Arial" w:hAnsi="Arial"/>
          <w:sz w:val="22"/>
          <w:szCs w:val="22"/>
          <w:color w:val="auto"/>
        </w:rPr>
        <w:t>IN WITNESS WHEREOF, the parties have duly executed this Investment Management Trust Agreement as of the date first written above.</w:t>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r>
        <w:rPr>
          <w:rFonts w:ascii="Arial" w:cs="Arial" w:eastAsia="Arial" w:hAnsi="Arial"/>
          <w:sz w:val="18"/>
          <w:szCs w:val="18"/>
          <w:color w:val="auto"/>
        </w:rPr>
        <w:t>,</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Francis Wolf</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Samuel M. Cohn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Samuel M. Cohn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2"/>
          <w:szCs w:val="22"/>
          <w:b w:val="1"/>
          <w:bCs w:val="1"/>
          <w:color w:val="auto"/>
        </w:rPr>
        <w:t>SCHEDULE 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820" w:type="dxa"/>
            <w:vAlign w:val="bottom"/>
          </w:tcPr>
          <w:p>
            <w:pPr>
              <w:spacing w:after="0"/>
              <w:rPr>
                <w:sz w:val="20"/>
                <w:szCs w:val="20"/>
                <w:color w:val="auto"/>
              </w:rPr>
            </w:pPr>
            <w:r>
              <w:rPr>
                <w:rFonts w:ascii="Arial" w:cs="Arial" w:eastAsia="Arial" w:hAnsi="Arial"/>
                <w:sz w:val="18"/>
                <w:szCs w:val="18"/>
                <w:b w:val="1"/>
                <w:bCs w:val="1"/>
                <w:color w:val="auto"/>
              </w:rPr>
              <w:t>Fee Item</w:t>
            </w:r>
          </w:p>
        </w:tc>
        <w:tc>
          <w:tcPr>
            <w:tcW w:w="120" w:type="dxa"/>
            <w:vAlign w:val="bottom"/>
          </w:tcPr>
          <w:p>
            <w:pPr>
              <w:spacing w:after="0"/>
              <w:rPr>
                <w:sz w:val="22"/>
                <w:szCs w:val="22"/>
                <w:color w:val="auto"/>
              </w:rPr>
            </w:pPr>
          </w:p>
        </w:tc>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Time and method of payment</w:t>
            </w:r>
          </w:p>
        </w:tc>
        <w:tc>
          <w:tcPr>
            <w:tcW w:w="134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Amount</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120" w:type="dxa"/>
            <w:vAlign w:val="bottom"/>
            <w:shd w:val="clear" w:color="auto" w:fill="CCEEFF"/>
          </w:tcPr>
          <w:p>
            <w:pPr>
              <w:spacing w:after="0"/>
              <w:rPr>
                <w:sz w:val="18"/>
                <w:szCs w:val="18"/>
                <w:color w:val="auto"/>
              </w:rPr>
            </w:pPr>
          </w:p>
        </w:tc>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Initial closing of the Offering by wire transfer</w:t>
            </w: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shd w:val="clear" w:color="auto" w:fill="CCEEFF"/>
          </w:tcPr>
          <w:p>
            <w:pPr>
              <w:spacing w:after="0"/>
              <w:rPr>
                <w:sz w:val="18"/>
                <w:szCs w:val="18"/>
                <w:color w:val="auto"/>
              </w:rPr>
            </w:pP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Annual fee</w:t>
            </w:r>
          </w:p>
        </w:tc>
        <w:tc>
          <w:tcPr>
            <w:tcW w:w="120" w:type="dxa"/>
            <w:vAlign w:val="bottom"/>
          </w:tcPr>
          <w:p>
            <w:pPr>
              <w:spacing w:after="0"/>
              <w:rPr>
                <w:sz w:val="17"/>
                <w:szCs w:val="17"/>
                <w:color w:val="auto"/>
              </w:rPr>
            </w:pPr>
          </w:p>
        </w:tc>
        <w:tc>
          <w:tcPr>
            <w:tcW w:w="5960" w:type="dxa"/>
            <w:vAlign w:val="bottom"/>
          </w:tcPr>
          <w:p>
            <w:pPr>
              <w:ind w:left="20"/>
              <w:spacing w:after="0" w:line="201" w:lineRule="exact"/>
              <w:rPr>
                <w:sz w:val="20"/>
                <w:szCs w:val="20"/>
                <w:color w:val="auto"/>
              </w:rPr>
            </w:pPr>
            <w:r>
              <w:rPr>
                <w:rFonts w:ascii="Arial" w:cs="Arial" w:eastAsia="Arial" w:hAnsi="Arial"/>
                <w:sz w:val="18"/>
                <w:szCs w:val="18"/>
                <w:color w:val="auto"/>
              </w:rPr>
              <w:t>First year, initial closing of the Offering by wire transfer; thereafter on the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tcPr>
          <w:p>
            <w:pPr>
              <w:ind w:left="20"/>
              <w:spacing w:after="0"/>
              <w:rPr>
                <w:sz w:val="20"/>
                <w:szCs w:val="20"/>
                <w:color w:val="auto"/>
              </w:rPr>
            </w:pPr>
            <w:r>
              <w:rPr>
                <w:rFonts w:ascii="Arial" w:cs="Arial" w:eastAsia="Arial" w:hAnsi="Arial"/>
                <w:sz w:val="18"/>
                <w:szCs w:val="18"/>
                <w:color w:val="auto"/>
              </w:rPr>
              <w:t>anniversary of the effective date of the Offering by wire transfer or check</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r>
      <w:tr>
        <w:trPr>
          <w:trHeight w:val="202"/>
        </w:trPr>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Transaction processing fee for disbursements to</w:t>
            </w:r>
          </w:p>
        </w:tc>
        <w:tc>
          <w:tcPr>
            <w:tcW w:w="120" w:type="dxa"/>
            <w:vAlign w:val="bottom"/>
            <w:shd w:val="clear" w:color="auto" w:fill="CCEEFF"/>
          </w:tcPr>
          <w:p>
            <w:pPr>
              <w:spacing w:after="0"/>
              <w:rPr>
                <w:sz w:val="17"/>
                <w:szCs w:val="17"/>
                <w:color w:val="auto"/>
              </w:rPr>
            </w:pPr>
          </w:p>
        </w:tc>
        <w:tc>
          <w:tcPr>
            <w:tcW w:w="59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Billed by Trustee to Company under Section 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Company under Sections 1(i),(j), and (k)</w:t>
            </w:r>
          </w:p>
        </w:tc>
        <w:tc>
          <w:tcPr>
            <w:tcW w:w="120" w:type="dxa"/>
            <w:vAlign w:val="bottom"/>
            <w:shd w:val="clear" w:color="auto" w:fill="CCEEFF"/>
          </w:tcPr>
          <w:p>
            <w:pPr>
              <w:spacing w:after="0"/>
              <w:rPr>
                <w:sz w:val="20"/>
                <w:szCs w:val="20"/>
                <w:color w:val="auto"/>
              </w:rPr>
            </w:pPr>
          </w:p>
        </w:tc>
        <w:tc>
          <w:tcPr>
            <w:tcW w:w="59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Paying Agent services as required pursuant to</w:t>
            </w:r>
          </w:p>
        </w:tc>
        <w:tc>
          <w:tcPr>
            <w:tcW w:w="120" w:type="dxa"/>
            <w:vAlign w:val="bottom"/>
          </w:tcPr>
          <w:p>
            <w:pPr>
              <w:spacing w:after="0"/>
              <w:rPr>
                <w:sz w:val="17"/>
                <w:szCs w:val="17"/>
                <w:color w:val="auto"/>
              </w:rPr>
            </w:pPr>
          </w:p>
        </w:tc>
        <w:tc>
          <w:tcPr>
            <w:tcW w:w="5960" w:type="dxa"/>
            <w:vAlign w:val="bottom"/>
          </w:tcPr>
          <w:p>
            <w:pPr>
              <w:ind w:left="20"/>
              <w:spacing w:after="0" w:line="201" w:lineRule="exact"/>
              <w:rPr>
                <w:sz w:val="20"/>
                <w:szCs w:val="20"/>
                <w:color w:val="auto"/>
              </w:rPr>
            </w:pPr>
            <w:r>
              <w:rPr>
                <w:rFonts w:ascii="Arial" w:cs="Arial" w:eastAsia="Arial" w:hAnsi="Arial"/>
                <w:sz w:val="18"/>
                <w:szCs w:val="18"/>
                <w:color w:val="auto"/>
                <w:w w:val="98"/>
              </w:rPr>
              <w:t>Billed to Company upon delivery of service pursuant to Section 1(i) and 1(k)</w:t>
            </w:r>
          </w:p>
        </w:tc>
        <w:tc>
          <w:tcPr>
            <w:tcW w:w="1340" w:type="dxa"/>
            <w:vAlign w:val="bottom"/>
            <w:gridSpan w:val="4"/>
          </w:tcPr>
          <w:p>
            <w:pPr>
              <w:ind w:left="120"/>
              <w:spacing w:after="0" w:line="201" w:lineRule="exact"/>
              <w:rPr>
                <w:sz w:val="20"/>
                <w:szCs w:val="20"/>
                <w:color w:val="auto"/>
              </w:rPr>
            </w:pPr>
            <w:r>
              <w:rPr>
                <w:rFonts w:ascii="Arial" w:cs="Arial" w:eastAsia="Arial" w:hAnsi="Arial"/>
                <w:sz w:val="18"/>
                <w:szCs w:val="18"/>
                <w:color w:val="auto"/>
                <w:w w:val="96"/>
              </w:rPr>
              <w:t>Prevailing rates</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Section 1(i) and 1(k)</w:t>
            </w:r>
          </w:p>
        </w:tc>
        <w:tc>
          <w:tcPr>
            <w:tcW w:w="1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82"/>
        </w:trPr>
        <w:tc>
          <w:tcPr>
            <w:tcW w:w="3820" w:type="dxa"/>
            <w:vAlign w:val="bottom"/>
          </w:tcPr>
          <w:p>
            <w:pPr>
              <w:spacing w:after="0"/>
              <w:rPr>
                <w:sz w:val="24"/>
                <w:szCs w:val="24"/>
                <w:color w:val="auto"/>
              </w:rPr>
            </w:pPr>
          </w:p>
        </w:tc>
        <w:tc>
          <w:tcPr>
            <w:tcW w:w="6080" w:type="dxa"/>
            <w:vAlign w:val="bottom"/>
            <w:gridSpan w:val="2"/>
          </w:tcPr>
          <w:p>
            <w:pPr>
              <w:jc w:val="right"/>
              <w:ind w:right="411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11" w:right="339" w:bottom="1440" w:gutter="0" w:footer="0" w:header="0"/>
        </w:sectPr>
      </w:pPr>
    </w:p>
    <w:bookmarkStart w:id="152" w:name="page153"/>
    <w:bookmarkEnd w:id="152"/>
    <w:p>
      <w:pPr>
        <w:jc w:val="center"/>
        <w:ind w:right="-39"/>
        <w:spacing w:after="0"/>
        <w:rPr>
          <w:sz w:val="20"/>
          <w:szCs w:val="20"/>
          <w:color w:val="auto"/>
        </w:rPr>
      </w:pPr>
      <w:r>
        <w:rPr>
          <w:rFonts w:ascii="Arial" w:cs="Arial" w:eastAsia="Arial" w:hAnsi="Arial"/>
          <w:sz w:val="22"/>
          <w:szCs w:val="22"/>
          <w:b w:val="1"/>
          <w:bCs w:val="1"/>
          <w:color w:val="auto"/>
        </w:rPr>
        <w:t>EXHIBIT A</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[Letterhead of Company]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[Insert 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Continental Stock Transfer &amp; Trust Company</w:t>
      </w:r>
    </w:p>
    <w:p>
      <w:pPr>
        <w:spacing w:after="0" w:line="238" w:lineRule="auto"/>
        <w:rPr>
          <w:sz w:val="20"/>
          <w:szCs w:val="20"/>
          <w:color w:val="auto"/>
        </w:rPr>
      </w:pPr>
      <w:r>
        <w:rPr>
          <w:rFonts w:ascii="Arial" w:cs="Arial" w:eastAsia="Arial" w:hAnsi="Arial"/>
          <w:sz w:val="22"/>
          <w:szCs w:val="22"/>
          <w:color w:val="auto"/>
        </w:rPr>
        <w:t>1 State Street, 30th Floor</w:t>
      </w:r>
    </w:p>
    <w:p>
      <w:pPr>
        <w:spacing w:after="0" w:line="230" w:lineRule="auto"/>
        <w:rPr>
          <w:sz w:val="20"/>
          <w:szCs w:val="20"/>
          <w:color w:val="auto"/>
        </w:rPr>
      </w:pPr>
      <w:r>
        <w:rPr>
          <w:rFonts w:ascii="Arial" w:cs="Arial" w:eastAsia="Arial" w:hAnsi="Arial"/>
          <w:sz w:val="22"/>
          <w:szCs w:val="22"/>
          <w:color w:val="auto"/>
        </w:rPr>
        <w:t>New York, New York 10004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Francis Wolf &amp; Celeste Gonzalez</w:t>
      </w:r>
    </w:p>
    <w:p>
      <w:pPr>
        <w:spacing w:after="0" w:line="21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Trust Account - Termination Letter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Mr. Wolf and Ms. Gonzalez:</w:t>
      </w:r>
    </w:p>
    <w:p>
      <w:pPr>
        <w:spacing w:after="0" w:line="233"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 xml:space="preserve">Pursuant to </w:t>
      </w:r>
      <w:r>
        <w:rPr>
          <w:rFonts w:ascii="Arial" w:cs="Arial" w:eastAsia="Arial" w:hAnsi="Arial"/>
          <w:sz w:val="21"/>
          <w:szCs w:val="21"/>
          <w:u w:val="single" w:color="auto"/>
          <w:color w:val="auto"/>
        </w:rPr>
        <w:t>Section 1(i)</w:t>
      </w:r>
      <w:r>
        <w:rPr>
          <w:rFonts w:ascii="Arial" w:cs="Arial" w:eastAsia="Arial" w:hAnsi="Arial"/>
          <w:sz w:val="21"/>
          <w:szCs w:val="21"/>
          <w:color w:val="auto"/>
        </w:rPr>
        <w:t xml:space="preserve"> of the Investment Management Trust Agreement between ARYA Sciences Acquisition Corp III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Continental Stock Transfer &amp; Trust Company (“</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 dated as of August 11, 2020 (the “</w:t>
      </w:r>
      <w:r>
        <w:rPr>
          <w:rFonts w:ascii="Arial" w:cs="Arial" w:eastAsia="Arial" w:hAnsi="Arial"/>
          <w:sz w:val="21"/>
          <w:szCs w:val="21"/>
          <w:b w:val="1"/>
          <w:bCs w:val="1"/>
          <w:i w:val="1"/>
          <w:iCs w:val="1"/>
          <w:color w:val="auto"/>
        </w:rPr>
        <w:t>Trust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this is to advise you that the Company has entered into an agreement with (the “</w:t>
      </w:r>
      <w:r>
        <w:rPr>
          <w:rFonts w:ascii="Arial" w:cs="Arial" w:eastAsia="Arial" w:hAnsi="Arial"/>
          <w:sz w:val="21"/>
          <w:szCs w:val="21"/>
          <w:b w:val="1"/>
          <w:bCs w:val="1"/>
          <w:i w:val="1"/>
          <w:iCs w:val="1"/>
          <w:color w:val="auto"/>
        </w:rPr>
        <w:t>Target Business</w:t>
      </w:r>
      <w:r>
        <w:rPr>
          <w:rFonts w:ascii="Arial" w:cs="Arial" w:eastAsia="Arial" w:hAnsi="Arial"/>
          <w:sz w:val="21"/>
          <w:szCs w:val="21"/>
          <w:color w:val="auto"/>
        </w:rPr>
        <w:t>”) to consummate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 business combination with Target Business (the “</w:t>
      </w:r>
      <w:r>
        <w:rPr>
          <w:rFonts w:ascii="Arial" w:cs="Arial" w:eastAsia="Arial" w:hAnsi="Arial"/>
          <w:sz w:val="21"/>
          <w:szCs w:val="21"/>
          <w:b w:val="1"/>
          <w:bCs w:val="1"/>
          <w:i w:val="1"/>
          <w:iCs w:val="1"/>
          <w:color w:val="auto"/>
        </w:rPr>
        <w:t>Business Combination</w:t>
      </w:r>
      <w:r>
        <w:rPr>
          <w:rFonts w:ascii="Arial" w:cs="Arial" w:eastAsia="Arial" w:hAnsi="Arial"/>
          <w:sz w:val="21"/>
          <w:szCs w:val="21"/>
          <w:color w:val="auto"/>
        </w:rPr>
        <w:t>”) on or about [insert date]. The Company shall notify you at least seventy-two (72) hours in advance of the actual date (or such shorter time period as you may agree) of the consummation of the Business Combination (the “</w:t>
      </w:r>
      <w:r>
        <w:rPr>
          <w:rFonts w:ascii="Arial" w:cs="Arial" w:eastAsia="Arial" w:hAnsi="Arial"/>
          <w:sz w:val="21"/>
          <w:szCs w:val="21"/>
          <w:b w:val="1"/>
          <w:bCs w:val="1"/>
          <w:i w:val="1"/>
          <w:iCs w:val="1"/>
          <w:color w:val="auto"/>
        </w:rPr>
        <w:t>Consummation Date</w:t>
      </w:r>
      <w:r>
        <w:rPr>
          <w:rFonts w:ascii="Arial" w:cs="Arial" w:eastAsia="Arial" w:hAnsi="Arial"/>
          <w:sz w:val="21"/>
          <w:szCs w:val="21"/>
          <w:color w:val="auto"/>
        </w:rPr>
        <w:t>”). Capitalized terms used but not defined herein shall have the meanings set forth in the Trust Agreement.</w:t>
      </w:r>
    </w:p>
    <w:p>
      <w:pPr>
        <w:spacing w:after="0" w:line="211"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In accordance with the terms of the Trust Agreement, we hereby authorize you to commence to liquidate all of the assets of the Trust Account, and to transfer the proceeds into the trust operating account at J.P. Morgan Chase Bank, N.A. to the effect that, on the Consummation Date, all of the funds held in the Trust Account will be immediately available for transfer to the account or accounts that the Representatives (with respect to the Deferred Discount) and the Company shall direct on the Consummation Date. It is acknowledged and agreed that while the funds are on deposit in said trust operating account at J.P. Morgan Chase Bank, N.A. awaiting distribution, neither the Company nor the Representatives will earn any interest or dividends.</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On the Consummation Date (i) counsel for the Company shall deliver to you written notification that the Business Combination has been consummated, or will be consummated substantially concurrently with your transfer of funds to the accounts as directed by the Company (the “</w:t>
      </w:r>
      <w:r>
        <w:rPr>
          <w:rFonts w:ascii="Arial" w:cs="Arial" w:eastAsia="Arial" w:hAnsi="Arial"/>
          <w:sz w:val="19"/>
          <w:szCs w:val="19"/>
          <w:b w:val="1"/>
          <w:bCs w:val="1"/>
          <w:i w:val="1"/>
          <w:iCs w:val="1"/>
          <w:color w:val="auto"/>
        </w:rPr>
        <w:t>Notification</w:t>
      </w:r>
      <w:r>
        <w:rPr>
          <w:rFonts w:ascii="Arial" w:cs="Arial" w:eastAsia="Arial" w:hAnsi="Arial"/>
          <w:sz w:val="19"/>
          <w:szCs w:val="19"/>
          <w:color w:val="auto"/>
        </w:rPr>
        <w:t>”), and (ii) the Company shall deliver to you (a) a certificate of the Chief Executive Officer, Chief Financial Officer or other authorized officer of the Company, which verifies that the Business Combination has been approved by a vote of the Company’s shareholders, if a vote is held and (b) joint written instruction signed by the Company and the Representatives with respect to the transfer of the funds held in the Trust Account, including payment of the Deferred Discount from the Trust Account (the “</w:t>
      </w:r>
      <w:r>
        <w:rPr>
          <w:rFonts w:ascii="Arial" w:cs="Arial" w:eastAsia="Arial" w:hAnsi="Arial"/>
          <w:sz w:val="19"/>
          <w:szCs w:val="19"/>
          <w:b w:val="1"/>
          <w:bCs w:val="1"/>
          <w:i w:val="1"/>
          <w:iCs w:val="1"/>
          <w:color w:val="auto"/>
        </w:rPr>
        <w:t>Instruction Letter</w:t>
      </w:r>
      <w:r>
        <w:rPr>
          <w:rFonts w:ascii="Arial" w:cs="Arial" w:eastAsia="Arial" w:hAnsi="Arial"/>
          <w:sz w:val="19"/>
          <w:szCs w:val="19"/>
          <w:color w:val="auto"/>
        </w:rPr>
        <w:t>”). You are hereby directed and authorized to transfer the funds held in the Trust Account immediately upon your receipt of the Notification and the Instruction Letter, in accordance with the terms of the Instruction Letter. In the event that certain deposits held in the Trust Account may not be liquidated by the Consummation Date without penalty, you will notify the Company in writing of the same and the Company shall direct you as to whether such funds should remain in the Trust Account and be distributed after the Consummation Date to the Company. Upon the distribution of all the funds, net of any payments necessary for reasonable unreimbursed expenses related to liquidating the Trust Account, your obligations under the Trust Agreement shall be terminated.</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3" w:name="page154"/>
    <w:bookmarkEnd w:id="153"/>
    <w:p>
      <w:pPr>
        <w:ind w:firstLine="648"/>
        <w:spacing w:after="0" w:line="236" w:lineRule="auto"/>
        <w:rPr>
          <w:sz w:val="20"/>
          <w:szCs w:val="20"/>
          <w:color w:val="auto"/>
        </w:rPr>
      </w:pPr>
      <w:r>
        <w:rPr>
          <w:rFonts w:ascii="Arial" w:cs="Arial" w:eastAsia="Arial" w:hAnsi="Arial"/>
          <w:sz w:val="22"/>
          <w:szCs w:val="22"/>
          <w:color w:val="auto"/>
        </w:rPr>
        <w:t xml:space="preserve">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w:t>
      </w:r>
      <w:r>
        <w:rPr>
          <w:rFonts w:ascii="Arial" w:cs="Arial" w:eastAsia="Arial" w:hAnsi="Arial"/>
          <w:sz w:val="22"/>
          <w:szCs w:val="22"/>
          <w:u w:val="single" w:color="auto"/>
          <w:color w:val="auto"/>
        </w:rPr>
        <w:t>Section 1(c)</w:t>
      </w:r>
      <w:r>
        <w:rPr>
          <w:rFonts w:ascii="Arial" w:cs="Arial" w:eastAsia="Arial" w:hAnsi="Arial"/>
          <w:sz w:val="22"/>
          <w:szCs w:val="22"/>
          <w:color w:val="auto"/>
        </w:rPr>
        <w:t xml:space="preserve"> of the Trust Agreement on the business day immediately following the Consummation Date as set forth in such notice as soon thereafter as possible.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ARYA Sciences Acquisition Corp III</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80" w:hanging="572"/>
        <w:spacing w:after="0"/>
        <w:tabs>
          <w:tab w:leader="none" w:pos="5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Jefferies LLC</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Goldman Sachs &amp; Co. LLC</w:t>
      </w:r>
    </w:p>
    <w:p>
      <w:pPr>
        <w:spacing w:after="0" w:line="200" w:lineRule="exact"/>
        <w:rPr>
          <w:sz w:val="20"/>
          <w:szCs w:val="20"/>
          <w:color w:val="auto"/>
        </w:rPr>
      </w:pP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22"/>
          <w:szCs w:val="22"/>
          <w:b w:val="1"/>
          <w:bCs w:val="1"/>
          <w:color w:val="auto"/>
        </w:rPr>
        <w:t>EXHIBIT B</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[Letterhead of Company]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[Insert 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Continental Stock Transfer &amp; Trust Company</w:t>
      </w:r>
    </w:p>
    <w:p>
      <w:pPr>
        <w:spacing w:after="0" w:line="238" w:lineRule="auto"/>
        <w:rPr>
          <w:sz w:val="20"/>
          <w:szCs w:val="20"/>
          <w:color w:val="auto"/>
        </w:rPr>
      </w:pPr>
      <w:r>
        <w:rPr>
          <w:rFonts w:ascii="Arial" w:cs="Arial" w:eastAsia="Arial" w:hAnsi="Arial"/>
          <w:sz w:val="22"/>
          <w:szCs w:val="22"/>
          <w:color w:val="auto"/>
        </w:rPr>
        <w:t>1 State Street, 30th Floor</w:t>
      </w:r>
    </w:p>
    <w:p>
      <w:pPr>
        <w:spacing w:after="0" w:line="230" w:lineRule="auto"/>
        <w:rPr>
          <w:sz w:val="20"/>
          <w:szCs w:val="20"/>
          <w:color w:val="auto"/>
        </w:rPr>
      </w:pPr>
      <w:r>
        <w:rPr>
          <w:rFonts w:ascii="Arial" w:cs="Arial" w:eastAsia="Arial" w:hAnsi="Arial"/>
          <w:sz w:val="22"/>
          <w:szCs w:val="22"/>
          <w:color w:val="auto"/>
        </w:rPr>
        <w:t>New York, New York 10004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Francis Wolf &amp; Celeste Gonzalez</w:t>
      </w:r>
    </w:p>
    <w:p>
      <w:pPr>
        <w:spacing w:after="0" w:line="21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Trust Account - Termination Letter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Mr. Wolf and Ms. Gonzalez:</w:t>
      </w:r>
    </w:p>
    <w:p>
      <w:pPr>
        <w:spacing w:after="0" w:line="233"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 xml:space="preserve">Pursuant to </w:t>
      </w:r>
      <w:r>
        <w:rPr>
          <w:rFonts w:ascii="Arial" w:cs="Arial" w:eastAsia="Arial" w:hAnsi="Arial"/>
          <w:sz w:val="21"/>
          <w:szCs w:val="21"/>
          <w:u w:val="single" w:color="auto"/>
          <w:color w:val="auto"/>
        </w:rPr>
        <w:t>Section 1(i)</w:t>
      </w:r>
      <w:r>
        <w:rPr>
          <w:rFonts w:ascii="Arial" w:cs="Arial" w:eastAsia="Arial" w:hAnsi="Arial"/>
          <w:sz w:val="21"/>
          <w:szCs w:val="21"/>
          <w:color w:val="auto"/>
        </w:rPr>
        <w:t xml:space="preserve"> of the Investment Management Trust Agreement between ARYA Sciences Acquisition Corp III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and Continental Stock Transfer &amp; Trust Company (the “</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 dated as of August 11, 2020 (the “</w:t>
      </w:r>
      <w:r>
        <w:rPr>
          <w:rFonts w:ascii="Arial" w:cs="Arial" w:eastAsia="Arial" w:hAnsi="Arial"/>
          <w:sz w:val="21"/>
          <w:szCs w:val="21"/>
          <w:b w:val="1"/>
          <w:bCs w:val="1"/>
          <w:i w:val="1"/>
          <w:iCs w:val="1"/>
          <w:color w:val="auto"/>
        </w:rPr>
        <w:t>Trust</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Agreement</w:t>
      </w:r>
      <w:r>
        <w:rPr>
          <w:rFonts w:ascii="Arial" w:cs="Arial" w:eastAsia="Arial" w:hAnsi="Arial"/>
          <w:sz w:val="21"/>
          <w:szCs w:val="21"/>
          <w:color w:val="auto"/>
        </w:rPr>
        <w:t>”), this is to advise you that the Company has been unable to effect a business combination with a Target Business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w:t>
      </w:r>
      <w:r>
        <w:rPr>
          <w:rFonts w:ascii="Arial" w:cs="Arial" w:eastAsia="Arial" w:hAnsi="Arial"/>
          <w:sz w:val="21"/>
          <w:szCs w:val="21"/>
          <w:b w:val="1"/>
          <w:bCs w:val="1"/>
          <w:i w:val="1"/>
          <w:iCs w:val="1"/>
          <w:color w:val="auto"/>
        </w:rPr>
        <w:t>Business Combination</w:t>
      </w:r>
      <w:r>
        <w:rPr>
          <w:rFonts w:ascii="Arial" w:cs="Arial" w:eastAsia="Arial" w:hAnsi="Arial"/>
          <w:sz w:val="21"/>
          <w:szCs w:val="21"/>
          <w:color w:val="auto"/>
        </w:rPr>
        <w:t>”) within the time frame specified in the Company’s Amended and Restated Memorandum and Articles of Association, as described in the Company’s Prospectus relating to the Offering. Capitalized terms used but not defined herein shall have the meanings set forth in the Trust Agreement.</w:t>
      </w:r>
    </w:p>
    <w:p>
      <w:pPr>
        <w:spacing w:after="0" w:line="204" w:lineRule="exact"/>
        <w:rPr>
          <w:sz w:val="20"/>
          <w:szCs w:val="20"/>
          <w:color w:val="auto"/>
        </w:rPr>
      </w:pPr>
    </w:p>
    <w:p>
      <w:pPr>
        <w:ind w:right="160" w:firstLine="648"/>
        <w:spacing w:after="0" w:line="276" w:lineRule="auto"/>
        <w:rPr>
          <w:sz w:val="20"/>
          <w:szCs w:val="20"/>
          <w:color w:val="auto"/>
        </w:rPr>
      </w:pPr>
      <w:r>
        <w:rPr>
          <w:rFonts w:ascii="Arial" w:cs="Arial" w:eastAsia="Arial" w:hAnsi="Arial"/>
          <w:sz w:val="19"/>
          <w:szCs w:val="19"/>
          <w:color w:val="auto"/>
        </w:rPr>
        <w:t>In accordance with the terms of the Trust Agreement, we hereby authorize you to liquidate all of the assets in the Trust Account and to transfer the total proceeds into the trust operating account at J.P. Morgan Chase Bank, N.A. to await distribution</w:t>
      </w:r>
    </w:p>
    <w:p>
      <w:pPr>
        <w:spacing w:after="0" w:line="1" w:lineRule="exact"/>
        <w:rPr>
          <w:sz w:val="20"/>
          <w:szCs w:val="20"/>
          <w:color w:val="auto"/>
        </w:rPr>
      </w:pPr>
    </w:p>
    <w:p>
      <w:pPr>
        <w:ind w:right="120"/>
        <w:spacing w:after="0" w:line="272" w:lineRule="auto"/>
        <w:rPr>
          <w:sz w:val="20"/>
          <w:szCs w:val="20"/>
          <w:color w:val="auto"/>
        </w:rPr>
      </w:pPr>
      <w:r>
        <w:rPr>
          <w:rFonts w:ascii="Arial" w:cs="Arial" w:eastAsia="Arial" w:hAnsi="Arial"/>
          <w:sz w:val="19"/>
          <w:szCs w:val="19"/>
          <w:color w:val="auto"/>
        </w:rPr>
        <w:t xml:space="preserve">to the Public Shareholders. The Company has selected as the effective date for the purpose of determining when the Public Shareholders will be entitled to receive their share of the liquidation proceeds. It is acknowledged that no interest will be earned by the Company on the liquidation proceeds while on deposit in the trust operating account. You agree to be the Paying Agent of record and, in your separate capacity as Paying Agent, agree to distribute said funds directly to the Company’s Public Shareholders in accordance with the terms of the Trust Agreement and the Amended and Restated Memorandum and Articles of Association of the Company. Upon the distribution of all the funds, net of any payments necessary for reasonable unreimbursed expenses related to liquidating the Trust Account, your obligations under the Trust Agreement shall be terminated, except to the extent otherwise provided in </w:t>
      </w:r>
      <w:r>
        <w:rPr>
          <w:rFonts w:ascii="Arial" w:cs="Arial" w:eastAsia="Arial" w:hAnsi="Arial"/>
          <w:sz w:val="19"/>
          <w:szCs w:val="19"/>
          <w:u w:val="single" w:color="auto"/>
          <w:color w:val="auto"/>
        </w:rPr>
        <w:t>Section 1(j)</w:t>
      </w:r>
      <w:r>
        <w:rPr>
          <w:rFonts w:ascii="Arial" w:cs="Arial" w:eastAsia="Arial" w:hAnsi="Arial"/>
          <w:sz w:val="19"/>
          <w:szCs w:val="19"/>
          <w:color w:val="auto"/>
        </w:rPr>
        <w:t xml:space="preserve"> of the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-1126490</wp:posOffset>
            </wp:positionV>
            <wp:extent cx="51435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7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ARYA Sciences Acquisition Corp III</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80" w:hanging="572"/>
        <w:spacing w:after="0"/>
        <w:tabs>
          <w:tab w:leader="none" w:pos="5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Jefferies LLC</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Goldman Sachs &amp; Co. LLC</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2" w:right="359" w:bottom="1440" w:gutter="0" w:footer="0" w:header="0"/>
        </w:sectPr>
      </w:pPr>
    </w:p>
    <w:bookmarkStart w:id="155" w:name="page156"/>
    <w:bookmarkEnd w:id="155"/>
    <w:p>
      <w:pPr>
        <w:jc w:val="center"/>
        <w:ind w:right="-259"/>
        <w:spacing w:after="0"/>
        <w:rPr>
          <w:sz w:val="20"/>
          <w:szCs w:val="20"/>
          <w:color w:val="auto"/>
        </w:rPr>
      </w:pPr>
      <w:r>
        <w:rPr>
          <w:rFonts w:ascii="Arial" w:cs="Arial" w:eastAsia="Arial" w:hAnsi="Arial"/>
          <w:sz w:val="22"/>
          <w:szCs w:val="22"/>
          <w:b w:val="1"/>
          <w:bCs w:val="1"/>
          <w:color w:val="auto"/>
        </w:rPr>
        <w:t>EXHIBIT C</w:t>
      </w:r>
    </w:p>
    <w:p>
      <w:pPr>
        <w:spacing w:after="0" w:line="234"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[Letterhead of Company]</w:t>
      </w: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[Insert 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Continental Stock Transfer &amp; Trust Company</w:t>
      </w:r>
    </w:p>
    <w:p>
      <w:pPr>
        <w:spacing w:after="0" w:line="238" w:lineRule="auto"/>
        <w:rPr>
          <w:sz w:val="20"/>
          <w:szCs w:val="20"/>
          <w:color w:val="auto"/>
        </w:rPr>
      </w:pPr>
      <w:r>
        <w:rPr>
          <w:rFonts w:ascii="Arial" w:cs="Arial" w:eastAsia="Arial" w:hAnsi="Arial"/>
          <w:sz w:val="22"/>
          <w:szCs w:val="22"/>
          <w:color w:val="auto"/>
        </w:rPr>
        <w:t>1 State Street, 30th Floor</w:t>
      </w:r>
    </w:p>
    <w:p>
      <w:pPr>
        <w:spacing w:after="0" w:line="230" w:lineRule="auto"/>
        <w:rPr>
          <w:sz w:val="20"/>
          <w:szCs w:val="20"/>
          <w:color w:val="auto"/>
        </w:rPr>
      </w:pPr>
      <w:r>
        <w:rPr>
          <w:rFonts w:ascii="Arial" w:cs="Arial" w:eastAsia="Arial" w:hAnsi="Arial"/>
          <w:sz w:val="22"/>
          <w:szCs w:val="22"/>
          <w:color w:val="auto"/>
        </w:rPr>
        <w:t>New York, New York 10004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Francis Wolf&amp; Celeste Gonzalez</w:t>
      </w:r>
    </w:p>
    <w:p>
      <w:pPr>
        <w:spacing w:after="0" w:line="21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Trust Account - Tax Payment Withdrawal Instruction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Mr. Wolf and Ms. Gonzalez:</w:t>
      </w:r>
    </w:p>
    <w:p>
      <w:pPr>
        <w:spacing w:after="0" w:line="233" w:lineRule="exact"/>
        <w:rPr>
          <w:sz w:val="20"/>
          <w:szCs w:val="20"/>
          <w:color w:val="auto"/>
        </w:rPr>
      </w:pPr>
    </w:p>
    <w:p>
      <w:pPr>
        <w:ind w:firstLine="648"/>
        <w:spacing w:after="0" w:line="276"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1(j)</w:t>
      </w:r>
      <w:r>
        <w:rPr>
          <w:rFonts w:ascii="Arial" w:cs="Arial" w:eastAsia="Arial" w:hAnsi="Arial"/>
          <w:sz w:val="19"/>
          <w:szCs w:val="19"/>
          <w:color w:val="auto"/>
        </w:rPr>
        <w:t xml:space="preserve"> of the Investment Management Trust Agreement between ARYA Sciences Acquisition Corp III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Continental Stock Transfer &amp; Trust Company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dated as of August 11, 2020 (the “</w:t>
      </w:r>
      <w:r>
        <w:rPr>
          <w:rFonts w:ascii="Arial" w:cs="Arial" w:eastAsia="Arial" w:hAnsi="Arial"/>
          <w:sz w:val="19"/>
          <w:szCs w:val="19"/>
          <w:b w:val="1"/>
          <w:bCs w:val="1"/>
          <w:i w:val="1"/>
          <w:iCs w:val="1"/>
          <w:color w:val="auto"/>
        </w:rPr>
        <w:t>Trust</w:t>
      </w:r>
    </w:p>
    <w:p>
      <w:pPr>
        <w:spacing w:after="0" w:line="1" w:lineRule="exact"/>
        <w:rPr>
          <w:sz w:val="20"/>
          <w:szCs w:val="20"/>
          <w:color w:val="auto"/>
        </w:rPr>
      </w:pPr>
    </w:p>
    <w:p>
      <w:pPr>
        <w:ind w:right="280"/>
        <w:spacing w:after="0" w:line="234" w:lineRule="auto"/>
        <w:rPr>
          <w:sz w:val="20"/>
          <w:szCs w:val="20"/>
          <w:color w:val="auto"/>
        </w:rPr>
      </w:pP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the Company hereby requests that you deliver to the Company $ of the interest income earned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Property as of the date hereof. Capitalized terms used but not defined herein shall have the meanings set forth in the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4331970</wp:posOffset>
            </wp:positionH>
            <wp:positionV relativeFrom="paragraph">
              <wp:posOffset>-338455</wp:posOffset>
            </wp:positionV>
            <wp:extent cx="5143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194"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The Company needs such funds to pay for the tax obligations as set forth on the attached tax return or tax statement. In accordance with the terms of the Trust Agreement, you are hereby directed and authorized to transfer (via wire transfer) such funds promptly upon your receipt of this letter to the Company’s operating account at:</w:t>
      </w:r>
    </w:p>
    <w:p>
      <w:pPr>
        <w:spacing w:after="0" w:line="190"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[WIRE INSTRUCTION INFORMATION]</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ARYA Sciences Acquisition Corp III</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80" w:hanging="572"/>
        <w:spacing w:after="0"/>
        <w:tabs>
          <w:tab w:leader="none" w:pos="5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Jefferies LLC</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Goldman Sachs &amp; Co. LLC</w:t>
      </w:r>
    </w:p>
    <w:p>
      <w:pPr>
        <w:spacing w:after="0" w:line="200" w:lineRule="exact"/>
        <w:rPr>
          <w:sz w:val="20"/>
          <w:szCs w:val="20"/>
          <w:color w:val="auto"/>
        </w:rPr>
      </w:pPr>
    </w:p>
    <w:p>
      <w:pPr>
        <w:spacing w:after="0" w:line="20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2" w:right="579" w:bottom="1440" w:gutter="0" w:footer="0" w:header="0"/>
        </w:sectPr>
      </w:pPr>
    </w:p>
    <w:bookmarkStart w:id="156" w:name="page157"/>
    <w:bookmarkEnd w:id="156"/>
    <w:p>
      <w:pPr>
        <w:jc w:val="center"/>
        <w:ind w:right="-199"/>
        <w:spacing w:after="0"/>
        <w:rPr>
          <w:sz w:val="20"/>
          <w:szCs w:val="20"/>
          <w:color w:val="auto"/>
        </w:rPr>
      </w:pPr>
      <w:r>
        <w:rPr>
          <w:rFonts w:ascii="Arial" w:cs="Arial" w:eastAsia="Arial" w:hAnsi="Arial"/>
          <w:sz w:val="22"/>
          <w:szCs w:val="22"/>
          <w:b w:val="1"/>
          <w:bCs w:val="1"/>
          <w:color w:val="auto"/>
        </w:rPr>
        <w:t>EXHIBIT D</w:t>
      </w: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[Letterhead of Company]</w:t>
      </w: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[Insert 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Continental Stock Transfer &amp; Trust Company</w:t>
      </w:r>
    </w:p>
    <w:p>
      <w:pPr>
        <w:spacing w:after="0" w:line="238" w:lineRule="auto"/>
        <w:rPr>
          <w:sz w:val="20"/>
          <w:szCs w:val="20"/>
          <w:color w:val="auto"/>
        </w:rPr>
      </w:pPr>
      <w:r>
        <w:rPr>
          <w:rFonts w:ascii="Arial" w:cs="Arial" w:eastAsia="Arial" w:hAnsi="Arial"/>
          <w:sz w:val="22"/>
          <w:szCs w:val="22"/>
          <w:color w:val="auto"/>
        </w:rPr>
        <w:t>1 State Street, 30th Floor</w:t>
      </w:r>
    </w:p>
    <w:p>
      <w:pPr>
        <w:spacing w:after="0" w:line="230" w:lineRule="auto"/>
        <w:rPr>
          <w:sz w:val="20"/>
          <w:szCs w:val="20"/>
          <w:color w:val="auto"/>
        </w:rPr>
      </w:pPr>
      <w:r>
        <w:rPr>
          <w:rFonts w:ascii="Arial" w:cs="Arial" w:eastAsia="Arial" w:hAnsi="Arial"/>
          <w:sz w:val="22"/>
          <w:szCs w:val="22"/>
          <w:color w:val="auto"/>
        </w:rPr>
        <w:t>New York, New York 10004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Attn: Francis Wolf &amp; Celeste Gonzalez</w:t>
      </w:r>
    </w:p>
    <w:p>
      <w:pPr>
        <w:spacing w:after="0" w:line="21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Trust Account - Shareholder Redemption Withdrawal Instruction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Dear Mr. Wolf and Ms. Gonzalez:</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1(k)</w:t>
      </w:r>
      <w:r>
        <w:rPr>
          <w:rFonts w:ascii="Arial" w:cs="Arial" w:eastAsia="Arial" w:hAnsi="Arial"/>
          <w:sz w:val="19"/>
          <w:szCs w:val="19"/>
          <w:color w:val="auto"/>
        </w:rPr>
        <w:t xml:space="preserve"> of the Investment Management Trust Agreement between ARYA Sciences Acquisition Corp III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Continental Stock Transfer &amp; Trust Company (the “</w:t>
      </w:r>
      <w:r>
        <w:rPr>
          <w:rFonts w:ascii="Arial" w:cs="Arial" w:eastAsia="Arial" w:hAnsi="Arial"/>
          <w:sz w:val="19"/>
          <w:szCs w:val="19"/>
          <w:b w:val="1"/>
          <w:bCs w:val="1"/>
          <w:i w:val="1"/>
          <w:iCs w:val="1"/>
          <w:color w:val="auto"/>
        </w:rPr>
        <w:t>Trustee</w:t>
      </w:r>
      <w:r>
        <w:rPr>
          <w:rFonts w:ascii="Arial" w:cs="Arial" w:eastAsia="Arial" w:hAnsi="Arial"/>
          <w:sz w:val="19"/>
          <w:szCs w:val="19"/>
          <w:color w:val="auto"/>
        </w:rPr>
        <w:t>”), dated as of August 11, 2020 (the “</w:t>
      </w:r>
      <w:r>
        <w:rPr>
          <w:rFonts w:ascii="Arial" w:cs="Arial" w:eastAsia="Arial" w:hAnsi="Arial"/>
          <w:sz w:val="19"/>
          <w:szCs w:val="19"/>
          <w:b w:val="1"/>
          <w:bCs w:val="1"/>
          <w:i w:val="1"/>
          <w:iCs w:val="1"/>
          <w:color w:val="auto"/>
        </w:rPr>
        <w:t>Trust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the Company hereby requests that you deliver to the redeeming Public Shareholders on behalf of the Company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6979285</wp:posOffset>
            </wp:positionH>
            <wp:positionV relativeFrom="paragraph">
              <wp:posOffset>-22225</wp:posOffset>
            </wp:positionV>
            <wp:extent cx="1028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ind w:right="120" w:firstLine="594"/>
        <w:spacing w:after="0" w:line="236" w:lineRule="auto"/>
        <w:rPr>
          <w:sz w:val="20"/>
          <w:szCs w:val="20"/>
          <w:color w:val="auto"/>
        </w:rPr>
      </w:pPr>
      <w:r>
        <w:rPr>
          <w:rFonts w:ascii="Arial" w:cs="Arial" w:eastAsia="Arial" w:hAnsi="Arial"/>
          <w:sz w:val="22"/>
          <w:szCs w:val="22"/>
          <w:color w:val="auto"/>
        </w:rPr>
        <w:t>of the principal and interest income earned on the Property as of the date hereof. Capitalized terms used but not defined herein shall have the meanings set forth in the Trust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3771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194" w:lineRule="exact"/>
        <w:rPr>
          <w:sz w:val="20"/>
          <w:szCs w:val="20"/>
          <w:color w:val="auto"/>
        </w:rPr>
      </w:pPr>
    </w:p>
    <w:p>
      <w:pPr>
        <w:ind w:right="80" w:firstLine="648"/>
        <w:spacing w:after="0" w:line="236" w:lineRule="auto"/>
        <w:rPr>
          <w:sz w:val="20"/>
          <w:szCs w:val="20"/>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1(k)</w:t>
      </w:r>
      <w:r>
        <w:rPr>
          <w:rFonts w:ascii="Arial" w:cs="Arial" w:eastAsia="Arial" w:hAnsi="Arial"/>
          <w:sz w:val="22"/>
          <w:szCs w:val="22"/>
          <w:color w:val="auto"/>
        </w:rPr>
        <w:t xml:space="preserve"> of the Trust Agreement, this is to advise you that the Company has sought an Amendment. Accordingly, in accordance with the terms of the Trust Agreement, we hereby authorize you to liquidate a sufficient portion of the Trust Account and to transfer $[●] of the proceeds of the Trust Account to the trust operating account at J.P. Morgan Chase Bank, N.A. for distribution to the shareholders that have requested redemption of their shares in connection with such Amendment.</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ARYA Sciences Acquisition Corp III</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-130175</wp:posOffset>
            </wp:positionV>
            <wp:extent cx="335153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80" w:hanging="572"/>
        <w:spacing w:after="0"/>
        <w:tabs>
          <w:tab w:leader="none" w:pos="5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Jefferies LLC</w:t>
      </w:r>
    </w:p>
    <w:p>
      <w:pPr>
        <w:spacing w:after="0" w:line="23"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Goldman Sachs &amp; Co. LLC</w:t>
      </w:r>
    </w:p>
    <w:p>
      <w:pPr>
        <w:spacing w:after="0" w:line="200" w:lineRule="exact"/>
        <w:rPr>
          <w:sz w:val="20"/>
          <w:szCs w:val="20"/>
          <w:color w:val="auto"/>
        </w:rPr>
      </w:pP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2" w:right="5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 AND SHAREHOLDER RIGHTS AGREEMENT</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THIS REGISTRATION AND SHAREHOLDER RIGHTS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dated as of August 11, 2020, is made and entered into by and among ARYA Sciences Acquisition Corp III, a Cayman Islands exempted company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ARYA Sciences Holdings III, a Cayman Island exempted limited company (the “</w:t>
      </w:r>
      <w:r>
        <w:rPr>
          <w:rFonts w:ascii="Arial" w:cs="Arial" w:eastAsia="Arial" w:hAnsi="Arial"/>
          <w:sz w:val="22"/>
          <w:szCs w:val="22"/>
          <w:b w:val="1"/>
          <w:bCs w:val="1"/>
          <w:i w:val="1"/>
          <w:iCs w:val="1"/>
          <w:color w:val="auto"/>
        </w:rPr>
        <w:t>Sponsor</w:t>
      </w:r>
      <w:r>
        <w:rPr>
          <w:rFonts w:ascii="Arial" w:cs="Arial" w:eastAsia="Arial" w:hAnsi="Arial"/>
          <w:sz w:val="22"/>
          <w:szCs w:val="22"/>
          <w:color w:val="auto"/>
        </w:rPr>
        <w:t xml:space="preserve">”), and the undersigned parties listed under Holder on the signature page hereto (each such party, including the Sponsor and any person or entity who hereafter becomes a party to this Agreement pursuant to </w:t>
      </w:r>
      <w:r>
        <w:rPr>
          <w:rFonts w:ascii="Arial" w:cs="Arial" w:eastAsia="Arial" w:hAnsi="Arial"/>
          <w:sz w:val="22"/>
          <w:szCs w:val="22"/>
          <w:u w:val="single" w:color="auto"/>
          <w:color w:val="auto"/>
        </w:rPr>
        <w:t>Section 6.2</w:t>
      </w:r>
      <w:r>
        <w:rPr>
          <w:rFonts w:ascii="Arial" w:cs="Arial" w:eastAsia="Arial" w:hAnsi="Arial"/>
          <w:sz w:val="22"/>
          <w:szCs w:val="22"/>
          <w:color w:val="auto"/>
        </w:rPr>
        <w:t xml:space="preserve"> of this Agreement, a “</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and collectively, the “</w:t>
      </w:r>
      <w:r>
        <w:rPr>
          <w:rFonts w:ascii="Arial" w:cs="Arial" w:eastAsia="Arial" w:hAnsi="Arial"/>
          <w:sz w:val="22"/>
          <w:szCs w:val="22"/>
          <w:b w:val="1"/>
          <w:bCs w:val="1"/>
          <w:i w:val="1"/>
          <w:iCs w:val="1"/>
          <w:color w:val="auto"/>
        </w:rPr>
        <w:t>Holders</w:t>
      </w:r>
      <w:r>
        <w:rPr>
          <w:rFonts w:ascii="Arial" w:cs="Arial" w:eastAsia="Arial" w:hAnsi="Arial"/>
          <w:sz w:val="22"/>
          <w:szCs w:val="22"/>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3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Sponsor currently owns 3,647,500 shares of the Company’s Class B ordinary shares, par value $0.0001</w:t>
      </w:r>
      <w:r>
        <w:rPr>
          <w:rFonts w:ascii="Arial" w:cs="Arial" w:eastAsia="Arial" w:hAnsi="Arial"/>
          <w:sz w:val="22"/>
          <w:szCs w:val="22"/>
          <w:b w:val="1"/>
          <w:bCs w:val="1"/>
          <w:color w:val="auto"/>
        </w:rPr>
        <w:t xml:space="preserve"> </w:t>
      </w:r>
      <w:r>
        <w:rPr>
          <w:rFonts w:ascii="Arial" w:cs="Arial" w:eastAsia="Arial" w:hAnsi="Arial"/>
          <w:sz w:val="22"/>
          <w:szCs w:val="22"/>
          <w:color w:val="auto"/>
        </w:rPr>
        <w:t>per share (the “</w:t>
      </w:r>
      <w:r>
        <w:rPr>
          <w:rFonts w:ascii="Arial" w:cs="Arial" w:eastAsia="Arial" w:hAnsi="Arial"/>
          <w:sz w:val="22"/>
          <w:szCs w:val="22"/>
          <w:b w:val="1"/>
          <w:bCs w:val="1"/>
          <w:i w:val="1"/>
          <w:iCs w:val="1"/>
          <w:color w:val="auto"/>
        </w:rPr>
        <w:t>Class B Ordinary Shares</w:t>
      </w:r>
      <w:r>
        <w:rPr>
          <w:rFonts w:ascii="Arial" w:cs="Arial" w:eastAsia="Arial" w:hAnsi="Arial"/>
          <w:sz w:val="22"/>
          <w:szCs w:val="22"/>
          <w:color w:val="auto"/>
        </w:rPr>
        <w:t>”), and the other Holders currently own an aggregate of 90,000 Class B Ordinary Shares, which were received from the Sponsor;</w:t>
      </w:r>
    </w:p>
    <w:p>
      <w:pPr>
        <w:spacing w:after="0" w:line="20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Class B Ordinary Shares are convertible into the Company’s Class A ordinary shares, par value $0.0001</w:t>
      </w:r>
      <w:r>
        <w:rPr>
          <w:rFonts w:ascii="Arial" w:cs="Arial" w:eastAsia="Arial" w:hAnsi="Arial"/>
          <w:sz w:val="22"/>
          <w:szCs w:val="22"/>
          <w:b w:val="1"/>
          <w:bCs w:val="1"/>
          <w:color w:val="auto"/>
        </w:rPr>
        <w:t xml:space="preserve"> </w:t>
      </w:r>
      <w:r>
        <w:rPr>
          <w:rFonts w:ascii="Arial" w:cs="Arial" w:eastAsia="Arial" w:hAnsi="Arial"/>
          <w:sz w:val="22"/>
          <w:szCs w:val="22"/>
          <w:color w:val="auto"/>
        </w:rPr>
        <w:t>per share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Ordinary Shares</w:t>
      </w:r>
      <w:r>
        <w:rPr>
          <w:rFonts w:ascii="Arial" w:cs="Arial" w:eastAsia="Arial" w:hAnsi="Arial"/>
          <w:sz w:val="22"/>
          <w:szCs w:val="22"/>
          <w:color w:val="auto"/>
        </w:rPr>
        <w:t>”), at the time of the initial Business Combination on a one-for-one basis, subject to adjustment, on the terms and conditions provided in the Company’s amended and restated memorandum and articles of association, as may be amended from time to time;</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on August 6, 2020, the Company and the Sponsor entered into that certain Private Placement Shares</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Agreement, pursuant to which the Sponsor agreed to purchase 460,000 Ordinary Shares (or up to 499,000 Ordinary Shares if the Underwriters’ (as defined below) option to purchase additional Ordinary Shares in connection with the Company’s initial public offering is exercised in full) (the “</w:t>
      </w:r>
      <w:r>
        <w:rPr>
          <w:rFonts w:ascii="Arial" w:cs="Arial" w:eastAsia="Arial" w:hAnsi="Arial"/>
          <w:sz w:val="22"/>
          <w:szCs w:val="22"/>
          <w:b w:val="1"/>
          <w:bCs w:val="1"/>
          <w:i w:val="1"/>
          <w:iCs w:val="1"/>
          <w:color w:val="auto"/>
        </w:rPr>
        <w:t>Private Placement Shares</w:t>
      </w:r>
      <w:r>
        <w:rPr>
          <w:rFonts w:ascii="Arial" w:cs="Arial" w:eastAsia="Arial" w:hAnsi="Arial"/>
          <w:sz w:val="22"/>
          <w:szCs w:val="22"/>
          <w:color w:val="auto"/>
        </w:rPr>
        <w:t>”), in a private placement transaction occurring simultaneously with the closing of the Company’s initial public offering;</w:t>
      </w:r>
    </w:p>
    <w:p>
      <w:pPr>
        <w:spacing w:after="0" w:line="20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in order to finance the Company’s transaction costs in connection with an intended Business Combination</w:t>
      </w:r>
      <w:r>
        <w:rPr>
          <w:rFonts w:ascii="Arial" w:cs="Arial" w:eastAsia="Arial" w:hAnsi="Arial"/>
          <w:sz w:val="22"/>
          <w:szCs w:val="22"/>
          <w:b w:val="1"/>
          <w:bCs w:val="1"/>
          <w:color w:val="auto"/>
        </w:rPr>
        <w:t xml:space="preserve"> </w:t>
      </w:r>
      <w:r>
        <w:rPr>
          <w:rFonts w:ascii="Arial" w:cs="Arial" w:eastAsia="Arial" w:hAnsi="Arial"/>
          <w:sz w:val="22"/>
          <w:szCs w:val="22"/>
          <w:color w:val="auto"/>
        </w:rPr>
        <w:t>(as defined below), the Sponsor, an affiliate of the Sponsor or certain of the Company’s officers or directors may, but are not obligated to, loan the Company funds as the Company may require, of which up to $1,500,000 of such loans may be convertible into shares of the post-Business Combination company at a price of $10.00 per share at the option of the lender (the “</w:t>
      </w:r>
      <w:r>
        <w:rPr>
          <w:rFonts w:ascii="Arial" w:cs="Arial" w:eastAsia="Arial" w:hAnsi="Arial"/>
          <w:sz w:val="22"/>
          <w:szCs w:val="22"/>
          <w:b w:val="1"/>
          <w:bCs w:val="1"/>
          <w:i w:val="1"/>
          <w:iCs w:val="1"/>
          <w:color w:val="auto"/>
        </w:rPr>
        <w:t>Working</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Capital Shares</w:t>
      </w:r>
      <w:r>
        <w:rPr>
          <w:rFonts w:ascii="Arial" w:cs="Arial" w:eastAsia="Arial" w:hAnsi="Arial"/>
          <w:sz w:val="22"/>
          <w:szCs w:val="22"/>
          <w:color w:val="auto"/>
        </w:rPr>
        <w:t>”); and</w:t>
      </w:r>
    </w:p>
    <w:p>
      <w:pPr>
        <w:spacing w:after="0" w:line="209"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and the Holders desire to enter into this Agreement, pursuant to which the Company shall</w:t>
      </w:r>
      <w:r>
        <w:rPr>
          <w:rFonts w:ascii="Arial" w:cs="Arial" w:eastAsia="Arial" w:hAnsi="Arial"/>
          <w:sz w:val="19"/>
          <w:szCs w:val="19"/>
          <w:b w:val="1"/>
          <w:bCs w:val="1"/>
          <w:color w:val="auto"/>
        </w:rPr>
        <w:t xml:space="preserve"> </w:t>
      </w:r>
      <w:r>
        <w:rPr>
          <w:rFonts w:ascii="Arial" w:cs="Arial" w:eastAsia="Arial" w:hAnsi="Arial"/>
          <w:sz w:val="19"/>
          <w:szCs w:val="19"/>
          <w:color w:val="auto"/>
        </w:rPr>
        <w:t>grant the Holders certain registration rights with respect to certain securities of the Company, as set forth in this Agreement.</w:t>
      </w:r>
    </w:p>
    <w:p>
      <w:pPr>
        <w:spacing w:after="0" w:line="1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NOW</w:t>
      </w:r>
      <w:r>
        <w:rPr>
          <w:rFonts w:ascii="Arial" w:cs="Arial" w:eastAsia="Arial" w:hAnsi="Arial"/>
          <w:sz w:val="22"/>
          <w:szCs w:val="22"/>
          <w:color w:val="auto"/>
        </w:rPr>
        <w:t>,</w:t>
      </w:r>
      <w:r>
        <w:rPr>
          <w:rFonts w:ascii="Arial" w:cs="Arial" w:eastAsia="Arial" w:hAnsi="Arial"/>
          <w:sz w:val="22"/>
          <w:szCs w:val="22"/>
          <w:b w:val="1"/>
          <w:bCs w:val="1"/>
          <w:color w:val="auto"/>
        </w:rPr>
        <w:t xml:space="preserve"> THEREFORE</w:t>
      </w:r>
      <w:r>
        <w:rPr>
          <w:rFonts w:ascii="Arial" w:cs="Arial" w:eastAsia="Arial" w:hAnsi="Arial"/>
          <w:sz w:val="22"/>
          <w:szCs w:val="22"/>
          <w:color w:val="auto"/>
        </w:rPr>
        <w:t>, in consideration of the mutual representations, covenants and agreements contained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certain other good and valuable consideration, the receipt and sufficiency of which are hereby acknowledged, the parties hereto,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2"/>
          <w:szCs w:val="22"/>
          <w:b w:val="1"/>
          <w:bCs w:val="1"/>
          <w:color w:val="010000"/>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1.1 </w:t>
      </w:r>
      <w:r>
        <w:rPr>
          <w:rFonts w:ascii="Arial" w:cs="Arial" w:eastAsia="Arial" w:hAnsi="Arial"/>
          <w:sz w:val="22"/>
          <w:szCs w:val="22"/>
          <w:u w:val="single" w:color="auto"/>
          <w:color w:val="000000"/>
        </w:rPr>
        <w:t>Definitions</w:t>
      </w:r>
      <w:r>
        <w:rPr>
          <w:rFonts w:ascii="Arial" w:cs="Arial" w:eastAsia="Arial" w:hAnsi="Arial"/>
          <w:sz w:val="22"/>
          <w:szCs w:val="22"/>
          <w:color w:val="000000"/>
        </w:rPr>
        <w:t>. The terms defined in this</w:t>
      </w:r>
      <w:r>
        <w:rPr>
          <w:rFonts w:ascii="Arial" w:cs="Arial" w:eastAsia="Arial" w:hAnsi="Arial"/>
          <w:sz w:val="22"/>
          <w:szCs w:val="22"/>
          <w:color w:val="010000"/>
        </w:rPr>
        <w:t xml:space="preserve"> </w:t>
      </w:r>
      <w:r>
        <w:rPr>
          <w:rFonts w:ascii="Arial" w:cs="Arial" w:eastAsia="Arial" w:hAnsi="Arial"/>
          <w:sz w:val="22"/>
          <w:szCs w:val="22"/>
          <w:i w:val="1"/>
          <w:iCs w:val="1"/>
          <w:color w:val="000000"/>
        </w:rPr>
        <w:t>Article I</w:t>
      </w:r>
      <w:r>
        <w:rPr>
          <w:rFonts w:ascii="Arial" w:cs="Arial" w:eastAsia="Arial" w:hAnsi="Arial"/>
          <w:sz w:val="22"/>
          <w:szCs w:val="22"/>
          <w:color w:val="010000"/>
        </w:rPr>
        <w:t xml:space="preserve"> </w:t>
      </w:r>
      <w:r>
        <w:rPr>
          <w:rFonts w:ascii="Arial" w:cs="Arial" w:eastAsia="Arial" w:hAnsi="Arial"/>
          <w:sz w:val="22"/>
          <w:szCs w:val="22"/>
          <w:color w:val="000000"/>
        </w:rPr>
        <w:t>shall, for all purposes of this Agreement, have the respective</w:t>
      </w:r>
      <w:r>
        <w:rPr>
          <w:rFonts w:ascii="Arial" w:cs="Arial" w:eastAsia="Arial" w:hAnsi="Arial"/>
          <w:sz w:val="22"/>
          <w:szCs w:val="22"/>
          <w:color w:val="010000"/>
        </w:rPr>
        <w:t xml:space="preserve"> </w:t>
      </w:r>
      <w:r>
        <w:rPr>
          <w:rFonts w:ascii="Arial" w:cs="Arial" w:eastAsia="Arial" w:hAnsi="Arial"/>
          <w:sz w:val="22"/>
          <w:szCs w:val="22"/>
          <w:color w:val="000000"/>
        </w:rPr>
        <w:t>meanings set forth below:</w:t>
      </w:r>
    </w:p>
    <w:p>
      <w:pPr>
        <w:spacing w:after="0" w:line="20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Adverse Disclosure</w:t>
      </w:r>
      <w:r>
        <w:rPr>
          <w:rFonts w:ascii="Arial" w:cs="Arial" w:eastAsia="Arial" w:hAnsi="Arial"/>
          <w:sz w:val="22"/>
          <w:szCs w:val="22"/>
          <w:color w:val="auto"/>
        </w:rPr>
        <w:t>” shall mean any public disclosure of material non-public information, which disclosure, in the good faith judgment of the principal executive officer or principal financial officer of the Company, after consultation with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shall have the meaning given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shall mean the Board of Directors of the Company.</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Business Combination</w:t>
      </w:r>
      <w:r>
        <w:rPr>
          <w:rFonts w:ascii="Arial" w:cs="Arial" w:eastAsia="Arial" w:hAnsi="Arial"/>
          <w:sz w:val="22"/>
          <w:szCs w:val="22"/>
          <w:color w:val="auto"/>
        </w:rPr>
        <w:t>” shall mean any merger, share exchange, asset acquisition, share purchase, reorganization or other similar business combination with one or more businesses, involving the Company.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shall mean the U.S. Securities and Exchange Commission.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have the meaning given in the Preamble.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Demanding Holder</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shall mean the Securities Exchange Act of 1934, as it may be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S-1</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Form S-3</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2.3.1</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Founder Shares</w:t>
      </w:r>
      <w:r>
        <w:rPr>
          <w:rFonts w:ascii="Arial" w:cs="Arial" w:eastAsia="Arial" w:hAnsi="Arial"/>
          <w:sz w:val="22"/>
          <w:szCs w:val="22"/>
          <w:color w:val="auto"/>
        </w:rPr>
        <w:t>” shall mean the Class B Ordinary Shares and shall be deemed to include the Ordinary Shares issuable upon conversion thereof.</w:t>
      </w:r>
    </w:p>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Founder Shares Lock-up Period</w:t>
      </w:r>
      <w:r>
        <w:rPr>
          <w:rFonts w:ascii="Arial" w:cs="Arial" w:eastAsia="Arial" w:hAnsi="Arial"/>
          <w:sz w:val="19"/>
          <w:szCs w:val="19"/>
          <w:color w:val="auto"/>
        </w:rPr>
        <w:t>” shall mean, with respect to the Founder Shares, the period ending on the earlier of (A) one year after the completion of the Company’s initial Business Combination and (B) subsequent to the Company’s initial Business Combination, (x) if the last reported sales price of the Ordinary Shares equals or exceeds $12.00 per share (as adjusted for share splits, share capitalizations, reorganizations, recapitalizations and the like) for any twenty (20) trading days within any 30-trading day period commencing at least 150 days after the Company’s initial Business Combination or (y) the date on which the Company completes a liquidation, merger, share exchange, reorganization or other similar transaction that results in all of the Company’s shareholders having the right to exchange their Ordinary Shares for cash, securities or other property.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9" w:name="page160"/>
    <w:bookmarkEnd w:id="15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Holders</w:t>
      </w:r>
      <w:r>
        <w:rPr>
          <w:rFonts w:ascii="Arial" w:cs="Arial" w:eastAsia="Arial" w:hAnsi="Arial"/>
          <w:sz w:val="22"/>
          <w:szCs w:val="22"/>
          <w:color w:val="auto"/>
        </w:rPr>
        <w:t>” shall have the meaning given in the Preamble.</w:t>
      </w:r>
    </w:p>
    <w:p>
      <w:pPr>
        <w:spacing w:after="0" w:line="2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Insider Letter</w:t>
      </w:r>
      <w:r>
        <w:rPr>
          <w:rFonts w:ascii="Arial" w:cs="Arial" w:eastAsia="Arial" w:hAnsi="Arial"/>
          <w:sz w:val="22"/>
          <w:szCs w:val="22"/>
          <w:color w:val="auto"/>
        </w:rPr>
        <w:t>” shall mean that certain letter agreement, dated as of the date hereof, by and among the Company, the Sponsor and each of the Company’s officers, directors and director nominees.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Maximum Number of Securities</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2.1.4</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Misstatement</w:t>
      </w:r>
      <w:r>
        <w:rPr>
          <w:rFonts w:ascii="Arial" w:cs="Arial" w:eastAsia="Arial" w:hAnsi="Arial"/>
          <w:sz w:val="19"/>
          <w:szCs w:val="19"/>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Nominee</w:t>
      </w:r>
      <w:r>
        <w:rPr>
          <w:rFonts w:ascii="Arial" w:cs="Arial" w:eastAsia="Arial" w:hAnsi="Arial"/>
          <w:sz w:val="22"/>
          <w:szCs w:val="22"/>
          <w:color w:val="auto"/>
        </w:rPr>
        <w:t xml:space="preserve">” is defined in </w:t>
      </w:r>
      <w:r>
        <w:rPr>
          <w:rFonts w:ascii="Arial" w:cs="Arial" w:eastAsia="Arial" w:hAnsi="Arial"/>
          <w:sz w:val="22"/>
          <w:szCs w:val="22"/>
          <w:u w:val="single" w:color="auto"/>
          <w:color w:val="auto"/>
        </w:rPr>
        <w:t>Section 6.1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Ordinary Shares</w:t>
      </w:r>
      <w:r>
        <w:rPr>
          <w:rFonts w:ascii="Arial" w:cs="Arial" w:eastAsia="Arial" w:hAnsi="Arial"/>
          <w:sz w:val="22"/>
          <w:szCs w:val="22"/>
          <w:color w:val="auto"/>
        </w:rPr>
        <w:t>” shall have the meaning given in the Recitals hereto.</w:t>
      </w:r>
    </w:p>
    <w:p>
      <w:pPr>
        <w:spacing w:after="0" w:line="23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Permitted Transferees</w:t>
      </w:r>
      <w:r>
        <w:rPr>
          <w:rFonts w:ascii="Arial" w:cs="Arial" w:eastAsia="Arial" w:hAnsi="Arial"/>
          <w:sz w:val="21"/>
          <w:szCs w:val="21"/>
          <w:color w:val="auto"/>
        </w:rPr>
        <w:t>” shall mean a person or entity to whom a Holder of Registrable Securities is permitted to transfer such Registrable Securities prior to the expiration of the Founder Shares Lock-up Period or Private Placement Lock-up Period, as the case may be, under the Insider Letter, the Private Placement Shares Purchase Agreement and any other applicable agreement between such Holder and the Company, and to any transferee thereafter.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Piggyback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2.2.1</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Private Placement Lock-up Period</w:t>
      </w:r>
      <w:r>
        <w:rPr>
          <w:rFonts w:ascii="Arial" w:cs="Arial" w:eastAsia="Arial" w:hAnsi="Arial"/>
          <w:sz w:val="22"/>
          <w:szCs w:val="22"/>
          <w:color w:val="auto"/>
        </w:rPr>
        <w:t>” shall mean, with respect to the Private Placement Shares that are held by the initial purchasers or their Permitted Transferees, the period ending thirty (30) days after the completion of the Company’s initial Business Combination.</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Private Placement Shares</w:t>
      </w:r>
      <w:r>
        <w:rPr>
          <w:rFonts w:ascii="Arial" w:cs="Arial" w:eastAsia="Arial" w:hAnsi="Arial"/>
          <w:sz w:val="22"/>
          <w:szCs w:val="22"/>
          <w:color w:val="auto"/>
        </w:rPr>
        <w:t>” shall have the meaning given in the Recitals hereto.</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Prospectus</w:t>
      </w:r>
      <w:r>
        <w:rPr>
          <w:rFonts w:ascii="Arial" w:cs="Arial" w:eastAsia="Arial" w:hAnsi="Arial"/>
          <w:sz w:val="22"/>
          <w:szCs w:val="2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0" w:name="page161"/>
    <w:bookmarkEnd w:id="160"/>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Registrable Security</w:t>
      </w:r>
      <w:r>
        <w:rPr>
          <w:rFonts w:ascii="Arial" w:cs="Arial" w:eastAsia="Arial" w:hAnsi="Arial"/>
          <w:sz w:val="19"/>
          <w:szCs w:val="19"/>
          <w:color w:val="auto"/>
        </w:rPr>
        <w:t xml:space="preserve">” shall mean (a) the Founder Shares (including any Ordinary Shares or other equivalent equity security issued or issuable upon the conversion of any such Founder Shares or exercisable for Ordinary Shares), (b) the Private Placement Shares, (c) the Working Capital Shares, (d) any outstanding Ordinary Shares or any other equity security (including the Ordinary Shares issued or issuable upon the exercise of any other equity security) of the Company held by a Holder as of the date of this Agreement, and (e) any other equity security of the Company issued or issuable with respect to any such Ordinary Shares by way of a share capitalization or share split or in connection with a combination of shares, recapitalization, merger, consolidation or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(iii) such securities shall have ceased to be outstanding; or (iv) such securities have been sold to, or through, a broker, dealer or underwriter in a public distribution or other public securities transaction.</w:t>
      </w:r>
    </w:p>
    <w:p>
      <w:pPr>
        <w:spacing w:after="0" w:line="200" w:lineRule="exact"/>
        <w:rPr>
          <w:sz w:val="20"/>
          <w:szCs w:val="20"/>
          <w:color w:val="auto"/>
        </w:rPr>
      </w:pPr>
    </w:p>
    <w:p>
      <w:pPr>
        <w:spacing w:after="0" w:line="23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w:t>
      </w:r>
      <w:r>
        <w:rPr>
          <w:rFonts w:ascii="Arial" w:cs="Arial" w:eastAsia="Arial" w:hAnsi="Arial"/>
          <w:sz w:val="22"/>
          <w:szCs w:val="22"/>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Expenses</w:t>
      </w:r>
      <w:r>
        <w:rPr>
          <w:rFonts w:ascii="Arial" w:cs="Arial" w:eastAsia="Arial" w:hAnsi="Arial"/>
          <w:sz w:val="22"/>
          <w:szCs w:val="22"/>
          <w:color w:val="auto"/>
        </w:rPr>
        <w:t>” shall mean the out-of-pocket expenses of a Registration, including, without limitation, the following:</w:t>
      </w:r>
    </w:p>
    <w:p>
      <w:pPr>
        <w:spacing w:after="0" w:line="202" w:lineRule="exact"/>
        <w:rPr>
          <w:sz w:val="20"/>
          <w:szCs w:val="20"/>
          <w:color w:val="auto"/>
        </w:rPr>
      </w:pPr>
    </w:p>
    <w:p>
      <w:pPr>
        <w:ind w:right="20" w:firstLine="656"/>
        <w:spacing w:after="0" w:line="274" w:lineRule="auto"/>
        <w:tabs>
          <w:tab w:leader="none" w:pos="1581" w:val="left"/>
        </w:tabs>
        <w:numPr>
          <w:ilvl w:val="0"/>
          <w:numId w:val="252"/>
        </w:numPr>
        <w:rPr>
          <w:rFonts w:ascii="Arial" w:cs="Arial" w:eastAsia="Arial" w:hAnsi="Arial"/>
          <w:sz w:val="21"/>
          <w:szCs w:val="21"/>
          <w:color w:val="auto"/>
        </w:rPr>
      </w:pPr>
      <w:r>
        <w:rPr>
          <w:rFonts w:ascii="Arial" w:cs="Arial" w:eastAsia="Arial" w:hAnsi="Arial"/>
          <w:sz w:val="21"/>
          <w:szCs w:val="21"/>
          <w:color w:val="auto"/>
        </w:rPr>
        <w:t>all registration and filing fees (including fees with respect to filings required to be made with the Financial Industry Regulatory Authority, Inc.) and any securities exchange on which the Ordinary Shares are then listed;</w:t>
      </w:r>
    </w:p>
    <w:p>
      <w:pPr>
        <w:spacing w:after="0" w:line="177" w:lineRule="exact"/>
        <w:rPr>
          <w:rFonts w:ascii="Arial" w:cs="Arial" w:eastAsia="Arial" w:hAnsi="Arial"/>
          <w:sz w:val="21"/>
          <w:szCs w:val="21"/>
          <w:color w:val="auto"/>
        </w:rPr>
      </w:pPr>
    </w:p>
    <w:p>
      <w:pPr>
        <w:ind w:firstLine="656"/>
        <w:spacing w:after="0" w:line="250" w:lineRule="auto"/>
        <w:tabs>
          <w:tab w:leader="none" w:pos="1508" w:val="left"/>
        </w:tabs>
        <w:numPr>
          <w:ilvl w:val="0"/>
          <w:numId w:val="252"/>
        </w:numPr>
        <w:rPr>
          <w:rFonts w:ascii="Arial" w:cs="Arial" w:eastAsia="Arial" w:hAnsi="Arial"/>
          <w:sz w:val="22"/>
          <w:szCs w:val="22"/>
          <w:color w:val="auto"/>
        </w:rPr>
      </w:pPr>
      <w:r>
        <w:rPr>
          <w:rFonts w:ascii="Arial" w:cs="Arial" w:eastAsia="Arial" w:hAnsi="Arial"/>
          <w:sz w:val="22"/>
          <w:szCs w:val="22"/>
          <w:color w:val="auto"/>
        </w:rPr>
        <w:t>fees and expenses of compliance with securities or blue sky laws (including reasonable fees and disbursements of counsel for the Underwriters in connection with blue sky qualifications of Registrable Securities);</w:t>
      </w:r>
    </w:p>
    <w:p>
      <w:pPr>
        <w:spacing w:after="0" w:line="201" w:lineRule="exact"/>
        <w:rPr>
          <w:rFonts w:ascii="Arial" w:cs="Arial" w:eastAsia="Arial" w:hAnsi="Arial"/>
          <w:sz w:val="22"/>
          <w:szCs w:val="22"/>
          <w:color w:val="auto"/>
        </w:rPr>
      </w:pPr>
    </w:p>
    <w:p>
      <w:pPr>
        <w:ind w:left="1440" w:hanging="784"/>
        <w:spacing w:after="0"/>
        <w:tabs>
          <w:tab w:leader="none" w:pos="144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printing, messenger, telephone and delivery expenses;</w:t>
      </w:r>
    </w:p>
    <w:p>
      <w:pPr>
        <w:spacing w:after="0" w:line="233" w:lineRule="exact"/>
        <w:rPr>
          <w:rFonts w:ascii="Arial" w:cs="Arial" w:eastAsia="Arial" w:hAnsi="Arial"/>
          <w:sz w:val="22"/>
          <w:szCs w:val="22"/>
          <w:color w:val="auto"/>
        </w:rPr>
      </w:pPr>
    </w:p>
    <w:p>
      <w:pPr>
        <w:ind w:left="1440" w:hanging="784"/>
        <w:spacing w:after="0"/>
        <w:tabs>
          <w:tab w:leader="none" w:pos="144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reasonable fees and disbursements of counsel for the Company;</w:t>
      </w:r>
    </w:p>
    <w:p>
      <w:pPr>
        <w:spacing w:after="0" w:line="233" w:lineRule="exact"/>
        <w:rPr>
          <w:rFonts w:ascii="Arial" w:cs="Arial" w:eastAsia="Arial" w:hAnsi="Arial"/>
          <w:sz w:val="22"/>
          <w:szCs w:val="22"/>
          <w:color w:val="auto"/>
        </w:rPr>
      </w:pPr>
    </w:p>
    <w:p>
      <w:pPr>
        <w:ind w:firstLine="656"/>
        <w:spacing w:after="0" w:line="250" w:lineRule="auto"/>
        <w:tabs>
          <w:tab w:leader="none" w:pos="158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reasonable fees and disbursements of all independent registered public accountants of the Company incurred specifically in connection with such Registration; and</w:t>
      </w:r>
    </w:p>
    <w:p>
      <w:pPr>
        <w:spacing w:after="0" w:line="201" w:lineRule="exact"/>
        <w:rPr>
          <w:rFonts w:ascii="Arial" w:cs="Arial" w:eastAsia="Arial" w:hAnsi="Arial"/>
          <w:sz w:val="22"/>
          <w:szCs w:val="22"/>
          <w:color w:val="auto"/>
        </w:rPr>
      </w:pPr>
    </w:p>
    <w:p>
      <w:pPr>
        <w:jc w:val="both"/>
        <w:ind w:firstLine="656"/>
        <w:spacing w:after="0"/>
        <w:tabs>
          <w:tab w:leader="none" w:pos="1430" w:val="left"/>
        </w:tabs>
        <w:numPr>
          <w:ilvl w:val="0"/>
          <w:numId w:val="252"/>
        </w:numPr>
        <w:rPr>
          <w:rFonts w:ascii="Arial" w:cs="Arial" w:eastAsia="Arial" w:hAnsi="Arial"/>
          <w:sz w:val="22"/>
          <w:szCs w:val="22"/>
          <w:color w:val="auto"/>
        </w:rPr>
      </w:pPr>
      <w:r>
        <w:rPr>
          <w:rFonts w:ascii="Arial" w:cs="Arial" w:eastAsia="Arial" w:hAnsi="Arial"/>
          <w:sz w:val="22"/>
          <w:szCs w:val="22"/>
          <w:color w:val="auto"/>
        </w:rPr>
        <w:t>reasonable fees and expenses of one (1) legal counsel selected by the majority-in-interest of the Demanding Holders initiating a Demand Registration to be registered for offer and sale in the applicable Registration or the Takedown Requesting Holder initiating an Underwritten Shelf Takedown.</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Registration Statement</w:t>
      </w:r>
      <w:r>
        <w:rPr>
          <w:rFonts w:ascii="Arial" w:cs="Arial" w:eastAsia="Arial" w:hAnsi="Arial"/>
          <w:sz w:val="22"/>
          <w:szCs w:val="22"/>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1" w:name="page162"/>
    <w:bookmarkEnd w:id="16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Requesting Holder</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2.1.1</w:t>
      </w:r>
      <w:r>
        <w:rPr>
          <w:rFonts w:ascii="Arial" w:cs="Arial" w:eastAsia="Arial" w:hAnsi="Arial"/>
          <w:sz w:val="22"/>
          <w:szCs w:val="22"/>
          <w:color w:val="auto"/>
        </w:rPr>
        <w:t>.</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shall mean the Securities Act of 1933, as amended from time to time.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Shelf</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2.3.1</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Sponsor</w:t>
      </w:r>
      <w:r>
        <w:rPr>
          <w:rFonts w:ascii="Arial" w:cs="Arial" w:eastAsia="Arial" w:hAnsi="Arial"/>
          <w:sz w:val="22"/>
          <w:szCs w:val="22"/>
          <w:color w:val="auto"/>
        </w:rPr>
        <w:t>” shall have the meaning given in the Recitals hereto.</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Sponsor Director</w:t>
      </w:r>
      <w:r>
        <w:rPr>
          <w:rFonts w:ascii="Arial" w:cs="Arial" w:eastAsia="Arial" w:hAnsi="Arial"/>
          <w:sz w:val="22"/>
          <w:szCs w:val="22"/>
          <w:color w:val="auto"/>
        </w:rPr>
        <w:t>” means an individual elected to the Board that has been nominated by the Sponsor pursuant to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Subsequent Shelf Registration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2.3.2</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Takedown Requesting Holder</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2.3.3</w:t>
      </w:r>
      <w:r>
        <w:rPr>
          <w:rFonts w:ascii="Arial" w:cs="Arial" w:eastAsia="Arial" w:hAnsi="Arial"/>
          <w:sz w:val="22"/>
          <w:szCs w:val="22"/>
          <w:color w:val="auto"/>
        </w:rPr>
        <w:t>.</w:t>
      </w:r>
    </w:p>
    <w:p>
      <w:pPr>
        <w:spacing w:after="0" w:line="23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shall mean a securities dealer who purchases any Registrable Securities as principal in an Underwritten Offering and not as part of such dealer’s market-making activities.</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Underwritten Registration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Underwritten Offering</w:t>
      </w:r>
      <w:r>
        <w:rPr>
          <w:rFonts w:ascii="Arial" w:cs="Arial" w:eastAsia="Arial" w:hAnsi="Arial"/>
          <w:sz w:val="22"/>
          <w:szCs w:val="22"/>
          <w:color w:val="auto"/>
        </w:rPr>
        <w:t>” shall mean a Registration in which securities of the Company are sold to an Underwriter in a firm commitment underwriting for distribution to the public.</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Underwritten Shelf Takedown</w:t>
      </w:r>
      <w:r>
        <w:rPr>
          <w:rFonts w:ascii="Arial" w:cs="Arial" w:eastAsia="Arial" w:hAnsi="Arial"/>
          <w:sz w:val="22"/>
          <w:szCs w:val="22"/>
          <w:color w:val="auto"/>
        </w:rPr>
        <w:t xml:space="preserve">” shall have the meaning given in </w:t>
      </w:r>
      <w:r>
        <w:rPr>
          <w:rFonts w:ascii="Arial" w:cs="Arial" w:eastAsia="Arial" w:hAnsi="Arial"/>
          <w:sz w:val="22"/>
          <w:szCs w:val="22"/>
          <w:u w:val="single" w:color="auto"/>
          <w:color w:val="auto"/>
        </w:rPr>
        <w:t>subsection 2.3.3</w:t>
      </w:r>
      <w:r>
        <w:rPr>
          <w:rFonts w:ascii="Arial" w:cs="Arial" w:eastAsia="Arial" w:hAnsi="Arial"/>
          <w:sz w:val="22"/>
          <w:szCs w:val="22"/>
          <w:color w:val="auto"/>
        </w:rPr>
        <w: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Working Capital Shares</w:t>
      </w:r>
      <w:r>
        <w:rPr>
          <w:rFonts w:ascii="Arial" w:cs="Arial" w:eastAsia="Arial" w:hAnsi="Arial"/>
          <w:sz w:val="22"/>
          <w:szCs w:val="22"/>
          <w:color w:val="auto"/>
        </w:rPr>
        <w:t>” shall have the meaning given in the Recitals hereto.</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REGISTRATIONS</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19"/>
          <w:szCs w:val="19"/>
          <w:u w:val="single" w:color="auto"/>
          <w:color w:val="auto"/>
        </w:rPr>
        <w:t>Demand Registration</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010000"/>
        </w:rPr>
        <w:t xml:space="preserve">2.1.1 </w:t>
      </w:r>
      <w:r>
        <w:rPr>
          <w:rFonts w:ascii="Arial" w:cs="Arial" w:eastAsia="Arial" w:hAnsi="Arial"/>
          <w:sz w:val="19"/>
          <w:szCs w:val="19"/>
          <w:u w:val="single" w:color="auto"/>
          <w:color w:val="000000"/>
        </w:rPr>
        <w:t>Request for Registration</w:t>
      </w:r>
      <w:r>
        <w:rPr>
          <w:rFonts w:ascii="Arial" w:cs="Arial" w:eastAsia="Arial" w:hAnsi="Arial"/>
          <w:sz w:val="19"/>
          <w:szCs w:val="19"/>
          <w:color w:val="000000"/>
        </w:rPr>
        <w:t>. Subject to the provisions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subsection 2.1.4</w:t>
      </w:r>
      <w:r>
        <w:rPr>
          <w:rFonts w:ascii="Arial" w:cs="Arial" w:eastAsia="Arial" w:hAnsi="Arial"/>
          <w:sz w:val="19"/>
          <w:szCs w:val="19"/>
          <w:color w:val="010000"/>
        </w:rPr>
        <w:t xml:space="preserve"> </w:t>
      </w:r>
      <w:r>
        <w:rPr>
          <w:rFonts w:ascii="Arial" w:cs="Arial" w:eastAsia="Arial" w:hAnsi="Arial"/>
          <w:sz w:val="19"/>
          <w:szCs w:val="19"/>
          <w:color w:val="000000"/>
        </w:rPr>
        <w:t>and</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2.4</w:t>
      </w:r>
      <w:r>
        <w:rPr>
          <w:rFonts w:ascii="Arial" w:cs="Arial" w:eastAsia="Arial" w:hAnsi="Arial"/>
          <w:sz w:val="19"/>
          <w:szCs w:val="19"/>
          <w:color w:val="010000"/>
        </w:rPr>
        <w:t xml:space="preserve"> </w:t>
      </w:r>
      <w:r>
        <w:rPr>
          <w:rFonts w:ascii="Arial" w:cs="Arial" w:eastAsia="Arial" w:hAnsi="Arial"/>
          <w:sz w:val="19"/>
          <w:szCs w:val="19"/>
          <w:color w:val="000000"/>
        </w:rPr>
        <w:t>hereof, at any time</w:t>
      </w:r>
      <w:r>
        <w:rPr>
          <w:rFonts w:ascii="Arial" w:cs="Arial" w:eastAsia="Arial" w:hAnsi="Arial"/>
          <w:sz w:val="19"/>
          <w:szCs w:val="19"/>
          <w:color w:val="010000"/>
        </w:rPr>
        <w:t xml:space="preserve"> </w:t>
      </w:r>
      <w:r>
        <w:rPr>
          <w:rFonts w:ascii="Arial" w:cs="Arial" w:eastAsia="Arial" w:hAnsi="Arial"/>
          <w:sz w:val="19"/>
          <w:szCs w:val="19"/>
          <w:color w:val="000000"/>
        </w:rPr>
        <w:t>and from time to time on or after the date the Company consummates the initial Business Combination, the Holders of at least a majority in interest of the then-outstanding number of Registrable Securities (the “</w:t>
      </w:r>
      <w:r>
        <w:rPr>
          <w:rFonts w:ascii="Arial" w:cs="Arial" w:eastAsia="Arial" w:hAnsi="Arial"/>
          <w:sz w:val="19"/>
          <w:szCs w:val="19"/>
          <w:b w:val="1"/>
          <w:bCs w:val="1"/>
          <w:i w:val="1"/>
          <w:iCs w:val="1"/>
          <w:color w:val="000000"/>
        </w:rPr>
        <w:t>Demanding Holders</w:t>
      </w:r>
      <w:r>
        <w:rPr>
          <w:rFonts w:ascii="Arial" w:cs="Arial" w:eastAsia="Arial" w:hAnsi="Arial"/>
          <w:sz w:val="19"/>
          <w:szCs w:val="19"/>
          <w:color w:val="000000"/>
        </w:rPr>
        <w:t>”) may make a written demand for Registration under the Securities Act of all or part of their Registrable Securities, which written demand shall describe the amount and type of securities to be included in such Registration and the intended method(s) of distribution thereof (such written demand a “</w:t>
      </w:r>
      <w:r>
        <w:rPr>
          <w:rFonts w:ascii="Arial" w:cs="Arial" w:eastAsia="Arial" w:hAnsi="Arial"/>
          <w:sz w:val="19"/>
          <w:szCs w:val="19"/>
          <w:b w:val="1"/>
          <w:bCs w:val="1"/>
          <w:i w:val="1"/>
          <w:iCs w:val="1"/>
          <w:color w:val="000000"/>
        </w:rPr>
        <w:t>Demand Registration</w:t>
      </w:r>
      <w:r>
        <w:rPr>
          <w:rFonts w:ascii="Arial" w:cs="Arial" w:eastAsia="Arial" w:hAnsi="Arial"/>
          <w:sz w:val="19"/>
          <w:szCs w:val="19"/>
          <w:color w:val="000000"/>
        </w:rPr>
        <w:t>”). The Company shall, within five (5)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9"/>
          <w:szCs w:val="19"/>
          <w:b w:val="1"/>
          <w:bCs w:val="1"/>
          <w:i w:val="1"/>
          <w:iCs w:val="1"/>
          <w:color w:val="000000"/>
        </w:rPr>
        <w:t>Requesting Holder</w:t>
      </w:r>
      <w:r>
        <w:rPr>
          <w:rFonts w:ascii="Arial" w:cs="Arial" w:eastAsia="Arial" w:hAnsi="Arial"/>
          <w:sz w:val="19"/>
          <w:szCs w:val="19"/>
          <w:color w:val="000000"/>
        </w:rPr>
        <w:t xml:space="preserve">”) shall so notify the Company, in writing, within three (3) business days after the receipt by the Holder of the notice from the Company. Upon receipt by the Company of any such written notification from a Requesting Holder(s) to the Company, such Requesting Holder(s) shall be entitled to have their Registrable Securities included in a Registration pursuant to a Demand Registration and the Company shall effect, as soon thereafter as practicable, but not more than forty five (45) days immediately after the Company’s receipt of the Demand Registration, the Registration of all Registrable Securities requested by the Demanding Holders and Requesting Holders pursuant to such Demand Registration. Under no circumstances shall the Company be obligated to effect more than an aggregate of three (3) Registrations pursuant to a Demand Registration under this </w:t>
      </w:r>
      <w:r>
        <w:rPr>
          <w:rFonts w:ascii="Arial" w:cs="Arial" w:eastAsia="Arial" w:hAnsi="Arial"/>
          <w:sz w:val="19"/>
          <w:szCs w:val="19"/>
          <w:u w:val="single" w:color="auto"/>
          <w:color w:val="000000"/>
        </w:rPr>
        <w:t>subsection 2.1.1</w:t>
      </w:r>
      <w:r>
        <w:rPr>
          <w:rFonts w:ascii="Arial" w:cs="Arial" w:eastAsia="Arial" w:hAnsi="Arial"/>
          <w:sz w:val="19"/>
          <w:szCs w:val="19"/>
          <w:color w:val="000000"/>
        </w:rPr>
        <w:t xml:space="preserve"> with respect to any or all Registrable Securities;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a Registration shall not be counted for such purposes unless a Form S-1 or any similar long-form registration statement that may be available at such time (“</w:t>
      </w:r>
      <w:r>
        <w:rPr>
          <w:rFonts w:ascii="Arial" w:cs="Arial" w:eastAsia="Arial" w:hAnsi="Arial"/>
          <w:sz w:val="19"/>
          <w:szCs w:val="19"/>
          <w:b w:val="1"/>
          <w:bCs w:val="1"/>
          <w:i w:val="1"/>
          <w:iCs w:val="1"/>
          <w:color w:val="000000"/>
        </w:rPr>
        <w:t>Form S-1</w:t>
      </w:r>
      <w:r>
        <w:rPr>
          <w:rFonts w:ascii="Arial" w:cs="Arial" w:eastAsia="Arial" w:hAnsi="Arial"/>
          <w:sz w:val="19"/>
          <w:szCs w:val="19"/>
          <w:color w:val="000000"/>
        </w:rPr>
        <w:t xml:space="preserve">”) has become effective and all of the Registrable Securities requested by the Requesting Holders to be registered on behalf of the Requesting Holders in such Form S-1 Registration have been sold, in accordance with </w:t>
      </w:r>
      <w:r>
        <w:rPr>
          <w:rFonts w:ascii="Arial" w:cs="Arial" w:eastAsia="Arial" w:hAnsi="Arial"/>
          <w:sz w:val="19"/>
          <w:szCs w:val="19"/>
          <w:u w:val="single" w:color="auto"/>
          <w:color w:val="000000"/>
        </w:rPr>
        <w:t>Section 3.1</w:t>
      </w:r>
      <w:r>
        <w:rPr>
          <w:rFonts w:ascii="Arial" w:cs="Arial" w:eastAsia="Arial" w:hAnsi="Arial"/>
          <w:sz w:val="19"/>
          <w:szCs w:val="19"/>
          <w:color w:val="000000"/>
        </w:rPr>
        <w:t xml:space="preserve"> of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an Underwritten Shelf Takedown shall not count as a Demand Registration.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jc w:val="both"/>
        <w:ind w:firstLine="1296"/>
        <w:spacing w:after="0" w:line="272" w:lineRule="auto"/>
        <w:rPr>
          <w:sz w:val="20"/>
          <w:szCs w:val="20"/>
          <w:color w:val="auto"/>
        </w:rPr>
      </w:pPr>
      <w:r>
        <w:rPr>
          <w:rFonts w:ascii="Arial" w:cs="Arial" w:eastAsia="Arial" w:hAnsi="Arial"/>
          <w:sz w:val="19"/>
          <w:szCs w:val="19"/>
          <w:color w:val="010000"/>
        </w:rPr>
        <w:t xml:space="preserve">2.1.2 </w:t>
      </w:r>
      <w:r>
        <w:rPr>
          <w:rFonts w:ascii="Arial" w:cs="Arial" w:eastAsia="Arial" w:hAnsi="Arial"/>
          <w:sz w:val="19"/>
          <w:szCs w:val="19"/>
          <w:u w:val="single" w:color="auto"/>
          <w:color w:val="000000"/>
        </w:rPr>
        <w:t>Effective Registration</w:t>
      </w:r>
      <w:r>
        <w:rPr>
          <w:rFonts w:ascii="Arial" w:cs="Arial" w:eastAsia="Arial" w:hAnsi="Arial"/>
          <w:sz w:val="19"/>
          <w:szCs w:val="19"/>
          <w:color w:val="000000"/>
        </w:rPr>
        <w:t>. Notwithstanding the provisions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subsection 2.1.1</w:t>
      </w:r>
      <w:r>
        <w:rPr>
          <w:rFonts w:ascii="Arial" w:cs="Arial" w:eastAsia="Arial" w:hAnsi="Arial"/>
          <w:sz w:val="19"/>
          <w:szCs w:val="19"/>
          <w:color w:val="010000"/>
        </w:rPr>
        <w:t xml:space="preserve"> </w:t>
      </w:r>
      <w:r>
        <w:rPr>
          <w:rFonts w:ascii="Arial" w:cs="Arial" w:eastAsia="Arial" w:hAnsi="Arial"/>
          <w:sz w:val="19"/>
          <w:szCs w:val="19"/>
          <w:color w:val="000000"/>
        </w:rPr>
        <w:t>above or any other part of this</w:t>
      </w:r>
      <w:r>
        <w:rPr>
          <w:rFonts w:ascii="Arial" w:cs="Arial" w:eastAsia="Arial" w:hAnsi="Arial"/>
          <w:sz w:val="19"/>
          <w:szCs w:val="19"/>
          <w:color w:val="010000"/>
        </w:rPr>
        <w:t xml:space="preserve"> </w:t>
      </w:r>
      <w:r>
        <w:rPr>
          <w:rFonts w:ascii="Arial" w:cs="Arial" w:eastAsia="Arial" w:hAnsi="Arial"/>
          <w:sz w:val="19"/>
          <w:szCs w:val="19"/>
          <w:color w:val="000000"/>
        </w:rPr>
        <w:t xml:space="preserve">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further</w:t>
      </w:r>
      <w:r>
        <w:rPr>
          <w:rFonts w:ascii="Arial" w:cs="Arial" w:eastAsia="Arial" w:hAnsi="Arial"/>
          <w:sz w:val="19"/>
          <w:szCs w:val="19"/>
          <w:color w:val="000000"/>
        </w:rPr>
        <w:t>, that the Company shall not be obligated or required to file another Registration Statement until the Registration Statement that has been previously filed with respect to a Registration pursuant to a Demand Registration becomes effective or is subsequently terminated.</w:t>
      </w:r>
    </w:p>
    <w:p>
      <w:pPr>
        <w:spacing w:after="0" w:line="184" w:lineRule="exact"/>
        <w:rPr>
          <w:sz w:val="20"/>
          <w:szCs w:val="20"/>
          <w:color w:val="auto"/>
        </w:rPr>
      </w:pPr>
    </w:p>
    <w:p>
      <w:pPr>
        <w:jc w:val="both"/>
        <w:ind w:firstLine="1296"/>
        <w:spacing w:after="0" w:line="233" w:lineRule="auto"/>
        <w:rPr>
          <w:sz w:val="20"/>
          <w:szCs w:val="20"/>
          <w:color w:val="auto"/>
        </w:rPr>
      </w:pPr>
      <w:r>
        <w:rPr>
          <w:rFonts w:ascii="Arial" w:cs="Arial" w:eastAsia="Arial" w:hAnsi="Arial"/>
          <w:sz w:val="22"/>
          <w:szCs w:val="22"/>
          <w:color w:val="010000"/>
        </w:rPr>
        <w:t xml:space="preserve">2.1.3 </w:t>
      </w:r>
      <w:r>
        <w:rPr>
          <w:rFonts w:ascii="Arial" w:cs="Arial" w:eastAsia="Arial" w:hAnsi="Arial"/>
          <w:sz w:val="22"/>
          <w:szCs w:val="22"/>
          <w:u w:val="single" w:color="auto"/>
          <w:color w:val="000000"/>
        </w:rPr>
        <w:t>Underwritten Offering</w:t>
      </w:r>
      <w:r>
        <w:rPr>
          <w:rFonts w:ascii="Arial" w:cs="Arial" w:eastAsia="Arial" w:hAnsi="Arial"/>
          <w:sz w:val="22"/>
          <w:szCs w:val="22"/>
          <w:color w:val="000000"/>
        </w:rPr>
        <w:t>. Subject to the provisions of</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subsection 2.1.4</w:t>
      </w:r>
      <w:r>
        <w:rPr>
          <w:rFonts w:ascii="Arial" w:cs="Arial" w:eastAsia="Arial" w:hAnsi="Arial"/>
          <w:sz w:val="22"/>
          <w:szCs w:val="22"/>
          <w:color w:val="010000"/>
        </w:rPr>
        <w:t xml:space="preserve"> </w:t>
      </w:r>
      <w:r>
        <w:rPr>
          <w:rFonts w:ascii="Arial" w:cs="Arial" w:eastAsia="Arial" w:hAnsi="Arial"/>
          <w:sz w:val="22"/>
          <w:szCs w:val="22"/>
          <w:color w:val="000000"/>
        </w:rPr>
        <w:t>and</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Section 2.4</w:t>
      </w:r>
      <w:r>
        <w:rPr>
          <w:rFonts w:ascii="Arial" w:cs="Arial" w:eastAsia="Arial" w:hAnsi="Arial"/>
          <w:sz w:val="22"/>
          <w:szCs w:val="22"/>
          <w:color w:val="010000"/>
        </w:rPr>
        <w:t xml:space="preserve"> </w:t>
      </w:r>
      <w:r>
        <w:rPr>
          <w:rFonts w:ascii="Arial" w:cs="Arial" w:eastAsia="Arial" w:hAnsi="Arial"/>
          <w:sz w:val="22"/>
          <w:szCs w:val="22"/>
          <w:color w:val="000000"/>
        </w:rPr>
        <w:t xml:space="preserve">hereof, if a majority-in-interest of the Demanding Holders so advise the Company as part of their Demand Registration that the offering of the Registrable Securities pursuant to such Demand Registration shall be in the form of an Underwritten Offering, then the right of such Demanding Holder or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22"/>
          <w:szCs w:val="22"/>
          <w:u w:val="single" w:color="auto"/>
          <w:color w:val="000000"/>
        </w:rPr>
        <w:t>subsection 2.1.3</w:t>
      </w:r>
      <w:r>
        <w:rPr>
          <w:rFonts w:ascii="Arial" w:cs="Arial" w:eastAsia="Arial" w:hAnsi="Arial"/>
          <w:sz w:val="22"/>
          <w:szCs w:val="22"/>
          <w:color w:val="000000"/>
        </w:rPr>
        <w:t xml:space="preserve"> shall enter into an underwriting agreement in customary form with the Underwriter(s) selected for such Underwritten Offering by the majority-in-interest of the Demanding Holders initiating the Demand Registration.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3" w:name="page164"/>
    <w:bookmarkEnd w:id="163"/>
    <w:p>
      <w:pPr>
        <w:jc w:val="both"/>
        <w:ind w:firstLine="1296"/>
        <w:spacing w:after="0" w:line="268" w:lineRule="auto"/>
        <w:rPr>
          <w:sz w:val="20"/>
          <w:szCs w:val="20"/>
          <w:color w:val="auto"/>
        </w:rPr>
      </w:pPr>
      <w:r>
        <w:rPr>
          <w:rFonts w:ascii="Arial" w:cs="Arial" w:eastAsia="Arial" w:hAnsi="Arial"/>
          <w:sz w:val="19"/>
          <w:szCs w:val="19"/>
          <w:color w:val="010000"/>
        </w:rPr>
        <w:t xml:space="preserve">2.1.4 </w:t>
      </w:r>
      <w:r>
        <w:rPr>
          <w:rFonts w:ascii="Arial" w:cs="Arial" w:eastAsia="Arial" w:hAnsi="Arial"/>
          <w:sz w:val="19"/>
          <w:szCs w:val="19"/>
          <w:u w:val="single" w:color="auto"/>
          <w:color w:val="000000"/>
        </w:rPr>
        <w:t>Reduction of Underwritten Offering</w:t>
      </w:r>
      <w:r>
        <w:rPr>
          <w:rFonts w:ascii="Arial" w:cs="Arial" w:eastAsia="Arial" w:hAnsi="Arial"/>
          <w:sz w:val="19"/>
          <w:szCs w:val="19"/>
          <w:color w:val="000000"/>
        </w:rPr>
        <w:t>. If the managing Underwriter or Underwriters in an Underwritten</w:t>
      </w:r>
      <w:r>
        <w:rPr>
          <w:rFonts w:ascii="Arial" w:cs="Arial" w:eastAsia="Arial" w:hAnsi="Arial"/>
          <w:sz w:val="19"/>
          <w:szCs w:val="19"/>
          <w:color w:val="010000"/>
        </w:rPr>
        <w:t xml:space="preserve"> </w:t>
      </w:r>
      <w:r>
        <w:rPr>
          <w:rFonts w:ascii="Arial" w:cs="Arial" w:eastAsia="Arial" w:hAnsi="Arial"/>
          <w:sz w:val="19"/>
          <w:szCs w:val="19"/>
          <w:color w:val="000000"/>
        </w:rPr>
        <w:t>Registration pursuant to a Demand Registration, in good faith, advises the Company, the Demanding Holders and the Requesting Holders (if any) in writing that the dollar amount or number of Registrable Securities that the Demanding Holders and the Requesting Holders (if any) desire to sell, taken together with all other Ordinary Shares or other equity securities that the Company desires to sell and the Ordinary Shares, if any, as to which a Registration has been requested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9"/>
          <w:szCs w:val="19"/>
          <w:b w:val="1"/>
          <w:bCs w:val="1"/>
          <w:i w:val="1"/>
          <w:iCs w:val="1"/>
          <w:color w:val="000000"/>
        </w:rPr>
        <w:t>Maximum Number of Securities</w:t>
      </w:r>
      <w:r>
        <w:rPr>
          <w:rFonts w:ascii="Arial" w:cs="Arial" w:eastAsia="Arial" w:hAnsi="Arial"/>
          <w:sz w:val="19"/>
          <w:szCs w:val="19"/>
          <w:color w:val="000000"/>
        </w:rPr>
        <w:t>”), then the Company shall include in such Underwritten Offering, as follows: (i) first, the Registrable Securities of the Demanding Holders and the Requesting Holders (if any) (pro rata based on the respective number of Registrable Securities that each Demanding Holder and Requesting Holder (if any) has requested be included in such Underwritten Registration and the aggregate number of Registrable Securities that the Demanding Holders and Requesting Holders have requested be included in such Underwritten Registration (such proportion is referred to herein as “</w:t>
      </w:r>
      <w:r>
        <w:rPr>
          <w:rFonts w:ascii="Arial" w:cs="Arial" w:eastAsia="Arial" w:hAnsi="Arial"/>
          <w:sz w:val="19"/>
          <w:szCs w:val="19"/>
          <w:b w:val="1"/>
          <w:bCs w:val="1"/>
          <w:i w:val="1"/>
          <w:iCs w:val="1"/>
          <w:color w:val="000000"/>
        </w:rPr>
        <w:t>Pro Rata</w:t>
      </w:r>
      <w:r>
        <w:rPr>
          <w:rFonts w:ascii="Arial" w:cs="Arial" w:eastAsia="Arial" w:hAnsi="Arial"/>
          <w:sz w:val="19"/>
          <w:szCs w:val="19"/>
          <w:color w:val="000000"/>
        </w:rPr>
        <w:t>”))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w:t>
      </w:r>
    </w:p>
    <w:p>
      <w:pPr>
        <w:spacing w:after="0" w:line="2" w:lineRule="exact"/>
        <w:rPr>
          <w:sz w:val="20"/>
          <w:szCs w:val="20"/>
          <w:color w:val="auto"/>
        </w:rPr>
      </w:pPr>
    </w:p>
    <w:p>
      <w:pPr>
        <w:jc w:val="both"/>
        <w:ind w:firstLine="8"/>
        <w:spacing w:after="0" w:line="234" w:lineRule="auto"/>
        <w:tabs>
          <w:tab w:leader="none" w:pos="258" w:val="left"/>
        </w:tabs>
        <w:numPr>
          <w:ilvl w:val="0"/>
          <w:numId w:val="253"/>
        </w:numPr>
        <w:rPr>
          <w:rFonts w:ascii="Arial" w:cs="Arial" w:eastAsia="Arial" w:hAnsi="Arial"/>
          <w:sz w:val="22"/>
          <w:szCs w:val="22"/>
          <w:color w:val="auto"/>
        </w:rPr>
      </w:pPr>
      <w:r>
        <w:rPr>
          <w:rFonts w:ascii="Arial" w:cs="Arial" w:eastAsia="Arial" w:hAnsi="Arial"/>
          <w:sz w:val="22"/>
          <w:szCs w:val="22"/>
          <w:color w:val="auto"/>
        </w:rPr>
        <w:t>and (ii), the Ordinary Shares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214"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1"/>
          <w:szCs w:val="21"/>
          <w:color w:val="010000"/>
        </w:rPr>
        <w:t xml:space="preserve">2.1.5 </w:t>
      </w:r>
      <w:r>
        <w:rPr>
          <w:rFonts w:ascii="Arial" w:cs="Arial" w:eastAsia="Arial" w:hAnsi="Arial"/>
          <w:sz w:val="21"/>
          <w:szCs w:val="21"/>
          <w:u w:val="single" w:color="auto"/>
          <w:color w:val="000000"/>
        </w:rPr>
        <w:t>Demand Registration Withdrawal</w:t>
      </w:r>
      <w:r>
        <w:rPr>
          <w:rFonts w:ascii="Arial" w:cs="Arial" w:eastAsia="Arial" w:hAnsi="Arial"/>
          <w:sz w:val="21"/>
          <w:szCs w:val="21"/>
          <w:color w:val="000000"/>
        </w:rPr>
        <w:t>. A majority-in-interest of the Demanding Holders initiating a Demand</w:t>
      </w:r>
      <w:r>
        <w:rPr>
          <w:rFonts w:ascii="Arial" w:cs="Arial" w:eastAsia="Arial" w:hAnsi="Arial"/>
          <w:sz w:val="21"/>
          <w:szCs w:val="21"/>
          <w:color w:val="010000"/>
        </w:rPr>
        <w:t xml:space="preserve"> </w:t>
      </w:r>
      <w:r>
        <w:rPr>
          <w:rFonts w:ascii="Arial" w:cs="Arial" w:eastAsia="Arial" w:hAnsi="Arial"/>
          <w:sz w:val="21"/>
          <w:szCs w:val="21"/>
          <w:color w:val="000000"/>
        </w:rPr>
        <w:t xml:space="preserve">Registration or a majority-in-interest of the Requesting Holders (if any), pursuant to a Registration under </w:t>
      </w:r>
      <w:r>
        <w:rPr>
          <w:rFonts w:ascii="Arial" w:cs="Arial" w:eastAsia="Arial" w:hAnsi="Arial"/>
          <w:sz w:val="21"/>
          <w:szCs w:val="21"/>
          <w:u w:val="single" w:color="auto"/>
          <w:color w:val="000000"/>
        </w:rPr>
        <w:t>subsection 2.1.1</w:t>
      </w:r>
      <w:r>
        <w:rPr>
          <w:rFonts w:ascii="Arial" w:cs="Arial" w:eastAsia="Arial" w:hAnsi="Arial"/>
          <w:sz w:val="21"/>
          <w:szCs w:val="21"/>
          <w:color w:val="000000"/>
        </w:rPr>
        <w:t xml:space="preserve"> shall have the right to withdraw from a Registration pursuant to such Demand Registration for any or no reason whatsoever upon written notification to the Company and the Underwriter or Underwriters (if any) of their intention to withdraw from such Registration prior to the effectiveness of the Registration Statement filed with the Commission with respect to the Registration of their Registrable Securities pursuant to such Demand Registration. Notwithstanding anything to the contrary in this Agreement, the Company shall be responsible for the Registration Expenses incurred in connection with a Registration pursuant to a Demand Registration prior to its withdrawal under this </w:t>
      </w:r>
      <w:r>
        <w:rPr>
          <w:rFonts w:ascii="Arial" w:cs="Arial" w:eastAsia="Arial" w:hAnsi="Arial"/>
          <w:sz w:val="21"/>
          <w:szCs w:val="21"/>
          <w:u w:val="single" w:color="auto"/>
          <w:color w:val="000000"/>
        </w:rPr>
        <w:t>subsection 2.1.5</w:t>
      </w:r>
      <w:r>
        <w:rPr>
          <w:rFonts w:ascii="Arial" w:cs="Arial" w:eastAsia="Arial" w:hAnsi="Arial"/>
          <w:sz w:val="21"/>
          <w:szCs w:val="21"/>
          <w:color w:val="000000"/>
        </w:rPr>
        <w:t>.</w:t>
      </w:r>
    </w:p>
    <w:p>
      <w:pPr>
        <w:spacing w:after="0" w:line="207"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u w:val="single" w:color="auto"/>
          <w:color w:val="auto"/>
        </w:rPr>
        <w:t>Piggyback Registration</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010000"/>
        </w:rPr>
        <w:t xml:space="preserve">2.2.1 </w:t>
      </w:r>
      <w:r>
        <w:rPr>
          <w:rFonts w:ascii="Arial" w:cs="Arial" w:eastAsia="Arial" w:hAnsi="Arial"/>
          <w:sz w:val="19"/>
          <w:szCs w:val="19"/>
          <w:u w:val="single" w:color="auto"/>
          <w:color w:val="000000"/>
        </w:rPr>
        <w:t>Piggyback Rights</w:t>
      </w:r>
      <w:r>
        <w:rPr>
          <w:rFonts w:ascii="Arial" w:cs="Arial" w:eastAsia="Arial" w:hAnsi="Arial"/>
          <w:sz w:val="19"/>
          <w:szCs w:val="19"/>
          <w:color w:val="000000"/>
        </w:rPr>
        <w:t>. If, at any time on or after the date the Company consummates a Business</w:t>
      </w:r>
      <w:r>
        <w:rPr>
          <w:rFonts w:ascii="Arial" w:cs="Arial" w:eastAsia="Arial" w:hAnsi="Arial"/>
          <w:sz w:val="19"/>
          <w:szCs w:val="19"/>
          <w:color w:val="010000"/>
        </w:rPr>
        <w:t xml:space="preserve"> </w:t>
      </w:r>
      <w:r>
        <w:rPr>
          <w:rFonts w:ascii="Arial" w:cs="Arial" w:eastAsia="Arial" w:hAnsi="Arial"/>
          <w:sz w:val="19"/>
          <w:szCs w:val="19"/>
          <w:color w:val="000000"/>
        </w:rPr>
        <w:t xml:space="preserve">Combination, the Company proposes to file a Registration Statement under the Securities Act with respect to an offering 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pursuant to </w:t>
      </w:r>
      <w:r>
        <w:rPr>
          <w:rFonts w:ascii="Arial" w:cs="Arial" w:eastAsia="Arial" w:hAnsi="Arial"/>
          <w:sz w:val="19"/>
          <w:szCs w:val="19"/>
          <w:u w:val="single" w:color="auto"/>
          <w:color w:val="000000"/>
        </w:rPr>
        <w:t>Section 2.1</w:t>
      </w:r>
      <w:r>
        <w:rPr>
          <w:rFonts w:ascii="Arial" w:cs="Arial" w:eastAsia="Arial" w:hAnsi="Arial"/>
          <w:sz w:val="19"/>
          <w:szCs w:val="19"/>
          <w:color w:val="000000"/>
        </w:rPr>
        <w:t xml:space="preserve"> hereof),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give written notice of such proposed filing to all of the Holders of Registrable Securities as soon as practicable but not less than seven (7)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register the sale of such number of Registrable Securities as such Holders may request in writing within three (3) business days after receipt of such written notice (such Registration a “</w:t>
      </w:r>
      <w:r>
        <w:rPr>
          <w:rFonts w:ascii="Arial" w:cs="Arial" w:eastAsia="Arial" w:hAnsi="Arial"/>
          <w:sz w:val="19"/>
          <w:szCs w:val="19"/>
          <w:b w:val="1"/>
          <w:bCs w:val="1"/>
          <w:i w:val="1"/>
          <w:iCs w:val="1"/>
          <w:color w:val="000000"/>
        </w:rPr>
        <w:t>Piggyback</w:t>
      </w:r>
      <w:r>
        <w:rPr>
          <w:rFonts w:ascii="Arial" w:cs="Arial" w:eastAsia="Arial" w:hAnsi="Arial"/>
          <w:sz w:val="19"/>
          <w:szCs w:val="19"/>
          <w:color w:val="000000"/>
        </w:rPr>
        <w:t xml:space="preserve"> </w:t>
      </w:r>
      <w:r>
        <w:rPr>
          <w:rFonts w:ascii="Arial" w:cs="Arial" w:eastAsia="Arial" w:hAnsi="Arial"/>
          <w:sz w:val="19"/>
          <w:szCs w:val="19"/>
          <w:b w:val="1"/>
          <w:bCs w:val="1"/>
          <w:i w:val="1"/>
          <w:iCs w:val="1"/>
          <w:color w:val="000000"/>
        </w:rPr>
        <w:t>Registration</w:t>
      </w:r>
      <w:r>
        <w:rPr>
          <w:rFonts w:ascii="Arial" w:cs="Arial" w:eastAsia="Arial" w:hAnsi="Arial"/>
          <w:sz w:val="19"/>
          <w:szCs w:val="19"/>
          <w:color w:val="000000"/>
        </w:rPr>
        <w:t>”). The Company shall, in good faith, cause such Registrable Securities to be included in such Piggyback</w:t>
      </w:r>
      <w:r>
        <w:rPr>
          <w:rFonts w:ascii="Arial" w:cs="Arial" w:eastAsia="Arial" w:hAnsi="Arial"/>
          <w:sz w:val="19"/>
          <w:szCs w:val="19"/>
          <w:b w:val="1"/>
          <w:bCs w:val="1"/>
          <w:i w:val="1"/>
          <w:iCs w:val="1"/>
          <w:color w:val="000000"/>
        </w:rPr>
        <w:t xml:space="preserve"> </w:t>
      </w:r>
      <w:r>
        <w:rPr>
          <w:rFonts w:ascii="Arial" w:cs="Arial" w:eastAsia="Arial" w:hAnsi="Arial"/>
          <w:sz w:val="19"/>
          <w:szCs w:val="19"/>
          <w:color w:val="000000"/>
        </w:rPr>
        <w:t xml:space="preserve">Registration and shall use its best efforts to cause the managing Underwriter or Underwriters of a proposed Underwritten Offering to permit the Registrable Securities requested by the Holders pursuant to this </w:t>
      </w:r>
      <w:r>
        <w:rPr>
          <w:rFonts w:ascii="Arial" w:cs="Arial" w:eastAsia="Arial" w:hAnsi="Arial"/>
          <w:sz w:val="19"/>
          <w:szCs w:val="19"/>
          <w:u w:val="single" w:color="auto"/>
          <w:color w:val="000000"/>
        </w:rPr>
        <w:t>subsection 2.2.1</w:t>
      </w:r>
      <w:r>
        <w:rPr>
          <w:rFonts w:ascii="Arial" w:cs="Arial" w:eastAsia="Arial" w:hAnsi="Arial"/>
          <w:sz w:val="19"/>
          <w:szCs w:val="19"/>
          <w:color w:val="000000"/>
        </w:rPr>
        <w:t xml:space="preserve"> 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All such Holders proposing to distribute their Registrable Securities through an Underwritten Offering under this </w:t>
      </w:r>
      <w:r>
        <w:rPr>
          <w:rFonts w:ascii="Arial" w:cs="Arial" w:eastAsia="Arial" w:hAnsi="Arial"/>
          <w:sz w:val="19"/>
          <w:szCs w:val="19"/>
          <w:u w:val="single" w:color="auto"/>
          <w:color w:val="000000"/>
        </w:rPr>
        <w:t>subsection 2.2.1</w:t>
      </w:r>
      <w:r>
        <w:rPr>
          <w:rFonts w:ascii="Arial" w:cs="Arial" w:eastAsia="Arial" w:hAnsi="Arial"/>
          <w:sz w:val="19"/>
          <w:szCs w:val="19"/>
          <w:color w:val="000000"/>
        </w:rPr>
        <w:t xml:space="preserve"> shall enter into an underwriting agreement in customary form with the Underwriter(s) selected for such Underwritten Offering by the Company. The notice periods set forth in this </w:t>
      </w:r>
      <w:r>
        <w:rPr>
          <w:rFonts w:ascii="Arial" w:cs="Arial" w:eastAsia="Arial" w:hAnsi="Arial"/>
          <w:sz w:val="19"/>
          <w:szCs w:val="19"/>
          <w:u w:val="single" w:color="auto"/>
          <w:color w:val="000000"/>
        </w:rPr>
        <w:t>subsection 2.2.1</w:t>
      </w:r>
      <w:r>
        <w:rPr>
          <w:rFonts w:ascii="Arial" w:cs="Arial" w:eastAsia="Arial" w:hAnsi="Arial"/>
          <w:sz w:val="19"/>
          <w:szCs w:val="19"/>
          <w:color w:val="000000"/>
        </w:rPr>
        <w:t xml:space="preserve"> shall not apply to an Underwritten Shelf Takedown conducted in accordance with </w:t>
      </w:r>
      <w:r>
        <w:rPr>
          <w:rFonts w:ascii="Arial" w:cs="Arial" w:eastAsia="Arial" w:hAnsi="Arial"/>
          <w:sz w:val="19"/>
          <w:szCs w:val="19"/>
          <w:u w:val="single" w:color="auto"/>
          <w:color w:val="000000"/>
        </w:rPr>
        <w:t>subsection 2.3.3</w:t>
      </w:r>
      <w:r>
        <w:rPr>
          <w:rFonts w:ascii="Arial" w:cs="Arial" w:eastAsia="Arial" w:hAnsi="Arial"/>
          <w:sz w:val="19"/>
          <w:szCs w:val="19"/>
          <w:color w:val="000000"/>
        </w:rPr>
        <w: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4" w:name="page165"/>
    <w:bookmarkEnd w:id="164"/>
    <w:p>
      <w:pPr>
        <w:jc w:val="both"/>
        <w:ind w:firstLine="1296"/>
        <w:spacing w:after="0" w:line="245" w:lineRule="auto"/>
        <w:rPr>
          <w:sz w:val="20"/>
          <w:szCs w:val="20"/>
          <w:color w:val="auto"/>
        </w:rPr>
      </w:pPr>
      <w:r>
        <w:rPr>
          <w:rFonts w:ascii="Arial" w:cs="Arial" w:eastAsia="Arial" w:hAnsi="Arial"/>
          <w:sz w:val="21"/>
          <w:szCs w:val="21"/>
          <w:color w:val="010000"/>
        </w:rPr>
        <w:t xml:space="preserve">2.2.2 </w:t>
      </w:r>
      <w:r>
        <w:rPr>
          <w:rFonts w:ascii="Arial" w:cs="Arial" w:eastAsia="Arial" w:hAnsi="Arial"/>
          <w:sz w:val="21"/>
          <w:szCs w:val="21"/>
          <w:u w:val="single" w:color="auto"/>
          <w:color w:val="000000"/>
        </w:rPr>
        <w:t>Reduction of Piggyback Registration</w:t>
      </w:r>
      <w:r>
        <w:rPr>
          <w:rFonts w:ascii="Arial" w:cs="Arial" w:eastAsia="Arial" w:hAnsi="Arial"/>
          <w:sz w:val="21"/>
          <w:szCs w:val="21"/>
          <w:color w:val="000000"/>
        </w:rPr>
        <w:t>. If the managing Underwriter or Underwriters in an Underwritten</w:t>
      </w:r>
      <w:r>
        <w:rPr>
          <w:rFonts w:ascii="Arial" w:cs="Arial" w:eastAsia="Arial" w:hAnsi="Arial"/>
          <w:sz w:val="21"/>
          <w:szCs w:val="21"/>
          <w:color w:val="010000"/>
        </w:rPr>
        <w:t xml:space="preserve"> </w:t>
      </w:r>
      <w:r>
        <w:rPr>
          <w:rFonts w:ascii="Arial" w:cs="Arial" w:eastAsia="Arial" w:hAnsi="Arial"/>
          <w:sz w:val="21"/>
          <w:szCs w:val="21"/>
          <w:color w:val="000000"/>
        </w:rPr>
        <w:t xml:space="preserve">Registration that is to be a Piggyback Registration (other than Underwritten Shelf Takedown), in good faith, advises the Company and the Holders of Registrable Securities participating in the Piggyback Registration in writing that the dollar amount or number of the Ordinary Shares that the Company desires to sell, taken together with (i) the Ordinary Shares, if any, as to which Registration has been demanded pursuant to separate written contractual arrangements with persons or entities other than the Holders of Registrable Securities hereunder, (ii) the Registrable Securities as to which registration has been requested pursuant </w:t>
      </w:r>
      <w:r>
        <w:rPr>
          <w:rFonts w:ascii="Arial" w:cs="Arial" w:eastAsia="Arial" w:hAnsi="Arial"/>
          <w:sz w:val="21"/>
          <w:szCs w:val="21"/>
          <w:u w:val="single" w:color="auto"/>
          <w:color w:val="000000"/>
        </w:rPr>
        <w:t>Section 2.2</w:t>
      </w:r>
      <w:r>
        <w:rPr>
          <w:rFonts w:ascii="Arial" w:cs="Arial" w:eastAsia="Arial" w:hAnsi="Arial"/>
          <w:sz w:val="21"/>
          <w:szCs w:val="21"/>
          <w:color w:val="000000"/>
        </w:rPr>
        <w:t xml:space="preserve"> hereof, and (iii) the Ordinary Shares, if any, as to which Registration has been requested pursuant to separate written contractual piggy-back registration rights of other shareholders of the Company, exceeds the Maximum Number of Securities, then:</w:t>
      </w:r>
    </w:p>
    <w:p>
      <w:pPr>
        <w:spacing w:after="0" w:line="212" w:lineRule="exact"/>
        <w:rPr>
          <w:sz w:val="20"/>
          <w:szCs w:val="20"/>
          <w:color w:val="auto"/>
        </w:rPr>
      </w:pPr>
    </w:p>
    <w:p>
      <w:pPr>
        <w:jc w:val="both"/>
        <w:ind w:firstLine="1952"/>
        <w:spacing w:after="0" w:line="273" w:lineRule="auto"/>
        <w:tabs>
          <w:tab w:leader="none" w:pos="2859" w:val="left"/>
        </w:tabs>
        <w:numPr>
          <w:ilvl w:val="0"/>
          <w:numId w:val="254"/>
        </w:numPr>
        <w:rPr>
          <w:rFonts w:ascii="Arial" w:cs="Arial" w:eastAsia="Arial" w:hAnsi="Arial"/>
          <w:sz w:val="19"/>
          <w:szCs w:val="19"/>
          <w:color w:val="010000"/>
        </w:rPr>
      </w:pPr>
      <w:r>
        <w:rPr>
          <w:rFonts w:ascii="Arial" w:cs="Arial" w:eastAsia="Arial" w:hAnsi="Arial"/>
          <w:sz w:val="19"/>
          <w:szCs w:val="19"/>
          <w:color w:val="auto"/>
        </w:rPr>
        <w:t xml:space="preserve">If the Registration is undertaken for the Company’s account, the Company shall include in any such Registration (A) first, the Ordinary Shares or other equity securities that the Company desires to sell, which can be sold without exceeding the Maximum Number of Securities; and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hereof, Pro Rata based on the respective number of Registrable Securities that each Holder has so requested exercising its rights to register its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xml:space="preserve"> hereof, which can be sold without exceeding the Maximum Number of Securities; and (C) third, to the extent that the Maximum Number of Securities has not been reached under the foregoing clauses (A) and (B), the Ordinary Shares, if any, as to which Registration has been requested pursuant to written contractual piggy-back registration rights of other shareholders of the Company, which can be sold without exceeding the Maximum Number of Securities;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5" w:name="page166"/>
    <w:bookmarkEnd w:id="165"/>
    <w:p>
      <w:pPr>
        <w:jc w:val="both"/>
        <w:ind w:firstLine="1952"/>
        <w:spacing w:after="0" w:line="272" w:lineRule="auto"/>
        <w:tabs>
          <w:tab w:leader="none" w:pos="2913" w:val="left"/>
        </w:tabs>
        <w:numPr>
          <w:ilvl w:val="0"/>
          <w:numId w:val="255"/>
        </w:numPr>
        <w:rPr>
          <w:rFonts w:ascii="Arial" w:cs="Arial" w:eastAsia="Arial" w:hAnsi="Arial"/>
          <w:sz w:val="19"/>
          <w:szCs w:val="19"/>
          <w:color w:val="010000"/>
        </w:rPr>
      </w:pPr>
      <w:r>
        <w:rPr>
          <w:rFonts w:ascii="Arial" w:cs="Arial" w:eastAsia="Arial" w:hAnsi="Arial"/>
          <w:sz w:val="19"/>
          <w:szCs w:val="19"/>
          <w:color w:val="auto"/>
        </w:rPr>
        <w:t xml:space="preserve">If the Registration is pursuant to a request by persons or entities other than the Holders of Registrable Securities, then the Company shall include in any such Registration (A) first, the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9"/>
          <w:szCs w:val="19"/>
          <w:u w:val="single" w:color="auto"/>
          <w:color w:val="auto"/>
        </w:rPr>
        <w:t>subsection 2.2.1</w:t>
      </w:r>
      <w:r>
        <w:rPr>
          <w:rFonts w:ascii="Arial" w:cs="Arial" w:eastAsia="Arial" w:hAnsi="Arial"/>
          <w:sz w:val="19"/>
          <w:szCs w:val="19"/>
          <w:color w:val="auto"/>
        </w:rPr>
        <w:t>, Pro Rata, which can be sold without exceeding the Maximum Number of Securities; (C) third, to the extent that the Maximum Number of Securities has not been reached under the foregoing clauses (A) and (B), the Ordinary Shares or other equity securities that the Company desires to sell, which can be sold without exceeding the Maximum Number of Securities; and (D) fourth, to the extent that the Maximum Number of Securities has not been reached under the foregoing clauses (A), (B) and (C), the Ordinary Shares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88" w:lineRule="exact"/>
        <w:rPr>
          <w:sz w:val="20"/>
          <w:szCs w:val="20"/>
          <w:color w:val="auto"/>
        </w:rPr>
      </w:pPr>
    </w:p>
    <w:p>
      <w:pPr>
        <w:jc w:val="both"/>
        <w:ind w:firstLine="1296"/>
        <w:spacing w:after="0" w:line="245" w:lineRule="auto"/>
        <w:rPr>
          <w:sz w:val="20"/>
          <w:szCs w:val="20"/>
          <w:color w:val="auto"/>
        </w:rPr>
      </w:pPr>
      <w:r>
        <w:rPr>
          <w:rFonts w:ascii="Arial" w:cs="Arial" w:eastAsia="Arial" w:hAnsi="Arial"/>
          <w:sz w:val="21"/>
          <w:szCs w:val="21"/>
          <w:color w:val="010000"/>
        </w:rPr>
        <w:t xml:space="preserve">2.2.3 </w:t>
      </w:r>
      <w:r>
        <w:rPr>
          <w:rFonts w:ascii="Arial" w:cs="Arial" w:eastAsia="Arial" w:hAnsi="Arial"/>
          <w:sz w:val="21"/>
          <w:szCs w:val="21"/>
          <w:u w:val="single" w:color="auto"/>
          <w:color w:val="000000"/>
        </w:rPr>
        <w:t>Piggyback Registration Withdrawal</w:t>
      </w:r>
      <w:r>
        <w:rPr>
          <w:rFonts w:ascii="Arial" w:cs="Arial" w:eastAsia="Arial" w:hAnsi="Arial"/>
          <w:sz w:val="21"/>
          <w:szCs w:val="21"/>
          <w:color w:val="000000"/>
        </w:rPr>
        <w:t>. Any Holder of Registrable Securities shall have the right to</w:t>
      </w:r>
      <w:r>
        <w:rPr>
          <w:rFonts w:ascii="Arial" w:cs="Arial" w:eastAsia="Arial" w:hAnsi="Arial"/>
          <w:sz w:val="21"/>
          <w:szCs w:val="21"/>
          <w:color w:val="010000"/>
        </w:rPr>
        <w:t xml:space="preserve"> </w:t>
      </w:r>
      <w:r>
        <w:rPr>
          <w:rFonts w:ascii="Arial" w:cs="Arial" w:eastAsia="Arial" w:hAnsi="Arial"/>
          <w:sz w:val="21"/>
          <w:szCs w:val="21"/>
          <w:color w:val="000000"/>
        </w:rPr>
        <w:t xml:space="preserve">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21"/>
          <w:szCs w:val="21"/>
          <w:u w:val="single" w:color="auto"/>
          <w:color w:val="000000"/>
        </w:rPr>
        <w:t>subsection 2.2.3</w:t>
      </w:r>
      <w:r>
        <w:rPr>
          <w:rFonts w:ascii="Arial" w:cs="Arial" w:eastAsia="Arial" w:hAnsi="Arial"/>
          <w:sz w:val="21"/>
          <w:szCs w:val="21"/>
          <w:color w:val="000000"/>
        </w:rPr>
        <w:t>.</w:t>
      </w:r>
    </w:p>
    <w:p>
      <w:pPr>
        <w:spacing w:after="0" w:line="211" w:lineRule="exact"/>
        <w:rPr>
          <w:sz w:val="20"/>
          <w:szCs w:val="20"/>
          <w:color w:val="auto"/>
        </w:rPr>
      </w:pPr>
    </w:p>
    <w:p>
      <w:pPr>
        <w:jc w:val="both"/>
        <w:ind w:firstLine="1296"/>
        <w:spacing w:after="0" w:line="328" w:lineRule="auto"/>
        <w:rPr>
          <w:sz w:val="20"/>
          <w:szCs w:val="20"/>
          <w:color w:val="auto"/>
        </w:rPr>
      </w:pPr>
      <w:r>
        <w:rPr>
          <w:rFonts w:ascii="Arial" w:cs="Arial" w:eastAsia="Arial" w:hAnsi="Arial"/>
          <w:sz w:val="19"/>
          <w:szCs w:val="19"/>
          <w:color w:val="010000"/>
        </w:rPr>
        <w:t xml:space="preserve">2.2.4 </w:t>
      </w:r>
      <w:r>
        <w:rPr>
          <w:rFonts w:ascii="Arial" w:cs="Arial" w:eastAsia="Arial" w:hAnsi="Arial"/>
          <w:sz w:val="19"/>
          <w:szCs w:val="19"/>
          <w:u w:val="single" w:color="auto"/>
          <w:color w:val="000000"/>
        </w:rPr>
        <w:t>Unlimited Piggyback Registration Rights</w:t>
      </w:r>
      <w:r>
        <w:rPr>
          <w:rFonts w:ascii="Arial" w:cs="Arial" w:eastAsia="Arial" w:hAnsi="Arial"/>
          <w:sz w:val="19"/>
          <w:szCs w:val="19"/>
          <w:color w:val="000000"/>
        </w:rPr>
        <w:t>. For purposes of clarity, any Registration effected pursuant to</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2.2</w:t>
      </w:r>
      <w:r>
        <w:rPr>
          <w:rFonts w:ascii="Arial" w:cs="Arial" w:eastAsia="Arial" w:hAnsi="Arial"/>
          <w:sz w:val="19"/>
          <w:szCs w:val="19"/>
          <w:color w:val="000000"/>
        </w:rPr>
        <w:t xml:space="preserve"> hereof shall not be counted as a Registration pursuant to a Demand Registration effected under </w:t>
      </w:r>
      <w:r>
        <w:rPr>
          <w:rFonts w:ascii="Arial" w:cs="Arial" w:eastAsia="Arial" w:hAnsi="Arial"/>
          <w:sz w:val="19"/>
          <w:szCs w:val="19"/>
          <w:u w:val="single" w:color="auto"/>
          <w:color w:val="000000"/>
        </w:rPr>
        <w:t>Section 2.1</w:t>
      </w:r>
      <w:r>
        <w:rPr>
          <w:rFonts w:ascii="Arial" w:cs="Arial" w:eastAsia="Arial" w:hAnsi="Arial"/>
          <w:sz w:val="19"/>
          <w:szCs w:val="19"/>
          <w:color w:val="000000"/>
        </w:rPr>
        <w:t xml:space="preserve"> hereof.</w:t>
      </w:r>
    </w:p>
    <w:p>
      <w:pPr>
        <w:spacing w:after="0" w:line="132"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010000"/>
        </w:rPr>
        <w:t>2.3</w:t>
      </w:r>
      <w:r>
        <w:rPr>
          <w:sz w:val="20"/>
          <w:szCs w:val="20"/>
          <w:color w:val="auto"/>
        </w:rPr>
        <w:tab/>
      </w:r>
      <w:r>
        <w:rPr>
          <w:rFonts w:ascii="Arial" w:cs="Arial" w:eastAsia="Arial" w:hAnsi="Arial"/>
          <w:sz w:val="19"/>
          <w:szCs w:val="19"/>
          <w:u w:val="single" w:color="auto"/>
          <w:color w:val="auto"/>
        </w:rPr>
        <w:t>Shelf Registrations</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010000"/>
        </w:rPr>
        <w:t xml:space="preserve">2.3.1 </w:t>
      </w:r>
      <w:r>
        <w:rPr>
          <w:rFonts w:ascii="Arial" w:cs="Arial" w:eastAsia="Arial" w:hAnsi="Arial"/>
          <w:sz w:val="19"/>
          <w:szCs w:val="19"/>
          <w:color w:val="000000"/>
        </w:rPr>
        <w:t>The Holders of Registrable Securities may at any time, and from time to time, request in writing that the</w:t>
      </w:r>
      <w:r>
        <w:rPr>
          <w:rFonts w:ascii="Arial" w:cs="Arial" w:eastAsia="Arial" w:hAnsi="Arial"/>
          <w:sz w:val="19"/>
          <w:szCs w:val="19"/>
          <w:color w:val="010000"/>
        </w:rPr>
        <w:t xml:space="preserve"> </w:t>
      </w:r>
      <w:r>
        <w:rPr>
          <w:rFonts w:ascii="Arial" w:cs="Arial" w:eastAsia="Arial" w:hAnsi="Arial"/>
          <w:sz w:val="19"/>
          <w:szCs w:val="19"/>
          <w:color w:val="000000"/>
        </w:rPr>
        <w:t>Company,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9"/>
          <w:szCs w:val="19"/>
          <w:b w:val="1"/>
          <w:bCs w:val="1"/>
          <w:i w:val="1"/>
          <w:iCs w:val="1"/>
          <w:color w:val="000000"/>
        </w:rPr>
        <w:t>Form S-3</w:t>
      </w:r>
      <w:r>
        <w:rPr>
          <w:rFonts w:ascii="Arial" w:cs="Arial" w:eastAsia="Arial" w:hAnsi="Arial"/>
          <w:sz w:val="19"/>
          <w:szCs w:val="19"/>
          <w:color w:val="000000"/>
        </w:rPr>
        <w:t xml:space="preserve">”), or if the Company is ineligible to use Form S-3, on Form S-1; a registration statement filed pursuant to this </w:t>
      </w:r>
      <w:r>
        <w:rPr>
          <w:rFonts w:ascii="Arial" w:cs="Arial" w:eastAsia="Arial" w:hAnsi="Arial"/>
          <w:sz w:val="19"/>
          <w:szCs w:val="19"/>
          <w:u w:val="single" w:color="auto"/>
          <w:color w:val="000000"/>
        </w:rPr>
        <w:t>subsection 2.3.1</w:t>
      </w:r>
      <w:r>
        <w:rPr>
          <w:rFonts w:ascii="Arial" w:cs="Arial" w:eastAsia="Arial" w:hAnsi="Arial"/>
          <w:sz w:val="19"/>
          <w:szCs w:val="19"/>
          <w:color w:val="000000"/>
        </w:rPr>
        <w:t xml:space="preserve"> (a “</w:t>
      </w:r>
      <w:r>
        <w:rPr>
          <w:rFonts w:ascii="Arial" w:cs="Arial" w:eastAsia="Arial" w:hAnsi="Arial"/>
          <w:sz w:val="19"/>
          <w:szCs w:val="19"/>
          <w:b w:val="1"/>
          <w:bCs w:val="1"/>
          <w:i w:val="1"/>
          <w:iCs w:val="1"/>
          <w:color w:val="000000"/>
        </w:rPr>
        <w:t>Shelf</w:t>
      </w:r>
      <w:r>
        <w:rPr>
          <w:rFonts w:ascii="Arial" w:cs="Arial" w:eastAsia="Arial" w:hAnsi="Arial"/>
          <w:sz w:val="19"/>
          <w:szCs w:val="19"/>
          <w:color w:val="000000"/>
        </w:rPr>
        <w:t xml:space="preserve">”) shall provide for the resale of the Registrable Securities included therein pursuant to any method or combination of methods legally available to, and requested by, any Holder. Within three (3) days of the Company’s receipt of a written request from a Holder or Holders of Registrable Securities for a Registration on a Shelf, the Company shall promptly give written notice of the proposed Registration to all other Holders of Registrable Securities, and each Holder of Registrable Securities who thereafter wishes to include all or a portion of such Holder’s Registrable Securities in such Registration shall so notify the Company, in writing, within three (3) business days after the receipt by the Holder of the notice from the Company. As soon as practicable thereafter, but not more than ten (10) days after the Company’s initial receipt of such written request for a Registration on a Shelf, the Company shall register all or such portion of such Holder’s Registrable Securities as are specified in such written request, together with all or such portion of Registrable Securities of any other Holder or Holders joining in such request as are specified in the written notification given by such Holder or Holders; provided, however, that the Company shall not be obligated to effect any such Registration pursuant to this </w:t>
      </w:r>
      <w:r>
        <w:rPr>
          <w:rFonts w:ascii="Arial" w:cs="Arial" w:eastAsia="Arial" w:hAnsi="Arial"/>
          <w:sz w:val="19"/>
          <w:szCs w:val="19"/>
          <w:u w:val="single" w:color="auto"/>
          <w:color w:val="000000"/>
        </w:rPr>
        <w:t>subsection 2.3.1</w:t>
      </w:r>
      <w:r>
        <w:rPr>
          <w:rFonts w:ascii="Arial" w:cs="Arial" w:eastAsia="Arial" w:hAnsi="Arial"/>
          <w:sz w:val="19"/>
          <w:szCs w:val="19"/>
          <w:color w:val="000000"/>
        </w:rPr>
        <w:t xml:space="preserve"> if the Holders of Registrable Securities, together with the Holders of any other equity securities of the Company entitled to inclusion in such Registration, propose to sell the Registrable Securities and such other equity securities (if any) at any aggregate price to the public of less than $10,000,000. The Company shall maintain each Shelf in accordance with the terms hereof, and shall prepare and file with the Commission such amendments, including post-effective amendments, and supplements as may be necessary to keep such Shelf continuously effective, available for use and in compliance with the provisions of the Securities Act until such time as there are no longer any Registrable Securities included on such Shelf. In the event the Company files a Shelf on Form S-1, the Company shall use its commercially reasonable efforts to convert the Form S-1 to a Form S-3 as soon as practicable after the Company is eligible to use Form S-3.</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6" w:name="page167"/>
    <w:bookmarkEnd w:id="166"/>
    <w:p>
      <w:pPr>
        <w:jc w:val="both"/>
        <w:ind w:firstLine="1296"/>
        <w:spacing w:after="0" w:line="270" w:lineRule="auto"/>
        <w:rPr>
          <w:sz w:val="20"/>
          <w:szCs w:val="20"/>
          <w:color w:val="auto"/>
        </w:rPr>
      </w:pPr>
      <w:r>
        <w:rPr>
          <w:rFonts w:ascii="Arial" w:cs="Arial" w:eastAsia="Arial" w:hAnsi="Arial"/>
          <w:sz w:val="19"/>
          <w:szCs w:val="19"/>
          <w:color w:val="010000"/>
        </w:rPr>
        <w:t xml:space="preserve">2.3.2 </w:t>
      </w:r>
      <w:r>
        <w:rPr>
          <w:rFonts w:ascii="Arial" w:cs="Arial" w:eastAsia="Arial" w:hAnsi="Arial"/>
          <w:sz w:val="19"/>
          <w:szCs w:val="19"/>
          <w:color w:val="000000"/>
        </w:rPr>
        <w:t>If any Shelf ceases to be effective under the Securities Act for any reason at any time while Registrable</w:t>
      </w:r>
      <w:r>
        <w:rPr>
          <w:rFonts w:ascii="Arial" w:cs="Arial" w:eastAsia="Arial" w:hAnsi="Arial"/>
          <w:sz w:val="19"/>
          <w:szCs w:val="19"/>
          <w:color w:val="010000"/>
        </w:rPr>
        <w:t xml:space="preserve"> </w:t>
      </w:r>
      <w:r>
        <w:rPr>
          <w:rFonts w:ascii="Arial" w:cs="Arial" w:eastAsia="Arial" w:hAnsi="Arial"/>
          <w:sz w:val="19"/>
          <w:szCs w:val="19"/>
          <w:color w:val="000000"/>
        </w:rPr>
        <w:t>Securities included thereon are still outstanding, the Company shall use its commercially reasonable efforts to as promptly as is reasonably practicable cause such Shelf to again become effective under the Securities Act (including obtaining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 “</w:t>
      </w:r>
      <w:r>
        <w:rPr>
          <w:rFonts w:ascii="Arial" w:cs="Arial" w:eastAsia="Arial" w:hAnsi="Arial"/>
          <w:sz w:val="19"/>
          <w:szCs w:val="19"/>
          <w:b w:val="1"/>
          <w:bCs w:val="1"/>
          <w:i w:val="1"/>
          <w:iCs w:val="1"/>
          <w:color w:val="000000"/>
        </w:rPr>
        <w:t>Subsequent Shelf Registration</w:t>
      </w:r>
      <w:r>
        <w:rPr>
          <w:rFonts w:ascii="Arial" w:cs="Arial" w:eastAsia="Arial" w:hAnsi="Arial"/>
          <w:sz w:val="19"/>
          <w:szCs w:val="19"/>
          <w:color w:val="000000"/>
        </w:rPr>
        <w:t xml:space="preserve">”) registering the resale of all Registrable Securities including on such Shelf, and pursuant to any method or combination of methods legally available to, and requested by, any Holder. If a Subsequent Shelf Registration is filed, the Company shall use its commercially reasonable efforts to (i) cause such Subsequent Shelf Registration to become effective under the Securities Act as promptly as is reasonably practicable after the filing thereof and (ii) keep such Subsequent Shelf Registration continuously effective, available for use and in compliance with the provisions of the Securities Act until such time as there are no longer any Registrable Securities included thereon. Any such Subsequent Shelf Registration shall be on Form S-3 to the extent that the Company is eligible to use such form. Otherwise, such Subsequent Shelf Registration shall be on another appropriate form. In the event that any Holder holds Registrable Securities that are not registered for resale on a delayed or continuous basis, the Company, upon request of a Holder shall promptly use its commercially reasonable efforts to cause the resale of such Registrable Securities to be covered by either, at the Company’s option, a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the Company shall only be required to cause such Registrable Securities to be so covered once annually after inquiry of the Holders.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7" w:name="page168"/>
    <w:bookmarkEnd w:id="167"/>
    <w:p>
      <w:pPr>
        <w:jc w:val="both"/>
        <w:ind w:firstLine="1296"/>
        <w:spacing w:after="0" w:line="271" w:lineRule="auto"/>
        <w:rPr>
          <w:sz w:val="20"/>
          <w:szCs w:val="20"/>
          <w:color w:val="auto"/>
        </w:rPr>
      </w:pPr>
      <w:r>
        <w:rPr>
          <w:rFonts w:ascii="Arial" w:cs="Arial" w:eastAsia="Arial" w:hAnsi="Arial"/>
          <w:sz w:val="19"/>
          <w:szCs w:val="19"/>
          <w:color w:val="010000"/>
        </w:rPr>
        <w:t xml:space="preserve">2.3.3 </w:t>
      </w:r>
      <w:r>
        <w:rPr>
          <w:rFonts w:ascii="Arial" w:cs="Arial" w:eastAsia="Arial" w:hAnsi="Arial"/>
          <w:sz w:val="19"/>
          <w:szCs w:val="19"/>
          <w:color w:val="000000"/>
        </w:rPr>
        <w:t>At any time and from time to time after a Shelf has been declared effective by the Commission, the</w:t>
      </w:r>
      <w:r>
        <w:rPr>
          <w:rFonts w:ascii="Arial" w:cs="Arial" w:eastAsia="Arial" w:hAnsi="Arial"/>
          <w:sz w:val="19"/>
          <w:szCs w:val="19"/>
          <w:color w:val="010000"/>
        </w:rPr>
        <w:t xml:space="preserve"> </w:t>
      </w:r>
      <w:r>
        <w:rPr>
          <w:rFonts w:ascii="Arial" w:cs="Arial" w:eastAsia="Arial" w:hAnsi="Arial"/>
          <w:sz w:val="19"/>
          <w:szCs w:val="19"/>
          <w:color w:val="000000"/>
        </w:rPr>
        <w:t>Sponsor may request to sell all or any portion of its Registrable Securities in an underwritten offering that is registered pursuant to the Shelf (each, an “</w:t>
      </w:r>
      <w:r>
        <w:rPr>
          <w:rFonts w:ascii="Arial" w:cs="Arial" w:eastAsia="Arial" w:hAnsi="Arial"/>
          <w:sz w:val="19"/>
          <w:szCs w:val="19"/>
          <w:b w:val="1"/>
          <w:bCs w:val="1"/>
          <w:i w:val="1"/>
          <w:iCs w:val="1"/>
          <w:color w:val="000000"/>
        </w:rPr>
        <w:t>Underwritten Shelf Takedown</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that the Company shall only be obligated to effect an Underwritten Shelf Takedown if such offering shall include securities with a total offering price (including piggyback securities and before deduction of underwriting discounts) reasonably expected to exceed, in the aggregate, $10,000,000. All requests for Underwritten Shelf Takedowns shall be made by giving written notice to the Company at least 48 hours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include in any Underwritten Shelf Takedown the securities requested to be included by any holder (each a “</w:t>
      </w:r>
      <w:r>
        <w:rPr>
          <w:rFonts w:ascii="Arial" w:cs="Arial" w:eastAsia="Arial" w:hAnsi="Arial"/>
          <w:sz w:val="19"/>
          <w:szCs w:val="19"/>
          <w:b w:val="1"/>
          <w:bCs w:val="1"/>
          <w:i w:val="1"/>
          <w:iCs w:val="1"/>
          <w:color w:val="000000"/>
        </w:rPr>
        <w:t>Takedown Requesting Holder</w:t>
      </w:r>
      <w:r>
        <w:rPr>
          <w:rFonts w:ascii="Arial" w:cs="Arial" w:eastAsia="Arial" w:hAnsi="Arial"/>
          <w:sz w:val="19"/>
          <w:szCs w:val="19"/>
          <w:color w:val="000000"/>
        </w:rPr>
        <w:t xml:space="preserve">”) at least 24 hours prior to the public announcement of such Underwritten Shelf Takedown pursuant to written contractual piggyback registration rights of such holder (including to those set forth herein). The Sponsor and the Takedown Requesting Holders (if any) shall have the right to select the underwriter(s) for such offering (which shall consist of one or more reputable nationally recognized investment banks), subject to the Company’s prior approval which shall not be unreasonably withheld, conditioned or delayed. For purposes of clarity, any Registration effected pursuant to this </w:t>
      </w:r>
      <w:r>
        <w:rPr>
          <w:rFonts w:ascii="Arial" w:cs="Arial" w:eastAsia="Arial" w:hAnsi="Arial"/>
          <w:sz w:val="19"/>
          <w:szCs w:val="19"/>
          <w:u w:val="single" w:color="auto"/>
          <w:color w:val="000000"/>
        </w:rPr>
        <w:t>subsection 2.3.3</w:t>
      </w:r>
      <w:r>
        <w:rPr>
          <w:rFonts w:ascii="Arial" w:cs="Arial" w:eastAsia="Arial" w:hAnsi="Arial"/>
          <w:sz w:val="19"/>
          <w:szCs w:val="19"/>
          <w:color w:val="000000"/>
        </w:rPr>
        <w:t xml:space="preserve"> shall not be counted as a Registration pursuant to a Demand Registration effected under </w:t>
      </w:r>
      <w:r>
        <w:rPr>
          <w:rFonts w:ascii="Arial" w:cs="Arial" w:eastAsia="Arial" w:hAnsi="Arial"/>
          <w:sz w:val="19"/>
          <w:szCs w:val="19"/>
          <w:u w:val="single" w:color="auto"/>
          <w:color w:val="000000"/>
        </w:rPr>
        <w:t>Section 2.1</w:t>
      </w:r>
      <w:r>
        <w:rPr>
          <w:rFonts w:ascii="Arial" w:cs="Arial" w:eastAsia="Arial" w:hAnsi="Arial"/>
          <w:sz w:val="19"/>
          <w:szCs w:val="19"/>
          <w:color w:val="000000"/>
        </w:rPr>
        <w:t xml:space="preserve"> hereof.</w:t>
      </w:r>
    </w:p>
    <w:p>
      <w:pPr>
        <w:spacing w:after="0" w:line="200" w:lineRule="exact"/>
        <w:rPr>
          <w:sz w:val="20"/>
          <w:szCs w:val="20"/>
          <w:color w:val="auto"/>
        </w:rPr>
      </w:pPr>
    </w:p>
    <w:p>
      <w:pPr>
        <w:spacing w:after="0" w:line="23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9"/>
          <w:szCs w:val="19"/>
          <w:color w:val="010000"/>
        </w:rPr>
        <w:t xml:space="preserve">2.3.4 </w:t>
      </w:r>
      <w:r>
        <w:rPr>
          <w:rFonts w:ascii="Arial" w:cs="Arial" w:eastAsia="Arial" w:hAnsi="Arial"/>
          <w:sz w:val="19"/>
          <w:szCs w:val="19"/>
          <w:color w:val="000000"/>
        </w:rPr>
        <w:t>If the managing Underwriter or Underwriters in an Underwritten Shelf Takedown, in good faith, advises</w:t>
      </w:r>
      <w:r>
        <w:rPr>
          <w:rFonts w:ascii="Arial" w:cs="Arial" w:eastAsia="Arial" w:hAnsi="Arial"/>
          <w:sz w:val="19"/>
          <w:szCs w:val="19"/>
          <w:color w:val="010000"/>
        </w:rPr>
        <w:t xml:space="preserve"> </w:t>
      </w:r>
      <w:r>
        <w:rPr>
          <w:rFonts w:ascii="Arial" w:cs="Arial" w:eastAsia="Arial" w:hAnsi="Arial"/>
          <w:sz w:val="19"/>
          <w:szCs w:val="19"/>
          <w:color w:val="000000"/>
        </w:rPr>
        <w:t>the Company, the Sponsor and the Takedown Requesting Holders (if any) in writing that the dollar amount or number of Registrable Securities that the Sponsor and the Takedown Requesting Holders (if any) desire to sell, taken together with all other Ordinary Shares or other equity securities that the Company desires to sell, exceeds the Maximum Number of Securities, then the Company shall include in such Underwritten Shelf Takedown, as follows: (i) first, the Registrable Securities of the Sponsor that can be sold without exceeding the Maximum Number of Securities; (ii) second, to the extent that the Maximum Number of Securities has not been reached under the foregoing clause (i), the Ordinary Shares or other equity securities that the Company desires to sell, which can be sold without exceeding the Maximum Number of Securities; and (iii) third, to the extent that the Maximum Number of Securities has not been reached under the foregoing clauses (i) and (ii), the Ordinary Shares or other equity securities of the Takedown Requesting Holders, if any, that can be sold without exceeding the Maximum Number of Securities, determined Pro Rata based on the respective number of Registrable Securities that each Takedown Requesting Holder has so requested to be included in such Underwritten Shelf Takedown.</w:t>
      </w:r>
    </w:p>
    <w:p>
      <w:pPr>
        <w:spacing w:after="0" w:line="188"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010000"/>
        </w:rPr>
        <w:t xml:space="preserve">2.3.5 </w:t>
      </w:r>
      <w:r>
        <w:rPr>
          <w:rFonts w:ascii="Arial" w:cs="Arial" w:eastAsia="Arial" w:hAnsi="Arial"/>
          <w:sz w:val="22"/>
          <w:szCs w:val="22"/>
          <w:color w:val="000000"/>
        </w:rPr>
        <w:t>The Sponsor and the Takedown Requesting Holders (if any) shall have the right to withdraw from an</w:t>
      </w:r>
      <w:r>
        <w:rPr>
          <w:rFonts w:ascii="Arial" w:cs="Arial" w:eastAsia="Arial" w:hAnsi="Arial"/>
          <w:sz w:val="22"/>
          <w:szCs w:val="22"/>
          <w:color w:val="010000"/>
        </w:rPr>
        <w:t xml:space="preserve"> </w:t>
      </w:r>
      <w:r>
        <w:rPr>
          <w:rFonts w:ascii="Arial" w:cs="Arial" w:eastAsia="Arial" w:hAnsi="Arial"/>
          <w:sz w:val="22"/>
          <w:szCs w:val="22"/>
          <w:color w:val="000000"/>
        </w:rPr>
        <w:t xml:space="preserve">Underwritten Shelf Takedown for any or no reason whatsoever upon written notification to the Company and the Underwriter or Underwriters (if any) of its intention to withdraw from such Underwritten Shelf Takedown prior to the public announcement of such Underwritten Shelf Takedown. Notwithstanding anything to the contrary in this Agreement, the Company shall be responsible for the Registration Expenses incurred in connection with an Underwritten Shelf Takedown prior to a withdrawal under this </w:t>
      </w:r>
      <w:r>
        <w:rPr>
          <w:rFonts w:ascii="Arial" w:cs="Arial" w:eastAsia="Arial" w:hAnsi="Arial"/>
          <w:sz w:val="22"/>
          <w:szCs w:val="22"/>
          <w:u w:val="single" w:color="auto"/>
          <w:color w:val="000000"/>
        </w:rPr>
        <w:t>subsection 2.3.5</w:t>
      </w:r>
      <w:r>
        <w:rPr>
          <w:rFonts w:ascii="Arial" w:cs="Arial" w:eastAsia="Arial" w:hAnsi="Arial"/>
          <w:sz w:val="22"/>
          <w:szCs w:val="22"/>
          <w:color w:val="000000"/>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8" w:name="page169"/>
    <w:bookmarkEnd w:id="168"/>
    <w:p>
      <w:pPr>
        <w:jc w:val="both"/>
        <w:ind w:firstLine="648"/>
        <w:spacing w:after="0" w:line="271" w:lineRule="auto"/>
        <w:rPr>
          <w:sz w:val="20"/>
          <w:szCs w:val="20"/>
          <w:color w:val="auto"/>
        </w:rPr>
      </w:pPr>
      <w:r>
        <w:rPr>
          <w:rFonts w:ascii="Arial" w:cs="Arial" w:eastAsia="Arial" w:hAnsi="Arial"/>
          <w:sz w:val="19"/>
          <w:szCs w:val="19"/>
          <w:color w:val="010000"/>
        </w:rPr>
        <w:t xml:space="preserve">2.4 </w:t>
      </w:r>
      <w:r>
        <w:rPr>
          <w:rFonts w:ascii="Arial" w:cs="Arial" w:eastAsia="Arial" w:hAnsi="Arial"/>
          <w:sz w:val="19"/>
          <w:szCs w:val="19"/>
          <w:u w:val="single" w:color="auto"/>
          <w:color w:val="000000"/>
        </w:rPr>
        <w:t>Restrictions on Registration Rights</w:t>
      </w:r>
      <w:r>
        <w:rPr>
          <w:rFonts w:ascii="Arial" w:cs="Arial" w:eastAsia="Arial" w:hAnsi="Arial"/>
          <w:sz w:val="19"/>
          <w:szCs w:val="19"/>
          <w:color w:val="000000"/>
        </w:rPr>
        <w:t>. If (A) during the period starting with the date sixty (60) days prior to the</w:t>
      </w:r>
      <w:r>
        <w:rPr>
          <w:rFonts w:ascii="Arial" w:cs="Arial" w:eastAsia="Arial" w:hAnsi="Arial"/>
          <w:sz w:val="19"/>
          <w:szCs w:val="19"/>
          <w:color w:val="010000"/>
        </w:rPr>
        <w:t xml:space="preserve"> </w:t>
      </w:r>
      <w:r>
        <w:rPr>
          <w:rFonts w:ascii="Arial" w:cs="Arial" w:eastAsia="Arial" w:hAnsi="Arial"/>
          <w:sz w:val="19"/>
          <w:szCs w:val="19"/>
          <w:color w:val="000000"/>
        </w:rPr>
        <w:t>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subsection 2.1.1 and it continues to actively employ, in good faith, all reasonable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Registration would be seriously detrimental to the Company and the Board concludes as a result that it is essential to defer the filing of such Registration Statement at such time, then in each case the Company shall furnish to such Holders a certificate signed by the Chairman of the Board stating that in the good faith judgment of the Board it would be seriously detrimental to the Company for such Registration Statement to be filed in the near future and that it is therefore essential to defer the filing of such Registration Statement. In such event, the Company shall have the right to defer such filing for a period of not more than thirty (30) days; provided, however, that the Company shall not defer its obligation in this manner more than once in any 12-month period. Notwithstanding anything to the contrary contained in this Agreement, the Company shall not be required to effect or permit any Registration or cause any Registration Statement to become effective, with respect to any Registrable Securities held by any Holder, until after the expiration of the Founder Shares Lock-Up Period or the Private Placement Lock-Up Period, as the case may be.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3</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COMPANY PROCEDURES</w:t>
      </w:r>
    </w:p>
    <w:p>
      <w:pPr>
        <w:spacing w:after="0" w:line="21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u w:val="single" w:color="auto"/>
          <w:color w:val="000000"/>
        </w:rPr>
        <w:t>General Procedures</w:t>
      </w:r>
      <w:r>
        <w:rPr>
          <w:rFonts w:ascii="Arial" w:cs="Arial" w:eastAsia="Arial" w:hAnsi="Arial"/>
          <w:sz w:val="22"/>
          <w:szCs w:val="22"/>
          <w:color w:val="000000"/>
        </w:rPr>
        <w:t>. If at any time on or after the date the Company consummates an initial Business</w:t>
      </w:r>
      <w:r>
        <w:rPr>
          <w:rFonts w:ascii="Arial" w:cs="Arial" w:eastAsia="Arial" w:hAnsi="Arial"/>
          <w:sz w:val="22"/>
          <w:szCs w:val="22"/>
          <w:color w:val="010000"/>
        </w:rPr>
        <w:t xml:space="preserve"> </w:t>
      </w:r>
      <w:r>
        <w:rPr>
          <w:rFonts w:ascii="Arial" w:cs="Arial" w:eastAsia="Arial" w:hAnsi="Arial"/>
          <w:sz w:val="22"/>
          <w:szCs w:val="22"/>
          <w:color w:val="000000"/>
        </w:rPr>
        <w:t>Combination the Company is required to effect the Registration of Registrable Securities, the Company shall use its best efforts to effect such Registration to permit the sale of such Registrable Securities in accordance with the intended plan of distribution thereof, and pursuant thereto the Company shall, as expeditiously as possible:</w:t>
      </w:r>
    </w:p>
    <w:p>
      <w:pPr>
        <w:spacing w:after="0" w:line="212" w:lineRule="exact"/>
        <w:rPr>
          <w:sz w:val="20"/>
          <w:szCs w:val="20"/>
          <w:color w:val="auto"/>
        </w:rPr>
      </w:pPr>
    </w:p>
    <w:p>
      <w:pPr>
        <w:jc w:val="both"/>
        <w:ind w:right="20" w:firstLine="1296"/>
        <w:spacing w:after="0" w:line="257" w:lineRule="auto"/>
        <w:rPr>
          <w:sz w:val="20"/>
          <w:szCs w:val="20"/>
          <w:color w:val="auto"/>
        </w:rPr>
      </w:pPr>
      <w:r>
        <w:rPr>
          <w:rFonts w:ascii="Arial" w:cs="Arial" w:eastAsia="Arial" w:hAnsi="Arial"/>
          <w:sz w:val="21"/>
          <w:szCs w:val="21"/>
          <w:color w:val="010000"/>
        </w:rPr>
        <w:t xml:space="preserve">3.1.1 </w:t>
      </w:r>
      <w:r>
        <w:rPr>
          <w:rFonts w:ascii="Arial" w:cs="Arial" w:eastAsia="Arial" w:hAnsi="Arial"/>
          <w:sz w:val="21"/>
          <w:szCs w:val="21"/>
          <w:color w:val="000000"/>
        </w:rPr>
        <w:t>prepare and file with the Commission as soon as practicable a Registration Statement with respect to such</w:t>
      </w:r>
      <w:r>
        <w:rPr>
          <w:rFonts w:ascii="Arial" w:cs="Arial" w:eastAsia="Arial" w:hAnsi="Arial"/>
          <w:sz w:val="21"/>
          <w:szCs w:val="21"/>
          <w:color w:val="010000"/>
        </w:rPr>
        <w:t xml:space="preserve"> </w:t>
      </w:r>
      <w:r>
        <w:rPr>
          <w:rFonts w:ascii="Arial" w:cs="Arial" w:eastAsia="Arial" w:hAnsi="Arial"/>
          <w:sz w:val="21"/>
          <w:szCs w:val="21"/>
          <w:color w:val="000000"/>
        </w:rPr>
        <w:t>Registrable Securities and use its reasonable best efforts to cause such Registration Statement to become effective and remain effective until all Registrable Securities covered by such Registration Statement have been sold;</w:t>
      </w:r>
    </w:p>
    <w:p>
      <w:pPr>
        <w:spacing w:after="0" w:line="196"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010000"/>
        </w:rPr>
        <w:t xml:space="preserve">3.1.2 </w:t>
      </w:r>
      <w:r>
        <w:rPr>
          <w:rFonts w:ascii="Arial" w:cs="Arial" w:eastAsia="Arial" w:hAnsi="Arial"/>
          <w:sz w:val="19"/>
          <w:szCs w:val="19"/>
          <w:color w:val="000000"/>
        </w:rPr>
        <w:t>prepare and file with the Commission such amendments and post-effective amendments to the Registration</w:t>
      </w:r>
      <w:r>
        <w:rPr>
          <w:rFonts w:ascii="Arial" w:cs="Arial" w:eastAsia="Arial" w:hAnsi="Arial"/>
          <w:sz w:val="19"/>
          <w:szCs w:val="19"/>
          <w:color w:val="010000"/>
        </w:rPr>
        <w:t xml:space="preserve"> </w:t>
      </w:r>
      <w:r>
        <w:rPr>
          <w:rFonts w:ascii="Arial" w:cs="Arial" w:eastAsia="Arial" w:hAnsi="Arial"/>
          <w:sz w:val="19"/>
          <w:szCs w:val="19"/>
          <w:color w:val="000000"/>
        </w:rPr>
        <w:t>Statement, and such supplements to the Prospectus, as may be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7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9"/>
          <w:szCs w:val="19"/>
          <w:color w:val="010000"/>
        </w:rPr>
        <w:t xml:space="preserve">3.1.3 </w:t>
      </w:r>
      <w:r>
        <w:rPr>
          <w:rFonts w:ascii="Arial" w:cs="Arial" w:eastAsia="Arial" w:hAnsi="Arial"/>
          <w:sz w:val="19"/>
          <w:szCs w:val="19"/>
          <w:color w:val="000000"/>
        </w:rPr>
        <w:t>prior to filing a Registration Statement or Prospectus, or any amendment or supplement thereto, furnish</w:t>
      </w:r>
      <w:r>
        <w:rPr>
          <w:rFonts w:ascii="Arial" w:cs="Arial" w:eastAsia="Arial" w:hAnsi="Arial"/>
          <w:sz w:val="19"/>
          <w:szCs w:val="19"/>
          <w:color w:val="010000"/>
        </w:rPr>
        <w:t xml:space="preserve"> </w:t>
      </w:r>
      <w:r>
        <w:rPr>
          <w:rFonts w:ascii="Arial" w:cs="Arial" w:eastAsia="Arial" w:hAnsi="Arial"/>
          <w:sz w:val="19"/>
          <w:szCs w:val="19"/>
          <w:color w:val="000000"/>
        </w:rPr>
        <w:t>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9" w:name="page170"/>
    <w:bookmarkEnd w:id="169"/>
    <w:p>
      <w:pPr>
        <w:jc w:val="both"/>
        <w:ind w:firstLine="1296"/>
        <w:spacing w:after="0" w:line="273" w:lineRule="auto"/>
        <w:rPr>
          <w:sz w:val="20"/>
          <w:szCs w:val="20"/>
          <w:color w:val="auto"/>
        </w:rPr>
      </w:pPr>
      <w:r>
        <w:rPr>
          <w:rFonts w:ascii="Arial" w:cs="Arial" w:eastAsia="Arial" w:hAnsi="Arial"/>
          <w:sz w:val="19"/>
          <w:szCs w:val="19"/>
          <w:color w:val="010000"/>
        </w:rPr>
        <w:t xml:space="preserve">3.1.4 </w:t>
      </w:r>
      <w:r>
        <w:rPr>
          <w:rFonts w:ascii="Arial" w:cs="Arial" w:eastAsia="Arial" w:hAnsi="Arial"/>
          <w:sz w:val="19"/>
          <w:szCs w:val="19"/>
          <w:color w:val="000000"/>
        </w:rPr>
        <w:t>prior to any public offering of Registrable Securities, use its best efforts to (i) register or qualify the</w:t>
      </w:r>
      <w:r>
        <w:rPr>
          <w:rFonts w:ascii="Arial" w:cs="Arial" w:eastAsia="Arial" w:hAnsi="Arial"/>
          <w:sz w:val="19"/>
          <w:szCs w:val="19"/>
          <w:color w:val="010000"/>
        </w:rPr>
        <w:t xml:space="preserve"> </w:t>
      </w:r>
      <w:r>
        <w:rPr>
          <w:rFonts w:ascii="Arial" w:cs="Arial" w:eastAsia="Arial" w:hAnsi="Arial"/>
          <w:sz w:val="19"/>
          <w:szCs w:val="19"/>
          <w:color w:val="000000"/>
        </w:rPr>
        <w:t xml:space="preserve">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88"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3.1.5 </w:t>
      </w:r>
      <w:r>
        <w:rPr>
          <w:rFonts w:ascii="Arial" w:cs="Arial" w:eastAsia="Arial" w:hAnsi="Arial"/>
          <w:sz w:val="22"/>
          <w:szCs w:val="22"/>
          <w:color w:val="000000"/>
        </w:rPr>
        <w:t>cause all such Registrable Securities to be listed on each securities exchange or automated quotation</w:t>
      </w:r>
      <w:r>
        <w:rPr>
          <w:rFonts w:ascii="Arial" w:cs="Arial" w:eastAsia="Arial" w:hAnsi="Arial"/>
          <w:sz w:val="22"/>
          <w:szCs w:val="22"/>
          <w:color w:val="010000"/>
        </w:rPr>
        <w:t xml:space="preserve"> </w:t>
      </w:r>
      <w:r>
        <w:rPr>
          <w:rFonts w:ascii="Arial" w:cs="Arial" w:eastAsia="Arial" w:hAnsi="Arial"/>
          <w:sz w:val="22"/>
          <w:szCs w:val="22"/>
          <w:color w:val="000000"/>
        </w:rPr>
        <w:t>system on which similar securities issued by the Company are then listed;</w:t>
      </w:r>
    </w:p>
    <w:p>
      <w:pPr>
        <w:spacing w:after="0" w:line="20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3.1.6 </w:t>
      </w:r>
      <w:r>
        <w:rPr>
          <w:rFonts w:ascii="Arial" w:cs="Arial" w:eastAsia="Arial" w:hAnsi="Arial"/>
          <w:sz w:val="22"/>
          <w:szCs w:val="22"/>
          <w:color w:val="000000"/>
        </w:rPr>
        <w:t>provide for a transfer agent and registrar for all such Registrable Securities no later than the effective</w:t>
      </w:r>
      <w:r>
        <w:rPr>
          <w:rFonts w:ascii="Arial" w:cs="Arial" w:eastAsia="Arial" w:hAnsi="Arial"/>
          <w:sz w:val="22"/>
          <w:szCs w:val="22"/>
          <w:color w:val="010000"/>
        </w:rPr>
        <w:t xml:space="preserve"> </w:t>
      </w:r>
      <w:r>
        <w:rPr>
          <w:rFonts w:ascii="Arial" w:cs="Arial" w:eastAsia="Arial" w:hAnsi="Arial"/>
          <w:sz w:val="22"/>
          <w:szCs w:val="22"/>
          <w:color w:val="000000"/>
        </w:rPr>
        <w:t>date of such Registration Statement;</w:t>
      </w:r>
    </w:p>
    <w:p>
      <w:pPr>
        <w:spacing w:after="0" w:line="20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010000"/>
        </w:rPr>
        <w:t xml:space="preserve">3.1.7 </w:t>
      </w:r>
      <w:r>
        <w:rPr>
          <w:rFonts w:ascii="Arial" w:cs="Arial" w:eastAsia="Arial" w:hAnsi="Arial"/>
          <w:sz w:val="19"/>
          <w:szCs w:val="19"/>
          <w:color w:val="000000"/>
        </w:rPr>
        <w:t>advise each seller of such Registrable Securities, promptly after it shall receive notice or obtain</w:t>
      </w:r>
      <w:r>
        <w:rPr>
          <w:rFonts w:ascii="Arial" w:cs="Arial" w:eastAsia="Arial" w:hAnsi="Arial"/>
          <w:sz w:val="19"/>
          <w:szCs w:val="19"/>
          <w:color w:val="010000"/>
        </w:rPr>
        <w:t xml:space="preserve"> </w:t>
      </w:r>
      <w:r>
        <w:rPr>
          <w:rFonts w:ascii="Arial" w:cs="Arial" w:eastAsia="Arial" w:hAnsi="Arial"/>
          <w:sz w:val="19"/>
          <w:szCs w:val="19"/>
          <w:color w:val="000000"/>
        </w:rPr>
        <w:t>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70"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010000"/>
        </w:rPr>
        <w:t xml:space="preserve">3.1.8 </w:t>
      </w:r>
      <w:r>
        <w:rPr>
          <w:rFonts w:ascii="Arial" w:cs="Arial" w:eastAsia="Arial" w:hAnsi="Arial"/>
          <w:sz w:val="22"/>
          <w:szCs w:val="22"/>
          <w:color w:val="000000"/>
        </w:rPr>
        <w:t>at least five (5) days prior to the filing of any Registration Statement or Prospectus or any amendment or</w:t>
      </w:r>
      <w:r>
        <w:rPr>
          <w:rFonts w:ascii="Arial" w:cs="Arial" w:eastAsia="Arial" w:hAnsi="Arial"/>
          <w:sz w:val="22"/>
          <w:szCs w:val="22"/>
          <w:color w:val="010000"/>
        </w:rPr>
        <w:t xml:space="preserve"> </w:t>
      </w:r>
      <w:r>
        <w:rPr>
          <w:rFonts w:ascii="Arial" w:cs="Arial" w:eastAsia="Arial" w:hAnsi="Arial"/>
          <w:sz w:val="22"/>
          <w:szCs w:val="22"/>
          <w:color w:val="000000"/>
        </w:rPr>
        <w:t>supplement to such Registration Statement or Prospectus (other than by way of a document incorporated by reference) furnish a copy thereof to each seller of such Registrable Securities or its counsel;</w:t>
      </w:r>
    </w:p>
    <w:p>
      <w:pPr>
        <w:spacing w:after="0" w:line="213" w:lineRule="exact"/>
        <w:rPr>
          <w:sz w:val="20"/>
          <w:szCs w:val="20"/>
          <w:color w:val="auto"/>
        </w:rPr>
      </w:pPr>
    </w:p>
    <w:p>
      <w:pPr>
        <w:jc w:val="both"/>
        <w:ind w:firstLine="1296"/>
        <w:spacing w:after="0" w:line="238" w:lineRule="auto"/>
        <w:rPr>
          <w:sz w:val="20"/>
          <w:szCs w:val="20"/>
          <w:color w:val="auto"/>
        </w:rPr>
      </w:pPr>
      <w:r>
        <w:rPr>
          <w:rFonts w:ascii="Arial" w:cs="Arial" w:eastAsia="Arial" w:hAnsi="Arial"/>
          <w:sz w:val="22"/>
          <w:szCs w:val="22"/>
          <w:color w:val="010000"/>
        </w:rPr>
        <w:t xml:space="preserve">3.1.9 </w:t>
      </w:r>
      <w:r>
        <w:rPr>
          <w:rFonts w:ascii="Arial" w:cs="Arial" w:eastAsia="Arial" w:hAnsi="Arial"/>
          <w:sz w:val="22"/>
          <w:szCs w:val="22"/>
          <w:color w:val="000000"/>
        </w:rPr>
        <w:t>notify the Holders at any time when a Prospectus relating to such Registration Statement is required to be</w:t>
      </w:r>
      <w:r>
        <w:rPr>
          <w:rFonts w:ascii="Arial" w:cs="Arial" w:eastAsia="Arial" w:hAnsi="Arial"/>
          <w:sz w:val="22"/>
          <w:szCs w:val="22"/>
          <w:color w:val="010000"/>
        </w:rPr>
        <w:t xml:space="preserve"> </w:t>
      </w:r>
      <w:r>
        <w:rPr>
          <w:rFonts w:ascii="Arial" w:cs="Arial" w:eastAsia="Arial" w:hAnsi="Arial"/>
          <w:sz w:val="22"/>
          <w:szCs w:val="22"/>
          <w:color w:val="000000"/>
        </w:rPr>
        <w:t xml:space="preserve">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22"/>
          <w:szCs w:val="22"/>
          <w:u w:val="single" w:color="auto"/>
          <w:color w:val="000000"/>
        </w:rPr>
        <w:t>Section</w:t>
      </w:r>
      <w:r>
        <w:rPr>
          <w:rFonts w:ascii="Arial" w:cs="Arial" w:eastAsia="Arial" w:hAnsi="Arial"/>
          <w:sz w:val="22"/>
          <w:szCs w:val="22"/>
          <w:color w:val="000000"/>
        </w:rPr>
        <w:t xml:space="preserve"> </w:t>
      </w:r>
      <w:r>
        <w:rPr>
          <w:rFonts w:ascii="Arial" w:cs="Arial" w:eastAsia="Arial" w:hAnsi="Arial"/>
          <w:sz w:val="22"/>
          <w:szCs w:val="22"/>
          <w:u w:val="single" w:color="auto"/>
          <w:color w:val="000000"/>
        </w:rPr>
        <w:t>3.4</w:t>
      </w:r>
      <w:r>
        <w:rPr>
          <w:rFonts w:ascii="Arial" w:cs="Arial" w:eastAsia="Arial" w:hAnsi="Arial"/>
          <w:sz w:val="22"/>
          <w:szCs w:val="22"/>
          <w:color w:val="000000"/>
        </w:rPr>
        <w:t xml:space="preserve"> hereof;</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010000"/>
        </w:rPr>
        <w:t xml:space="preserve">3.1.10 </w:t>
      </w:r>
      <w:r>
        <w:rPr>
          <w:rFonts w:ascii="Arial" w:cs="Arial" w:eastAsia="Arial" w:hAnsi="Arial"/>
          <w:sz w:val="21"/>
          <w:szCs w:val="21"/>
          <w:color w:val="000000"/>
        </w:rPr>
        <w:t>permit a representative of the Holders, the Underwriters, if any, and any attorney or accountant retained</w:t>
      </w:r>
      <w:r>
        <w:rPr>
          <w:rFonts w:ascii="Arial" w:cs="Arial" w:eastAsia="Arial" w:hAnsi="Arial"/>
          <w:sz w:val="21"/>
          <w:szCs w:val="21"/>
          <w:color w:val="010000"/>
        </w:rPr>
        <w:t xml:space="preserve"> </w:t>
      </w:r>
      <w:r>
        <w:rPr>
          <w:rFonts w:ascii="Arial" w:cs="Arial" w:eastAsia="Arial" w:hAnsi="Arial"/>
          <w:sz w:val="21"/>
          <w:szCs w:val="21"/>
          <w:color w:val="000000"/>
        </w:rPr>
        <w:t xml:space="preserve">by such Holders or Underwriter to participate, at each such person’s own expense, in the preparation of the Registration Statement, and cause the Company’s officers, directors and employees to supply all information reasonably requested by any such representative, Underwriter, attorney or accountant in connection with the Registration; </w:t>
      </w:r>
      <w:r>
        <w:rPr>
          <w:rFonts w:ascii="Arial" w:cs="Arial" w:eastAsia="Arial" w:hAnsi="Arial"/>
          <w:sz w:val="21"/>
          <w:szCs w:val="21"/>
          <w:u w:val="single" w:color="auto"/>
          <w:color w:val="000000"/>
        </w:rPr>
        <w:t>provided</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however</w:t>
      </w:r>
      <w:r>
        <w:rPr>
          <w:rFonts w:ascii="Arial" w:cs="Arial" w:eastAsia="Arial" w:hAnsi="Arial"/>
          <w:sz w:val="21"/>
          <w:szCs w:val="21"/>
          <w:color w:val="000000"/>
        </w:rPr>
        <w:t>, that such representatives or Underwriters enter into a confidentiality agreement, in form and substance reasonably satisfactory to the Company, prior to the release or disclosure of any such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0" w:name="page171"/>
    <w:bookmarkEnd w:id="170"/>
    <w:p>
      <w:pPr>
        <w:jc w:val="both"/>
        <w:ind w:firstLine="1296"/>
        <w:spacing w:after="0" w:line="238" w:lineRule="auto"/>
        <w:rPr>
          <w:sz w:val="20"/>
          <w:szCs w:val="20"/>
          <w:color w:val="auto"/>
        </w:rPr>
      </w:pPr>
      <w:r>
        <w:rPr>
          <w:rFonts w:ascii="Arial" w:cs="Arial" w:eastAsia="Arial" w:hAnsi="Arial"/>
          <w:sz w:val="22"/>
          <w:szCs w:val="22"/>
          <w:color w:val="010000"/>
        </w:rPr>
        <w:t xml:space="preserve">3.1.11 </w:t>
      </w:r>
      <w:r>
        <w:rPr>
          <w:rFonts w:ascii="Arial" w:cs="Arial" w:eastAsia="Arial" w:hAnsi="Arial"/>
          <w:sz w:val="22"/>
          <w:szCs w:val="22"/>
          <w:color w:val="000000"/>
        </w:rPr>
        <w:t>obtain a “cold comfort” letter from the Company’s independent registered public accountants in the event</w:t>
      </w:r>
      <w:r>
        <w:rPr>
          <w:rFonts w:ascii="Arial" w:cs="Arial" w:eastAsia="Arial" w:hAnsi="Arial"/>
          <w:sz w:val="22"/>
          <w:szCs w:val="22"/>
          <w:color w:val="010000"/>
        </w:rPr>
        <w:t xml:space="preserve"> </w:t>
      </w:r>
      <w:r>
        <w:rPr>
          <w:rFonts w:ascii="Arial" w:cs="Arial" w:eastAsia="Arial" w:hAnsi="Arial"/>
          <w:sz w:val="22"/>
          <w:szCs w:val="22"/>
          <w:color w:val="000000"/>
        </w:rPr>
        <w:t>of an Underwritten Registration, in customary form and covering such matters of the type customarily covered by “cold comfort” letters as the managing Underwriter may reasonably request, and reasonably satisfactory to a majority-in-interest of the participating Holders;</w:t>
      </w:r>
    </w:p>
    <w:p>
      <w:pPr>
        <w:spacing w:after="0" w:line="212"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1"/>
          <w:szCs w:val="21"/>
          <w:color w:val="010000"/>
        </w:rPr>
        <w:t xml:space="preserve">3.1.12 </w:t>
      </w:r>
      <w:r>
        <w:rPr>
          <w:rFonts w:ascii="Arial" w:cs="Arial" w:eastAsia="Arial" w:hAnsi="Arial"/>
          <w:sz w:val="21"/>
          <w:szCs w:val="21"/>
          <w:color w:val="000000"/>
        </w:rPr>
        <w:t>on the date the Registrable Securities are delivered for sale pursuant to such Registration, obtain an</w:t>
      </w:r>
      <w:r>
        <w:rPr>
          <w:rFonts w:ascii="Arial" w:cs="Arial" w:eastAsia="Arial" w:hAnsi="Arial"/>
          <w:sz w:val="21"/>
          <w:szCs w:val="21"/>
          <w:color w:val="010000"/>
        </w:rPr>
        <w:t xml:space="preserve"> </w:t>
      </w:r>
      <w:r>
        <w:rPr>
          <w:rFonts w:ascii="Arial" w:cs="Arial" w:eastAsia="Arial" w:hAnsi="Arial"/>
          <w:sz w:val="21"/>
          <w:szCs w:val="21"/>
          <w:color w:val="000000"/>
        </w:rPr>
        <w:t>opinion, dated such date, of counsel representing the Company for the purposes of such Registration, addressed to the Holders, the placement agent or sales agent, if any, and the Underwriters, if any, covering such legal matters with respect to the Registration in respect of which such opinion is being given as the Holders, placement agent, sales agent, or Underwriter may reasonably request and as are customarily included in such opinions and negative assurance letters, and reasonably satisfactory to a majority in interest of the participating Holders;</w:t>
      </w:r>
    </w:p>
    <w:p>
      <w:pPr>
        <w:spacing w:after="0" w:line="204"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010000"/>
        </w:rPr>
        <w:t xml:space="preserve">3.1.13 </w:t>
      </w:r>
      <w:r>
        <w:rPr>
          <w:rFonts w:ascii="Arial" w:cs="Arial" w:eastAsia="Arial" w:hAnsi="Arial"/>
          <w:sz w:val="22"/>
          <w:szCs w:val="22"/>
          <w:color w:val="000000"/>
        </w:rPr>
        <w:t>in the event of any Underwritten Offering, enter into and perform its obligations under an underwriting</w:t>
      </w:r>
      <w:r>
        <w:rPr>
          <w:rFonts w:ascii="Arial" w:cs="Arial" w:eastAsia="Arial" w:hAnsi="Arial"/>
          <w:sz w:val="22"/>
          <w:szCs w:val="22"/>
          <w:color w:val="010000"/>
        </w:rPr>
        <w:t xml:space="preserve"> </w:t>
      </w:r>
      <w:r>
        <w:rPr>
          <w:rFonts w:ascii="Arial" w:cs="Arial" w:eastAsia="Arial" w:hAnsi="Arial"/>
          <w:sz w:val="22"/>
          <w:szCs w:val="22"/>
          <w:color w:val="000000"/>
        </w:rPr>
        <w:t>agreement, in usual and customary form, with the managing Underwriter of such offering;</w:t>
      </w:r>
    </w:p>
    <w:p>
      <w:pPr>
        <w:spacing w:after="0" w:line="202"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010000"/>
        </w:rPr>
        <w:t xml:space="preserve">3.1.14 </w:t>
      </w:r>
      <w:r>
        <w:rPr>
          <w:rFonts w:ascii="Arial" w:cs="Arial" w:eastAsia="Arial" w:hAnsi="Arial"/>
          <w:sz w:val="21"/>
          <w:szCs w:val="21"/>
          <w:color w:val="000000"/>
        </w:rPr>
        <w:t>make available to its security holders, as soon as reasonably practicable, an earnings statement covering</w:t>
      </w:r>
      <w:r>
        <w:rPr>
          <w:rFonts w:ascii="Arial" w:cs="Arial" w:eastAsia="Arial" w:hAnsi="Arial"/>
          <w:sz w:val="21"/>
          <w:szCs w:val="21"/>
          <w:color w:val="010000"/>
        </w:rPr>
        <w:t xml:space="preserve"> </w:t>
      </w:r>
      <w:r>
        <w:rPr>
          <w:rFonts w:ascii="Arial" w:cs="Arial" w:eastAsia="Arial" w:hAnsi="Arial"/>
          <w:sz w:val="21"/>
          <w:szCs w:val="21"/>
          <w:color w:val="000000"/>
        </w:rPr>
        <w:t>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promulgated thereafter by the Commission);</w:t>
      </w:r>
    </w:p>
    <w:p>
      <w:pPr>
        <w:spacing w:after="0" w:line="201"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010000"/>
        </w:rPr>
        <w:t xml:space="preserve">3.1.15 </w:t>
      </w:r>
      <w:r>
        <w:rPr>
          <w:rFonts w:ascii="Arial" w:cs="Arial" w:eastAsia="Arial" w:hAnsi="Arial"/>
          <w:sz w:val="19"/>
          <w:szCs w:val="19"/>
          <w:color w:val="000000"/>
        </w:rPr>
        <w:t>if the Registration involves the Registration of Registrable Securities involving gross proceeds in excess</w:t>
      </w:r>
      <w:r>
        <w:rPr>
          <w:rFonts w:ascii="Arial" w:cs="Arial" w:eastAsia="Arial" w:hAnsi="Arial"/>
          <w:sz w:val="19"/>
          <w:szCs w:val="19"/>
          <w:color w:val="010000"/>
        </w:rPr>
        <w:t xml:space="preserve"> </w:t>
      </w:r>
      <w:r>
        <w:rPr>
          <w:rFonts w:ascii="Arial" w:cs="Arial" w:eastAsia="Arial" w:hAnsi="Arial"/>
          <w:sz w:val="19"/>
          <w:szCs w:val="19"/>
          <w:color w:val="000000"/>
        </w:rPr>
        <w:t>of $50,000,000, use its reasonable efforts to make available senior executives of the Company to participate in customary “road show” presentations that may be reasonably requested by the Underwriter in any Underwritten Offering; and</w:t>
      </w:r>
    </w:p>
    <w:p>
      <w:pPr>
        <w:spacing w:after="0" w:line="161"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010000"/>
        </w:rPr>
        <w:t xml:space="preserve">3.1.16 </w:t>
      </w:r>
      <w:r>
        <w:rPr>
          <w:rFonts w:ascii="Arial" w:cs="Arial" w:eastAsia="Arial" w:hAnsi="Arial"/>
          <w:sz w:val="22"/>
          <w:szCs w:val="22"/>
          <w:color w:val="000000"/>
        </w:rPr>
        <w:t>otherwise, in good faith, cooperate reasonably with, and take such customary actions as may reasonably</w:t>
      </w:r>
      <w:r>
        <w:rPr>
          <w:rFonts w:ascii="Arial" w:cs="Arial" w:eastAsia="Arial" w:hAnsi="Arial"/>
          <w:sz w:val="22"/>
          <w:szCs w:val="22"/>
          <w:color w:val="010000"/>
        </w:rPr>
        <w:t xml:space="preserve"> </w:t>
      </w:r>
      <w:r>
        <w:rPr>
          <w:rFonts w:ascii="Arial" w:cs="Arial" w:eastAsia="Arial" w:hAnsi="Arial"/>
          <w:sz w:val="22"/>
          <w:szCs w:val="22"/>
          <w:color w:val="000000"/>
        </w:rPr>
        <w:t>be requested by the Holders, in connection with such Registration.</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u w:val="single" w:color="auto"/>
          <w:color w:val="000000"/>
        </w:rPr>
        <w:t>Registration Expenses</w:t>
      </w:r>
      <w:r>
        <w:rPr>
          <w:rFonts w:ascii="Arial" w:cs="Arial" w:eastAsia="Arial" w:hAnsi="Arial"/>
          <w:sz w:val="19"/>
          <w:szCs w:val="19"/>
          <w:color w:val="000000"/>
        </w:rPr>
        <w:t>. The Registration Expenses of all Registrations shall be borne by the Company. It is</w:t>
      </w:r>
      <w:r>
        <w:rPr>
          <w:rFonts w:ascii="Arial" w:cs="Arial" w:eastAsia="Arial" w:hAnsi="Arial"/>
          <w:sz w:val="19"/>
          <w:szCs w:val="19"/>
          <w:color w:val="010000"/>
        </w:rPr>
        <w:t xml:space="preserve"> </w:t>
      </w:r>
      <w:r>
        <w:rPr>
          <w:rFonts w:ascii="Arial" w:cs="Arial" w:eastAsia="Arial" w:hAnsi="Arial"/>
          <w:sz w:val="19"/>
          <w:szCs w:val="19"/>
          <w:color w:val="000000"/>
        </w:rPr>
        <w:t>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010000"/>
        </w:rPr>
        <w:t xml:space="preserve">3.3 </w:t>
      </w:r>
      <w:r>
        <w:rPr>
          <w:rFonts w:ascii="Arial" w:cs="Arial" w:eastAsia="Arial" w:hAnsi="Arial"/>
          <w:sz w:val="19"/>
          <w:szCs w:val="19"/>
          <w:u w:val="single" w:color="auto"/>
          <w:color w:val="000000"/>
        </w:rPr>
        <w:t>Requirements for Participation in Underwritten Offerings</w:t>
      </w:r>
      <w:r>
        <w:rPr>
          <w:rFonts w:ascii="Arial" w:cs="Arial" w:eastAsia="Arial" w:hAnsi="Arial"/>
          <w:sz w:val="19"/>
          <w:szCs w:val="19"/>
          <w:color w:val="000000"/>
        </w:rPr>
        <w:t>. No person may participate in any Underwritten</w:t>
      </w:r>
      <w:r>
        <w:rPr>
          <w:rFonts w:ascii="Arial" w:cs="Arial" w:eastAsia="Arial" w:hAnsi="Arial"/>
          <w:sz w:val="19"/>
          <w:szCs w:val="19"/>
          <w:color w:val="010000"/>
        </w:rPr>
        <w:t xml:space="preserve"> </w:t>
      </w:r>
      <w:r>
        <w:rPr>
          <w:rFonts w:ascii="Arial" w:cs="Arial" w:eastAsia="Arial" w:hAnsi="Arial"/>
          <w:sz w:val="19"/>
          <w:szCs w:val="19"/>
          <w:color w:val="000000"/>
        </w:rPr>
        <w:t>Offering for equity securities of the Company pursuant to a Registration initiated by the Company hereunder unless such person</w:t>
      </w:r>
    </w:p>
    <w:p>
      <w:pPr>
        <w:spacing w:after="0" w:line="1" w:lineRule="exact"/>
        <w:rPr>
          <w:sz w:val="20"/>
          <w:szCs w:val="20"/>
          <w:color w:val="auto"/>
        </w:rPr>
      </w:pPr>
    </w:p>
    <w:p>
      <w:pPr>
        <w:ind w:left="280" w:hanging="272"/>
        <w:spacing w:after="0"/>
        <w:tabs>
          <w:tab w:leader="none" w:pos="28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agrees to sell such person’s securities on the basis provided in any underwriting arrangements approved by the Company and</w:t>
      </w:r>
    </w:p>
    <w:p>
      <w:pPr>
        <w:spacing w:after="0" w:line="24" w:lineRule="exact"/>
        <w:rPr>
          <w:rFonts w:ascii="Arial" w:cs="Arial" w:eastAsia="Arial" w:hAnsi="Arial"/>
          <w:sz w:val="19"/>
          <w:szCs w:val="19"/>
          <w:color w:val="auto"/>
        </w:rPr>
      </w:pPr>
    </w:p>
    <w:p>
      <w:pPr>
        <w:ind w:firstLine="8"/>
        <w:spacing w:after="0" w:line="308" w:lineRule="auto"/>
        <w:tabs>
          <w:tab w:leader="none" w:pos="355" w:val="left"/>
        </w:tabs>
        <w:numPr>
          <w:ilvl w:val="0"/>
          <w:numId w:val="256"/>
        </w:numPr>
        <w:rPr>
          <w:rFonts w:ascii="Arial" w:cs="Arial" w:eastAsia="Arial" w:hAnsi="Arial"/>
          <w:sz w:val="19"/>
          <w:szCs w:val="19"/>
          <w:color w:val="auto"/>
        </w:rPr>
      </w:pPr>
      <w:r>
        <w:rPr>
          <w:rFonts w:ascii="Arial" w:cs="Arial" w:eastAsia="Arial" w:hAnsi="Arial"/>
          <w:sz w:val="19"/>
          <w:szCs w:val="19"/>
          <w:color w:val="auto"/>
        </w:rPr>
        <w:t>completes and executes all customary questionnaires, powers of attorney, indemnities, lock-up agreements, underwriting agreements and other customary documents as may be reasonably required under the terms of such underwriting arrangements.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1" w:name="page172"/>
    <w:bookmarkEnd w:id="171"/>
    <w:p>
      <w:pPr>
        <w:jc w:val="both"/>
        <w:ind w:firstLine="648"/>
        <w:spacing w:after="0" w:line="271" w:lineRule="auto"/>
        <w:rPr>
          <w:sz w:val="20"/>
          <w:szCs w:val="20"/>
          <w:color w:val="auto"/>
        </w:rPr>
      </w:pPr>
      <w:r>
        <w:rPr>
          <w:rFonts w:ascii="Arial" w:cs="Arial" w:eastAsia="Arial" w:hAnsi="Arial"/>
          <w:sz w:val="19"/>
          <w:szCs w:val="19"/>
          <w:color w:val="010000"/>
        </w:rPr>
        <w:t xml:space="preserve">3.4 </w:t>
      </w:r>
      <w:r>
        <w:rPr>
          <w:rFonts w:ascii="Arial" w:cs="Arial" w:eastAsia="Arial" w:hAnsi="Arial"/>
          <w:sz w:val="19"/>
          <w:szCs w:val="19"/>
          <w:u w:val="single" w:color="auto"/>
          <w:color w:val="000000"/>
        </w:rPr>
        <w:t>Suspension of Sales; Adverse Disclosure</w:t>
      </w:r>
      <w:r>
        <w:rPr>
          <w:rFonts w:ascii="Arial" w:cs="Arial" w:eastAsia="Arial" w:hAnsi="Arial"/>
          <w:sz w:val="19"/>
          <w:szCs w:val="19"/>
          <w:color w:val="000000"/>
        </w:rPr>
        <w:t>. Upon receipt of written notice from the Company that a Registration</w:t>
      </w:r>
      <w:r>
        <w:rPr>
          <w:rFonts w:ascii="Arial" w:cs="Arial" w:eastAsia="Arial" w:hAnsi="Arial"/>
          <w:sz w:val="19"/>
          <w:szCs w:val="19"/>
          <w:color w:val="010000"/>
        </w:rPr>
        <w:t xml:space="preserve"> </w:t>
      </w:r>
      <w:r>
        <w:rPr>
          <w:rFonts w:ascii="Arial" w:cs="Arial" w:eastAsia="Arial" w:hAnsi="Arial"/>
          <w:sz w:val="19"/>
          <w:szCs w:val="19"/>
          <w:color w:val="000000"/>
        </w:rPr>
        <w:t>Statement or Prospectus contains a Misstatement, each of the Holders shall forthwith discontinue disposition of Registrable Securities until 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 If the filing, initial effectiveness or continued use of a Registration Statement in respect of any Registration at any time would require the Company to make an Adverse Disclosure or would require the inclusion in such Registration Statement of financial statements that are unavailable to the Company for reasons beyond the Company’s control, the Company may, upon giving prompt written notice of such action to the Holders, delay the filing or initial effectiveness of, or suspend use of, such Registration Statement for the shortest period of time, but in no event more than thirty (30) days, determined in good faith by the Company to be necessary for such purpose.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 The Company shall immediately notify the Holders of the expiration of any period during which it exercised its rights under this Section 3.4.</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3.5 </w:t>
      </w:r>
      <w:r>
        <w:rPr>
          <w:rFonts w:ascii="Arial" w:cs="Arial" w:eastAsia="Arial" w:hAnsi="Arial"/>
          <w:sz w:val="19"/>
          <w:szCs w:val="19"/>
          <w:u w:val="single" w:color="auto"/>
          <w:color w:val="000000"/>
        </w:rPr>
        <w:t>Reporting Obligations</w:t>
      </w:r>
      <w:r>
        <w:rPr>
          <w:rFonts w:ascii="Arial" w:cs="Arial" w:eastAsia="Arial" w:hAnsi="Arial"/>
          <w:sz w:val="19"/>
          <w:szCs w:val="19"/>
          <w:color w:val="000000"/>
        </w:rPr>
        <w:t>. As long as any Holder shall own Registrable Securities, the Company, at all times while it</w:t>
      </w:r>
      <w:r>
        <w:rPr>
          <w:rFonts w:ascii="Arial" w:cs="Arial" w:eastAsia="Arial" w:hAnsi="Arial"/>
          <w:sz w:val="19"/>
          <w:szCs w:val="19"/>
          <w:color w:val="010000"/>
        </w:rPr>
        <w:t xml:space="preserve"> </w:t>
      </w:r>
      <w:r>
        <w:rPr>
          <w:rFonts w:ascii="Arial" w:cs="Arial" w:eastAsia="Arial" w:hAnsi="Arial"/>
          <w:sz w:val="19"/>
          <w:szCs w:val="19"/>
          <w:color w:val="000000"/>
        </w:rPr>
        <w:t>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Ordinary Shares held by such Holder without registration under the Securities Act within the limitation of the exemptions provided by Rule 144 promulgated under the Securities Act (or any successor rule promulgated thereafter by the Commission, to the extent that such rule or such successor rule is available to the Company), including providing any legal opinions. Upon the request of any Holder, the Company shall deliver to such Holder a written certification of a duly authorized officer as to whether it has complied with such requirements.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AND CONTRIBUTION</w:t>
      </w:r>
    </w:p>
    <w:p>
      <w:pPr>
        <w:spacing w:after="0" w:line="215"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010000"/>
        </w:rPr>
        <w:t>4.1</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9"/>
          <w:szCs w:val="19"/>
          <w:color w:val="010000"/>
        </w:rPr>
        <w:t xml:space="preserve">4.1.1 </w:t>
      </w:r>
      <w:r>
        <w:rPr>
          <w:rFonts w:ascii="Arial" w:cs="Arial" w:eastAsia="Arial" w:hAnsi="Arial"/>
          <w:sz w:val="19"/>
          <w:szCs w:val="19"/>
          <w:color w:val="000000"/>
        </w:rPr>
        <w:t>The Company agrees to indemnify, to the extent permitted by law, each Holder of Registrable Securities,</w:t>
      </w:r>
      <w:r>
        <w:rPr>
          <w:rFonts w:ascii="Arial" w:cs="Arial" w:eastAsia="Arial" w:hAnsi="Arial"/>
          <w:sz w:val="19"/>
          <w:szCs w:val="19"/>
          <w:color w:val="010000"/>
        </w:rPr>
        <w:t xml:space="preserve"> </w:t>
      </w:r>
      <w:r>
        <w:rPr>
          <w:rFonts w:ascii="Arial" w:cs="Arial" w:eastAsia="Arial" w:hAnsi="Arial"/>
          <w:sz w:val="19"/>
          <w:szCs w:val="19"/>
          <w:color w:val="000000"/>
        </w:rPr>
        <w:t>its officers and directors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2" w:name="page173"/>
    <w:bookmarkEnd w:id="172"/>
    <w:p>
      <w:pPr>
        <w:jc w:val="both"/>
        <w:ind w:firstLine="1296"/>
        <w:spacing w:after="0" w:line="271" w:lineRule="auto"/>
        <w:rPr>
          <w:sz w:val="20"/>
          <w:szCs w:val="20"/>
          <w:color w:val="auto"/>
        </w:rPr>
      </w:pPr>
      <w:r>
        <w:rPr>
          <w:rFonts w:ascii="Arial" w:cs="Arial" w:eastAsia="Arial" w:hAnsi="Arial"/>
          <w:sz w:val="19"/>
          <w:szCs w:val="19"/>
          <w:color w:val="010000"/>
        </w:rPr>
        <w:t xml:space="preserve">4.1.2 </w:t>
      </w:r>
      <w:r>
        <w:rPr>
          <w:rFonts w:ascii="Arial" w:cs="Arial" w:eastAsia="Arial" w:hAnsi="Arial"/>
          <w:sz w:val="19"/>
          <w:szCs w:val="19"/>
          <w:color w:val="000000"/>
        </w:rPr>
        <w:t>In connection with any Registration Statement in which a Holder of Registrable Securities is</w:t>
      </w:r>
      <w:r>
        <w:rPr>
          <w:rFonts w:ascii="Arial" w:cs="Arial" w:eastAsia="Arial" w:hAnsi="Arial"/>
          <w:sz w:val="19"/>
          <w:szCs w:val="19"/>
          <w:color w:val="010000"/>
        </w:rPr>
        <w:t xml:space="preserve"> </w:t>
      </w:r>
      <w:r>
        <w:rPr>
          <w:rFonts w:ascii="Arial" w:cs="Arial" w:eastAsia="Arial" w:hAnsi="Arial"/>
          <w:sz w:val="19"/>
          <w:szCs w:val="19"/>
          <w:color w:val="000000"/>
        </w:rPr>
        <w:t xml:space="preserve">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the Company (within the meaning of the Securities Act) against any losses, claims, damages, liabilities and expenses (including without limitation reasonable attorneys’ fees) resulting from any untrue or alleged untrue statement of material fact contained in the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200" w:lineRule="exact"/>
        <w:rPr>
          <w:sz w:val="20"/>
          <w:szCs w:val="20"/>
          <w:color w:val="auto"/>
        </w:rPr>
      </w:pPr>
    </w:p>
    <w:p>
      <w:pPr>
        <w:spacing w:after="0" w:line="23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9"/>
          <w:szCs w:val="19"/>
          <w:color w:val="010000"/>
        </w:rPr>
        <w:t xml:space="preserve">4.1.3 </w:t>
      </w:r>
      <w:r>
        <w:rPr>
          <w:rFonts w:ascii="Arial" w:cs="Arial" w:eastAsia="Arial" w:hAnsi="Arial"/>
          <w:sz w:val="19"/>
          <w:szCs w:val="19"/>
          <w:color w:val="000000"/>
        </w:rPr>
        <w:t>Any person entitled to indemnification herein shall (i) give prompt written notice to the indemnifying</w:t>
      </w:r>
      <w:r>
        <w:rPr>
          <w:rFonts w:ascii="Arial" w:cs="Arial" w:eastAsia="Arial" w:hAnsi="Arial"/>
          <w:sz w:val="19"/>
          <w:szCs w:val="19"/>
          <w:color w:val="010000"/>
        </w:rPr>
        <w:t xml:space="preserve"> </w:t>
      </w:r>
      <w:r>
        <w:rPr>
          <w:rFonts w:ascii="Arial" w:cs="Arial" w:eastAsia="Arial" w:hAnsi="Arial"/>
          <w:sz w:val="19"/>
          <w:szCs w:val="19"/>
          <w:color w:val="000000"/>
        </w:rPr>
        <w:t>party of any claim with respect to which he, she or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3" w:name="page174"/>
    <w:bookmarkEnd w:id="173"/>
    <w:p>
      <w:pPr>
        <w:jc w:val="both"/>
        <w:ind w:firstLine="1296"/>
        <w:spacing w:after="0" w:line="249" w:lineRule="auto"/>
        <w:rPr>
          <w:sz w:val="20"/>
          <w:szCs w:val="20"/>
          <w:color w:val="auto"/>
        </w:rPr>
      </w:pPr>
      <w:r>
        <w:rPr>
          <w:rFonts w:ascii="Arial" w:cs="Arial" w:eastAsia="Arial" w:hAnsi="Arial"/>
          <w:sz w:val="21"/>
          <w:szCs w:val="21"/>
          <w:color w:val="010000"/>
        </w:rPr>
        <w:t xml:space="preserve">4.1.4 </w:t>
      </w:r>
      <w:r>
        <w:rPr>
          <w:rFonts w:ascii="Arial" w:cs="Arial" w:eastAsia="Arial" w:hAnsi="Arial"/>
          <w:sz w:val="21"/>
          <w:szCs w:val="21"/>
          <w:color w:val="000000"/>
        </w:rPr>
        <w:t>The indemnification provided for under this Agreement shall remain in full force and effect regardless of</w:t>
      </w:r>
      <w:r>
        <w:rPr>
          <w:rFonts w:ascii="Arial" w:cs="Arial" w:eastAsia="Arial" w:hAnsi="Arial"/>
          <w:sz w:val="21"/>
          <w:szCs w:val="21"/>
          <w:color w:val="010000"/>
        </w:rPr>
        <w:t xml:space="preserve"> </w:t>
      </w:r>
      <w:r>
        <w:rPr>
          <w:rFonts w:ascii="Arial" w:cs="Arial" w:eastAsia="Arial" w:hAnsi="Arial"/>
          <w:sz w:val="21"/>
          <w:szCs w:val="21"/>
          <w:color w:val="000000"/>
        </w:rPr>
        <w:t>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20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9"/>
          <w:szCs w:val="19"/>
          <w:color w:val="010000"/>
        </w:rPr>
        <w:t xml:space="preserve">4.1.5 </w:t>
      </w:r>
      <w:r>
        <w:rPr>
          <w:rFonts w:ascii="Arial" w:cs="Arial" w:eastAsia="Arial" w:hAnsi="Arial"/>
          <w:sz w:val="19"/>
          <w:szCs w:val="19"/>
          <w:color w:val="000000"/>
        </w:rPr>
        <w:t>If the indemnification provided under</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4.1</w:t>
      </w:r>
      <w:r>
        <w:rPr>
          <w:rFonts w:ascii="Arial" w:cs="Arial" w:eastAsia="Arial" w:hAnsi="Arial"/>
          <w:sz w:val="19"/>
          <w:szCs w:val="19"/>
          <w:color w:val="010000"/>
        </w:rPr>
        <w:t xml:space="preserve"> </w:t>
      </w:r>
      <w:r>
        <w:rPr>
          <w:rFonts w:ascii="Arial" w:cs="Arial" w:eastAsia="Arial" w:hAnsi="Arial"/>
          <w:sz w:val="19"/>
          <w:szCs w:val="19"/>
          <w:color w:val="000000"/>
        </w:rPr>
        <w:t>hereof from the indemnifying party is unavailable or</w:t>
      </w:r>
      <w:r>
        <w:rPr>
          <w:rFonts w:ascii="Arial" w:cs="Arial" w:eastAsia="Arial" w:hAnsi="Arial"/>
          <w:sz w:val="19"/>
          <w:szCs w:val="19"/>
          <w:color w:val="010000"/>
        </w:rPr>
        <w:t xml:space="preserve"> </w:t>
      </w:r>
      <w:r>
        <w:rPr>
          <w:rFonts w:ascii="Arial" w:cs="Arial" w:eastAsia="Arial" w:hAnsi="Arial"/>
          <w:sz w:val="19"/>
          <w:szCs w:val="19"/>
          <w:color w:val="000000"/>
        </w:rPr>
        <w:t xml:space="preserve">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however</w:t>
      </w:r>
      <w:r>
        <w:rPr>
          <w:rFonts w:ascii="Arial" w:cs="Arial" w:eastAsia="Arial" w:hAnsi="Arial"/>
          <w:sz w:val="19"/>
          <w:szCs w:val="19"/>
          <w:color w:val="000000"/>
        </w:rPr>
        <w:t xml:space="preserve">, that the liability of any Holder under this </w:t>
      </w:r>
      <w:r>
        <w:rPr>
          <w:rFonts w:ascii="Arial" w:cs="Arial" w:eastAsia="Arial" w:hAnsi="Arial"/>
          <w:sz w:val="19"/>
          <w:szCs w:val="19"/>
          <w:u w:val="single" w:color="auto"/>
          <w:color w:val="000000"/>
        </w:rPr>
        <w:t>subsection 4.1.5</w:t>
      </w:r>
      <w:r>
        <w:rPr>
          <w:rFonts w:ascii="Arial" w:cs="Arial" w:eastAsia="Arial" w:hAnsi="Arial"/>
          <w:sz w:val="19"/>
          <w:szCs w:val="19"/>
          <w:color w:val="00000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9"/>
          <w:szCs w:val="19"/>
          <w:u w:val="single" w:color="auto"/>
          <w:color w:val="000000"/>
        </w:rPr>
        <w:t>subsections 4.1.1</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4.1.2</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4.1.3</w:t>
      </w:r>
      <w:r>
        <w:rPr>
          <w:rFonts w:ascii="Arial" w:cs="Arial" w:eastAsia="Arial" w:hAnsi="Arial"/>
          <w:sz w:val="19"/>
          <w:szCs w:val="19"/>
          <w:color w:val="000000"/>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9"/>
          <w:szCs w:val="19"/>
          <w:u w:val="single" w:color="auto"/>
          <w:color w:val="000000"/>
        </w:rPr>
        <w:t>subsection 4.1.5</w:t>
      </w:r>
      <w:r>
        <w:rPr>
          <w:rFonts w:ascii="Arial" w:cs="Arial" w:eastAsia="Arial" w:hAnsi="Arial"/>
          <w:sz w:val="19"/>
          <w:szCs w:val="19"/>
          <w:color w:val="000000"/>
        </w:rPr>
        <w:t xml:space="preserve"> were determined by pro rata allocation or by any other method of allocation, which does not take account of the equitable considerations referred to in this </w:t>
      </w:r>
      <w:r>
        <w:rPr>
          <w:rFonts w:ascii="Arial" w:cs="Arial" w:eastAsia="Arial" w:hAnsi="Arial"/>
          <w:sz w:val="19"/>
          <w:szCs w:val="19"/>
          <w:u w:val="single" w:color="auto"/>
          <w:color w:val="000000"/>
        </w:rPr>
        <w:t>subsection 4.1.5</w:t>
      </w:r>
      <w:r>
        <w:rPr>
          <w:rFonts w:ascii="Arial" w:cs="Arial" w:eastAsia="Arial" w:hAnsi="Arial"/>
          <w:sz w:val="19"/>
          <w:szCs w:val="19"/>
          <w:color w:val="000000"/>
        </w:rPr>
        <w:t xml:space="preserve">. No person guilty of fraudulent misrepresentation (within the meaning of Section 11(f) of the Securities Act) shall be entitled to contribution pursuant to this </w:t>
      </w:r>
      <w:r>
        <w:rPr>
          <w:rFonts w:ascii="Arial" w:cs="Arial" w:eastAsia="Arial" w:hAnsi="Arial"/>
          <w:sz w:val="19"/>
          <w:szCs w:val="19"/>
          <w:u w:val="single" w:color="auto"/>
          <w:color w:val="000000"/>
        </w:rPr>
        <w:t>subsection 4.1.5</w:t>
      </w:r>
      <w:r>
        <w:rPr>
          <w:rFonts w:ascii="Arial" w:cs="Arial" w:eastAsia="Arial" w:hAnsi="Arial"/>
          <w:sz w:val="19"/>
          <w:szCs w:val="19"/>
          <w:color w:val="000000"/>
        </w:rPr>
        <w:t xml:space="preserve"> from any person who was not guilty of such fraudulent misrepresentation.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10000"/>
        </w:rPr>
        <w:t>ARTICLE 5</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SHAREHOLDER RIGHTS</w:t>
      </w:r>
    </w:p>
    <w:p>
      <w:pPr>
        <w:spacing w:after="0" w:line="215"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5.1 Subject to the terms and conditions of this Agreement, at any time and from time to time on or after the date that the Company consummates an initial Business Combination and for so long as the Sponsor holds any Registrable Securities:</w:t>
      </w:r>
    </w:p>
    <w:p>
      <w:pPr>
        <w:spacing w:after="0" w:line="132"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010000"/>
        </w:rPr>
        <w:t xml:space="preserve">5.1.1 </w:t>
      </w:r>
      <w:r>
        <w:rPr>
          <w:rFonts w:ascii="Arial" w:cs="Arial" w:eastAsia="Arial" w:hAnsi="Arial"/>
          <w:sz w:val="19"/>
          <w:szCs w:val="19"/>
          <w:color w:val="000000"/>
        </w:rPr>
        <w:t>The Sponsor shall have the right, but not the obligation, to designate three individuals to be appointed or</w:t>
      </w:r>
      <w:r>
        <w:rPr>
          <w:rFonts w:ascii="Arial" w:cs="Arial" w:eastAsia="Arial" w:hAnsi="Arial"/>
          <w:sz w:val="19"/>
          <w:szCs w:val="19"/>
          <w:color w:val="010000"/>
        </w:rPr>
        <w:t xml:space="preserve"> </w:t>
      </w:r>
      <w:r>
        <w:rPr>
          <w:rFonts w:ascii="Arial" w:cs="Arial" w:eastAsia="Arial" w:hAnsi="Arial"/>
          <w:sz w:val="19"/>
          <w:szCs w:val="19"/>
          <w:color w:val="000000"/>
        </w:rPr>
        <w:t>nominated, as the case may be, for election to the Board (including any successor, each, a “</w:t>
      </w:r>
      <w:r>
        <w:rPr>
          <w:rFonts w:ascii="Arial" w:cs="Arial" w:eastAsia="Arial" w:hAnsi="Arial"/>
          <w:sz w:val="19"/>
          <w:szCs w:val="19"/>
          <w:b w:val="1"/>
          <w:bCs w:val="1"/>
          <w:i w:val="1"/>
          <w:iCs w:val="1"/>
          <w:color w:val="000000"/>
        </w:rPr>
        <w:t>Nominee</w:t>
      </w:r>
      <w:r>
        <w:rPr>
          <w:rFonts w:ascii="Arial" w:cs="Arial" w:eastAsia="Arial" w:hAnsi="Arial"/>
          <w:sz w:val="19"/>
          <w:szCs w:val="19"/>
          <w:color w:val="000000"/>
        </w:rPr>
        <w:t>”) by giving written notice to the Company on or before the time such information is reasonably requested by the Board or the Nominating Committee of the Board, as applicable, for inclusion in a proxy statement for a meeting of shareholders provided to the Sponsor.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4" w:name="page175"/>
    <w:bookmarkEnd w:id="174"/>
    <w:p>
      <w:pPr>
        <w:jc w:val="both"/>
        <w:ind w:firstLine="1296"/>
        <w:spacing w:after="0" w:line="258" w:lineRule="auto"/>
        <w:rPr>
          <w:sz w:val="20"/>
          <w:szCs w:val="20"/>
          <w:color w:val="auto"/>
        </w:rPr>
      </w:pPr>
      <w:r>
        <w:rPr>
          <w:rFonts w:ascii="Arial" w:cs="Arial" w:eastAsia="Arial" w:hAnsi="Arial"/>
          <w:sz w:val="21"/>
          <w:szCs w:val="21"/>
          <w:color w:val="010000"/>
        </w:rPr>
        <w:t xml:space="preserve">5.1.2 </w:t>
      </w:r>
      <w:r>
        <w:rPr>
          <w:rFonts w:ascii="Arial" w:cs="Arial" w:eastAsia="Arial" w:hAnsi="Arial"/>
          <w:sz w:val="21"/>
          <w:szCs w:val="21"/>
          <w:color w:val="000000"/>
        </w:rPr>
        <w:t>The Company will, as promptly as practicable, use its best efforts to take all necessary and desirable</w:t>
      </w:r>
      <w:r>
        <w:rPr>
          <w:rFonts w:ascii="Arial" w:cs="Arial" w:eastAsia="Arial" w:hAnsi="Arial"/>
          <w:sz w:val="21"/>
          <w:szCs w:val="21"/>
          <w:color w:val="010000"/>
        </w:rPr>
        <w:t xml:space="preserve"> </w:t>
      </w:r>
      <w:r>
        <w:rPr>
          <w:rFonts w:ascii="Arial" w:cs="Arial" w:eastAsia="Arial" w:hAnsi="Arial"/>
          <w:sz w:val="21"/>
          <w:szCs w:val="21"/>
          <w:color w:val="000000"/>
        </w:rPr>
        <w:t>actions (including, without limitation, calling special meetings of the Board and the shareholders and recommending, supporting and soliciting proxies) so that there are three Sponsor Directors serving on the Board at all times.</w:t>
      </w:r>
    </w:p>
    <w:p>
      <w:pPr>
        <w:spacing w:after="0" w:line="19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9"/>
          <w:szCs w:val="19"/>
          <w:color w:val="010000"/>
        </w:rPr>
        <w:t xml:space="preserve">5.1.3 </w:t>
      </w:r>
      <w:r>
        <w:rPr>
          <w:rFonts w:ascii="Arial" w:cs="Arial" w:eastAsia="Arial" w:hAnsi="Arial"/>
          <w:sz w:val="19"/>
          <w:szCs w:val="19"/>
          <w:color w:val="000000"/>
        </w:rPr>
        <w:t>The Company shall, to the fullest extent permitted by applicable law, use its best efforts to take all actions</w:t>
      </w:r>
      <w:r>
        <w:rPr>
          <w:rFonts w:ascii="Arial" w:cs="Arial" w:eastAsia="Arial" w:hAnsi="Arial"/>
          <w:sz w:val="19"/>
          <w:szCs w:val="19"/>
          <w:color w:val="010000"/>
        </w:rPr>
        <w:t xml:space="preserve"> </w:t>
      </w:r>
      <w:r>
        <w:rPr>
          <w:rFonts w:ascii="Arial" w:cs="Arial" w:eastAsia="Arial" w:hAnsi="Arial"/>
          <w:sz w:val="19"/>
          <w:szCs w:val="19"/>
          <w:color w:val="000000"/>
        </w:rPr>
        <w:t>necessary to ensure that: (i) each Nominee is included in the Board’s slate of nominees to the shareholders of the Company for each election of Directors; and (ii) each Nominee is included in the proxy statement prepared by management of the Company in connection with soliciting proxies for every meeting of the shareholders of the Company called with respect to the election of members of the Board, and at every adjournment or postponement thereof, and on every action or approval by written consent of the shareholders of the Company or the Board with respect to the election of members of the Board.</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010000"/>
        </w:rPr>
        <w:t xml:space="preserve">5.1.4 </w:t>
      </w:r>
      <w:r>
        <w:rPr>
          <w:rFonts w:ascii="Arial" w:cs="Arial" w:eastAsia="Arial" w:hAnsi="Arial"/>
          <w:sz w:val="19"/>
          <w:szCs w:val="19"/>
          <w:color w:val="000000"/>
        </w:rPr>
        <w:t>If a vacancy occurs because of the death, disability, disqualification, resignation, or removal of a Sponsor</w:t>
      </w:r>
      <w:r>
        <w:rPr>
          <w:rFonts w:ascii="Arial" w:cs="Arial" w:eastAsia="Arial" w:hAnsi="Arial"/>
          <w:sz w:val="19"/>
          <w:szCs w:val="19"/>
          <w:color w:val="010000"/>
        </w:rPr>
        <w:t xml:space="preserve"> </w:t>
      </w:r>
      <w:r>
        <w:rPr>
          <w:rFonts w:ascii="Arial" w:cs="Arial" w:eastAsia="Arial" w:hAnsi="Arial"/>
          <w:sz w:val="19"/>
          <w:szCs w:val="19"/>
          <w:color w:val="000000"/>
        </w:rPr>
        <w:t>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70" w:lineRule="exact"/>
        <w:rPr>
          <w:sz w:val="20"/>
          <w:szCs w:val="20"/>
          <w:color w:val="auto"/>
        </w:rPr>
      </w:pPr>
    </w:p>
    <w:p>
      <w:pPr>
        <w:jc w:val="both"/>
        <w:ind w:firstLine="1296"/>
        <w:spacing w:after="0" w:line="249" w:lineRule="auto"/>
        <w:rPr>
          <w:sz w:val="20"/>
          <w:szCs w:val="20"/>
          <w:color w:val="auto"/>
        </w:rPr>
      </w:pPr>
      <w:r>
        <w:rPr>
          <w:rFonts w:ascii="Arial" w:cs="Arial" w:eastAsia="Arial" w:hAnsi="Arial"/>
          <w:sz w:val="21"/>
          <w:szCs w:val="21"/>
          <w:color w:val="010000"/>
        </w:rPr>
        <w:t xml:space="preserve">5.1.5 </w:t>
      </w:r>
      <w:r>
        <w:rPr>
          <w:rFonts w:ascii="Arial" w:cs="Arial" w:eastAsia="Arial" w:hAnsi="Arial"/>
          <w:sz w:val="21"/>
          <w:szCs w:val="21"/>
          <w:color w:val="000000"/>
        </w:rPr>
        <w:t>If a Nominee is not elected because of such Nominee’s death, disability, disqualification, withdrawal as a</w:t>
      </w:r>
      <w:r>
        <w:rPr>
          <w:rFonts w:ascii="Arial" w:cs="Arial" w:eastAsia="Arial" w:hAnsi="Arial"/>
          <w:sz w:val="21"/>
          <w:szCs w:val="21"/>
          <w:color w:val="010000"/>
        </w:rPr>
        <w:t xml:space="preserve"> </w:t>
      </w:r>
      <w:r>
        <w:rPr>
          <w:rFonts w:ascii="Arial" w:cs="Arial" w:eastAsia="Arial" w:hAnsi="Arial"/>
          <w:sz w:val="21"/>
          <w:szCs w:val="21"/>
          <w:color w:val="000000"/>
        </w:rPr>
        <w:t>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205" w:lineRule="exact"/>
        <w:rPr>
          <w:sz w:val="20"/>
          <w:szCs w:val="20"/>
          <w:color w:val="auto"/>
        </w:rPr>
      </w:pPr>
    </w:p>
    <w:p>
      <w:pPr>
        <w:jc w:val="both"/>
        <w:ind w:firstLine="1296"/>
        <w:spacing w:after="0" w:line="236" w:lineRule="auto"/>
        <w:rPr>
          <w:sz w:val="20"/>
          <w:szCs w:val="20"/>
          <w:color w:val="auto"/>
        </w:rPr>
      </w:pPr>
      <w:r>
        <w:rPr>
          <w:rFonts w:ascii="Arial" w:cs="Arial" w:eastAsia="Arial" w:hAnsi="Arial"/>
          <w:sz w:val="22"/>
          <w:szCs w:val="22"/>
          <w:color w:val="010000"/>
        </w:rPr>
        <w:t xml:space="preserve">5.1.6 </w:t>
      </w:r>
      <w:r>
        <w:rPr>
          <w:rFonts w:ascii="Arial" w:cs="Arial" w:eastAsia="Arial" w:hAnsi="Arial"/>
          <w:sz w:val="22"/>
          <w:szCs w:val="22"/>
          <w:color w:val="000000"/>
        </w:rPr>
        <w:t>As promptly as reasonably practicable following the request of any Sponsor Director, the Company shall</w:t>
      </w:r>
      <w:r>
        <w:rPr>
          <w:rFonts w:ascii="Arial" w:cs="Arial" w:eastAsia="Arial" w:hAnsi="Arial"/>
          <w:sz w:val="22"/>
          <w:szCs w:val="22"/>
          <w:color w:val="010000"/>
        </w:rPr>
        <w:t xml:space="preserve"> </w:t>
      </w:r>
      <w:r>
        <w:rPr>
          <w:rFonts w:ascii="Arial" w:cs="Arial" w:eastAsia="Arial" w:hAnsi="Arial"/>
          <w:sz w:val="22"/>
          <w:szCs w:val="22"/>
          <w:color w:val="000000"/>
        </w:rPr>
        <w:t>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214"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010000"/>
        </w:rPr>
        <w:t xml:space="preserve">5.1.7 </w:t>
      </w:r>
      <w:r>
        <w:rPr>
          <w:rFonts w:ascii="Arial" w:cs="Arial" w:eastAsia="Arial" w:hAnsi="Arial"/>
          <w:sz w:val="22"/>
          <w:szCs w:val="22"/>
          <w:color w:val="000000"/>
        </w:rPr>
        <w:t>The Company shall (i) purchase directors’ and officers’ liability insurance in an amount determined by</w:t>
      </w:r>
      <w:r>
        <w:rPr>
          <w:rFonts w:ascii="Arial" w:cs="Arial" w:eastAsia="Arial" w:hAnsi="Arial"/>
          <w:sz w:val="22"/>
          <w:szCs w:val="22"/>
          <w:color w:val="010000"/>
        </w:rPr>
        <w:t xml:space="preserve"> </w:t>
      </w:r>
      <w:r>
        <w:rPr>
          <w:rFonts w:ascii="Arial" w:cs="Arial" w:eastAsia="Arial" w:hAnsi="Arial"/>
          <w:sz w:val="22"/>
          <w:szCs w:val="22"/>
          <w:color w:val="000000"/>
        </w:rPr>
        <w:t xml:space="preserve">the Board to be reasonable and customary and (ii) for so long as a Sponsor Director serves as a Director of the Company, maintain such coverage with respect to such Sponsor Director; </w:t>
      </w:r>
      <w:r>
        <w:rPr>
          <w:rFonts w:ascii="Arial" w:cs="Arial" w:eastAsia="Arial" w:hAnsi="Arial"/>
          <w:sz w:val="22"/>
          <w:szCs w:val="22"/>
          <w:i w:val="1"/>
          <w:iCs w:val="1"/>
          <w:color w:val="000000"/>
        </w:rPr>
        <w:t>provided that</w:t>
      </w:r>
      <w:r>
        <w:rPr>
          <w:rFonts w:ascii="Arial" w:cs="Arial" w:eastAsia="Arial" w:hAnsi="Arial"/>
          <w:sz w:val="22"/>
          <w:szCs w:val="22"/>
          <w:color w:val="000000"/>
        </w:rPr>
        <w:t xml:space="preserve"> upon removal or resignation of such Sponsor Director for any reason, the Company shall take all actions reasonably necessary to extend such directors’ and officers’ liability insurance coverage for a period of not less than six (6) years from any such event in respect of any act or omission occurring at or prior to such event.</w:t>
      </w:r>
    </w:p>
    <w:p>
      <w:pPr>
        <w:spacing w:after="0" w:line="215"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color w:val="010000"/>
        </w:rPr>
        <w:t xml:space="preserve">5.1.8 </w:t>
      </w:r>
      <w:r>
        <w:rPr>
          <w:rFonts w:ascii="Arial" w:cs="Arial" w:eastAsia="Arial" w:hAnsi="Arial"/>
          <w:sz w:val="22"/>
          <w:szCs w:val="22"/>
          <w:color w:val="000000"/>
        </w:rPr>
        <w:t>For so long as a Sponsor Director serves on the Board, the Company shall not amend, alter or repeal any</w:t>
      </w:r>
      <w:r>
        <w:rPr>
          <w:rFonts w:ascii="Arial" w:cs="Arial" w:eastAsia="Arial" w:hAnsi="Arial"/>
          <w:sz w:val="22"/>
          <w:szCs w:val="22"/>
          <w:color w:val="010000"/>
        </w:rPr>
        <w:t xml:space="preserve"> </w:t>
      </w:r>
      <w:r>
        <w:rPr>
          <w:rFonts w:ascii="Arial" w:cs="Arial" w:eastAsia="Arial" w:hAnsi="Arial"/>
          <w:sz w:val="22"/>
          <w:szCs w:val="22"/>
          <w:color w:val="000000"/>
        </w:rPr>
        <w:t>right to indemnification or exculpation covering or benefiting any Sponsor Director nominated pursuant to this Agreement as and to the extent consistent with applicable law, whether such right is contained in the Company’s amended and restated memorandum and articles of association, each as amended, or another document (except to the extent such amendment or alteration permits the Company to provide broader indemnification or exculpation rights on a retroactive basis than permitted prior thereto).</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5" w:name="page176"/>
    <w:bookmarkEnd w:id="175"/>
    <w:p>
      <w:pPr>
        <w:ind w:firstLine="1296"/>
        <w:spacing w:after="0" w:line="329" w:lineRule="auto"/>
        <w:rPr>
          <w:sz w:val="20"/>
          <w:szCs w:val="20"/>
          <w:color w:val="auto"/>
        </w:rPr>
      </w:pPr>
      <w:r>
        <w:rPr>
          <w:rFonts w:ascii="Arial" w:cs="Arial" w:eastAsia="Arial" w:hAnsi="Arial"/>
          <w:sz w:val="19"/>
          <w:szCs w:val="19"/>
          <w:color w:val="010000"/>
        </w:rPr>
        <w:t xml:space="preserve">5.1.9 </w:t>
      </w:r>
      <w:r>
        <w:rPr>
          <w:rFonts w:ascii="Arial" w:cs="Arial" w:eastAsia="Arial" w:hAnsi="Arial"/>
          <w:sz w:val="19"/>
          <w:szCs w:val="19"/>
          <w:color w:val="000000"/>
        </w:rPr>
        <w:t>Each Nominee may, but does not need to qualify as “independent” pursuant to listing standards of the</w:t>
      </w:r>
      <w:r>
        <w:rPr>
          <w:rFonts w:ascii="Arial" w:cs="Arial" w:eastAsia="Arial" w:hAnsi="Arial"/>
          <w:sz w:val="19"/>
          <w:szCs w:val="19"/>
          <w:color w:val="010000"/>
        </w:rPr>
        <w:t xml:space="preserve"> </w:t>
      </w:r>
      <w:r>
        <w:rPr>
          <w:rFonts w:ascii="Arial" w:cs="Arial" w:eastAsia="Arial" w:hAnsi="Arial"/>
          <w:sz w:val="19"/>
          <w:szCs w:val="19"/>
          <w:color w:val="000000"/>
        </w:rPr>
        <w:t>Nasdaq Capital Market (or such other national securities exchange upon which the Company’s securities are then listed).</w:t>
      </w:r>
    </w:p>
    <w:p>
      <w:pPr>
        <w:spacing w:after="0" w:line="131" w:lineRule="exact"/>
        <w:rPr>
          <w:sz w:val="20"/>
          <w:szCs w:val="20"/>
          <w:color w:val="auto"/>
        </w:rPr>
      </w:pPr>
    </w:p>
    <w:p>
      <w:pPr>
        <w:ind w:firstLine="1296"/>
        <w:spacing w:after="0" w:line="276" w:lineRule="auto"/>
        <w:rPr>
          <w:sz w:val="20"/>
          <w:szCs w:val="20"/>
          <w:color w:val="auto"/>
        </w:rPr>
      </w:pPr>
      <w:r>
        <w:rPr>
          <w:rFonts w:ascii="Arial" w:cs="Arial" w:eastAsia="Arial" w:hAnsi="Arial"/>
          <w:sz w:val="19"/>
          <w:szCs w:val="19"/>
          <w:color w:val="010000"/>
        </w:rPr>
        <w:t xml:space="preserve">5.1.10 </w:t>
      </w:r>
      <w:r>
        <w:rPr>
          <w:rFonts w:ascii="Arial" w:cs="Arial" w:eastAsia="Arial" w:hAnsi="Arial"/>
          <w:sz w:val="19"/>
          <w:szCs w:val="19"/>
          <w:color w:val="000000"/>
        </w:rPr>
        <w:t>Any Nominee will be subject to the Company’s customary due diligence process, including its review of</w:t>
      </w:r>
      <w:r>
        <w:rPr>
          <w:rFonts w:ascii="Arial" w:cs="Arial" w:eastAsia="Arial" w:hAnsi="Arial"/>
          <w:sz w:val="19"/>
          <w:szCs w:val="19"/>
          <w:color w:val="010000"/>
        </w:rPr>
        <w:t xml:space="preserve"> </w:t>
      </w:r>
      <w:r>
        <w:rPr>
          <w:rFonts w:ascii="Arial" w:cs="Arial" w:eastAsia="Arial" w:hAnsi="Arial"/>
          <w:sz w:val="19"/>
          <w:szCs w:val="19"/>
          <w:color w:val="000000"/>
        </w:rPr>
        <w:t>a completed questionnaire and a background check. Based on the foregoing, the Company may object to any Nominee provided</w:t>
      </w:r>
    </w:p>
    <w:p>
      <w:pPr>
        <w:spacing w:after="0" w:line="1" w:lineRule="exact"/>
        <w:rPr>
          <w:sz w:val="20"/>
          <w:szCs w:val="20"/>
          <w:color w:val="auto"/>
        </w:rPr>
      </w:pPr>
    </w:p>
    <w:p>
      <w:pPr>
        <w:jc w:val="both"/>
        <w:ind w:firstLine="8"/>
        <w:spacing w:after="0" w:line="269" w:lineRule="auto"/>
        <w:tabs>
          <w:tab w:leader="none" w:pos="318"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sixty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thirty (30) calendar days of the Company’s notice to Sponsor of its objection to the Nominee and such replacement Nominee shall be subject to the review process outlined above.</w:t>
      </w:r>
    </w:p>
    <w:p>
      <w:pPr>
        <w:spacing w:after="0" w:line="200" w:lineRule="exact"/>
        <w:rPr>
          <w:sz w:val="20"/>
          <w:szCs w:val="20"/>
          <w:color w:val="auto"/>
        </w:rPr>
      </w:pPr>
    </w:p>
    <w:p>
      <w:pPr>
        <w:spacing w:after="0" w:line="238" w:lineRule="exact"/>
        <w:rPr>
          <w:sz w:val="20"/>
          <w:szCs w:val="20"/>
          <w:color w:val="auto"/>
        </w:rPr>
      </w:pPr>
    </w:p>
    <w:p>
      <w:pPr>
        <w:jc w:val="both"/>
        <w:ind w:firstLine="1296"/>
        <w:spacing w:after="0" w:line="252" w:lineRule="auto"/>
        <w:rPr>
          <w:sz w:val="20"/>
          <w:szCs w:val="20"/>
          <w:color w:val="auto"/>
        </w:rPr>
      </w:pPr>
      <w:r>
        <w:rPr>
          <w:rFonts w:ascii="Arial" w:cs="Arial" w:eastAsia="Arial" w:hAnsi="Arial"/>
          <w:sz w:val="21"/>
          <w:szCs w:val="21"/>
          <w:color w:val="010000"/>
        </w:rPr>
        <w:t xml:space="preserve">5.1.11 </w:t>
      </w:r>
      <w:r>
        <w:rPr>
          <w:rFonts w:ascii="Arial" w:cs="Arial" w:eastAsia="Arial" w:hAnsi="Arial"/>
          <w:sz w:val="21"/>
          <w:szCs w:val="21"/>
          <w:color w:val="000000"/>
        </w:rPr>
        <w:t>The Company shall take all necessary action to cause a Nominee chosen by the Sponsor, at the request of</w:t>
      </w:r>
      <w:r>
        <w:rPr>
          <w:rFonts w:ascii="Arial" w:cs="Arial" w:eastAsia="Arial" w:hAnsi="Arial"/>
          <w:sz w:val="21"/>
          <w:szCs w:val="21"/>
          <w:color w:val="010000"/>
        </w:rPr>
        <w:t xml:space="preserve"> </w:t>
      </w:r>
      <w:r>
        <w:rPr>
          <w:rFonts w:ascii="Arial" w:cs="Arial" w:eastAsia="Arial" w:hAnsi="Arial"/>
          <w:sz w:val="21"/>
          <w:szCs w:val="21"/>
          <w:color w:val="000000"/>
        </w:rPr>
        <w:t>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6" w:name="page177"/>
    <w:bookmarkEnd w:id="176"/>
    <w:p>
      <w:pPr>
        <w:jc w:val="center"/>
        <w:spacing w:after="0"/>
        <w:rPr>
          <w:sz w:val="20"/>
          <w:szCs w:val="20"/>
          <w:color w:val="auto"/>
        </w:rPr>
      </w:pPr>
      <w:r>
        <w:rPr>
          <w:rFonts w:ascii="Arial" w:cs="Arial" w:eastAsia="Arial" w:hAnsi="Arial"/>
          <w:sz w:val="22"/>
          <w:szCs w:val="22"/>
          <w:b w:val="1"/>
          <w:bCs w:val="1"/>
          <w:color w:val="010000"/>
        </w:rPr>
        <w:t>ARTICLE 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010000"/>
        </w:rPr>
        <w:t xml:space="preserve">6.1 </w:t>
      </w:r>
      <w:r>
        <w:rPr>
          <w:rFonts w:ascii="Arial" w:cs="Arial" w:eastAsia="Arial" w:hAnsi="Arial"/>
          <w:sz w:val="19"/>
          <w:szCs w:val="19"/>
          <w:u w:val="single" w:color="auto"/>
          <w:color w:val="000000"/>
        </w:rPr>
        <w:t>Notices</w:t>
      </w:r>
      <w:r>
        <w:rPr>
          <w:rFonts w:ascii="Arial" w:cs="Arial" w:eastAsia="Arial" w:hAnsi="Arial"/>
          <w:sz w:val="19"/>
          <w:szCs w:val="19"/>
          <w:color w:val="000000"/>
        </w:rPr>
        <w:t>. Any notice or communication under this Agreement must be in writing and given by (i) deposit in the</w:t>
      </w:r>
      <w:r>
        <w:rPr>
          <w:rFonts w:ascii="Arial" w:cs="Arial" w:eastAsia="Arial" w:hAnsi="Arial"/>
          <w:sz w:val="19"/>
          <w:szCs w:val="19"/>
          <w:color w:val="010000"/>
        </w:rPr>
        <w:t xml:space="preserve"> </w:t>
      </w:r>
      <w:r>
        <w:rPr>
          <w:rFonts w:ascii="Arial" w:cs="Arial" w:eastAsia="Arial" w:hAnsi="Arial"/>
          <w:sz w:val="19"/>
          <w:szCs w:val="19"/>
          <w:color w:val="000000"/>
        </w:rPr>
        <w:t>United States mail, addressed to the party to be notified, postage prepaid and registered or certified with return receipt requested,</w:t>
      </w:r>
    </w:p>
    <w:p>
      <w:pPr>
        <w:spacing w:after="0" w:line="1" w:lineRule="exact"/>
        <w:rPr>
          <w:sz w:val="20"/>
          <w:szCs w:val="20"/>
          <w:color w:val="auto"/>
        </w:rPr>
      </w:pPr>
    </w:p>
    <w:p>
      <w:pPr>
        <w:jc w:val="both"/>
        <w:ind w:firstLine="8"/>
        <w:spacing w:after="0" w:line="242" w:lineRule="auto"/>
        <w:tabs>
          <w:tab w:leader="none" w:pos="321" w:val="left"/>
        </w:tabs>
        <w:numPr>
          <w:ilvl w:val="0"/>
          <w:numId w:val="258"/>
        </w:numPr>
        <w:rPr>
          <w:rFonts w:ascii="Arial" w:cs="Arial" w:eastAsia="Arial" w:hAnsi="Arial"/>
          <w:sz w:val="21"/>
          <w:szCs w:val="21"/>
          <w:color w:val="auto"/>
        </w:rPr>
      </w:pPr>
      <w:r>
        <w:rPr>
          <w:rFonts w:ascii="Arial" w:cs="Arial" w:eastAsia="Arial" w:hAnsi="Arial"/>
          <w:sz w:val="21"/>
          <w:szCs w:val="21"/>
          <w:color w:val="auto"/>
        </w:rPr>
        <w:t>delivery in person or by courier service providing evidence of delivery, or (iii) transmission by hand delivery, electronic mail, telecopy, telegram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telecopy, telegram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51 Astor Place, 10th Floor, New York, New York 1003, Attention: Adam Stone, with copy to; Kirkland &amp; Ellis LLP, 601 Lexington Avenue, New York, New York 10022, Attention: Christian O. Nagler and Ross M. Leff, and, if to any Holder, at such Holder’s address or facsimile number as set forth in the Company’s books and records. Any party may change its address for notice at any time and from time to time by written notice to the other parties hereto, and such change of address shall become effective thirty (30) days after delivery of such notice as provided in this Section 6.1.</w:t>
      </w:r>
    </w:p>
    <w:p>
      <w:pPr>
        <w:spacing w:after="0" w:line="219"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22"/>
          <w:szCs w:val="22"/>
          <w:color w:val="010000"/>
        </w:rPr>
        <w:t>6.2</w:t>
      </w:r>
      <w:r>
        <w:rPr>
          <w:sz w:val="20"/>
          <w:szCs w:val="20"/>
          <w:color w:val="auto"/>
        </w:rPr>
        <w:tab/>
      </w:r>
      <w:r>
        <w:rPr>
          <w:rFonts w:ascii="Arial" w:cs="Arial" w:eastAsia="Arial" w:hAnsi="Arial"/>
          <w:sz w:val="19"/>
          <w:szCs w:val="19"/>
          <w:u w:val="single" w:color="auto"/>
          <w:color w:val="auto"/>
        </w:rPr>
        <w:t>Assignment; No Third Party Beneficiaries</w:t>
      </w:r>
      <w:r>
        <w:rPr>
          <w:rFonts w:ascii="Arial" w:cs="Arial" w:eastAsia="Arial" w:hAnsi="Arial"/>
          <w:sz w:val="19"/>
          <w:szCs w:val="19"/>
          <w:color w:val="auto"/>
        </w:rPr>
        <w:t>.</w:t>
      </w:r>
    </w:p>
    <w:p>
      <w:pPr>
        <w:spacing w:after="0" w:line="23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010000"/>
        </w:rPr>
        <w:t xml:space="preserve">6.2.1 </w:t>
      </w:r>
      <w:r>
        <w:rPr>
          <w:rFonts w:ascii="Arial" w:cs="Arial" w:eastAsia="Arial" w:hAnsi="Arial"/>
          <w:sz w:val="22"/>
          <w:szCs w:val="22"/>
          <w:color w:val="000000"/>
        </w:rPr>
        <w:t>This Agreement and the rights, duties and obligations of the Company hereunder may not be assigned or</w:t>
      </w:r>
      <w:r>
        <w:rPr>
          <w:rFonts w:ascii="Arial" w:cs="Arial" w:eastAsia="Arial" w:hAnsi="Arial"/>
          <w:sz w:val="22"/>
          <w:szCs w:val="22"/>
          <w:color w:val="010000"/>
        </w:rPr>
        <w:t xml:space="preserve"> </w:t>
      </w:r>
      <w:r>
        <w:rPr>
          <w:rFonts w:ascii="Arial" w:cs="Arial" w:eastAsia="Arial" w:hAnsi="Arial"/>
          <w:sz w:val="22"/>
          <w:szCs w:val="22"/>
          <w:color w:val="000000"/>
        </w:rPr>
        <w:t>delegated by the Company in whole or in part.</w:t>
      </w:r>
    </w:p>
    <w:p>
      <w:pPr>
        <w:spacing w:after="0" w:line="202" w:lineRule="exact"/>
        <w:rPr>
          <w:sz w:val="20"/>
          <w:szCs w:val="20"/>
          <w:color w:val="auto"/>
        </w:rPr>
      </w:pPr>
    </w:p>
    <w:p>
      <w:pPr>
        <w:jc w:val="both"/>
        <w:ind w:firstLine="1296"/>
        <w:spacing w:after="0" w:line="297" w:lineRule="auto"/>
        <w:rPr>
          <w:sz w:val="20"/>
          <w:szCs w:val="20"/>
          <w:color w:val="auto"/>
        </w:rPr>
      </w:pPr>
      <w:r>
        <w:rPr>
          <w:rFonts w:ascii="Arial" w:cs="Arial" w:eastAsia="Arial" w:hAnsi="Arial"/>
          <w:sz w:val="19"/>
          <w:szCs w:val="19"/>
          <w:color w:val="010000"/>
        </w:rPr>
        <w:t xml:space="preserve">6.2.2 </w:t>
      </w:r>
      <w:r>
        <w:rPr>
          <w:rFonts w:ascii="Arial" w:cs="Arial" w:eastAsia="Arial" w:hAnsi="Arial"/>
          <w:sz w:val="19"/>
          <w:szCs w:val="19"/>
          <w:color w:val="000000"/>
        </w:rPr>
        <w:t>Prior to the expiration of the Founder Shares Lock-up Period or the Private Placement Lock-up Period, as</w:t>
      </w:r>
      <w:r>
        <w:rPr>
          <w:rFonts w:ascii="Arial" w:cs="Arial" w:eastAsia="Arial" w:hAnsi="Arial"/>
          <w:sz w:val="19"/>
          <w:szCs w:val="19"/>
          <w:color w:val="010000"/>
        </w:rPr>
        <w:t xml:space="preserve"> </w:t>
      </w:r>
      <w:r>
        <w:rPr>
          <w:rFonts w:ascii="Arial" w:cs="Arial" w:eastAsia="Arial" w:hAnsi="Arial"/>
          <w:sz w:val="19"/>
          <w:szCs w:val="19"/>
          <w:color w:val="000000"/>
        </w:rPr>
        <w:t>the case may be, no Holder may assign or delegate such Holder’s rights, duties or obligations under this Agreement, in whole or in part, except in connection with a transfer of Registrable Securities by such Holder to a Permitted Transferee.</w:t>
      </w:r>
    </w:p>
    <w:p>
      <w:pPr>
        <w:spacing w:after="0" w:line="161"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21"/>
          <w:szCs w:val="21"/>
          <w:color w:val="010000"/>
        </w:rPr>
        <w:t xml:space="preserve">6.2.3 </w:t>
      </w:r>
      <w:r>
        <w:rPr>
          <w:rFonts w:ascii="Arial" w:cs="Arial" w:eastAsia="Arial" w:hAnsi="Arial"/>
          <w:sz w:val="21"/>
          <w:szCs w:val="21"/>
          <w:color w:val="000000"/>
        </w:rPr>
        <w:t>This Agreement and the provisions hereof shall be binding upon and shall inure to the benefit of each of</w:t>
      </w:r>
      <w:r>
        <w:rPr>
          <w:rFonts w:ascii="Arial" w:cs="Arial" w:eastAsia="Arial" w:hAnsi="Arial"/>
          <w:sz w:val="21"/>
          <w:szCs w:val="21"/>
          <w:color w:val="010000"/>
        </w:rPr>
        <w:t xml:space="preserve"> </w:t>
      </w:r>
      <w:r>
        <w:rPr>
          <w:rFonts w:ascii="Arial" w:cs="Arial" w:eastAsia="Arial" w:hAnsi="Arial"/>
          <w:sz w:val="21"/>
          <w:szCs w:val="21"/>
          <w:color w:val="000000"/>
        </w:rPr>
        <w:t>the parties and its successors and the permitted assigns of the Holders, which shall include Permitted Transferees.</w:t>
      </w:r>
    </w:p>
    <w:p>
      <w:pPr>
        <w:spacing w:after="0" w:line="178" w:lineRule="exact"/>
        <w:rPr>
          <w:sz w:val="20"/>
          <w:szCs w:val="20"/>
          <w:color w:val="auto"/>
        </w:rPr>
      </w:pPr>
    </w:p>
    <w:p>
      <w:pPr>
        <w:jc w:val="both"/>
        <w:ind w:right="20" w:firstLine="1296"/>
        <w:spacing w:after="0" w:line="250" w:lineRule="auto"/>
        <w:rPr>
          <w:sz w:val="20"/>
          <w:szCs w:val="20"/>
          <w:color w:val="auto"/>
        </w:rPr>
      </w:pPr>
      <w:r>
        <w:rPr>
          <w:rFonts w:ascii="Arial" w:cs="Arial" w:eastAsia="Arial" w:hAnsi="Arial"/>
          <w:sz w:val="22"/>
          <w:szCs w:val="22"/>
          <w:color w:val="010000"/>
        </w:rPr>
        <w:t xml:space="preserve">6.2.4 </w:t>
      </w:r>
      <w:r>
        <w:rPr>
          <w:rFonts w:ascii="Arial" w:cs="Arial" w:eastAsia="Arial" w:hAnsi="Arial"/>
          <w:sz w:val="22"/>
          <w:szCs w:val="22"/>
          <w:color w:val="000000"/>
        </w:rPr>
        <w:t>This Agreement shall not confer any rights or benefits on any persons that are not parties hereto, other</w:t>
      </w:r>
      <w:r>
        <w:rPr>
          <w:rFonts w:ascii="Arial" w:cs="Arial" w:eastAsia="Arial" w:hAnsi="Arial"/>
          <w:sz w:val="22"/>
          <w:szCs w:val="22"/>
          <w:color w:val="010000"/>
        </w:rPr>
        <w:t xml:space="preserve"> </w:t>
      </w:r>
      <w:r>
        <w:rPr>
          <w:rFonts w:ascii="Arial" w:cs="Arial" w:eastAsia="Arial" w:hAnsi="Arial"/>
          <w:sz w:val="22"/>
          <w:szCs w:val="22"/>
          <w:color w:val="000000"/>
        </w:rPr>
        <w:t xml:space="preserve">than as expressly set forth in this Agreement and </w:t>
      </w:r>
      <w:r>
        <w:rPr>
          <w:rFonts w:ascii="Arial" w:cs="Arial" w:eastAsia="Arial" w:hAnsi="Arial"/>
          <w:sz w:val="22"/>
          <w:szCs w:val="22"/>
          <w:u w:val="single" w:color="auto"/>
          <w:color w:val="000000"/>
        </w:rPr>
        <w:t>Section 6.2</w:t>
      </w:r>
      <w:r>
        <w:rPr>
          <w:rFonts w:ascii="Arial" w:cs="Arial" w:eastAsia="Arial" w:hAnsi="Arial"/>
          <w:sz w:val="22"/>
          <w:szCs w:val="22"/>
          <w:color w:val="000000"/>
        </w:rPr>
        <w:t xml:space="preserve"> hereof.</w:t>
      </w:r>
    </w:p>
    <w:p>
      <w:pPr>
        <w:spacing w:after="0" w:line="20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9"/>
          <w:szCs w:val="19"/>
          <w:color w:val="010000"/>
        </w:rPr>
        <w:t xml:space="preserve">6.2.5 </w:t>
      </w:r>
      <w:r>
        <w:rPr>
          <w:rFonts w:ascii="Arial" w:cs="Arial" w:eastAsia="Arial" w:hAnsi="Arial"/>
          <w:sz w:val="19"/>
          <w:szCs w:val="19"/>
          <w:color w:val="000000"/>
        </w:rPr>
        <w:t>No assignment by any party hereto of such party’s rights, duties and obligations hereunder shall be</w:t>
      </w:r>
      <w:r>
        <w:rPr>
          <w:rFonts w:ascii="Arial" w:cs="Arial" w:eastAsia="Arial" w:hAnsi="Arial"/>
          <w:sz w:val="19"/>
          <w:szCs w:val="19"/>
          <w:color w:val="010000"/>
        </w:rPr>
        <w:t xml:space="preserve"> </w:t>
      </w:r>
      <w:r>
        <w:rPr>
          <w:rFonts w:ascii="Arial" w:cs="Arial" w:eastAsia="Arial" w:hAnsi="Arial"/>
          <w:sz w:val="19"/>
          <w:szCs w:val="19"/>
          <w:color w:val="000000"/>
        </w:rPr>
        <w:t xml:space="preserve">binding upon or obligate the Company unless and until the Company shall have received (i) written notice of such assignment as provided in </w:t>
      </w:r>
      <w:r>
        <w:rPr>
          <w:rFonts w:ascii="Arial" w:cs="Arial" w:eastAsia="Arial" w:hAnsi="Arial"/>
          <w:sz w:val="19"/>
          <w:szCs w:val="19"/>
          <w:u w:val="single" w:color="auto"/>
          <w:color w:val="000000"/>
        </w:rPr>
        <w:t>Section 6.1</w:t>
      </w:r>
      <w:r>
        <w:rPr>
          <w:rFonts w:ascii="Arial" w:cs="Arial" w:eastAsia="Arial" w:hAnsi="Arial"/>
          <w:sz w:val="19"/>
          <w:szCs w:val="19"/>
          <w:color w:val="000000"/>
        </w:rPr>
        <w:t xml:space="preserve"> hereof and (ii)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Arial" w:cs="Arial" w:eastAsia="Arial" w:hAnsi="Arial"/>
          <w:sz w:val="19"/>
          <w:szCs w:val="19"/>
          <w:u w:val="single" w:color="auto"/>
          <w:color w:val="000000"/>
        </w:rPr>
        <w:t>Section 6.2</w:t>
      </w:r>
      <w:r>
        <w:rPr>
          <w:rFonts w:ascii="Arial" w:cs="Arial" w:eastAsia="Arial" w:hAnsi="Arial"/>
          <w:sz w:val="19"/>
          <w:szCs w:val="19"/>
          <w:color w:val="000000"/>
        </w:rPr>
        <w:t xml:space="preserve"> shall be null and void.</w:t>
      </w:r>
    </w:p>
    <w:p>
      <w:pPr>
        <w:spacing w:after="0" w:line="1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010000"/>
        </w:rPr>
        <w:t xml:space="preserve">6.3 </w:t>
      </w:r>
      <w:r>
        <w:rPr>
          <w:rFonts w:ascii="Arial" w:cs="Arial" w:eastAsia="Arial" w:hAnsi="Arial"/>
          <w:sz w:val="22"/>
          <w:szCs w:val="22"/>
          <w:u w:val="single" w:color="auto"/>
          <w:color w:val="000000"/>
        </w:rPr>
        <w:t>Severability</w:t>
      </w:r>
      <w:r>
        <w:rPr>
          <w:rFonts w:ascii="Arial" w:cs="Arial" w:eastAsia="Arial" w:hAnsi="Arial"/>
          <w:sz w:val="22"/>
          <w:szCs w:val="22"/>
          <w:color w:val="000000"/>
        </w:rPr>
        <w:t>. This Agreement shall be deemed severable, and the invalidity or unenforceability of any term or</w:t>
      </w:r>
      <w:r>
        <w:rPr>
          <w:rFonts w:ascii="Arial" w:cs="Arial" w:eastAsia="Arial" w:hAnsi="Arial"/>
          <w:sz w:val="22"/>
          <w:szCs w:val="22"/>
          <w:color w:val="010000"/>
        </w:rPr>
        <w:t xml:space="preserve"> </w:t>
      </w:r>
      <w:r>
        <w:rPr>
          <w:rFonts w:ascii="Arial" w:cs="Arial" w:eastAsia="Arial" w:hAnsi="Arial"/>
          <w:sz w:val="22"/>
          <w:szCs w:val="22"/>
          <w:color w:val="000000"/>
        </w:rPr>
        <w:t>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7" w:name="page178"/>
    <w:bookmarkEnd w:id="177"/>
    <w:p>
      <w:pPr>
        <w:jc w:val="both"/>
        <w:ind w:firstLine="648"/>
        <w:spacing w:after="0" w:line="241" w:lineRule="auto"/>
        <w:rPr>
          <w:sz w:val="20"/>
          <w:szCs w:val="20"/>
          <w:color w:val="auto"/>
        </w:rPr>
      </w:pPr>
      <w:r>
        <w:rPr>
          <w:rFonts w:ascii="Arial" w:cs="Arial" w:eastAsia="Arial" w:hAnsi="Arial"/>
          <w:sz w:val="22"/>
          <w:szCs w:val="22"/>
          <w:color w:val="010000"/>
        </w:rPr>
        <w:t xml:space="preserve">6.4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multiple counterparts (including facsimile or PDF</w:t>
      </w:r>
      <w:r>
        <w:rPr>
          <w:rFonts w:ascii="Arial" w:cs="Arial" w:eastAsia="Arial" w:hAnsi="Arial"/>
          <w:sz w:val="22"/>
          <w:szCs w:val="22"/>
          <w:color w:val="010000"/>
        </w:rPr>
        <w:t xml:space="preserve"> </w:t>
      </w:r>
      <w:r>
        <w:rPr>
          <w:rFonts w:ascii="Arial" w:cs="Arial" w:eastAsia="Arial" w:hAnsi="Arial"/>
          <w:sz w:val="22"/>
          <w:szCs w:val="22"/>
          <w:color w:val="000000"/>
        </w:rPr>
        <w:t>counterparts), each of which shall be deemed an original, and all of which together shall constitute the same instrument, but only one of which need be produced.</w:t>
      </w:r>
    </w:p>
    <w:p>
      <w:pPr>
        <w:spacing w:after="0" w:line="21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010000"/>
        </w:rPr>
        <w:t xml:space="preserve">6.5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(including all agreements entered into pursuant hereto and all certificates and</w:t>
      </w:r>
      <w:r>
        <w:rPr>
          <w:rFonts w:ascii="Arial" w:cs="Arial" w:eastAsia="Arial" w:hAnsi="Arial"/>
          <w:sz w:val="22"/>
          <w:szCs w:val="22"/>
          <w:color w:val="010000"/>
        </w:rPr>
        <w:t xml:space="preserve"> </w:t>
      </w:r>
      <w:r>
        <w:rPr>
          <w:rFonts w:ascii="Arial" w:cs="Arial" w:eastAsia="Arial" w:hAnsi="Arial"/>
          <w:sz w:val="22"/>
          <w:szCs w:val="22"/>
          <w:color w:val="000000"/>
        </w:rPr>
        <w:t>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010000"/>
        </w:rPr>
        <w:t xml:space="preserve">6.6 </w:t>
      </w:r>
      <w:r>
        <w:rPr>
          <w:rFonts w:ascii="Arial" w:cs="Arial" w:eastAsia="Arial" w:hAnsi="Arial"/>
          <w:sz w:val="21"/>
          <w:szCs w:val="21"/>
          <w:u w:val="single" w:color="auto"/>
          <w:color w:val="000000"/>
        </w:rPr>
        <w:t>Governing Law; Venue</w:t>
      </w:r>
      <w:r>
        <w:rPr>
          <w:rFonts w:ascii="Arial" w:cs="Arial" w:eastAsia="Arial" w:hAnsi="Arial"/>
          <w:sz w:val="21"/>
          <w:szCs w:val="21"/>
          <w:color w:val="000000"/>
        </w:rPr>
        <w:t>. NOTWITHSTANDING THE PLACE WHERE THIS AGREEMENT MAY BE</w:t>
      </w:r>
      <w:r>
        <w:rPr>
          <w:rFonts w:ascii="Arial" w:cs="Arial" w:eastAsia="Arial" w:hAnsi="Arial"/>
          <w:sz w:val="21"/>
          <w:szCs w:val="21"/>
          <w:color w:val="010000"/>
        </w:rPr>
        <w:t xml:space="preserve"> </w:t>
      </w:r>
      <w:r>
        <w:rPr>
          <w:rFonts w:ascii="Arial" w:cs="Arial" w:eastAsia="Arial" w:hAnsi="Arial"/>
          <w:sz w:val="21"/>
          <w:szCs w:val="21"/>
          <w:color w:val="000000"/>
        </w:rPr>
        <w:t>EXECUTED BY ANY OF THE PARTIES HERETO, THE PARTIES EXPRESSLY AGREE THAT THIS AGREEMENT SHALL BE GOVERNED BY AND CONSTRUED UNDER THE LAWS OF THE STATE OF NEW YORK AS APPLIED TO AGREEMENTS AMONG NEW YORK RESIDENTS ENTERED INTO AND TO BE PERFORMED ENTIRELY WITHIN NEW YORK, WITHOUT REGARD TO THE CONFLICT OF LAW PROVISIONS OF SUCH JURISDICTION.</w:t>
      </w:r>
    </w:p>
    <w:p>
      <w:pPr>
        <w:spacing w:after="0" w:line="19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010000"/>
        </w:rPr>
        <w:t xml:space="preserve">6.7 </w:t>
      </w:r>
      <w:r>
        <w:rPr>
          <w:rFonts w:ascii="Arial" w:cs="Arial" w:eastAsia="Arial" w:hAnsi="Arial"/>
          <w:sz w:val="22"/>
          <w:szCs w:val="22"/>
          <w:b w:val="1"/>
          <w:bCs w:val="1"/>
          <w:u w:val="single" w:color="auto"/>
          <w:color w:val="000000"/>
        </w:rPr>
        <w:t>WAIVER OF TRIAL BY JURY</w:t>
      </w:r>
      <w:r>
        <w:rPr>
          <w:rFonts w:ascii="Arial" w:cs="Arial" w:eastAsia="Arial" w:hAnsi="Arial"/>
          <w:sz w:val="22"/>
          <w:szCs w:val="22"/>
          <w:b w:val="1"/>
          <w:bCs w:val="1"/>
          <w:color w:val="000000"/>
        </w:rPr>
        <w:t>. EACH PARTY HEREBY IRREVOCABLY AND UNCONDITIONALLY</w:t>
      </w:r>
      <w:r>
        <w:rPr>
          <w:rFonts w:ascii="Arial" w:cs="Arial" w:eastAsia="Arial" w:hAnsi="Arial"/>
          <w:sz w:val="22"/>
          <w:szCs w:val="22"/>
          <w:b w:val="1"/>
          <w:bCs w:val="1"/>
          <w:color w:val="010000"/>
        </w:rPr>
        <w:t xml:space="preserve"> </w:t>
      </w:r>
      <w:r>
        <w:rPr>
          <w:rFonts w:ascii="Arial" w:cs="Arial" w:eastAsia="Arial" w:hAnsi="Arial"/>
          <w:sz w:val="22"/>
          <w:szCs w:val="22"/>
          <w:b w:val="1"/>
          <w:bCs w:val="1"/>
          <w:color w:val="000000"/>
        </w:rPr>
        <w:t>WAIVES THE RIGHT TO A TRIAL BY JURY IN ANY ACTION, SUIT, COUNTERCLAIM OR OTHER PROCEEDING (WHETHER BASED ON CONTRACT, TORT OR OTHERWISE) ARISING OUT OF, CONNECTED WITH OR RELATING TO THIS AGREEMENT, THE TRANSACTIONS CONTEMPLATED HEREBY, OR THE ACTIONS OF THE SPONSOR IN THE NEGOTIATION, ADMINISTRATION, PERFORMANCE OR ENFORCEMENT HEREOF.</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010000"/>
        </w:rPr>
        <w:t xml:space="preserve">6.8 </w:t>
      </w:r>
      <w:r>
        <w:rPr>
          <w:rFonts w:ascii="Arial" w:cs="Arial" w:eastAsia="Arial" w:hAnsi="Arial"/>
          <w:sz w:val="19"/>
          <w:szCs w:val="19"/>
          <w:u w:val="single" w:color="auto"/>
          <w:color w:val="000000"/>
        </w:rPr>
        <w:t>Amendments and Modifications</w:t>
      </w:r>
      <w:r>
        <w:rPr>
          <w:rFonts w:ascii="Arial" w:cs="Arial" w:eastAsia="Arial" w:hAnsi="Arial"/>
          <w:sz w:val="19"/>
          <w:szCs w:val="19"/>
          <w:color w:val="000000"/>
        </w:rPr>
        <w:t>. Upon the written consent of the Company and the Holders of at least a majority</w:t>
      </w:r>
      <w:r>
        <w:rPr>
          <w:rFonts w:ascii="Arial" w:cs="Arial" w:eastAsia="Arial" w:hAnsi="Arial"/>
          <w:sz w:val="19"/>
          <w:szCs w:val="19"/>
          <w:color w:val="010000"/>
        </w:rPr>
        <w:t xml:space="preserve"> </w:t>
      </w:r>
      <w:r>
        <w:rPr>
          <w:rFonts w:ascii="Arial" w:cs="Arial" w:eastAsia="Arial" w:hAnsi="Arial"/>
          <w:sz w:val="19"/>
          <w:szCs w:val="19"/>
          <w:color w:val="000000"/>
        </w:rPr>
        <w:t>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(1) Holder, solely in its capacity as a holder of the shares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6.9 </w:t>
      </w:r>
      <w:r>
        <w:rPr>
          <w:rFonts w:ascii="Arial" w:cs="Arial" w:eastAsia="Arial" w:hAnsi="Arial"/>
          <w:sz w:val="22"/>
          <w:szCs w:val="22"/>
          <w:u w:val="single" w:color="auto"/>
          <w:color w:val="000000"/>
        </w:rPr>
        <w:t>Titles and Headings</w:t>
      </w:r>
      <w:r>
        <w:rPr>
          <w:rFonts w:ascii="Arial" w:cs="Arial" w:eastAsia="Arial" w:hAnsi="Arial"/>
          <w:sz w:val="22"/>
          <w:szCs w:val="22"/>
          <w:color w:val="000000"/>
        </w:rPr>
        <w:t>. Titles and headings of sections of this Agreement are for convenience only and shall not</w:t>
      </w:r>
      <w:r>
        <w:rPr>
          <w:rFonts w:ascii="Arial" w:cs="Arial" w:eastAsia="Arial" w:hAnsi="Arial"/>
          <w:sz w:val="22"/>
          <w:szCs w:val="22"/>
          <w:color w:val="010000"/>
        </w:rPr>
        <w:t xml:space="preserve"> </w:t>
      </w:r>
      <w:r>
        <w:rPr>
          <w:rFonts w:ascii="Arial" w:cs="Arial" w:eastAsia="Arial" w:hAnsi="Arial"/>
          <w:sz w:val="22"/>
          <w:szCs w:val="22"/>
          <w:color w:val="000000"/>
        </w:rPr>
        <w:t>affect the construction of any provision of this Agreement.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8" w:name="page179"/>
    <w:bookmarkEnd w:id="178"/>
    <w:p>
      <w:pPr>
        <w:jc w:val="both"/>
        <w:ind w:firstLine="648"/>
        <w:spacing w:after="0" w:line="247" w:lineRule="auto"/>
        <w:rPr>
          <w:sz w:val="20"/>
          <w:szCs w:val="20"/>
          <w:color w:val="auto"/>
        </w:rPr>
      </w:pPr>
      <w:r>
        <w:rPr>
          <w:rFonts w:ascii="Arial" w:cs="Arial" w:eastAsia="Arial" w:hAnsi="Arial"/>
          <w:sz w:val="21"/>
          <w:szCs w:val="21"/>
          <w:color w:val="010000"/>
        </w:rPr>
        <w:t xml:space="preserve">6.10 </w:t>
      </w:r>
      <w:r>
        <w:rPr>
          <w:rFonts w:ascii="Arial" w:cs="Arial" w:eastAsia="Arial" w:hAnsi="Arial"/>
          <w:sz w:val="21"/>
          <w:szCs w:val="21"/>
          <w:u w:val="single" w:color="auto"/>
          <w:color w:val="000000"/>
        </w:rPr>
        <w:t>Waivers and Extensions</w:t>
      </w:r>
      <w:r>
        <w:rPr>
          <w:rFonts w:ascii="Arial" w:cs="Arial" w:eastAsia="Arial" w:hAnsi="Arial"/>
          <w:sz w:val="21"/>
          <w:szCs w:val="21"/>
          <w:color w:val="000000"/>
        </w:rPr>
        <w:t>. Any party to this Agreement may waive any right, breach or default which such party</w:t>
      </w:r>
      <w:r>
        <w:rPr>
          <w:rFonts w:ascii="Arial" w:cs="Arial" w:eastAsia="Arial" w:hAnsi="Arial"/>
          <w:sz w:val="21"/>
          <w:szCs w:val="21"/>
          <w:color w:val="010000"/>
        </w:rPr>
        <w:t xml:space="preserve"> </w:t>
      </w:r>
      <w:r>
        <w:rPr>
          <w:rFonts w:ascii="Arial" w:cs="Arial" w:eastAsia="Arial" w:hAnsi="Arial"/>
          <w:sz w:val="21"/>
          <w:szCs w:val="21"/>
          <w:color w:val="000000"/>
        </w:rPr>
        <w:t>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010000"/>
        </w:rPr>
        <w:t xml:space="preserve">6.11 </w:t>
      </w:r>
      <w:r>
        <w:rPr>
          <w:rFonts w:ascii="Arial" w:cs="Arial" w:eastAsia="Arial" w:hAnsi="Arial"/>
          <w:sz w:val="21"/>
          <w:szCs w:val="21"/>
          <w:u w:val="single" w:color="auto"/>
          <w:color w:val="000000"/>
        </w:rPr>
        <w:t>Remedies Cumulative</w:t>
      </w:r>
      <w:r>
        <w:rPr>
          <w:rFonts w:ascii="Arial" w:cs="Arial" w:eastAsia="Arial" w:hAnsi="Arial"/>
          <w:sz w:val="21"/>
          <w:szCs w:val="21"/>
          <w:color w:val="000000"/>
        </w:rPr>
        <w:t>. In the event that the Company fails to observe or perform any covenant or agreement to</w:t>
      </w:r>
      <w:r>
        <w:rPr>
          <w:rFonts w:ascii="Arial" w:cs="Arial" w:eastAsia="Arial" w:hAnsi="Arial"/>
          <w:sz w:val="21"/>
          <w:szCs w:val="21"/>
          <w:color w:val="010000"/>
        </w:rPr>
        <w:t xml:space="preserve"> </w:t>
      </w:r>
      <w:r>
        <w:rPr>
          <w:rFonts w:ascii="Arial" w:cs="Arial" w:eastAsia="Arial" w:hAnsi="Arial"/>
          <w:sz w:val="21"/>
          <w:szCs w:val="21"/>
          <w:color w:val="000000"/>
        </w:rPr>
        <w:t>be observed or performed under this Agreement, the Holders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20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010000"/>
        </w:rPr>
        <w:t xml:space="preserve">6.12 </w:t>
      </w:r>
      <w:r>
        <w:rPr>
          <w:rFonts w:ascii="Arial" w:cs="Arial" w:eastAsia="Arial" w:hAnsi="Arial"/>
          <w:sz w:val="21"/>
          <w:szCs w:val="21"/>
          <w:u w:val="single" w:color="auto"/>
          <w:color w:val="000000"/>
        </w:rPr>
        <w:t>Other Registration Rights</w:t>
      </w:r>
      <w:r>
        <w:rPr>
          <w:rFonts w:ascii="Arial" w:cs="Arial" w:eastAsia="Arial" w:hAnsi="Arial"/>
          <w:sz w:val="21"/>
          <w:szCs w:val="21"/>
          <w:color w:val="000000"/>
        </w:rPr>
        <w:t>. The Company represents and warrants that no person, other than a Holder of</w:t>
      </w:r>
      <w:r>
        <w:rPr>
          <w:rFonts w:ascii="Arial" w:cs="Arial" w:eastAsia="Arial" w:hAnsi="Arial"/>
          <w:sz w:val="21"/>
          <w:szCs w:val="21"/>
          <w:color w:val="010000"/>
        </w:rPr>
        <w:t xml:space="preserve"> </w:t>
      </w:r>
      <w:r>
        <w:rPr>
          <w:rFonts w:ascii="Arial" w:cs="Arial" w:eastAsia="Arial" w:hAnsi="Arial"/>
          <w:sz w:val="21"/>
          <w:szCs w:val="21"/>
          <w:color w:val="000000"/>
        </w:rPr>
        <w:t>Registrable Securities, has any right to require the Company to register any securities of the Company for sale or to include such securities of the Company in any Registration filed by the Company for the sale of securities for its own account or for the account of any other person.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010000"/>
        </w:rPr>
        <w:t xml:space="preserve">6.13 </w:t>
      </w:r>
      <w:r>
        <w:rPr>
          <w:rFonts w:ascii="Arial" w:cs="Arial" w:eastAsia="Arial" w:hAnsi="Arial"/>
          <w:sz w:val="22"/>
          <w:szCs w:val="22"/>
          <w:u w:val="single" w:color="auto"/>
          <w:color w:val="000000"/>
        </w:rPr>
        <w:t>Term</w:t>
      </w:r>
      <w:r>
        <w:rPr>
          <w:rFonts w:ascii="Arial" w:cs="Arial" w:eastAsia="Arial" w:hAnsi="Arial"/>
          <w:sz w:val="22"/>
          <w:szCs w:val="22"/>
          <w:color w:val="000000"/>
        </w:rPr>
        <w:t>. This Agreement shall terminate upon the earlier of (i) the tenth anniversary of the date of this Agreement</w:t>
      </w:r>
      <w:r>
        <w:rPr>
          <w:rFonts w:ascii="Arial" w:cs="Arial" w:eastAsia="Arial" w:hAnsi="Arial"/>
          <w:sz w:val="22"/>
          <w:szCs w:val="22"/>
          <w:color w:val="010000"/>
        </w:rPr>
        <w:t xml:space="preserve"> </w:t>
      </w:r>
      <w:r>
        <w:rPr>
          <w:rFonts w:ascii="Arial" w:cs="Arial" w:eastAsia="Arial" w:hAnsi="Arial"/>
          <w:sz w:val="22"/>
          <w:szCs w:val="22"/>
          <w:color w:val="000000"/>
        </w:rPr>
        <w:t xml:space="preserve">and (ii) the date as of which no Registrable Securities remain outstanding. The provisions of Section 3.5 and </w:t>
      </w:r>
      <w:r>
        <w:rPr>
          <w:rFonts w:ascii="Arial" w:cs="Arial" w:eastAsia="Arial" w:hAnsi="Arial"/>
          <w:sz w:val="22"/>
          <w:szCs w:val="22"/>
          <w:i w:val="1"/>
          <w:iCs w:val="1"/>
          <w:color w:val="000000"/>
        </w:rPr>
        <w:t>Article IV</w:t>
      </w:r>
      <w:r>
        <w:rPr>
          <w:rFonts w:ascii="Arial" w:cs="Arial" w:eastAsia="Arial" w:hAnsi="Arial"/>
          <w:sz w:val="22"/>
          <w:szCs w:val="22"/>
          <w:color w:val="000000"/>
        </w:rPr>
        <w:t xml:space="preserve"> shall survive any termination.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ind w:left="660"/>
        <w:spacing w:after="0"/>
        <w:rPr>
          <w:sz w:val="20"/>
          <w:szCs w:val="20"/>
          <w:color w:val="auto"/>
        </w:rPr>
      </w:pPr>
      <w:r>
        <w:rPr>
          <w:rFonts w:ascii="Arial" w:cs="Arial" w:eastAsia="Arial" w:hAnsi="Arial"/>
          <w:sz w:val="21"/>
          <w:szCs w:val="21"/>
          <w:b w:val="1"/>
          <w:bCs w:val="1"/>
          <w:color w:val="auto"/>
        </w:rPr>
        <w:t>IN WITNESS WHEREOF</w:t>
      </w:r>
      <w:r>
        <w:rPr>
          <w:rFonts w:ascii="Arial" w:cs="Arial" w:eastAsia="Arial" w:hAnsi="Arial"/>
          <w:sz w:val="21"/>
          <w:szCs w:val="21"/>
          <w:color w:val="auto"/>
        </w:rPr>
        <w:t>, the undersigned have caused this Agreement to be executed as of the date first written</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2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COMPANY:</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HOLDERS: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HOLDINGS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Registration and Shareholder Rights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0" w:name="page181"/>
    <w:bookmarkEnd w:id="180"/>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Todd Wider</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and Shareholder Rights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1" w:name="page182"/>
    <w:bookmarkEnd w:id="181"/>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Bradley Campbell</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and Shareholder Rights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2" w:name="page183"/>
    <w:bookmarkEnd w:id="182"/>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Saqib Islam</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Registration and Shareholder Rights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406400</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6,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ARYA Sciences Acquisition Corp III</w:t>
      </w:r>
    </w:p>
    <w:p>
      <w:pPr>
        <w:spacing w:after="0" w:line="238" w:lineRule="auto"/>
        <w:rPr>
          <w:sz w:val="20"/>
          <w:szCs w:val="20"/>
          <w:color w:val="auto"/>
        </w:rPr>
      </w:pPr>
      <w:r>
        <w:rPr>
          <w:rFonts w:ascii="Arial" w:cs="Arial" w:eastAsia="Arial" w:hAnsi="Arial"/>
          <w:sz w:val="22"/>
          <w:szCs w:val="22"/>
          <w:color w:val="auto"/>
        </w:rPr>
        <w:t>51 Astor Place, 10th Floor</w:t>
      </w:r>
    </w:p>
    <w:p>
      <w:pPr>
        <w:spacing w:after="0"/>
        <w:rPr>
          <w:sz w:val="20"/>
          <w:szCs w:val="20"/>
          <w:color w:val="auto"/>
        </w:rPr>
      </w:pPr>
      <w:r>
        <w:rPr>
          <w:rFonts w:ascii="Arial" w:cs="Arial" w:eastAsia="Arial" w:hAnsi="Arial"/>
          <w:sz w:val="22"/>
          <w:szCs w:val="22"/>
          <w:color w:val="auto"/>
        </w:rPr>
        <w:t>New York, New York 10003</w:t>
      </w:r>
    </w:p>
    <w:p>
      <w:pPr>
        <w:spacing w:after="0" w:line="215"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u w:val="single" w:color="auto"/>
          <w:color w:val="auto"/>
        </w:rPr>
        <w:t>Initial Public Offering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color w:val="auto"/>
        </w:rPr>
        <w:t>This letter (this “</w:t>
      </w:r>
      <w:r>
        <w:rPr>
          <w:rFonts w:ascii="Arial" w:cs="Arial" w:eastAsia="Arial" w:hAnsi="Arial"/>
          <w:sz w:val="19"/>
          <w:szCs w:val="19"/>
          <w:b w:val="1"/>
          <w:bCs w:val="1"/>
          <w:i w:val="1"/>
          <w:iCs w:val="1"/>
          <w:color w:val="auto"/>
        </w:rPr>
        <w:t>Letter Agreement</w:t>
      </w:r>
      <w:r>
        <w:rPr>
          <w:rFonts w:ascii="Arial" w:cs="Arial" w:eastAsia="Arial" w:hAnsi="Arial"/>
          <w:sz w:val="19"/>
          <w:szCs w:val="19"/>
          <w:color w:val="auto"/>
        </w:rPr>
        <w:t>”) is being delivered to you in accordance with the Underwriting Agreement (the “</w:t>
      </w:r>
      <w:r>
        <w:rPr>
          <w:rFonts w:ascii="Arial" w:cs="Arial" w:eastAsia="Arial" w:hAnsi="Arial"/>
          <w:sz w:val="19"/>
          <w:szCs w:val="19"/>
          <w:b w:val="1"/>
          <w:bCs w:val="1"/>
          <w:i w:val="1"/>
          <w:iCs w:val="1"/>
          <w:color w:val="auto"/>
        </w:rPr>
        <w:t>Underwriting Agreement</w:t>
      </w:r>
      <w:r>
        <w:rPr>
          <w:rFonts w:ascii="Arial" w:cs="Arial" w:eastAsia="Arial" w:hAnsi="Arial"/>
          <w:sz w:val="19"/>
          <w:szCs w:val="19"/>
          <w:color w:val="auto"/>
        </w:rPr>
        <w:t>”) entered into by and among ARYA Sciences Acquisition Corp III, a Cayman Islands exempted company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Jefferies LLC and Goldman Sachs &amp; Co. LLC, as representatives (the “</w:t>
      </w:r>
      <w:r>
        <w:rPr>
          <w:rFonts w:ascii="Arial" w:cs="Arial" w:eastAsia="Arial" w:hAnsi="Arial"/>
          <w:sz w:val="19"/>
          <w:szCs w:val="19"/>
          <w:b w:val="1"/>
          <w:bCs w:val="1"/>
          <w:i w:val="1"/>
          <w:iCs w:val="1"/>
          <w:color w:val="auto"/>
        </w:rPr>
        <w:t>Representatives</w:t>
      </w:r>
      <w:r>
        <w:rPr>
          <w:rFonts w:ascii="Arial" w:cs="Arial" w:eastAsia="Arial" w:hAnsi="Arial"/>
          <w:sz w:val="19"/>
          <w:szCs w:val="19"/>
          <w:color w:val="auto"/>
        </w:rPr>
        <w:t>”) of the several underwriters named therein (the “</w:t>
      </w:r>
      <w:r>
        <w:rPr>
          <w:rFonts w:ascii="Arial" w:cs="Arial" w:eastAsia="Arial" w:hAnsi="Arial"/>
          <w:sz w:val="19"/>
          <w:szCs w:val="19"/>
          <w:b w:val="1"/>
          <w:bCs w:val="1"/>
          <w:i w:val="1"/>
          <w:iCs w:val="1"/>
          <w:color w:val="auto"/>
        </w:rPr>
        <w:t>Underwriters</w:t>
      </w:r>
      <w:r>
        <w:rPr>
          <w:rFonts w:ascii="Arial" w:cs="Arial" w:eastAsia="Arial" w:hAnsi="Arial"/>
          <w:sz w:val="19"/>
          <w:szCs w:val="19"/>
          <w:color w:val="auto"/>
        </w:rPr>
        <w:t>”), relating to an underwritten initial public offering (the “</w:t>
      </w:r>
      <w:r>
        <w:rPr>
          <w:rFonts w:ascii="Arial" w:cs="Arial" w:eastAsia="Arial" w:hAnsi="Arial"/>
          <w:sz w:val="19"/>
          <w:szCs w:val="19"/>
          <w:b w:val="1"/>
          <w:bCs w:val="1"/>
          <w:i w:val="1"/>
          <w:iCs w:val="1"/>
          <w:color w:val="auto"/>
        </w:rPr>
        <w:t>Public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 of 14,950,000 of the Company’s Class A ordinary shares, par value $0.0001 per share ( “</w:t>
      </w:r>
      <w:r>
        <w:rPr>
          <w:rFonts w:ascii="Arial" w:cs="Arial" w:eastAsia="Arial" w:hAnsi="Arial"/>
          <w:sz w:val="19"/>
          <w:szCs w:val="19"/>
          <w:b w:val="1"/>
          <w:bCs w:val="1"/>
          <w:i w:val="1"/>
          <w:iCs w:val="1"/>
          <w:color w:val="auto"/>
        </w:rPr>
        <w:t>Ordinary Shares</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(including 1,950,000 Ordinary Shares that may be purchased pursuant to the Underwriters’ option to purchase additional Ordinary Shares). The Ordinary Shares will be sold in the Public Offering pursuant to a registration statement on Form S-1 and a prospectus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filed by the Company with the U.S.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xml:space="preserve">”). Certain capitalized terms used herein are defined in </w:t>
      </w:r>
      <w:r>
        <w:rPr>
          <w:rFonts w:ascii="Arial" w:cs="Arial" w:eastAsia="Arial" w:hAnsi="Arial"/>
          <w:sz w:val="19"/>
          <w:szCs w:val="19"/>
          <w:u w:val="single" w:color="auto"/>
          <w:color w:val="auto"/>
        </w:rPr>
        <w:t>paragraph 1</w:t>
      </w:r>
      <w:r>
        <w:rPr>
          <w:rFonts w:ascii="Arial" w:cs="Arial" w:eastAsia="Arial" w:hAnsi="Arial"/>
          <w:sz w:val="19"/>
          <w:szCs w:val="19"/>
          <w:color w:val="auto"/>
        </w:rPr>
        <w:t xml:space="preserve"> hereof.</w:t>
      </w:r>
    </w:p>
    <w:p>
      <w:pPr>
        <w:spacing w:after="0" w:line="185" w:lineRule="exact"/>
        <w:rPr>
          <w:sz w:val="20"/>
          <w:szCs w:val="20"/>
          <w:color w:val="auto"/>
        </w:rPr>
      </w:pPr>
    </w:p>
    <w:p>
      <w:pPr>
        <w:ind w:right="220" w:firstLine="648"/>
        <w:spacing w:after="0" w:line="238" w:lineRule="auto"/>
        <w:rPr>
          <w:sz w:val="20"/>
          <w:szCs w:val="20"/>
          <w:color w:val="auto"/>
        </w:rPr>
      </w:pPr>
      <w:r>
        <w:rPr>
          <w:rFonts w:ascii="Arial" w:cs="Arial" w:eastAsia="Arial" w:hAnsi="Arial"/>
          <w:sz w:val="22"/>
          <w:szCs w:val="22"/>
          <w:color w:val="auto"/>
        </w:rPr>
        <w:t>In order to induce the Company and the Underwriters to enter into the Underwriting Agreement and to proceed with the Public Offering and for other good and valuable consideration, the receipt and sufficiency of which are hereby acknowledged, ARYA Sciences Holdings III (the “</w:t>
      </w:r>
      <w:r>
        <w:rPr>
          <w:rFonts w:ascii="Arial" w:cs="Arial" w:eastAsia="Arial" w:hAnsi="Arial"/>
          <w:sz w:val="22"/>
          <w:szCs w:val="22"/>
          <w:b w:val="1"/>
          <w:bCs w:val="1"/>
          <w:i w:val="1"/>
          <w:iCs w:val="1"/>
          <w:color w:val="auto"/>
        </w:rPr>
        <w:t>Sponsor</w:t>
      </w:r>
      <w:r>
        <w:rPr>
          <w:rFonts w:ascii="Arial" w:cs="Arial" w:eastAsia="Arial" w:hAnsi="Arial"/>
          <w:sz w:val="22"/>
          <w:szCs w:val="22"/>
          <w:color w:val="auto"/>
        </w:rPr>
        <w:t>”) and each of the undersigned (each, an “</w:t>
      </w:r>
      <w:r>
        <w:rPr>
          <w:rFonts w:ascii="Arial" w:cs="Arial" w:eastAsia="Arial" w:hAnsi="Arial"/>
          <w:sz w:val="22"/>
          <w:szCs w:val="22"/>
          <w:b w:val="1"/>
          <w:bCs w:val="1"/>
          <w:i w:val="1"/>
          <w:iCs w:val="1"/>
          <w:color w:val="auto"/>
        </w:rPr>
        <w:t>Insider</w:t>
      </w:r>
      <w:r>
        <w:rPr>
          <w:rFonts w:ascii="Arial" w:cs="Arial" w:eastAsia="Arial" w:hAnsi="Arial"/>
          <w:sz w:val="22"/>
          <w:szCs w:val="22"/>
          <w:color w:val="auto"/>
        </w:rPr>
        <w:t>” and, collectively, the “</w:t>
      </w:r>
      <w:r>
        <w:rPr>
          <w:rFonts w:ascii="Arial" w:cs="Arial" w:eastAsia="Arial" w:hAnsi="Arial"/>
          <w:sz w:val="22"/>
          <w:szCs w:val="22"/>
          <w:b w:val="1"/>
          <w:bCs w:val="1"/>
          <w:i w:val="1"/>
          <w:iCs w:val="1"/>
          <w:color w:val="auto"/>
        </w:rPr>
        <w:t>Insiders</w:t>
      </w:r>
      <w:r>
        <w:rPr>
          <w:rFonts w:ascii="Arial" w:cs="Arial" w:eastAsia="Arial" w:hAnsi="Arial"/>
          <w:sz w:val="22"/>
          <w:szCs w:val="22"/>
          <w:color w:val="auto"/>
        </w:rPr>
        <w:t>”) hereby agree with the Company as follows:</w:t>
      </w:r>
    </w:p>
    <w:p>
      <w:pPr>
        <w:spacing w:after="0" w:line="212" w:lineRule="exact"/>
        <w:rPr>
          <w:sz w:val="20"/>
          <w:szCs w:val="20"/>
          <w:color w:val="auto"/>
        </w:rPr>
      </w:pPr>
    </w:p>
    <w:p>
      <w:pPr>
        <w:ind w:right="60" w:firstLine="656"/>
        <w:spacing w:after="0" w:line="270" w:lineRule="auto"/>
        <w:tabs>
          <w:tab w:leader="none" w:pos="1404" w:val="left"/>
        </w:tabs>
        <w:numPr>
          <w:ilvl w:val="0"/>
          <w:numId w:val="259"/>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As used herein, (i) “</w:t>
      </w:r>
      <w:r>
        <w:rPr>
          <w:rFonts w:ascii="Arial" w:cs="Arial" w:eastAsia="Arial" w:hAnsi="Arial"/>
          <w:sz w:val="19"/>
          <w:szCs w:val="19"/>
          <w:b w:val="1"/>
          <w:bCs w:val="1"/>
          <w:i w:val="1"/>
          <w:iCs w:val="1"/>
          <w:color w:val="auto"/>
        </w:rPr>
        <w:t>Business Combination</w:t>
      </w:r>
      <w:r>
        <w:rPr>
          <w:rFonts w:ascii="Arial" w:cs="Arial" w:eastAsia="Arial" w:hAnsi="Arial"/>
          <w:sz w:val="19"/>
          <w:szCs w:val="19"/>
          <w:color w:val="auto"/>
        </w:rPr>
        <w:t>” shall mean a merger, share exchange, asset acquisition, share purchase, reorganization or similar business combination with one or more businesses or entities; (ii) “</w:t>
      </w:r>
      <w:r>
        <w:rPr>
          <w:rFonts w:ascii="Arial" w:cs="Arial" w:eastAsia="Arial" w:hAnsi="Arial"/>
          <w:sz w:val="19"/>
          <w:szCs w:val="19"/>
          <w:b w:val="1"/>
          <w:bCs w:val="1"/>
          <w:i w:val="1"/>
          <w:iCs w:val="1"/>
          <w:color w:val="auto"/>
        </w:rPr>
        <w:t>Founder Shares</w:t>
      </w:r>
      <w:r>
        <w:rPr>
          <w:rFonts w:ascii="Arial" w:cs="Arial" w:eastAsia="Arial" w:hAnsi="Arial"/>
          <w:sz w:val="19"/>
          <w:szCs w:val="19"/>
          <w:color w:val="auto"/>
        </w:rPr>
        <w:t>” shall mean the 3,737,500 Class B ordinary shares of the Company, par value $0.0001 per share, outstanding prior to the consummation of the Public Offering; (iii) “</w:t>
      </w:r>
      <w:r>
        <w:rPr>
          <w:rFonts w:ascii="Arial" w:cs="Arial" w:eastAsia="Arial" w:hAnsi="Arial"/>
          <w:sz w:val="19"/>
          <w:szCs w:val="19"/>
          <w:b w:val="1"/>
          <w:bCs w:val="1"/>
          <w:i w:val="1"/>
          <w:iCs w:val="1"/>
          <w:color w:val="auto"/>
        </w:rPr>
        <w:t>Private Placement Shares</w:t>
      </w:r>
      <w:r>
        <w:rPr>
          <w:rFonts w:ascii="Arial" w:cs="Arial" w:eastAsia="Arial" w:hAnsi="Arial"/>
          <w:sz w:val="19"/>
          <w:szCs w:val="19"/>
          <w:color w:val="auto"/>
        </w:rPr>
        <w:t>” shall mean the Ordinary Shares that will be acquired by the Sponsor for an aggregate purchase price of $4,600,000 (or up to $4,990,000 if the Underwriters’ exercise their option to purchase additional Ordinary Shares in full) in a private placement that shall close simultaneously with the consummation of the Public Offering; (iv) “</w:t>
      </w:r>
      <w:r>
        <w:rPr>
          <w:rFonts w:ascii="Arial" w:cs="Arial" w:eastAsia="Arial" w:hAnsi="Arial"/>
          <w:sz w:val="19"/>
          <w:szCs w:val="19"/>
          <w:b w:val="1"/>
          <w:bCs w:val="1"/>
          <w:i w:val="1"/>
          <w:iCs w:val="1"/>
          <w:color w:val="auto"/>
        </w:rPr>
        <w:t>Public Shareholders</w:t>
      </w:r>
      <w:r>
        <w:rPr>
          <w:rFonts w:ascii="Arial" w:cs="Arial" w:eastAsia="Arial" w:hAnsi="Arial"/>
          <w:sz w:val="19"/>
          <w:szCs w:val="19"/>
          <w:color w:val="auto"/>
        </w:rPr>
        <w:t>” shall mean the holders of Ordinary Shares issued in the Public Offering; (v) “</w:t>
      </w:r>
      <w:r>
        <w:rPr>
          <w:rFonts w:ascii="Arial" w:cs="Arial" w:eastAsia="Arial" w:hAnsi="Arial"/>
          <w:sz w:val="19"/>
          <w:szCs w:val="19"/>
          <w:b w:val="1"/>
          <w:bCs w:val="1"/>
          <w:i w:val="1"/>
          <w:iCs w:val="1"/>
          <w:color w:val="auto"/>
        </w:rPr>
        <w:t>Public</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Shares</w:t>
      </w:r>
      <w:r>
        <w:rPr>
          <w:rFonts w:ascii="Arial" w:cs="Arial" w:eastAsia="Arial" w:hAnsi="Arial"/>
          <w:sz w:val="19"/>
          <w:szCs w:val="19"/>
          <w:color w:val="auto"/>
        </w:rPr>
        <w:t>” shall mean the Ordinary Shares issued in the Public Offering; (vi) “</w:t>
      </w:r>
      <w:r>
        <w:rPr>
          <w:rFonts w:ascii="Arial" w:cs="Arial" w:eastAsia="Arial" w:hAnsi="Arial"/>
          <w:sz w:val="19"/>
          <w:szCs w:val="19"/>
          <w:b w:val="1"/>
          <w:bCs w:val="1"/>
          <w:i w:val="1"/>
          <w:iCs w:val="1"/>
          <w:color w:val="auto"/>
        </w:rPr>
        <w:t>Trust Account</w:t>
      </w:r>
      <w:r>
        <w:rPr>
          <w:rFonts w:ascii="Arial" w:cs="Arial" w:eastAsia="Arial" w:hAnsi="Arial"/>
          <w:sz w:val="19"/>
          <w:szCs w:val="19"/>
          <w:color w:val="auto"/>
        </w:rPr>
        <w:t>” shall mean the trust account into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which a portion of the net proceeds of the Public Offering and the sale of the Private Placement Shares shall be deposited; (vii) “</w:t>
      </w:r>
      <w:r>
        <w:rPr>
          <w:rFonts w:ascii="Arial" w:cs="Arial" w:eastAsia="Arial" w:hAnsi="Arial"/>
          <w:sz w:val="19"/>
          <w:szCs w:val="19"/>
          <w:b w:val="1"/>
          <w:bCs w:val="1"/>
          <w:i w:val="1"/>
          <w:iCs w:val="1"/>
          <w:color w:val="auto"/>
        </w:rPr>
        <w:t>Transfer</w:t>
      </w:r>
      <w:r>
        <w:rPr>
          <w:rFonts w:ascii="Arial" w:cs="Arial" w:eastAsia="Arial" w:hAnsi="Arial"/>
          <w:sz w:val="19"/>
          <w:szCs w:val="19"/>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Securities Exchange Act of 1934, as amended,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and (viii) “</w:t>
      </w:r>
      <w:r>
        <w:rPr>
          <w:rFonts w:ascii="Arial" w:cs="Arial" w:eastAsia="Arial" w:hAnsi="Arial"/>
          <w:sz w:val="19"/>
          <w:szCs w:val="19"/>
          <w:b w:val="1"/>
          <w:bCs w:val="1"/>
          <w:i w:val="1"/>
          <w:iCs w:val="1"/>
          <w:color w:val="auto"/>
        </w:rPr>
        <w:t>Charter</w:t>
      </w:r>
      <w:r>
        <w:rPr>
          <w:rFonts w:ascii="Arial" w:cs="Arial" w:eastAsia="Arial" w:hAnsi="Arial"/>
          <w:sz w:val="19"/>
          <w:szCs w:val="19"/>
          <w:color w:val="auto"/>
        </w:rPr>
        <w:t>” shall mean the Company’s Amended and Restated Memorandum and Articles of Association, as the same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4" w:name="page185"/>
    <w:bookmarkEnd w:id="184"/>
    <w:p>
      <w:pPr>
        <w:ind w:left="1340" w:hanging="804"/>
        <w:spacing w:after="0"/>
        <w:tabs>
          <w:tab w:leader="none" w:pos="1340"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20" w:right="120" w:firstLine="1304"/>
        <w:spacing w:after="0" w:line="279" w:lineRule="auto"/>
        <w:tabs>
          <w:tab w:leader="none" w:pos="1952" w:val="left"/>
        </w:tabs>
        <w:numPr>
          <w:ilvl w:val="1"/>
          <w:numId w:val="260"/>
        </w:numPr>
        <w:rPr>
          <w:rFonts w:ascii="Arial" w:cs="Arial" w:eastAsia="Arial" w:hAnsi="Arial"/>
          <w:sz w:val="19"/>
          <w:szCs w:val="19"/>
          <w:color w:val="010000"/>
        </w:rPr>
      </w:pPr>
      <w:r>
        <w:rPr>
          <w:rFonts w:ascii="Arial" w:cs="Arial" w:eastAsia="Arial" w:hAnsi="Arial"/>
          <w:sz w:val="19"/>
          <w:szCs w:val="19"/>
          <w:color w:val="auto"/>
        </w:rPr>
        <w:t>The Sponsor and each Insider, with respect to itself, herself or himself, represent and warrant to the Company that it, she or he has the full right and power, without violating any agreement to which it, she or he is bound (including, without limitation, any non-competition or non-solicitation agreement with any employer or former employer), to enter into this Letter Agreement, and, as applicable, to serve as an officer of the Company and/or a director on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as applicable, and each Insider hereby consents to being named in the Prospectus, road show and any other materials as an officer and/or director of the Company, as applicable.</w:t>
      </w:r>
    </w:p>
    <w:p>
      <w:pPr>
        <w:spacing w:after="0" w:line="177" w:lineRule="exact"/>
        <w:rPr>
          <w:rFonts w:ascii="Arial" w:cs="Arial" w:eastAsia="Arial" w:hAnsi="Arial"/>
          <w:sz w:val="19"/>
          <w:szCs w:val="19"/>
          <w:color w:val="010000"/>
        </w:rPr>
      </w:pPr>
    </w:p>
    <w:p>
      <w:pPr>
        <w:ind w:left="-120" w:firstLine="1304"/>
        <w:spacing w:after="0" w:line="273" w:lineRule="auto"/>
        <w:tabs>
          <w:tab w:leader="none" w:pos="1968" w:val="left"/>
        </w:tabs>
        <w:numPr>
          <w:ilvl w:val="1"/>
          <w:numId w:val="260"/>
        </w:numPr>
        <w:rPr>
          <w:rFonts w:ascii="Arial" w:cs="Arial" w:eastAsia="Arial" w:hAnsi="Arial"/>
          <w:sz w:val="19"/>
          <w:szCs w:val="19"/>
          <w:color w:val="010000"/>
        </w:rPr>
      </w:pPr>
      <w:r>
        <w:rPr>
          <w:rFonts w:ascii="Arial" w:cs="Arial" w:eastAsia="Arial" w:hAnsi="Arial"/>
          <w:sz w:val="19"/>
          <w:szCs w:val="19"/>
          <w:color w:val="auto"/>
        </w:rPr>
        <w:t>Each Insider represents and warrants, with respect to herself or himself, that such Insider’s biographical information furnished to the Company (including any such information included in the Prospectus) is true and accurate in all material respects and does not omit any material information with respect to such Insider’s background. The Insider’s questionnaire furnished to the Company is true and accurate in all material respects. Each Insider represents and warrants that such Insider is not subject to or a respondent in any legal action for, any injunction, cease-and-desist order or order or stipulation to desist or refrain from any act or practice relating to the offering of securities in any jurisdiction; such Insider has never been convicted of, or pleaded guilty to, any crime (i) involving fraud, (ii) relating to any financial transaction or handling of funds of another person, or (iii) pertaining to any dealings in any securities and such Insider is not currently a defendant in any such criminal proceeding; and such Insider has never been suspended or expelled from membership in any securities or commodities exchange or association or had a securities or commodities license or registration denied, suspended or revoked.</w:t>
      </w:r>
    </w:p>
    <w:p>
      <w:pPr>
        <w:spacing w:after="0" w:line="187" w:lineRule="exact"/>
        <w:rPr>
          <w:rFonts w:ascii="Arial" w:cs="Arial" w:eastAsia="Arial" w:hAnsi="Arial"/>
          <w:sz w:val="19"/>
          <w:szCs w:val="19"/>
          <w:color w:val="010000"/>
        </w:rPr>
      </w:pPr>
    </w:p>
    <w:p>
      <w:pPr>
        <w:ind w:left="-120" w:right="60" w:firstLine="656"/>
        <w:spacing w:after="0" w:line="234" w:lineRule="auto"/>
        <w:tabs>
          <w:tab w:leader="none" w:pos="1284" w:val="left"/>
        </w:tabs>
        <w:numPr>
          <w:ilvl w:val="0"/>
          <w:numId w:val="260"/>
        </w:numPr>
        <w:rPr>
          <w:rFonts w:ascii="Arial" w:cs="Arial" w:eastAsia="Arial" w:hAnsi="Arial"/>
          <w:sz w:val="22"/>
          <w:szCs w:val="22"/>
          <w:color w:val="auto"/>
        </w:rPr>
      </w:pPr>
      <w:r>
        <w:rPr>
          <w:rFonts w:ascii="Arial" w:cs="Arial" w:eastAsia="Arial" w:hAnsi="Arial"/>
          <w:sz w:val="22"/>
          <w:szCs w:val="22"/>
          <w:u w:val="single" w:color="auto"/>
          <w:color w:val="auto"/>
        </w:rPr>
        <w:t>Business Combination Vote</w:t>
      </w:r>
      <w:r>
        <w:rPr>
          <w:rFonts w:ascii="Arial" w:cs="Arial" w:eastAsia="Arial" w:hAnsi="Arial"/>
          <w:sz w:val="22"/>
          <w:szCs w:val="22"/>
          <w:color w:val="auto"/>
        </w:rPr>
        <w:t>. It is acknowledged and agreed that the Company shall not enter into a definitive agreement regarding a proposed Business Combination without the prior consent of the Sponsor. The Sponsor and each Insider, with respect to itself or herself or himself, agrees that if the Company seeks shareholder approval of a proposed initial Business Combination, then in connection with such proposed initial Business Combination, it, she or he, as applicable, shall vote all Founder Shares, Private Placement Shares and any Public Shares held by it, her or him, as applicable, in favor of such proposed initial Business Combination (including any proposals recommended by the Board in connection with such Business Combination) and not redeem any Public Shares held by it, her or him, as applicable, in connection with such shareholder approval.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38100</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40" w:top="118" w:right="459" w:bottom="1440" w:gutter="0" w:footer="0" w:header="0"/>
        </w:sectPr>
      </w:pPr>
    </w:p>
    <w:bookmarkStart w:id="185" w:name="page186"/>
    <w:bookmarkEnd w:id="185"/>
    <w:p>
      <w:pPr>
        <w:ind w:left="1380" w:hanging="764"/>
        <w:spacing w:after="0"/>
        <w:tabs>
          <w:tab w:leader="none" w:pos="1380" w:val="left"/>
        </w:tabs>
        <w:numPr>
          <w:ilvl w:val="0"/>
          <w:numId w:val="261"/>
        </w:numPr>
        <w:rPr>
          <w:rFonts w:ascii="Arial" w:cs="Arial" w:eastAsia="Arial" w:hAnsi="Arial"/>
          <w:sz w:val="22"/>
          <w:szCs w:val="22"/>
          <w:color w:val="auto"/>
        </w:rPr>
      </w:pPr>
      <w:r>
        <w:rPr>
          <w:rFonts w:ascii="Arial" w:cs="Arial" w:eastAsia="Arial" w:hAnsi="Arial"/>
          <w:sz w:val="22"/>
          <w:szCs w:val="22"/>
          <w:u w:val="single" w:color="auto"/>
          <w:color w:val="auto"/>
        </w:rPr>
        <w:t>Failure to Consummate a Business Combination; Trust Account Waiver</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0" w:firstLine="1304"/>
        <w:spacing w:after="0" w:line="270" w:lineRule="auto"/>
        <w:tabs>
          <w:tab w:leader="none" w:pos="2032" w:val="left"/>
        </w:tabs>
        <w:numPr>
          <w:ilvl w:val="1"/>
          <w:numId w:val="261"/>
        </w:numPr>
        <w:rPr>
          <w:rFonts w:ascii="Arial" w:cs="Arial" w:eastAsia="Arial" w:hAnsi="Arial"/>
          <w:sz w:val="19"/>
          <w:szCs w:val="19"/>
          <w:color w:val="010000"/>
        </w:rPr>
      </w:pPr>
      <w:r>
        <w:rPr>
          <w:rFonts w:ascii="Arial" w:cs="Arial" w:eastAsia="Arial" w:hAnsi="Arial"/>
          <w:sz w:val="19"/>
          <w:szCs w:val="19"/>
          <w:color w:val="auto"/>
        </w:rPr>
        <w:t>The Sponsor and each Insider hereby agree, with respect to itself, herself or himself, that in the event that the Company fails to consummate its initial Business Combination within the time period set forth in the Charter, the Sponsor and each Insider shall take all reasonable steps to cause the Company to (i) cease all operations except for the purpose of winding up; (ii) as promptly as reasonably possible but not more than 10 business days thereafter, redeem 100% of the Public Shares, at a per-share price, payable in cash, equal to the aggregate amount then on deposit in the Trust Account, including interest earned on the funds held in the Trust Account and not previously released to the Company to pay income taxes (less up to $100,000 of interest to pay dissolution expenses), divided by the number of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Board, liquidate and dissolve, subject in the case of clauses (ii) and (iii) to the Company’s obligations under Cayman Islands law to provide for claims of creditors and in all cases subject to the other requirements of applicable law. The Sponsor and each Insider agree not to propose any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does not complete an initial Business Combination within the required time period set forth in the Charter or (ii) with respect to any provision relating to the rights of holders of Public Shares unless the Company provides its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the Company to pay income taxes, if any, divided by the number of then-outstanding Public Shares.</w:t>
      </w:r>
    </w:p>
    <w:p>
      <w:pPr>
        <w:spacing w:after="0" w:line="189" w:lineRule="exact"/>
        <w:rPr>
          <w:rFonts w:ascii="Arial" w:cs="Arial" w:eastAsia="Arial" w:hAnsi="Arial"/>
          <w:sz w:val="19"/>
          <w:szCs w:val="19"/>
          <w:color w:val="010000"/>
        </w:rPr>
      </w:pPr>
    </w:p>
    <w:p>
      <w:pPr>
        <w:ind w:left="-40" w:firstLine="1304"/>
        <w:spacing w:after="0" w:line="272" w:lineRule="auto"/>
        <w:tabs>
          <w:tab w:leader="none" w:pos="2044" w:val="left"/>
        </w:tabs>
        <w:numPr>
          <w:ilvl w:val="1"/>
          <w:numId w:val="261"/>
        </w:numPr>
        <w:rPr>
          <w:rFonts w:ascii="Arial" w:cs="Arial" w:eastAsia="Arial" w:hAnsi="Arial"/>
          <w:sz w:val="19"/>
          <w:szCs w:val="19"/>
          <w:color w:val="010000"/>
        </w:rPr>
      </w:pPr>
      <w:r>
        <w:rPr>
          <w:rFonts w:ascii="Arial" w:cs="Arial" w:eastAsia="Arial" w:hAnsi="Arial"/>
          <w:sz w:val="19"/>
          <w:szCs w:val="19"/>
          <w:color w:val="auto"/>
        </w:rPr>
        <w:t>The Sponsor and each Insider, with respect to itself, herself or himself, acknowledges that it, she or he has no right, title, interest or claim of any kind in or to any monies held in the Trust Account or any other asset of the Company as a result of any liquidation of the Company with respect to the Founder Shares and Private Placement Shares held by it, her or him, if any. The Sponsor and each Insider hereby further waives, with respect to any Founder Shares, Private Placement Shares and Public Shares held by it, her or him, as applicable, any redemption rights it, she or he may have in connection with (x) the completion of of the Company’s initial Business Combination, and (y) a shareholder vote to approve an amendment to the Charter (i) that would modify the substance or timing of the Company’s obligation to provide holders of the Public Shares the right to have their shares redeemed in connection with an initial Business Combination or to redeem 100% of the Public Shares if the Company has not consummated an initial Business Combination within the time period set forth in the Charter or (ii) with respect to any provision relating to the rights of holders of Public Shares (although the Sponsor and the Insiders shall be entitled to liquidation rights with respect to any Public Shares they hold if the Company fails to consummate a Business Combination within the required time period set forth in the Charter).</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18" w:right="379" w:bottom="1440" w:gutter="0" w:footer="0" w:header="0"/>
        </w:sectPr>
      </w:pPr>
    </w:p>
    <w:bookmarkStart w:id="186" w:name="page187"/>
    <w:bookmarkEnd w:id="186"/>
    <w:p>
      <w:pPr>
        <w:ind w:left="1400" w:hanging="764"/>
        <w:spacing w:after="0"/>
        <w:tabs>
          <w:tab w:leader="none" w:pos="1400" w:val="left"/>
        </w:tabs>
        <w:numPr>
          <w:ilvl w:val="0"/>
          <w:numId w:val="262"/>
        </w:numPr>
        <w:rPr>
          <w:rFonts w:ascii="Arial" w:cs="Arial" w:eastAsia="Arial" w:hAnsi="Arial"/>
          <w:sz w:val="22"/>
          <w:szCs w:val="22"/>
          <w:color w:val="auto"/>
        </w:rPr>
      </w:pPr>
      <w:r>
        <w:rPr>
          <w:rFonts w:ascii="Arial" w:cs="Arial" w:eastAsia="Arial" w:hAnsi="Arial"/>
          <w:sz w:val="22"/>
          <w:szCs w:val="22"/>
          <w:u w:val="single" w:color="auto"/>
          <w:color w:val="auto"/>
        </w:rPr>
        <w:t>Lock-up; Transfer Restrictions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0" w:right="160" w:firstLine="1304"/>
        <w:spacing w:after="0" w:line="274" w:lineRule="auto"/>
        <w:tabs>
          <w:tab w:leader="none" w:pos="2052" w:val="left"/>
        </w:tabs>
        <w:numPr>
          <w:ilvl w:val="1"/>
          <w:numId w:val="262"/>
        </w:numPr>
        <w:rPr>
          <w:rFonts w:ascii="Arial" w:cs="Arial" w:eastAsia="Arial" w:hAnsi="Arial"/>
          <w:sz w:val="19"/>
          <w:szCs w:val="19"/>
          <w:color w:val="010000"/>
        </w:rPr>
      </w:pPr>
      <w:r>
        <w:rPr>
          <w:rFonts w:ascii="Arial" w:cs="Arial" w:eastAsia="Arial" w:hAnsi="Arial"/>
          <w:sz w:val="19"/>
          <w:szCs w:val="19"/>
          <w:color w:val="auto"/>
        </w:rPr>
        <w:t>The Sponsor and the Insiders agree that they shall not Transfer any Founder Shares (the “</w:t>
      </w:r>
      <w:r>
        <w:rPr>
          <w:rFonts w:ascii="Arial" w:cs="Arial" w:eastAsia="Arial" w:hAnsi="Arial"/>
          <w:sz w:val="19"/>
          <w:szCs w:val="19"/>
          <w:b w:val="1"/>
          <w:bCs w:val="1"/>
          <w:i w:val="1"/>
          <w:iCs w:val="1"/>
          <w:color w:val="auto"/>
        </w:rPr>
        <w:t>Founder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Shares Lock-up</w:t>
      </w:r>
      <w:r>
        <w:rPr>
          <w:rFonts w:ascii="Arial" w:cs="Arial" w:eastAsia="Arial" w:hAnsi="Arial"/>
          <w:sz w:val="19"/>
          <w:szCs w:val="19"/>
          <w:color w:val="auto"/>
        </w:rPr>
        <w:t>”) until the earliest of (A) one year after the completion of the Company’s initial Business Combination and (B)</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date following the completion of an initial Business Combination on which the Company completes a liquidation, merger, share exchange, reorganization or other similar transaction that results in all of the Public Shareholders having the right to exchange their Ordinary Shares for cash, securities or other property (the “</w:t>
      </w:r>
      <w:r>
        <w:rPr>
          <w:rFonts w:ascii="Arial" w:cs="Arial" w:eastAsia="Arial" w:hAnsi="Arial"/>
          <w:sz w:val="19"/>
          <w:szCs w:val="19"/>
          <w:b w:val="1"/>
          <w:bCs w:val="1"/>
          <w:i w:val="1"/>
          <w:iCs w:val="1"/>
          <w:color w:val="auto"/>
        </w:rPr>
        <w:t>Founder Shares Lock-up Period</w:t>
      </w:r>
      <w:r>
        <w:rPr>
          <w:rFonts w:ascii="Arial" w:cs="Arial" w:eastAsia="Arial" w:hAnsi="Arial"/>
          <w:sz w:val="19"/>
          <w:szCs w:val="19"/>
          <w:color w:val="auto"/>
        </w:rPr>
        <w:t>”). Notwithstanding the foregoing, if, subsequent to a Business Combination, the closing price of the Ordinary Shares equals or exceeds $12.00 per share (as adjusted for share splits, share capitalizations, reorganizations, recapitalizations and the like) for any 20 trading days within any 30-trading day period commencing at least 150 days after the Company’s initial Business Combination, the Founder Shares shall be released from the Founder Shares Lock-up.</w:t>
      </w:r>
    </w:p>
    <w:p>
      <w:pPr>
        <w:spacing w:after="0" w:line="185" w:lineRule="exact"/>
        <w:rPr>
          <w:rFonts w:ascii="Arial" w:cs="Arial" w:eastAsia="Arial" w:hAnsi="Arial"/>
          <w:sz w:val="19"/>
          <w:szCs w:val="19"/>
          <w:color w:val="010000"/>
        </w:rPr>
      </w:pPr>
    </w:p>
    <w:p>
      <w:pPr>
        <w:ind w:left="-20" w:right="320" w:firstLine="1304"/>
        <w:spacing w:after="0" w:line="328" w:lineRule="auto"/>
        <w:tabs>
          <w:tab w:leader="none" w:pos="2068" w:val="left"/>
        </w:tabs>
        <w:numPr>
          <w:ilvl w:val="1"/>
          <w:numId w:val="262"/>
        </w:numPr>
        <w:rPr>
          <w:rFonts w:ascii="Arial" w:cs="Arial" w:eastAsia="Arial" w:hAnsi="Arial"/>
          <w:sz w:val="19"/>
          <w:szCs w:val="19"/>
          <w:color w:val="010000"/>
        </w:rPr>
      </w:pPr>
      <w:r>
        <w:rPr>
          <w:rFonts w:ascii="Arial" w:cs="Arial" w:eastAsia="Arial" w:hAnsi="Arial"/>
          <w:sz w:val="19"/>
          <w:szCs w:val="19"/>
          <w:color w:val="auto"/>
        </w:rPr>
        <w:t xml:space="preserve">Subject to the provisions set forth in </w:t>
      </w:r>
      <w:r>
        <w:rPr>
          <w:rFonts w:ascii="Arial" w:cs="Arial" w:eastAsia="Arial" w:hAnsi="Arial"/>
          <w:sz w:val="19"/>
          <w:szCs w:val="19"/>
          <w:u w:val="single" w:color="auto"/>
          <w:color w:val="auto"/>
        </w:rPr>
        <w:t>paragraph 5(c)</w:t>
      </w:r>
      <w:r>
        <w:rPr>
          <w:rFonts w:ascii="Arial" w:cs="Arial" w:eastAsia="Arial" w:hAnsi="Arial"/>
          <w:sz w:val="19"/>
          <w:szCs w:val="19"/>
          <w:color w:val="auto"/>
        </w:rPr>
        <w:t>, the Sponsor and Insiders agree that they shall not effectuate any Transfer of Private Placement Shares until 30 days after the completion of an initial Business Combination.</w:t>
      </w:r>
    </w:p>
    <w:p>
      <w:pPr>
        <w:spacing w:after="0" w:line="131" w:lineRule="exact"/>
        <w:rPr>
          <w:rFonts w:ascii="Arial" w:cs="Arial" w:eastAsia="Arial" w:hAnsi="Arial"/>
          <w:sz w:val="19"/>
          <w:szCs w:val="19"/>
          <w:color w:val="010000"/>
        </w:rPr>
      </w:pPr>
    </w:p>
    <w:p>
      <w:pPr>
        <w:ind w:left="-20" w:right="80" w:firstLine="1304"/>
        <w:spacing w:after="0" w:line="271" w:lineRule="auto"/>
        <w:tabs>
          <w:tab w:leader="none" w:pos="2056" w:val="left"/>
        </w:tabs>
        <w:numPr>
          <w:ilvl w:val="1"/>
          <w:numId w:val="262"/>
        </w:numPr>
        <w:rPr>
          <w:rFonts w:ascii="Arial" w:cs="Arial" w:eastAsia="Arial" w:hAnsi="Arial"/>
          <w:sz w:val="19"/>
          <w:szCs w:val="19"/>
          <w:color w:val="010000"/>
        </w:rPr>
      </w:pPr>
      <w:r>
        <w:rPr>
          <w:rFonts w:ascii="Arial" w:cs="Arial" w:eastAsia="Arial" w:hAnsi="Arial"/>
          <w:sz w:val="19"/>
          <w:szCs w:val="19"/>
          <w:color w:val="auto"/>
        </w:rPr>
        <w:t xml:space="preserve">Notwithstanding the provisions set forth in </w:t>
      </w:r>
      <w:r>
        <w:rPr>
          <w:rFonts w:ascii="Arial" w:cs="Arial" w:eastAsia="Arial" w:hAnsi="Arial"/>
          <w:sz w:val="19"/>
          <w:szCs w:val="19"/>
          <w:u w:val="single" w:color="auto"/>
          <w:color w:val="auto"/>
        </w:rPr>
        <w:t>paragraphs 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Transfers of the Founder Shares and Private Placement Shares are permitted (a) to the Company’s officers or directors, any affiliates or family member of any of the Company’s officers or directors, any members or partners of the Sponsor or their affiliates, any affiliates of the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or Private Placement Shares, as applicable, were originally purchased; (f) by virtue of the Sponsor’s organizational documents upon liquidation or dissolution of the Sponsor; (g) to the Company for no value for cancellation in connection with the consummation of its initial Business Combination, (h) in the event of the Company’s liquidation prior to the completion of its initial Business Combination; or (i) in the event of completion of a liquidation, merger, share exchange or other similar transaction which results in all of the Company’s Public Shareholders having the right to exchange their Ordinary Shares for cash, securities or other property subsequent to the completion of an initial Business Combination; provided, however, that in the case of clauses (a) through (f) these permitted transferees must enter into a written agreement agreeing to be bound by these transfer restrictions.</w:t>
      </w:r>
    </w:p>
    <w:p>
      <w:pPr>
        <w:spacing w:after="0" w:line="187" w:lineRule="exact"/>
        <w:rPr>
          <w:rFonts w:ascii="Arial" w:cs="Arial" w:eastAsia="Arial" w:hAnsi="Arial"/>
          <w:sz w:val="19"/>
          <w:szCs w:val="19"/>
          <w:color w:val="010000"/>
        </w:rPr>
      </w:pPr>
    </w:p>
    <w:p>
      <w:pPr>
        <w:ind w:left="-20" w:firstLine="1304"/>
        <w:spacing w:after="0" w:line="287" w:lineRule="auto"/>
        <w:tabs>
          <w:tab w:leader="none" w:pos="2068" w:val="left"/>
        </w:tabs>
        <w:numPr>
          <w:ilvl w:val="1"/>
          <w:numId w:val="262"/>
        </w:numPr>
        <w:rPr>
          <w:rFonts w:ascii="Arial" w:cs="Arial" w:eastAsia="Arial" w:hAnsi="Arial"/>
          <w:sz w:val="19"/>
          <w:szCs w:val="19"/>
          <w:color w:val="010000"/>
        </w:rPr>
      </w:pPr>
      <w:r>
        <w:rPr>
          <w:rFonts w:ascii="Arial" w:cs="Arial" w:eastAsia="Arial" w:hAnsi="Arial"/>
          <w:sz w:val="19"/>
          <w:szCs w:val="19"/>
          <w:color w:val="auto"/>
        </w:rPr>
        <w:t>During the period commencing on the effective date of the Underwriting Agreement and ending 180 days after such date, the Sponsor and each Insider shall not, without the prior written consent of the Representatives, Transfer any Ordinary Shares or any other securities convertible into, or exercisable or exchangeable for, Ordinary Shares held by it, her or him, as applicable, subject to certain exceptions enumerated in Section 3(p) of the Underwriting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87" w:name="page188"/>
    <w:bookmarkEnd w:id="187"/>
    <w:p>
      <w:pPr>
        <w:ind w:left="-20" w:right="100" w:firstLine="656"/>
        <w:spacing w:after="0" w:line="236" w:lineRule="auto"/>
        <w:tabs>
          <w:tab w:leader="none" w:pos="1384"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Remedies</w:t>
      </w:r>
      <w:r>
        <w:rPr>
          <w:rFonts w:ascii="Arial" w:cs="Arial" w:eastAsia="Arial" w:hAnsi="Arial"/>
          <w:sz w:val="22"/>
          <w:szCs w:val="22"/>
          <w:color w:val="auto"/>
        </w:rPr>
        <w:t xml:space="preserve">. The Sponsor and each of the Insiders hereby agree and acknowledge that (i) each of the Underwriters and the Company would be irreparably injured in the event of a breach by the Sponsor or such Insider of its, her or his obligations, as applicable under </w:t>
      </w:r>
      <w:r>
        <w:rPr>
          <w:rFonts w:ascii="Arial" w:cs="Arial" w:eastAsia="Arial" w:hAnsi="Arial"/>
          <w:sz w:val="22"/>
          <w:szCs w:val="22"/>
          <w:u w:val="single" w:color="auto"/>
          <w:color w:val="auto"/>
        </w:rPr>
        <w:t>paragraphs 3</w:t>
      </w:r>
      <w:r>
        <w:rPr>
          <w:rFonts w:ascii="Arial" w:cs="Arial" w:eastAsia="Arial" w:hAnsi="Arial"/>
          <w:sz w:val="22"/>
          <w:szCs w:val="22"/>
          <w:color w:val="auto"/>
        </w:rPr>
        <w:t xml:space="preserve">, </w:t>
      </w:r>
      <w:r>
        <w:rPr>
          <w:rFonts w:ascii="Arial" w:cs="Arial" w:eastAsia="Arial" w:hAnsi="Arial"/>
          <w:sz w:val="22"/>
          <w:szCs w:val="22"/>
          <w:u w:val="single" w:color="auto"/>
          <w:color w:val="auto"/>
        </w:rPr>
        <w:t>4</w:t>
      </w:r>
      <w:r>
        <w:rPr>
          <w:rFonts w:ascii="Arial" w:cs="Arial" w:eastAsia="Arial" w:hAnsi="Arial"/>
          <w:sz w:val="22"/>
          <w:szCs w:val="22"/>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 xml:space="preserve">, </w:t>
      </w:r>
      <w:r>
        <w:rPr>
          <w:rFonts w:ascii="Arial" w:cs="Arial" w:eastAsia="Arial" w:hAnsi="Arial"/>
          <w:sz w:val="22"/>
          <w:szCs w:val="22"/>
          <w:u w:val="single" w:color="auto"/>
          <w:color w:val="auto"/>
        </w:rPr>
        <w:t>10</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w:t>
      </w:r>
      <w:r>
        <w:rPr>
          <w:rFonts w:ascii="Arial" w:cs="Arial" w:eastAsia="Arial" w:hAnsi="Arial"/>
          <w:sz w:val="22"/>
          <w:szCs w:val="22"/>
          <w:color w:val="auto"/>
        </w:rPr>
        <w: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214" w:lineRule="exact"/>
        <w:rPr>
          <w:rFonts w:ascii="Arial" w:cs="Arial" w:eastAsia="Arial" w:hAnsi="Arial"/>
          <w:sz w:val="22"/>
          <w:szCs w:val="22"/>
          <w:color w:val="auto"/>
        </w:rPr>
      </w:pPr>
    </w:p>
    <w:p>
      <w:pPr>
        <w:ind w:left="-20" w:right="80" w:firstLine="656"/>
        <w:spacing w:after="0" w:line="236" w:lineRule="auto"/>
        <w:tabs>
          <w:tab w:leader="none" w:pos="1384"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Payments by the Company</w:t>
      </w:r>
      <w:r>
        <w:rPr>
          <w:rFonts w:ascii="Arial" w:cs="Arial" w:eastAsia="Arial" w:hAnsi="Arial"/>
          <w:sz w:val="22"/>
          <w:szCs w:val="22"/>
          <w:color w:val="auto"/>
        </w:rPr>
        <w:t>. Except as disclosed in the Prospectus, neither the Sponsor nor any affiliate of the Sponsor nor any director or officer of the Company nor any affiliate of the directors and officers shall receive from the Company any finder’s fee, reimbursement, consulting fee, monies in respect of any payment of a loan or other compensation prior to, or in connection with any services rendered in order to effectuate the consummation of the Company’s initial Business Combination (regardless of the type of transaction that it is).</w:t>
      </w:r>
    </w:p>
    <w:p>
      <w:pPr>
        <w:spacing w:after="0" w:line="214" w:lineRule="exact"/>
        <w:rPr>
          <w:rFonts w:ascii="Arial" w:cs="Arial" w:eastAsia="Arial" w:hAnsi="Arial"/>
          <w:sz w:val="22"/>
          <w:szCs w:val="22"/>
          <w:color w:val="auto"/>
        </w:rPr>
      </w:pPr>
    </w:p>
    <w:p>
      <w:pPr>
        <w:jc w:val="both"/>
        <w:ind w:left="-20" w:right="200" w:firstLine="656"/>
        <w:spacing w:after="0" w:line="297" w:lineRule="auto"/>
        <w:tabs>
          <w:tab w:leader="none" w:pos="1384"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Director and Officer Liability Insurance</w:t>
      </w:r>
      <w:r>
        <w:rPr>
          <w:rFonts w:ascii="Arial" w:cs="Arial" w:eastAsia="Arial" w:hAnsi="Arial"/>
          <w:sz w:val="19"/>
          <w:szCs w:val="19"/>
          <w:color w:val="auto"/>
        </w:rPr>
        <w:t>. The Company will maintain an insurance policy or policies providing directors’ and officers’ liability insurance, and the Insiders shall be covered by such policy or policies, in accordance with its or their terms, to the maximum extent of the coverage available for any of the Company’s directors or officers.</w:t>
      </w:r>
    </w:p>
    <w:p>
      <w:pPr>
        <w:spacing w:after="0" w:line="160" w:lineRule="exact"/>
        <w:rPr>
          <w:rFonts w:ascii="Arial" w:cs="Arial" w:eastAsia="Arial" w:hAnsi="Arial"/>
          <w:sz w:val="19"/>
          <w:szCs w:val="19"/>
          <w:color w:val="auto"/>
        </w:rPr>
      </w:pPr>
    </w:p>
    <w:p>
      <w:pPr>
        <w:jc w:val="both"/>
        <w:ind w:left="-20" w:right="180" w:firstLine="656"/>
        <w:spacing w:after="0" w:line="238" w:lineRule="auto"/>
        <w:tabs>
          <w:tab w:leader="none" w:pos="1384" w:val="left"/>
        </w:tabs>
        <w:numPr>
          <w:ilvl w:val="0"/>
          <w:numId w:val="263"/>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This Letter Agreement shall terminate on the earlier of (i) the expiration of the Founder Shares Lock-up Period and (ii) the liquidation of the Company; provided, however, that this Letter Agreement shall terminate in the event that the Public Offering is not consummated and closed by December 31, 2020; provided further that paragraph 10 of this Letter Agreement shall survive such liquidation.</w:t>
      </w:r>
    </w:p>
    <w:p>
      <w:pPr>
        <w:spacing w:after="0" w:line="211" w:lineRule="exact"/>
        <w:rPr>
          <w:rFonts w:ascii="Arial" w:cs="Arial" w:eastAsia="Arial" w:hAnsi="Arial"/>
          <w:sz w:val="22"/>
          <w:szCs w:val="22"/>
          <w:color w:val="auto"/>
        </w:rPr>
      </w:pPr>
    </w:p>
    <w:p>
      <w:pPr>
        <w:ind w:left="-20" w:firstLine="656"/>
        <w:spacing w:after="0" w:line="270" w:lineRule="auto"/>
        <w:tabs>
          <w:tab w:leader="none" w:pos="1384" w:val="left"/>
        </w:tabs>
        <w:numPr>
          <w:ilvl w:val="0"/>
          <w:numId w:val="263"/>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 In the event of the liquidation of the Trust Account upon the failure of the Company to consummate its initial Business Combination within the time period set forth in the Charter, the Sponsor (the “</w:t>
      </w:r>
      <w:r>
        <w:rPr>
          <w:rFonts w:ascii="Arial" w:cs="Arial" w:eastAsia="Arial" w:hAnsi="Arial"/>
          <w:sz w:val="19"/>
          <w:szCs w:val="19"/>
          <w:b w:val="1"/>
          <w:bCs w:val="1"/>
          <w:i w:val="1"/>
          <w:iCs w:val="1"/>
          <w:color w:val="auto"/>
        </w:rPr>
        <w:t>Indemnitor</w:t>
      </w:r>
      <w:r>
        <w:rPr>
          <w:rFonts w:ascii="Arial" w:cs="Arial" w:eastAsia="Arial" w:hAnsi="Arial"/>
          <w:sz w:val="19"/>
          <w:szCs w:val="19"/>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(except for the Company’s independent auditors) or (ii) any prospective target business with which the Company has discussed entering into a transaction agreement (a “</w:t>
      </w:r>
      <w:r>
        <w:rPr>
          <w:rFonts w:ascii="Arial" w:cs="Arial" w:eastAsia="Arial" w:hAnsi="Arial"/>
          <w:sz w:val="19"/>
          <w:szCs w:val="19"/>
          <w:b w:val="1"/>
          <w:bCs w:val="1"/>
          <w:i w:val="1"/>
          <w:iCs w:val="1"/>
          <w:color w:val="auto"/>
        </w:rPr>
        <w:t>Target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indemnification of the Company by the Indemnitor (x) shall apply only to the extent necessary to ensure that such claims by a third party for services rendered or products sold to the Company or a Target do not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interest that may be withdrawn to pay the Company’s tax obligations, (y) shall not apply to any claims by a third party or Target who executed a waiver of any and all rights to the monies held in the Trust Account (whether or not such waiver is enforceable) and (z)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88" w:name="page189"/>
    <w:bookmarkEnd w:id="188"/>
    <w:p>
      <w:pPr>
        <w:ind w:left="-20" w:right="20" w:firstLine="656"/>
        <w:spacing w:after="0" w:line="274" w:lineRule="auto"/>
        <w:tabs>
          <w:tab w:leader="none" w:pos="1376"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Forfeiture of Founder Shares</w:t>
      </w:r>
      <w:r>
        <w:rPr>
          <w:rFonts w:ascii="Arial" w:cs="Arial" w:eastAsia="Arial" w:hAnsi="Arial"/>
          <w:sz w:val="19"/>
          <w:szCs w:val="19"/>
          <w:color w:val="auto"/>
        </w:rPr>
        <w:t>. To the extent that the Underwriters do not exercise their option to purchase additional Ordinary Shares within 45 days from the date of the Prospectus in full (as further described in the Prospectus), the Sponsor agrees to automatically surrender to the Company for no consideration, for cancellation at no cost, an aggregate number of Founder Shares so that the number of Founder Shares will equal of 20% of the sum of the total number of Ordinary Shares (excluding the Private Placement Shares) and Founder Shares outstanding at such time. The Sponsor and Insiders further agree that to the extent that the size of the Public Offering is increased or decreased, the Company will effect a share capitalization or a share repurchase, as applicable, with respect to the Founder Shares immediately prior to the consummation of the Public Offering in such amount as to maintain the number of Founder Shares at 20% of the sum of the total number of Ordinary Shares (excluding the Private Placement Shares) and Founder Shares outstanding at such time.</w:t>
      </w:r>
    </w:p>
    <w:p>
      <w:pPr>
        <w:spacing w:after="0" w:line="185" w:lineRule="exact"/>
        <w:rPr>
          <w:rFonts w:ascii="Arial" w:cs="Arial" w:eastAsia="Arial" w:hAnsi="Arial"/>
          <w:sz w:val="19"/>
          <w:szCs w:val="19"/>
          <w:color w:val="auto"/>
        </w:rPr>
      </w:pPr>
    </w:p>
    <w:p>
      <w:pPr>
        <w:ind w:left="-20" w:firstLine="656"/>
        <w:spacing w:after="0" w:line="279" w:lineRule="auto"/>
        <w:tabs>
          <w:tab w:leader="none" w:pos="1384" w:val="left"/>
        </w:tabs>
        <w:numPr>
          <w:ilvl w:val="0"/>
          <w:numId w:val="26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(1) each Insider that is the subject of any such change, amendment, modification or waiver and (2) the Sponsor.</w:t>
      </w:r>
    </w:p>
    <w:p>
      <w:pPr>
        <w:spacing w:after="0" w:line="177" w:lineRule="exact"/>
        <w:rPr>
          <w:rFonts w:ascii="Arial" w:cs="Arial" w:eastAsia="Arial" w:hAnsi="Arial"/>
          <w:sz w:val="19"/>
          <w:szCs w:val="19"/>
          <w:color w:val="auto"/>
        </w:rPr>
      </w:pPr>
    </w:p>
    <w:p>
      <w:pPr>
        <w:ind w:left="-20" w:right="20" w:firstLine="656"/>
        <w:spacing w:after="0" w:line="236" w:lineRule="auto"/>
        <w:tabs>
          <w:tab w:leader="none" w:pos="1384"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each of the Insiders and each of their respective successors, heirs, personal representatives and assigns and permitted transferees.</w:t>
      </w:r>
    </w:p>
    <w:p>
      <w:pPr>
        <w:spacing w:after="0" w:line="214" w:lineRule="exact"/>
        <w:rPr>
          <w:rFonts w:ascii="Arial" w:cs="Arial" w:eastAsia="Arial" w:hAnsi="Arial"/>
          <w:sz w:val="22"/>
          <w:szCs w:val="22"/>
          <w:color w:val="auto"/>
        </w:rPr>
      </w:pPr>
    </w:p>
    <w:p>
      <w:pPr>
        <w:ind w:left="-20" w:firstLine="656"/>
        <w:spacing w:after="0"/>
        <w:tabs>
          <w:tab w:leader="none" w:pos="1384"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213" w:lineRule="exact"/>
        <w:rPr>
          <w:rFonts w:ascii="Arial" w:cs="Arial" w:eastAsia="Arial" w:hAnsi="Arial"/>
          <w:sz w:val="22"/>
          <w:szCs w:val="22"/>
          <w:color w:val="auto"/>
        </w:rPr>
      </w:pPr>
    </w:p>
    <w:p>
      <w:pPr>
        <w:ind w:left="-20" w:right="640" w:firstLine="656"/>
        <w:spacing w:after="0" w:line="250" w:lineRule="auto"/>
        <w:tabs>
          <w:tab w:leader="none" w:pos="1384"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Effect of Headings</w:t>
      </w:r>
      <w:r>
        <w:rPr>
          <w:rFonts w:ascii="Arial" w:cs="Arial" w:eastAsia="Arial" w:hAnsi="Arial"/>
          <w:sz w:val="22"/>
          <w:szCs w:val="22"/>
          <w:color w:val="auto"/>
        </w:rPr>
        <w:t>. The paragraph headings herein are for convenience only and are not part of this Letter Agreement and shall not affect the interpretation thereof.</w:t>
      </w:r>
    </w:p>
    <w:p>
      <w:pPr>
        <w:spacing w:after="0" w:line="201" w:lineRule="exact"/>
        <w:rPr>
          <w:rFonts w:ascii="Arial" w:cs="Arial" w:eastAsia="Arial" w:hAnsi="Arial"/>
          <w:sz w:val="22"/>
          <w:szCs w:val="22"/>
          <w:color w:val="auto"/>
        </w:rPr>
      </w:pPr>
    </w:p>
    <w:p>
      <w:pPr>
        <w:ind w:left="-20" w:firstLine="656"/>
        <w:spacing w:after="0" w:line="236" w:lineRule="auto"/>
        <w:tabs>
          <w:tab w:leader="none" w:pos="1384" w:val="left"/>
        </w:tabs>
        <w:numPr>
          <w:ilvl w:val="0"/>
          <w:numId w:val="264"/>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18" w:right="359" w:bottom="1440" w:gutter="0" w:footer="0" w:header="0"/>
        </w:sectPr>
      </w:pPr>
    </w:p>
    <w:bookmarkStart w:id="189" w:name="page190"/>
    <w:bookmarkEnd w:id="189"/>
    <w:p>
      <w:pPr>
        <w:ind w:left="-100" w:firstLine="656"/>
        <w:spacing w:after="0" w:line="279" w:lineRule="auto"/>
        <w:tabs>
          <w:tab w:leader="none" w:pos="1304" w:val="left"/>
        </w:tabs>
        <w:numPr>
          <w:ilvl w:val="0"/>
          <w:numId w:val="265"/>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77" w:lineRule="exact"/>
        <w:rPr>
          <w:rFonts w:ascii="Arial" w:cs="Arial" w:eastAsia="Arial" w:hAnsi="Arial"/>
          <w:sz w:val="19"/>
          <w:szCs w:val="19"/>
          <w:color w:val="auto"/>
        </w:rPr>
      </w:pPr>
    </w:p>
    <w:p>
      <w:pPr>
        <w:ind w:left="-100" w:right="40" w:firstLine="656"/>
        <w:spacing w:after="0"/>
        <w:tabs>
          <w:tab w:leader="none" w:pos="1304" w:val="left"/>
        </w:tabs>
        <w:numPr>
          <w:ilvl w:val="0"/>
          <w:numId w:val="26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consent or request to be given in connection with any of the terms or provisions of this Letter Agreement shall be in writing and shall be sent by express mail or similar private courier service, by certified mail (return receipt requested), by hand delivery or facsimile or other electronic transmission.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118" w:right="439" w:bottom="1440" w:gutter="0" w:footer="0" w:header="0"/>
        </w:sectPr>
      </w:pPr>
    </w:p>
    <w:bookmarkStart w:id="190" w:name="page191"/>
    <w:bookmarkEnd w:id="190"/>
    <w:p>
      <w:pPr>
        <w:ind w:left="45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ARYA SCIENCES HOLDINGS III</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14605</wp:posOffset>
            </wp:positionV>
            <wp:extent cx="32061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1" w:name="page192"/>
    <w:bookmarkEnd w:id="191"/>
    <w:p>
      <w:pPr>
        <w:ind w:left="4500"/>
        <w:spacing w:after="0"/>
        <w:rPr>
          <w:sz w:val="20"/>
          <w:szCs w:val="20"/>
          <w:color w:val="auto"/>
        </w:rPr>
      </w:pPr>
      <w:r>
        <w:rPr>
          <w:rFonts w:ascii="Arial" w:cs="Arial" w:eastAsia="Arial" w:hAnsi="Arial"/>
          <w:sz w:val="18"/>
          <w:szCs w:val="18"/>
          <w:color w:val="auto"/>
        </w:rPr>
        <w:t>/s/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Joseph Edelman</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2" w:name="page193"/>
    <w:bookmarkEnd w:id="192"/>
    <w:p>
      <w:pPr>
        <w:ind w:left="4500"/>
        <w:spacing w:after="0"/>
        <w:rPr>
          <w:sz w:val="20"/>
          <w:szCs w:val="20"/>
          <w:color w:val="auto"/>
        </w:rPr>
      </w:pP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Adam Stone</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3" w:name="page194"/>
    <w:bookmarkEnd w:id="193"/>
    <w:p>
      <w:pPr>
        <w:ind w:left="4500"/>
        <w:spacing w:after="0"/>
        <w:rPr>
          <w:sz w:val="20"/>
          <w:szCs w:val="20"/>
          <w:color w:val="auto"/>
        </w:rPr>
      </w:pPr>
      <w:r>
        <w:rPr>
          <w:rFonts w:ascii="Arial" w:cs="Arial" w:eastAsia="Arial" w:hAnsi="Arial"/>
          <w:sz w:val="18"/>
          <w:szCs w:val="18"/>
          <w:color w:val="auto"/>
        </w:rPr>
        <w:t>/s/ Michael Altman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Michael Altman</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4" w:name="page195"/>
    <w:bookmarkEnd w:id="194"/>
    <w:p>
      <w:pPr>
        <w:ind w:left="4500"/>
        <w:spacing w:after="0"/>
        <w:rPr>
          <w:sz w:val="20"/>
          <w:szCs w:val="20"/>
          <w:color w:val="auto"/>
        </w:rPr>
      </w:pPr>
      <w:r>
        <w:rPr>
          <w:rFonts w:ascii="Arial" w:cs="Arial" w:eastAsia="Arial" w:hAnsi="Arial"/>
          <w:sz w:val="16"/>
          <w:szCs w:val="16"/>
          <w:color w:val="auto"/>
        </w:rPr>
        <w:t>/s/ Konstantin Poukalov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29210</wp:posOffset>
            </wp:positionV>
            <wp:extent cx="3566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Konstantin Poukalov</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5" w:name="page196"/>
    <w:bookmarkEnd w:id="195"/>
    <w:p>
      <w:pPr>
        <w:ind w:left="4500"/>
        <w:spacing w:after="0"/>
        <w:rPr>
          <w:sz w:val="20"/>
          <w:szCs w:val="20"/>
          <w:color w:val="auto"/>
        </w:rPr>
      </w:pPr>
      <w:r>
        <w:rPr>
          <w:rFonts w:ascii="Arial" w:cs="Arial" w:eastAsia="Arial" w:hAnsi="Arial"/>
          <w:sz w:val="18"/>
          <w:szCs w:val="18"/>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Saqib Islam</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6" w:name="page197"/>
    <w:bookmarkEnd w:id="196"/>
    <w:p>
      <w:pPr>
        <w:ind w:left="4500"/>
        <w:spacing w:after="0"/>
        <w:rPr>
          <w:sz w:val="20"/>
          <w:szCs w:val="20"/>
          <w:color w:val="auto"/>
        </w:rPr>
      </w:pPr>
      <w:r>
        <w:rPr>
          <w:rFonts w:ascii="Arial" w:cs="Arial" w:eastAsia="Arial" w:hAnsi="Arial"/>
          <w:sz w:val="16"/>
          <w:szCs w:val="16"/>
          <w:color w:val="auto"/>
        </w:rPr>
        <w:t>/s/ 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29210</wp:posOffset>
            </wp:positionV>
            <wp:extent cx="3566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Bradley L. Campbell</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7" w:name="page198"/>
    <w:bookmarkEnd w:id="197"/>
    <w:p>
      <w:pPr>
        <w:ind w:left="450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14605</wp:posOffset>
            </wp:positionV>
            <wp:extent cx="3566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Todd Wider</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Letter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294640</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232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22326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31" w:lineRule="exact"/>
        <w:rPr>
          <w:sz w:val="20"/>
          <w:szCs w:val="20"/>
          <w:color w:val="auto"/>
        </w:rPr>
      </w:pPr>
    </w:p>
    <w:p>
      <w:pPr>
        <w:jc w:val="right"/>
        <w:ind w:right="289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Letter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ARYA SCIENCES ACQUISITION CORP III</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 Astor Place, 10th Floor</w:t>
      </w:r>
    </w:p>
    <w:p>
      <w:pPr>
        <w:jc w:val="center"/>
        <w:spacing w:after="0"/>
        <w:rPr>
          <w:sz w:val="20"/>
          <w:szCs w:val="20"/>
          <w:color w:val="auto"/>
        </w:rPr>
      </w:pPr>
      <w:r>
        <w:rPr>
          <w:rFonts w:ascii="Arial" w:cs="Arial" w:eastAsia="Arial" w:hAnsi="Arial"/>
          <w:sz w:val="22"/>
          <w:szCs w:val="22"/>
          <w:color w:val="auto"/>
        </w:rPr>
        <w:t>New York, New York 10003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11,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ARYA Sciences Holdings III</w:t>
      </w:r>
    </w:p>
    <w:p>
      <w:pPr>
        <w:spacing w:after="0" w:line="238" w:lineRule="auto"/>
        <w:rPr>
          <w:sz w:val="20"/>
          <w:szCs w:val="20"/>
          <w:color w:val="auto"/>
        </w:rPr>
      </w:pPr>
      <w:r>
        <w:rPr>
          <w:rFonts w:ascii="Arial" w:cs="Arial" w:eastAsia="Arial" w:hAnsi="Arial"/>
          <w:sz w:val="22"/>
          <w:szCs w:val="22"/>
          <w:color w:val="auto"/>
        </w:rPr>
        <w:t>c/o Perceptive Advisors</w:t>
      </w:r>
    </w:p>
    <w:p>
      <w:pPr>
        <w:spacing w:after="0" w:line="230" w:lineRule="auto"/>
        <w:rPr>
          <w:sz w:val="20"/>
          <w:szCs w:val="20"/>
          <w:color w:val="auto"/>
        </w:rPr>
      </w:pPr>
      <w:r>
        <w:rPr>
          <w:rFonts w:ascii="Arial" w:cs="Arial" w:eastAsia="Arial" w:hAnsi="Arial"/>
          <w:sz w:val="22"/>
          <w:szCs w:val="22"/>
          <w:color w:val="auto"/>
        </w:rPr>
        <w:t>51 Astor Place, 10th Floor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10003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This letter will confirm our agreement that, commencing on the effective date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of the registration statement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for the initial public offering (the “</w:t>
      </w:r>
      <w:r>
        <w:rPr>
          <w:rFonts w:ascii="Arial" w:cs="Arial" w:eastAsia="Arial" w:hAnsi="Arial"/>
          <w:sz w:val="19"/>
          <w:szCs w:val="19"/>
          <w:b w:val="1"/>
          <w:bCs w:val="1"/>
          <w:i w:val="1"/>
          <w:iCs w:val="1"/>
          <w:color w:val="auto"/>
        </w:rPr>
        <w:t>IPO</w:t>
      </w:r>
      <w:r>
        <w:rPr>
          <w:rFonts w:ascii="Arial" w:cs="Arial" w:eastAsia="Arial" w:hAnsi="Arial"/>
          <w:sz w:val="19"/>
          <w:szCs w:val="19"/>
          <w:color w:val="auto"/>
        </w:rPr>
        <w:t>”) of the securities of ARYA Sciences Acquisition Corp III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continuing until the earlier of (i) the consummation by the Company of an initial business combination and (ii) the Company’s liquidation (in each case as described in the Registration Statement) (such earlier date hereinafter referred to as the “</w:t>
      </w:r>
      <w:r>
        <w:rPr>
          <w:rFonts w:ascii="Arial" w:cs="Arial" w:eastAsia="Arial" w:hAnsi="Arial"/>
          <w:sz w:val="19"/>
          <w:szCs w:val="19"/>
          <w:b w:val="1"/>
          <w:bCs w:val="1"/>
          <w:i w:val="1"/>
          <w:iCs w:val="1"/>
          <w:color w:val="auto"/>
        </w:rPr>
        <w:t>Termination Date</w:t>
      </w:r>
      <w:r>
        <w:rPr>
          <w:rFonts w:ascii="Arial" w:cs="Arial" w:eastAsia="Arial" w:hAnsi="Arial"/>
          <w:sz w:val="19"/>
          <w:szCs w:val="19"/>
          <w:color w:val="auto"/>
        </w:rPr>
        <w:t>”), ARYA Sciences Holdings III (the “</w:t>
      </w:r>
      <w:r>
        <w:rPr>
          <w:rFonts w:ascii="Arial" w:cs="Arial" w:eastAsia="Arial" w:hAnsi="Arial"/>
          <w:sz w:val="19"/>
          <w:szCs w:val="19"/>
          <w:b w:val="1"/>
          <w:bCs w:val="1"/>
          <w:i w:val="1"/>
          <w:iCs w:val="1"/>
          <w:color w:val="auto"/>
        </w:rPr>
        <w:t>Sponsor</w:t>
      </w:r>
      <w:r>
        <w:rPr>
          <w:rFonts w:ascii="Arial" w:cs="Arial" w:eastAsia="Arial" w:hAnsi="Arial"/>
          <w:sz w:val="19"/>
          <w:szCs w:val="19"/>
          <w:color w:val="auto"/>
        </w:rPr>
        <w:t>”) shall take steps directly or indirectly to make available to the Company certain office space, secretarial and administrative services as may be required by the Company from time to time, situated at 51 Astor Place, 10th Floor, New York, New York 10003 (or any successor location). In exchange therefore, the Company shall pay the Sponsor a sum of $10,000 per month commencing on the Effective Date and continuing monthly thereafter until the Termination Date. The Sponsor hereby agrees that it does not have any right, title, interest or claim of any kind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in or to any monies that may be set aside in a trust account (the “</w:t>
      </w:r>
      <w:r>
        <w:rPr>
          <w:rFonts w:ascii="Arial" w:cs="Arial" w:eastAsia="Arial" w:hAnsi="Arial"/>
          <w:sz w:val="19"/>
          <w:szCs w:val="19"/>
          <w:b w:val="1"/>
          <w:bCs w:val="1"/>
          <w:i w:val="1"/>
          <w:iCs w:val="1"/>
          <w:color w:val="auto"/>
        </w:rPr>
        <w:t>Trust Account</w:t>
      </w:r>
      <w:r>
        <w:rPr>
          <w:rFonts w:ascii="Arial" w:cs="Arial" w:eastAsia="Arial" w:hAnsi="Arial"/>
          <w:sz w:val="19"/>
          <w:szCs w:val="19"/>
          <w:color w:val="auto"/>
        </w:rPr>
        <w:t>”) that may be established in connection with and upon the consummation of the IPO and hereby irrevocably waives any Claim it presently has or may have in the future as a result of, or arising out of, any negotiations, contracts or agreements with the Company and will not seek recourse, reimbursement, payment or satisfaction of any Claim against the Trust Account or any monies or other assets in the Trust Account for any reason whatsoever.</w:t>
      </w:r>
    </w:p>
    <w:p>
      <w:pPr>
        <w:spacing w:after="0" w:line="200" w:lineRule="exact"/>
        <w:rPr>
          <w:sz w:val="20"/>
          <w:szCs w:val="20"/>
          <w:color w:val="auto"/>
        </w:rPr>
      </w:pPr>
    </w:p>
    <w:p>
      <w:pPr>
        <w:spacing w:after="0" w:line="238"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This letter agreement constitutes the entire agreement and understanding of the parties hereto in respect of its subject matter and supersedes all prior understandings, agreements, or representations by or among the parties hereto, written or oral, to the extent they relate in any way to the subject matter hereof or the transactions contemplated hereby.</w:t>
      </w:r>
    </w:p>
    <w:p>
      <w:pPr>
        <w:spacing w:after="0" w:line="161"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This letter agreement may not be amended, modified or waived as to any particular provision, except by a written instrument executed by the parties hereto.</w:t>
      </w:r>
    </w:p>
    <w:p>
      <w:pPr>
        <w:spacing w:after="0" w:line="202"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The parties may not assign this letter agreement and any of their rights, interests, or obligations hereunder without the consent of the other party. Any purported assignment in violation of this paragraph shall be void and ineffectual and shall not operate to transfer or assign any interest or title to the purported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00" w:name="page201"/>
    <w:bookmarkEnd w:id="200"/>
    <w:p>
      <w:pPr>
        <w:ind w:firstLine="648"/>
        <w:spacing w:after="0" w:line="274" w:lineRule="auto"/>
        <w:rPr>
          <w:sz w:val="20"/>
          <w:szCs w:val="20"/>
          <w:color w:val="auto"/>
        </w:rPr>
      </w:pPr>
      <w:r>
        <w:rPr>
          <w:rFonts w:ascii="Arial" w:cs="Arial" w:eastAsia="Arial" w:hAnsi="Arial"/>
          <w:sz w:val="21"/>
          <w:szCs w:val="21"/>
          <w:color w:val="auto"/>
        </w:rPr>
        <w:t>This letter agreement shall be governed by, construed in accordance with, and interpreted pursuant to the laws of the State of New York, without giving effect to its choice of laws principles that will apply the laws of another jurisdiction.</w:t>
      </w:r>
    </w:p>
    <w:p>
      <w:pPr>
        <w:spacing w:after="0" w:line="178" w:lineRule="exact"/>
        <w:rPr>
          <w:sz w:val="20"/>
          <w:szCs w:val="20"/>
          <w:color w:val="auto"/>
        </w:rPr>
      </w:pPr>
    </w:p>
    <w:p>
      <w:pPr>
        <w:jc w:val="both"/>
        <w:ind w:right="120" w:firstLine="648"/>
        <w:spacing w:after="0" w:line="297" w:lineRule="auto"/>
        <w:rPr>
          <w:sz w:val="20"/>
          <w:szCs w:val="20"/>
          <w:color w:val="auto"/>
        </w:rPr>
      </w:pPr>
      <w:r>
        <w:rPr>
          <w:rFonts w:ascii="Arial" w:cs="Arial" w:eastAsia="Arial" w:hAnsi="Arial"/>
          <w:sz w:val="19"/>
          <w:szCs w:val="19"/>
          <w:color w:val="auto"/>
        </w:rPr>
        <w:t>This letter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letter agreement.</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01" w:name="page202"/>
    <w:bookmarkEnd w:id="201"/>
    <w:p>
      <w:pPr>
        <w:ind w:left="56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ARYA SCIENCES ACQUISITION CORP III</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ARYA SCIENCES HOLDINGS III</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Adam Stone</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37E80A"/>
    <w:multiLevelType w:val="hybridMultilevel"/>
    <w:lvl w:ilvl="0">
      <w:lvlJc w:val="left"/>
      <w:lvlText w:val="☐"/>
      <w:numFmt w:val="bullet"/>
      <w:start w:val="1"/>
    </w:lvl>
  </w:abstractNum>
  <w:abstractNum w:abstractNumId="1">
    <w:nsid w:val="2157F6BC"/>
    <w:multiLevelType w:val="hybridMultilevel"/>
    <w:lvl w:ilvl="0">
      <w:lvlJc w:val="left"/>
      <w:lvlText w:val="•"/>
      <w:numFmt w:val="bullet"/>
      <w:start w:val="1"/>
    </w:lvl>
  </w:abstractNum>
  <w:abstractNum w:abstractNumId="2">
    <w:nsid w:val="704E1DD5"/>
    <w:multiLevelType w:val="hybridMultilevel"/>
    <w:lvl w:ilvl="0">
      <w:lvlJc w:val="left"/>
      <w:lvlText w:val="(%1)"/>
      <w:numFmt w:val="lowerLetter"/>
      <w:start w:val="1"/>
    </w:lvl>
  </w:abstractNum>
  <w:abstractNum w:abstractNumId="3">
    <w:nsid w:val="57D2F10E"/>
    <w:multiLevelType w:val="hybridMultilevel"/>
    <w:lvl w:ilvl="0">
      <w:lvlJc w:val="left"/>
      <w:lvlText w:val="(%1)"/>
      <w:numFmt w:val="lowerLetter"/>
      <w:start w:val="2"/>
    </w:lvl>
  </w:abstractNum>
  <w:abstractNum w:abstractNumId="4">
    <w:nsid w:val="BFFAE18"/>
    <w:multiLevelType w:val="hybridMultilevel"/>
    <w:lvl w:ilvl="0">
      <w:lvlJc w:val="left"/>
      <w:lvlText w:val="(%1)"/>
      <w:numFmt w:val="lowerLetter"/>
      <w:start w:val="8"/>
    </w:lvl>
  </w:abstractNum>
  <w:abstractNum w:abstractNumId="5">
    <w:nsid w:val="E3E47A8"/>
    <w:multiLevelType w:val="hybridMultilevel"/>
    <w:lvl w:ilvl="0">
      <w:lvlJc w:val="left"/>
      <w:lvlText w:val="(%1)"/>
      <w:numFmt w:val="lowerLetter"/>
      <w:start w:val="16"/>
    </w:lvl>
  </w:abstractNum>
  <w:abstractNum w:abstractNumId="6">
    <w:nsid w:val="2E48F044"/>
    <w:multiLevelType w:val="hybridMultilevel"/>
    <w:lvl w:ilvl="0">
      <w:lvlJc w:val="left"/>
      <w:lvlText w:val="(%1)"/>
      <w:numFmt w:val="lowerLetter"/>
      <w:start w:val="22"/>
    </w:lvl>
  </w:abstractNum>
  <w:abstractNum w:abstractNumId="7">
    <w:nsid w:val="49D0FEAC"/>
    <w:multiLevelType w:val="hybridMultilevel"/>
    <w:lvl w:ilvl="0">
      <w:lvlJc w:val="left"/>
      <w:lvlText w:val="(%1)"/>
      <w:numFmt w:val="lowerLetter"/>
      <w:start w:val="27"/>
    </w:lvl>
  </w:abstractNum>
  <w:abstractNum w:abstractNumId="8">
    <w:nsid w:val="4BEE5A5B"/>
    <w:multiLevelType w:val="hybridMultilevel"/>
    <w:lvl w:ilvl="0">
      <w:lvlJc w:val="left"/>
      <w:lvlText w:val="(%1)"/>
      <w:numFmt w:val="lowerLetter"/>
      <w:start w:val="28"/>
    </w:lvl>
  </w:abstractNum>
  <w:abstractNum w:abstractNumId="9">
    <w:nsid w:val="5551B9F3"/>
    <w:multiLevelType w:val="hybridMultilevel"/>
    <w:lvl w:ilvl="0">
      <w:lvlJc w:val="left"/>
      <w:lvlText w:val="(%1)"/>
      <w:numFmt w:val="lowerLetter"/>
      <w:start w:val="32"/>
    </w:lvl>
  </w:abstractNum>
  <w:abstractNum w:abstractNumId="10">
    <w:nsid w:val="24F6AB8E"/>
    <w:multiLevelType w:val="hybridMultilevel"/>
    <w:lvl w:ilvl="0">
      <w:lvlJc w:val="left"/>
      <w:lvlText w:val="(%1)"/>
      <w:numFmt w:val="lowerLetter"/>
      <w:start w:val="40"/>
    </w:lvl>
  </w:abstractNum>
  <w:abstractNum w:abstractNumId="11">
    <w:nsid w:val="634C574C"/>
    <w:multiLevelType w:val="hybridMultilevel"/>
    <w:lvl w:ilvl="0">
      <w:lvlJc w:val="left"/>
      <w:lvlText w:val="%1"/>
      <w:numFmt w:val="lowerLetter"/>
      <w:start w:val="1"/>
    </w:lvl>
    <w:lvl w:ilvl="1">
      <w:lvlJc w:val="left"/>
      <w:lvlText w:val="(%2)"/>
      <w:numFmt w:val="lowerLetter"/>
      <w:start w:val="47"/>
    </w:lvl>
  </w:abstractNum>
  <w:abstractNum w:abstractNumId="12">
    <w:nsid w:val="24E99DD7"/>
    <w:multiLevelType w:val="hybridMultilevel"/>
    <w:lvl w:ilvl="0">
      <w:lvlJc w:val="left"/>
      <w:lvlText w:val="(%1)"/>
      <w:numFmt w:val="lowerLetter"/>
      <w:start w:val="9"/>
    </w:lvl>
    <w:lvl w:ilvl="1">
      <w:lvlJc w:val="left"/>
      <w:lvlText w:val="%2"/>
      <w:numFmt w:val="lowerLetter"/>
      <w:start w:val="1"/>
    </w:lvl>
  </w:abstractNum>
  <w:abstractNum w:abstractNumId="13">
    <w:nsid w:val="2A31B62D"/>
    <w:multiLevelType w:val="hybridMultilevel"/>
    <w:lvl w:ilvl="0">
      <w:lvlJc w:val="left"/>
      <w:lvlText w:val="(%1)"/>
      <w:numFmt w:val="lowerLetter"/>
      <w:start w:val="51"/>
    </w:lvl>
  </w:abstractNum>
  <w:abstractNum w:abstractNumId="14">
    <w:nsid w:val="1849C29B"/>
    <w:multiLevelType w:val="hybridMultilevel"/>
    <w:lvl w:ilvl="0">
      <w:lvlJc w:val="left"/>
      <w:lvlText w:val="(%1)"/>
      <w:numFmt w:val="lowerLetter"/>
      <w:start w:val="53"/>
    </w:lvl>
  </w:abstractNum>
  <w:abstractNum w:abstractNumId="15">
    <w:nsid w:val="7DFF9D09"/>
    <w:multiLevelType w:val="hybridMultilevel"/>
    <w:lvl w:ilvl="0">
      <w:lvlJc w:val="left"/>
      <w:lvlText w:val="(%1)"/>
      <w:numFmt w:val="lowerLetter"/>
      <w:start w:val="1"/>
    </w:lvl>
  </w:abstractNum>
  <w:abstractNum w:abstractNumId="16">
    <w:nsid w:val="754342"/>
    <w:multiLevelType w:val="hybridMultilevel"/>
    <w:lvl w:ilvl="0">
      <w:lvlJc w:val="left"/>
      <w:lvlText w:val="%1"/>
      <w:numFmt w:val="lowerLetter"/>
      <w:start w:val="1"/>
    </w:lvl>
    <w:lvl w:ilvl="1">
      <w:lvlJc w:val="left"/>
      <w:lvlText w:val="(%2)"/>
      <w:numFmt w:val="lowerLetter"/>
      <w:start w:val="2"/>
    </w:lvl>
  </w:abstractNum>
  <w:abstractNum w:abstractNumId="17">
    <w:nsid w:val="69E7F3E5"/>
    <w:multiLevelType w:val="hybridMultilevel"/>
    <w:lvl w:ilvl="0">
      <w:lvlJc w:val="left"/>
      <w:lvlText w:val="(%1)"/>
      <w:numFmt w:val="lowerLetter"/>
      <w:start w:val="35"/>
    </w:lvl>
    <w:lvl w:ilvl="1">
      <w:lvlJc w:val="left"/>
      <w:lvlText w:val="(%2)"/>
      <w:numFmt w:val="lowerLetter"/>
      <w:start w:val="4"/>
    </w:lvl>
  </w:abstractNum>
  <w:abstractNum w:abstractNumId="18">
    <w:nsid w:val="2A6DE806"/>
    <w:multiLevelType w:val="hybridMultilevel"/>
    <w:lvl w:ilvl="0">
      <w:lvlJc w:val="left"/>
      <w:lvlText w:val="(%1)"/>
      <w:numFmt w:val="lowerRoman"/>
      <w:start w:val="2"/>
    </w:lvl>
  </w:abstractNum>
  <w:abstractNum w:abstractNumId="19">
    <w:nsid w:val="1816F8C4"/>
    <w:multiLevelType w:val="hybridMultilevel"/>
    <w:lvl w:ilvl="0">
      <w:lvlJc w:val="left"/>
      <w:lvlText w:val="(%1)"/>
      <w:numFmt w:val="lowerLetter"/>
      <w:start w:val="1"/>
    </w:lvl>
  </w:abstractNum>
  <w:abstractNum w:abstractNumId="20">
    <w:nsid w:val="37DF2233"/>
    <w:multiLevelType w:val="hybridMultilevel"/>
    <w:lvl w:ilvl="0">
      <w:lvlJc w:val="left"/>
      <w:lvlText w:val="(%1)"/>
      <w:numFmt w:val="lowerLetter"/>
      <w:start w:val="2"/>
    </w:lvl>
  </w:abstractNum>
  <w:abstractNum w:abstractNumId="21">
    <w:nsid w:val="7AB49DAF"/>
    <w:multiLevelType w:val="hybridMultilevel"/>
    <w:lvl w:ilvl="0">
      <w:lvlJc w:val="left"/>
      <w:lvlText w:val="(%1)"/>
      <w:numFmt w:val="lowerLetter"/>
      <w:start w:val="6"/>
    </w:lvl>
  </w:abstractNum>
  <w:abstractNum w:abstractNumId="22">
    <w:nsid w:val="759F82CD"/>
    <w:multiLevelType w:val="hybridMultilevel"/>
    <w:lvl w:ilvl="0">
      <w:lvlJc w:val="left"/>
      <w:lvlText w:val="(%1)"/>
      <w:numFmt w:val="lowerLetter"/>
      <w:start w:val="10"/>
    </w:lvl>
  </w:abstractNum>
  <w:abstractNum w:abstractNumId="23">
    <w:nsid w:val="61E74EA3"/>
    <w:multiLevelType w:val="hybridMultilevel"/>
    <w:lvl w:ilvl="0">
      <w:lvlJc w:val="left"/>
      <w:lvlText w:val="(%1)"/>
      <w:numFmt w:val="lowerLetter"/>
      <w:start w:val="16"/>
    </w:lvl>
  </w:abstractNum>
  <w:abstractNum w:abstractNumId="24">
    <w:nsid w:val="597B4D84"/>
    <w:multiLevelType w:val="hybridMultilevel"/>
    <w:lvl w:ilvl="0">
      <w:lvlJc w:val="left"/>
      <w:lvlText w:val="(%1)"/>
      <w:numFmt w:val="lowerLetter"/>
      <w:start w:val="21"/>
    </w:lvl>
  </w:abstractNum>
  <w:abstractNum w:abstractNumId="25">
    <w:nsid w:val="F819E7F"/>
    <w:multiLevelType w:val="hybridMultilevel"/>
    <w:lvl w:ilvl="0">
      <w:lvlJc w:val="left"/>
      <w:lvlText w:val="(%1)"/>
      <w:numFmt w:val="lowerLetter"/>
      <w:start w:val="26"/>
    </w:lvl>
  </w:abstractNum>
  <w:abstractNum w:abstractNumId="26">
    <w:nsid w:val="57C7D42D"/>
    <w:multiLevelType w:val="hybridMultilevel"/>
    <w:lvl w:ilvl="0">
      <w:lvlJc w:val="left"/>
      <w:lvlText w:val="(%1)"/>
      <w:numFmt w:val="lowerLetter"/>
      <w:start w:val="27"/>
    </w:lvl>
  </w:abstractNum>
  <w:abstractNum w:abstractNumId="27">
    <w:nsid w:val="312167AD"/>
    <w:multiLevelType w:val="hybridMultilevel"/>
    <w:lvl w:ilvl="0">
      <w:lvlJc w:val="left"/>
      <w:lvlText w:val="%1"/>
      <w:numFmt w:val="lowerLetter"/>
      <w:start w:val="1"/>
    </w:lvl>
    <w:lvl w:ilvl="1">
      <w:lvlJc w:val="left"/>
      <w:lvlText w:val="(%2)"/>
      <w:numFmt w:val="lowerLetter"/>
      <w:start w:val="30"/>
    </w:lvl>
  </w:abstractNum>
  <w:abstractNum w:abstractNumId="28">
    <w:nsid w:val="631B64D4"/>
    <w:multiLevelType w:val="hybridMultilevel"/>
    <w:lvl w:ilvl="0">
      <w:lvlJc w:val="left"/>
      <w:lvlText w:val="(%1)"/>
      <w:numFmt w:val="lowerLetter"/>
      <w:start w:val="9"/>
    </w:lvl>
    <w:lvl w:ilvl="1">
      <w:lvlJc w:val="left"/>
      <w:lvlText w:val="(%2)"/>
      <w:numFmt w:val="lowerLetter"/>
      <w:start w:val="34"/>
    </w:lvl>
  </w:abstractNum>
  <w:abstractNum w:abstractNumId="29">
    <w:nsid w:val="78B5E776"/>
    <w:multiLevelType w:val="hybridMultilevel"/>
    <w:lvl w:ilvl="0">
      <w:lvlJc w:val="left"/>
      <w:lvlText w:val="(%1)"/>
      <w:numFmt w:val="lowerLetter"/>
      <w:start w:val="37"/>
    </w:lvl>
  </w:abstractNum>
  <w:abstractNum w:abstractNumId="30">
    <w:nsid w:val="75486E47"/>
    <w:multiLevelType w:val="hybridMultilevel"/>
    <w:lvl w:ilvl="0">
      <w:lvlJc w:val="left"/>
      <w:lvlText w:val="(%1)"/>
      <w:numFmt w:val="lowerLetter"/>
      <w:start w:val="1"/>
    </w:lvl>
    <w:lvl w:ilvl="1">
      <w:lvlJc w:val="left"/>
      <w:lvlText w:val="(%2)"/>
      <w:numFmt w:val="lowerRoman"/>
      <w:start w:val="1"/>
    </w:lvl>
  </w:abstractNum>
  <w:abstractNum w:abstractNumId="31">
    <w:nsid w:val="6E534CDE"/>
    <w:multiLevelType w:val="hybridMultilevel"/>
    <w:lvl w:ilvl="0">
      <w:lvlJc w:val="left"/>
      <w:lvlText w:val="(%1)"/>
      <w:numFmt w:val="lowerLetter"/>
      <w:start w:val="3"/>
    </w:lvl>
    <w:lvl w:ilvl="1">
      <w:lvlJc w:val="left"/>
      <w:lvlText w:val="(%2)"/>
      <w:numFmt w:val="lowerRoman"/>
      <w:start w:val="1"/>
    </w:lvl>
  </w:abstractNum>
  <w:abstractNum w:abstractNumId="32">
    <w:nsid w:val="1A0DDE32"/>
    <w:multiLevelType w:val="hybridMultilevel"/>
    <w:lvl w:ilvl="0">
      <w:lvlJc w:val="left"/>
      <w:lvlText w:val="(%1)"/>
      <w:numFmt w:val="lowerLetter"/>
      <w:start w:val="10"/>
    </w:lvl>
  </w:abstractNum>
  <w:abstractNum w:abstractNumId="33">
    <w:nsid w:val="65968C1C"/>
    <w:multiLevelType w:val="hybridMultilevel"/>
    <w:lvl w:ilvl="0">
      <w:lvlJc w:val="left"/>
      <w:lvlText w:val="(%1)"/>
      <w:numFmt w:val="lowerLetter"/>
      <w:start w:val="1"/>
    </w:lvl>
  </w:abstractNum>
  <w:abstractNum w:abstractNumId="34">
    <w:nsid w:val="46263DEC"/>
    <w:multiLevelType w:val="hybridMultilevel"/>
    <w:lvl w:ilvl="0">
      <w:lvlJc w:val="left"/>
      <w:lvlText w:val="(%1)"/>
      <w:numFmt w:val="lowerLetter"/>
      <w:start w:val="2"/>
    </w:lvl>
  </w:abstractNum>
  <w:abstractNum w:abstractNumId="35">
    <w:nsid w:val="260D8C4A"/>
    <w:multiLevelType w:val="hybridMultilevel"/>
    <w:lvl w:ilvl="0">
      <w:lvlJc w:val="left"/>
      <w:lvlText w:val="(%1)"/>
      <w:numFmt w:val="lowerLetter"/>
      <w:start w:val="3"/>
    </w:lvl>
  </w:abstractNum>
  <w:abstractNum w:abstractNumId="36">
    <w:nsid w:val="73D4D3C4"/>
    <w:multiLevelType w:val="hybridMultilevel"/>
    <w:lvl w:ilvl="0">
      <w:lvlJc w:val="left"/>
      <w:lvlText w:val="%1."/>
      <w:numFmt w:val="decimal"/>
      <w:start w:val="1"/>
    </w:lvl>
  </w:abstractNum>
  <w:abstractNum w:abstractNumId="37">
    <w:nsid w:val="746F2E30"/>
    <w:multiLevelType w:val="hybridMultilevel"/>
    <w:lvl w:ilvl="0">
      <w:lvlJc w:val="left"/>
      <w:lvlText w:val="1"/>
      <w:numFmt w:val="bullet"/>
      <w:start w:val="1"/>
    </w:lvl>
  </w:abstractNum>
  <w:abstractNum w:abstractNumId="38">
    <w:nsid w:val="6FDE8AF6"/>
    <w:multiLevelType w:val="hybridMultilevel"/>
    <w:lvl w:ilvl="0">
      <w:lvlJc w:val="left"/>
      <w:lvlText w:val="2"/>
      <w:numFmt w:val="bullet"/>
      <w:start w:val="1"/>
    </w:lvl>
  </w:abstractNum>
  <w:abstractNum w:abstractNumId="39">
    <w:nsid w:val="3FC32E20"/>
    <w:multiLevelType w:val="hybridMultilevel"/>
    <w:lvl w:ilvl="0">
      <w:lvlJc w:val="left"/>
      <w:lvlText w:val="3"/>
      <w:numFmt w:val="bullet"/>
      <w:start w:val="1"/>
    </w:lvl>
  </w:abstractNum>
  <w:abstractNum w:abstractNumId="40">
    <w:nsid w:val="49C0E823"/>
    <w:multiLevelType w:val="hybridMultilevel"/>
    <w:lvl w:ilvl="0">
      <w:lvlJc w:val="left"/>
      <w:lvlText w:val="4"/>
      <w:numFmt w:val="bullet"/>
      <w:start w:val="1"/>
    </w:lvl>
  </w:abstractNum>
  <w:abstractNum w:abstractNumId="41">
    <w:nsid w:val="14D53685"/>
    <w:multiLevelType w:val="hybridMultilevel"/>
    <w:lvl w:ilvl="0">
      <w:lvlJc w:val="left"/>
      <w:lvlText w:val="5"/>
      <w:numFmt w:val="bullet"/>
      <w:start w:val="1"/>
    </w:lvl>
    <w:lvl w:ilvl="1">
      <w:lvlJc w:val="left"/>
      <w:lvlText w:val="(%2)"/>
      <w:numFmt w:val="lowerLetter"/>
      <w:start w:val="1"/>
    </w:lvl>
  </w:abstractNum>
  <w:abstractNum w:abstractNumId="42">
    <w:nsid w:val="230F856C"/>
    <w:multiLevelType w:val="hybridMultilevel"/>
    <w:lvl w:ilvl="0">
      <w:lvlJc w:val="left"/>
      <w:lvlText w:val="6"/>
      <w:numFmt w:val="bullet"/>
      <w:start w:val="1"/>
    </w:lvl>
  </w:abstractNum>
  <w:abstractNum w:abstractNumId="43">
    <w:nsid w:val="6EAA85FB"/>
    <w:multiLevelType w:val="hybridMultilevel"/>
    <w:lvl w:ilvl="0">
      <w:lvlJc w:val="left"/>
      <w:lvlText w:val="7"/>
      <w:numFmt w:val="bullet"/>
      <w:start w:val="1"/>
    </w:lvl>
  </w:abstractNum>
  <w:abstractNum w:abstractNumId="44">
    <w:nsid w:val="3F06ECB2"/>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45">
    <w:nsid w:val="3B594807"/>
    <w:multiLevelType w:val="hybridMultilevel"/>
    <w:lvl w:ilvl="0">
      <w:lvlJc w:val="left"/>
      <w:lvlText w:val="(%1)"/>
      <w:numFmt w:val="lowerLetter"/>
      <w:start w:val="4"/>
    </w:lvl>
  </w:abstractNum>
  <w:abstractNum w:abstractNumId="46">
    <w:nsid w:val="6CAA2304"/>
    <w:multiLevelType w:val="hybridMultilevel"/>
    <w:lvl w:ilvl="0">
      <w:lvlJc w:val="left"/>
      <w:lvlText w:val="9"/>
      <w:numFmt w:val="bullet"/>
      <w:start w:val="1"/>
    </w:lvl>
  </w:abstractNum>
  <w:abstractNum w:abstractNumId="47">
    <w:nsid w:val="3F7C2FF4"/>
    <w:multiLevelType w:val="hybridMultilevel"/>
    <w:lvl w:ilvl="0">
      <w:lvlJc w:val="left"/>
      <w:lvlText w:val="1"/>
      <w:numFmt w:val="bullet"/>
      <w:start w:val="1"/>
    </w:lvl>
  </w:abstractNum>
  <w:abstractNum w:abstractNumId="48">
    <w:nsid w:val="25413BEC"/>
    <w:multiLevelType w:val="hybridMultilevel"/>
    <w:lvl w:ilvl="0">
      <w:lvlJc w:val="left"/>
      <w:lvlText w:val="(%1)"/>
      <w:numFmt w:val="lowerLetter"/>
      <w:start w:val="1"/>
    </w:lvl>
  </w:abstractNum>
  <w:abstractNum w:abstractNumId="49">
    <w:nsid w:val="17180B0B"/>
    <w:multiLevelType w:val="hybridMultilevel"/>
    <w:lvl w:ilvl="0">
      <w:lvlJc w:val="left"/>
      <w:lvlText w:val="(%1)"/>
      <w:numFmt w:val="lowerLetter"/>
      <w:start w:val="1"/>
    </w:lvl>
  </w:abstractNum>
  <w:abstractNum w:abstractNumId="50">
    <w:nsid w:val="579328B9"/>
    <w:multiLevelType w:val="hybridMultilevel"/>
    <w:lvl w:ilvl="0">
      <w:lvlJc w:val="left"/>
      <w:lvlText w:val="(%1)"/>
      <w:numFmt w:val="lowerLetter"/>
      <w:start w:val="1"/>
    </w:lvl>
  </w:abstractNum>
  <w:abstractNum w:abstractNumId="51">
    <w:nsid w:val="5D205E20"/>
    <w:multiLevelType w:val="hybridMultilevel"/>
    <w:lvl w:ilvl="0">
      <w:lvlJc w:val="left"/>
      <w:lvlText w:val="(%1)"/>
      <w:numFmt w:val="lowerLetter"/>
      <w:start w:val="1"/>
    </w:lvl>
  </w:abstractNum>
  <w:abstractNum w:abstractNumId="52">
    <w:nsid w:val="11CCA8BA"/>
    <w:multiLevelType w:val="hybridMultilevel"/>
    <w:lvl w:ilvl="0">
      <w:lvlJc w:val="left"/>
      <w:lvlText w:val="(%1)"/>
      <w:numFmt w:val="lowerLetter"/>
      <w:start w:val="1"/>
    </w:lvl>
    <w:lvl w:ilvl="1">
      <w:lvlJc w:val="left"/>
      <w:lvlText w:val="(%2)"/>
      <w:numFmt w:val="lowerRoman"/>
      <w:start w:val="1"/>
    </w:lvl>
  </w:abstractNum>
  <w:abstractNum w:abstractNumId="53">
    <w:nsid w:val="4D32AB86"/>
    <w:multiLevelType w:val="hybridMultilevel"/>
    <w:lvl w:ilvl="0">
      <w:lvlJc w:val="left"/>
      <w:lvlText w:val="(%1)"/>
      <w:numFmt w:val="lowerLetter"/>
      <w:start w:val="2"/>
    </w:lvl>
  </w:abstractNum>
  <w:abstractNum w:abstractNumId="54">
    <w:nsid w:val="3F07ACC3"/>
    <w:multiLevelType w:val="hybridMultilevel"/>
    <w:lvl w:ilvl="0">
      <w:lvlJc w:val="left"/>
      <w:lvlText w:val="2"/>
      <w:numFmt w:val="bullet"/>
      <w:start w:val="1"/>
    </w:lvl>
  </w:abstractNum>
  <w:abstractNum w:abstractNumId="55">
    <w:nsid w:val="6B47F63E"/>
    <w:multiLevelType w:val="hybridMultilevel"/>
    <w:lvl w:ilvl="0">
      <w:lvlJc w:val="left"/>
      <w:lvlText w:val="3"/>
      <w:numFmt w:val="bullet"/>
      <w:start w:val="1"/>
    </w:lvl>
  </w:abstractNum>
  <w:abstractNum w:abstractNumId="56">
    <w:nsid w:val="5CB44A05"/>
    <w:multiLevelType w:val="hybridMultilevel"/>
    <w:lvl w:ilvl="0">
      <w:lvlJc w:val="left"/>
      <w:lvlText w:val="(%1)"/>
      <w:numFmt w:val="lowerLetter"/>
      <w:start w:val="1"/>
    </w:lvl>
  </w:abstractNum>
  <w:abstractNum w:abstractNumId="57">
    <w:nsid w:val="16CF80F1"/>
    <w:multiLevelType w:val="hybridMultilevel"/>
    <w:lvl w:ilvl="0">
      <w:lvlJc w:val="left"/>
      <w:lvlText w:val="(%1)"/>
      <w:numFmt w:val="lowerLetter"/>
      <w:start w:val="1"/>
    </w:lvl>
  </w:abstractNum>
  <w:abstractNum w:abstractNumId="58">
    <w:nsid w:val="1C695DEC"/>
    <w:multiLevelType w:val="hybridMultilevel"/>
    <w:lvl w:ilvl="0">
      <w:lvlJc w:val="left"/>
      <w:lvlText w:val="(%1)"/>
      <w:numFmt w:val="lowerLetter"/>
      <w:start w:val="1"/>
    </w:lvl>
  </w:abstractNum>
  <w:abstractNum w:abstractNumId="59">
    <w:nsid w:val="3FCFAED9"/>
    <w:multiLevelType w:val="hybridMultilevel"/>
    <w:lvl w:ilvl="0">
      <w:lvlJc w:val="left"/>
      <w:lvlText w:val="(%1)"/>
      <w:numFmt w:val="lowerLetter"/>
      <w:start w:val="1"/>
    </w:lvl>
  </w:abstractNum>
  <w:abstractNum w:abstractNumId="60">
    <w:nsid w:val="F856867"/>
    <w:multiLevelType w:val="hybridMultilevel"/>
    <w:lvl w:ilvl="0">
      <w:lvlJc w:val="left"/>
      <w:lvlText w:val="(%1)"/>
      <w:numFmt w:val="lowerLetter"/>
      <w:start w:val="1"/>
    </w:lvl>
  </w:abstractNum>
  <w:abstractNum w:abstractNumId="61">
    <w:nsid w:val="11B1CC33"/>
    <w:multiLevelType w:val="hybridMultilevel"/>
    <w:lvl w:ilvl="0">
      <w:lvlJc w:val="left"/>
      <w:lvlText w:val="(%1)"/>
      <w:numFmt w:val="lowerLetter"/>
      <w:start w:val="1"/>
    </w:lvl>
    <w:lvl w:ilvl="1">
      <w:lvlJc w:val="left"/>
      <w:lvlText w:val="(%2)"/>
      <w:numFmt w:val="lowerLetter"/>
      <w:start w:val="9"/>
    </w:lvl>
  </w:abstractNum>
  <w:abstractNum w:abstractNumId="62">
    <w:nsid w:val="2E22FBB7"/>
    <w:multiLevelType w:val="hybridMultilevel"/>
    <w:lvl w:ilvl="0">
      <w:lvlJc w:val="left"/>
      <w:lvlText w:val="%1"/>
      <w:numFmt w:val="lowerLetter"/>
      <w:start w:val="1"/>
    </w:lvl>
    <w:lvl w:ilvl="1">
      <w:lvlJc w:val="left"/>
      <w:lvlText w:val="(%2)"/>
      <w:numFmt w:val="lowerLetter"/>
      <w:start w:val="35"/>
    </w:lvl>
  </w:abstractNum>
  <w:abstractNum w:abstractNumId="63">
    <w:nsid w:val="29934699"/>
    <w:multiLevelType w:val="hybridMultilevel"/>
    <w:lvl w:ilvl="0">
      <w:lvlJc w:val="left"/>
      <w:lvlText w:val="(%1)"/>
      <w:numFmt w:val="lowerLetter"/>
      <w:start w:val="3"/>
    </w:lvl>
    <w:lvl w:ilvl="1">
      <w:lvlJc w:val="left"/>
      <w:lvlText w:val="%2"/>
      <w:numFmt w:val="lowerLetter"/>
      <w:start w:val="1"/>
    </w:lvl>
  </w:abstractNum>
  <w:abstractNum w:abstractNumId="64">
    <w:nsid w:val="77485850"/>
    <w:multiLevelType w:val="hybridMultilevel"/>
    <w:lvl w:ilvl="0">
      <w:lvlJc w:val="left"/>
      <w:lvlText w:val="(%1)"/>
      <w:numFmt w:val="lowerLetter"/>
      <w:start w:val="1"/>
    </w:lvl>
  </w:abstractNum>
  <w:abstractNum w:abstractNumId="65">
    <w:nsid w:val="744939A3"/>
    <w:multiLevelType w:val="hybridMultilevel"/>
    <w:lvl w:ilvl="0">
      <w:lvlJc w:val="left"/>
      <w:lvlText w:val="(%1)"/>
      <w:numFmt w:val="lowerLetter"/>
      <w:start w:val="1"/>
    </w:lvl>
  </w:abstractNum>
  <w:abstractNum w:abstractNumId="66">
    <w:nsid w:val="4FA0D2E3"/>
    <w:multiLevelType w:val="hybridMultilevel"/>
    <w:lvl w:ilvl="0">
      <w:lvlJc w:val="left"/>
      <w:lvlText w:val="4"/>
      <w:numFmt w:val="bullet"/>
      <w:start w:val="1"/>
    </w:lvl>
  </w:abstractNum>
  <w:abstractNum w:abstractNumId="67">
    <w:nsid w:val="6B1D2C14"/>
    <w:multiLevelType w:val="hybridMultilevel"/>
    <w:lvl w:ilvl="0">
      <w:lvlJc w:val="left"/>
      <w:lvlText w:val="5"/>
      <w:numFmt w:val="bullet"/>
      <w:start w:val="1"/>
    </w:lvl>
  </w:abstractNum>
  <w:abstractNum w:abstractNumId="68">
    <w:nsid w:val="68B867D3"/>
    <w:multiLevelType w:val="hybridMultilevel"/>
    <w:lvl w:ilvl="0">
      <w:lvlJc w:val="left"/>
      <w:lvlText w:val="(%1)"/>
      <w:numFmt w:val="lowerLetter"/>
      <w:start w:val="1"/>
    </w:lvl>
  </w:abstractNum>
  <w:abstractNum w:abstractNumId="69">
    <w:nsid w:val="3F7F5DD9"/>
    <w:multiLevelType w:val="hybridMultilevel"/>
    <w:lvl w:ilvl="0">
      <w:lvlJc w:val="left"/>
      <w:lvlText w:val="(%1)"/>
      <w:numFmt w:val="lowerLetter"/>
      <w:start w:val="1"/>
    </w:lvl>
  </w:abstractNum>
  <w:abstractNum w:abstractNumId="70">
    <w:nsid w:val="2AE05A34"/>
    <w:multiLevelType w:val="hybridMultilevel"/>
    <w:lvl w:ilvl="0">
      <w:lvlJc w:val="left"/>
      <w:lvlText w:val="6"/>
      <w:numFmt w:val="bullet"/>
      <w:start w:val="1"/>
    </w:lvl>
  </w:abstractNum>
  <w:abstractNum w:abstractNumId="71">
    <w:nsid w:val="32794FF7"/>
    <w:multiLevelType w:val="hybridMultilevel"/>
    <w:lvl w:ilvl="0">
      <w:lvlJc w:val="left"/>
      <w:lvlText w:val="(%1)"/>
      <w:numFmt w:val="lowerLetter"/>
      <w:start w:val="1"/>
    </w:lvl>
  </w:abstractNum>
  <w:abstractNum w:abstractNumId="72">
    <w:nsid w:val="5454945E"/>
    <w:multiLevelType w:val="hybridMultilevel"/>
    <w:lvl w:ilvl="0">
      <w:lvlJc w:val="left"/>
      <w:lvlText w:val="(%1)"/>
      <w:numFmt w:val="lowerLetter"/>
      <w:start w:val="2"/>
    </w:lvl>
  </w:abstractNum>
  <w:abstractNum w:abstractNumId="73">
    <w:nsid w:val="4DEFDFA0"/>
    <w:multiLevelType w:val="hybridMultilevel"/>
    <w:lvl w:ilvl="0">
      <w:lvlJc w:val="left"/>
      <w:lvlText w:val="(%1)"/>
      <w:numFmt w:val="lowerLetter"/>
      <w:start w:val="1"/>
    </w:lvl>
  </w:abstractNum>
  <w:abstractNum w:abstractNumId="74">
    <w:nsid w:val="2123D5F2"/>
    <w:multiLevelType w:val="hybridMultilevel"/>
    <w:lvl w:ilvl="0">
      <w:lvlJc w:val="left"/>
      <w:lvlText w:val="(%1)"/>
      <w:numFmt w:val="lowerLetter"/>
      <w:start w:val="1"/>
    </w:lvl>
  </w:abstractNum>
  <w:abstractNum w:abstractNumId="75">
    <w:nsid w:val="135B8110"/>
    <w:multiLevelType w:val="hybridMultilevel"/>
    <w:lvl w:ilvl="0">
      <w:lvlJc w:val="left"/>
      <w:lvlText w:val="(%1)"/>
      <w:numFmt w:val="lowerLetter"/>
      <w:start w:val="1"/>
    </w:lvl>
  </w:abstractNum>
  <w:abstractNum w:abstractNumId="76">
    <w:nsid w:val="94927A8"/>
    <w:multiLevelType w:val="hybridMultilevel"/>
    <w:lvl w:ilvl="0">
      <w:lvlJc w:val="left"/>
      <w:lvlText w:val="7"/>
      <w:numFmt w:val="bullet"/>
      <w:start w:val="1"/>
    </w:lvl>
  </w:abstractNum>
  <w:abstractNum w:abstractNumId="77">
    <w:nsid w:val="DCDF8F6"/>
    <w:multiLevelType w:val="hybridMultilevel"/>
    <w:lvl w:ilvl="0">
      <w:lvlJc w:val="left"/>
      <w:lvlText w:val="(%1)"/>
      <w:numFmt w:val="lowerLetter"/>
      <w:start w:val="1"/>
    </w:lvl>
  </w:abstractNum>
  <w:abstractNum w:abstractNumId="78">
    <w:nsid w:val="52D7B105"/>
    <w:multiLevelType w:val="hybridMultilevel"/>
    <w:lvl w:ilvl="0">
      <w:lvlJc w:val="left"/>
      <w:lvlText w:val="(%1)"/>
      <w:numFmt w:val="lowerLetter"/>
      <w:start w:val="1"/>
    </w:lvl>
  </w:abstractNum>
  <w:abstractNum w:abstractNumId="79">
    <w:nsid w:val="2E8A6394"/>
    <w:multiLevelType w:val="hybridMultilevel"/>
    <w:lvl w:ilvl="0">
      <w:lvlJc w:val="left"/>
      <w:lvlText w:val="(%1)"/>
      <w:numFmt w:val="lowerLetter"/>
      <w:start w:val="1"/>
    </w:lvl>
  </w:abstractNum>
  <w:abstractNum w:abstractNumId="80">
    <w:nsid w:val="24E60401"/>
    <w:multiLevelType w:val="hybridMultilevel"/>
    <w:lvl w:ilvl="0">
      <w:lvlJc w:val="left"/>
      <w:lvlText w:val="(%1)"/>
      <w:numFmt w:val="lowerLetter"/>
      <w:start w:val="1"/>
    </w:lvl>
  </w:abstractNum>
  <w:abstractNum w:abstractNumId="81">
    <w:nsid w:val="2A6AD9BE"/>
    <w:multiLevelType w:val="hybridMultilevel"/>
    <w:lvl w:ilvl="0">
      <w:lvlJc w:val="left"/>
      <w:lvlText w:val="(%1)"/>
      <w:numFmt w:val="lowerLetter"/>
      <w:start w:val="1"/>
    </w:lvl>
    <w:lvl w:ilvl="1">
      <w:lvlJc w:val="left"/>
      <w:lvlText w:val="(%2)"/>
      <w:numFmt w:val="lowerRoman"/>
      <w:start w:val="1"/>
    </w:lvl>
  </w:abstractNum>
  <w:abstractNum w:abstractNumId="82">
    <w:nsid w:val="BAAC1B4"/>
    <w:multiLevelType w:val="hybridMultilevel"/>
    <w:lvl w:ilvl="0">
      <w:lvlJc w:val="left"/>
      <w:lvlText w:val="(%1)"/>
      <w:numFmt w:val="lowerLetter"/>
      <w:start w:val="1"/>
    </w:lvl>
  </w:abstractNum>
  <w:abstractNum w:abstractNumId="83">
    <w:nsid w:val="36B2ACBC"/>
    <w:multiLevelType w:val="hybridMultilevel"/>
    <w:lvl w:ilvl="0">
      <w:lvlJc w:val="left"/>
      <w:lvlText w:val="8"/>
      <w:numFmt w:val="bullet"/>
      <w:start w:val="1"/>
    </w:lvl>
  </w:abstractNum>
  <w:abstractNum w:abstractNumId="84">
    <w:nsid w:val="779D8544"/>
    <w:multiLevelType w:val="hybridMultilevel"/>
    <w:lvl w:ilvl="0">
      <w:lvlJc w:val="left"/>
      <w:lvlText w:val="(%1)"/>
      <w:numFmt w:val="lowerLetter"/>
      <w:start w:val="1"/>
    </w:lvl>
  </w:abstractNum>
  <w:abstractNum w:abstractNumId="85">
    <w:nsid w:val="4AB26E78"/>
    <w:multiLevelType w:val="hybridMultilevel"/>
    <w:lvl w:ilvl="0">
      <w:lvlJc w:val="left"/>
      <w:lvlText w:val="9"/>
      <w:numFmt w:val="bullet"/>
      <w:start w:val="1"/>
    </w:lvl>
  </w:abstractNum>
  <w:abstractNum w:abstractNumId="86">
    <w:nsid w:val="21FAA2FA"/>
    <w:multiLevelType w:val="hybridMultilevel"/>
    <w:lvl w:ilvl="0">
      <w:lvlJc w:val="left"/>
      <w:lvlText w:val="(%1)"/>
      <w:numFmt w:val="lowerLetter"/>
      <w:start w:val="1"/>
    </w:lvl>
  </w:abstractNum>
  <w:abstractNum w:abstractNumId="87">
    <w:nsid w:val="5451CF49"/>
    <w:multiLevelType w:val="hybridMultilevel"/>
    <w:lvl w:ilvl="0">
      <w:lvlJc w:val="left"/>
      <w:lvlText w:val="(%1)"/>
      <w:numFmt w:val="lowerLetter"/>
      <w:start w:val="2"/>
    </w:lvl>
  </w:abstractNum>
  <w:abstractNum w:abstractNumId="88">
    <w:nsid w:val="6181EF69"/>
    <w:multiLevelType w:val="hybridMultilevel"/>
    <w:lvl w:ilvl="0">
      <w:lvlJc w:val="left"/>
      <w:lvlText w:val="(%1)"/>
      <w:numFmt w:val="lowerLetter"/>
      <w:start w:val="1"/>
    </w:lvl>
  </w:abstractNum>
  <w:abstractNum w:abstractNumId="89">
    <w:nsid w:val="3E6400E6"/>
    <w:multiLevelType w:val="hybridMultilevel"/>
    <w:lvl w:ilvl="0">
      <w:lvlJc w:val="left"/>
      <w:lvlText w:val="(%1)"/>
      <w:numFmt w:val="lowerLetter"/>
      <w:start w:val="1"/>
    </w:lvl>
  </w:abstractNum>
  <w:abstractNum w:abstractNumId="90">
    <w:nsid w:val="14217E23"/>
    <w:multiLevelType w:val="hybridMultilevel"/>
    <w:lvl w:ilvl="0">
      <w:lvlJc w:val="left"/>
      <w:lvlText w:val="%1"/>
      <w:numFmt w:val="decimal"/>
      <w:start w:val="10"/>
    </w:lvl>
  </w:abstractNum>
  <w:abstractNum w:abstractNumId="91">
    <w:nsid w:val="710757D0"/>
    <w:multiLevelType w:val="hybridMultilevel"/>
    <w:lvl w:ilvl="0">
      <w:lvlJc w:val="left"/>
      <w:lvlText w:val="(%1)"/>
      <w:numFmt w:val="lowerLetter"/>
      <w:start w:val="1"/>
    </w:lvl>
  </w:abstractNum>
  <w:abstractNum w:abstractNumId="92">
    <w:nsid w:val="5015CD1A"/>
    <w:multiLevelType w:val="hybridMultilevel"/>
    <w:lvl w:ilvl="0">
      <w:lvlJc w:val="left"/>
      <w:lvlText w:val="(%1)"/>
      <w:numFmt w:val="lowerLetter"/>
      <w:start w:val="1"/>
    </w:lvl>
  </w:abstractNum>
  <w:abstractNum w:abstractNumId="93">
    <w:nsid w:val="424479DA"/>
    <w:multiLevelType w:val="hybridMultilevel"/>
    <w:lvl w:ilvl="0">
      <w:lvlJc w:val="left"/>
      <w:lvlText w:val="%1"/>
      <w:numFmt w:val="decimal"/>
      <w:start w:val="11"/>
    </w:lvl>
  </w:abstractNum>
  <w:abstractNum w:abstractNumId="94">
    <w:nsid w:val="1A9A9E69"/>
    <w:multiLevelType w:val="hybridMultilevel"/>
    <w:lvl w:ilvl="0">
      <w:lvlJc w:val="left"/>
      <w:lvlText w:val="(%1)"/>
      <w:numFmt w:val="lowerLetter"/>
      <w:start w:val="1"/>
    </w:lvl>
  </w:abstractNum>
  <w:abstractNum w:abstractNumId="95">
    <w:nsid w:val="475E256A"/>
    <w:multiLevelType w:val="hybridMultilevel"/>
    <w:lvl w:ilvl="0">
      <w:lvlJc w:val="left"/>
      <w:lvlText w:val="(%1)"/>
      <w:numFmt w:val="lowerLetter"/>
      <w:start w:val="1"/>
    </w:lvl>
  </w:abstractNum>
  <w:abstractNum w:abstractNumId="96">
    <w:nsid w:val="368DB37E"/>
    <w:multiLevelType w:val="hybridMultilevel"/>
    <w:lvl w:ilvl="0">
      <w:lvlJc w:val="left"/>
      <w:lvlText w:val="(%1)"/>
      <w:numFmt w:val="lowerLetter"/>
      <w:start w:val="1"/>
    </w:lvl>
    <w:lvl w:ilvl="1">
      <w:lvlJc w:val="left"/>
      <w:lvlText w:val="(%2)"/>
      <w:numFmt w:val="lowerRoman"/>
      <w:start w:val="1"/>
    </w:lvl>
  </w:abstractNum>
  <w:abstractNum w:abstractNumId="97">
    <w:nsid w:val="6A3B714C"/>
    <w:multiLevelType w:val="hybridMultilevel"/>
    <w:lvl w:ilvl="0">
      <w:lvlJc w:val="left"/>
      <w:lvlText w:val="(%1)"/>
      <w:numFmt w:val="lowerLetter"/>
      <w:start w:val="3"/>
    </w:lvl>
  </w:abstractNum>
  <w:abstractNum w:abstractNumId="98">
    <w:nsid w:val="327B517E"/>
    <w:multiLevelType w:val="hybridMultilevel"/>
    <w:lvl w:ilvl="0">
      <w:lvlJc w:val="left"/>
      <w:lvlText w:val="%1"/>
      <w:numFmt w:val="decimal"/>
      <w:start w:val="12"/>
    </w:lvl>
  </w:abstractNum>
  <w:abstractNum w:abstractNumId="99">
    <w:nsid w:val="1F461B51"/>
    <w:multiLevelType w:val="hybridMultilevel"/>
    <w:lvl w:ilvl="0">
      <w:lvlJc w:val="left"/>
      <w:lvlText w:val="(%1)"/>
      <w:numFmt w:val="lowerLetter"/>
      <w:start w:val="1"/>
    </w:lvl>
  </w:abstractNum>
  <w:abstractNum w:abstractNumId="100">
    <w:nsid w:val="29BACF25"/>
    <w:multiLevelType w:val="hybridMultilevel"/>
    <w:lvl w:ilvl="0">
      <w:lvlJc w:val="left"/>
      <w:lvlText w:val="%1"/>
      <w:numFmt w:val="decimal"/>
      <w:start w:val="13"/>
    </w:lvl>
  </w:abstractNum>
  <w:abstractNum w:abstractNumId="101">
    <w:nsid w:val="5D5BABB3"/>
    <w:multiLevelType w:val="hybridMultilevel"/>
    <w:lvl w:ilvl="0">
      <w:lvlJc w:val="left"/>
      <w:lvlText w:val="(%1)"/>
      <w:numFmt w:val="lowerLetter"/>
      <w:start w:val="1"/>
    </w:lvl>
  </w:abstractNum>
  <w:abstractNum w:abstractNumId="102">
    <w:nsid w:val="51BF6B48"/>
    <w:multiLevelType w:val="hybridMultilevel"/>
    <w:lvl w:ilvl="0">
      <w:lvlJc w:val="left"/>
      <w:lvlText w:val="(%1)"/>
      <w:numFmt w:val="lowerLetter"/>
      <w:start w:val="1"/>
    </w:lvl>
  </w:abstractNum>
  <w:abstractNum w:abstractNumId="103">
    <w:nsid w:val="7E0F6384"/>
    <w:multiLevelType w:val="hybridMultilevel"/>
    <w:lvl w:ilvl="0">
      <w:lvlJc w:val="left"/>
      <w:lvlText w:val="(%1)"/>
      <w:numFmt w:val="lowerLetter"/>
      <w:start w:val="1"/>
    </w:lvl>
  </w:abstractNum>
  <w:abstractNum w:abstractNumId="104">
    <w:nsid w:val="2B4B8B53"/>
    <w:multiLevelType w:val="hybridMultilevel"/>
    <w:lvl w:ilvl="0">
      <w:lvlJc w:val="left"/>
      <w:lvlText w:val="(%1)"/>
      <w:numFmt w:val="lowerLetter"/>
      <w:start w:val="1"/>
    </w:lvl>
  </w:abstractNum>
  <w:abstractNum w:abstractNumId="105">
    <w:nsid w:val="72E3413A"/>
    <w:multiLevelType w:val="hybridMultilevel"/>
    <w:lvl w:ilvl="0">
      <w:lvlJc w:val="left"/>
      <w:lvlText w:val="(%1)"/>
      <w:numFmt w:val="lowerLetter"/>
      <w:start w:val="1"/>
    </w:lvl>
  </w:abstractNum>
  <w:abstractNum w:abstractNumId="106">
    <w:nsid w:val="116AE494"/>
    <w:multiLevelType w:val="hybridMultilevel"/>
    <w:lvl w:ilvl="0">
      <w:lvlJc w:val="left"/>
      <w:lvlText w:val="(%1)"/>
      <w:numFmt w:val="lowerLetter"/>
      <w:start w:val="1"/>
    </w:lvl>
  </w:abstractNum>
  <w:abstractNum w:abstractNumId="107">
    <w:nsid w:val="3494B2FB"/>
    <w:multiLevelType w:val="hybridMultilevel"/>
    <w:lvl w:ilvl="0">
      <w:lvlJc w:val="left"/>
      <w:lvlText w:val="(%1)"/>
      <w:numFmt w:val="lowerLetter"/>
      <w:start w:val="1"/>
    </w:lvl>
  </w:abstractNum>
  <w:abstractNum w:abstractNumId="108">
    <w:nsid w:val="B13A31"/>
    <w:multiLevelType w:val="hybridMultilevel"/>
    <w:lvl w:ilvl="0">
      <w:lvlJc w:val="left"/>
      <w:lvlText w:val="(%1)"/>
      <w:numFmt w:val="lowerLetter"/>
      <w:start w:val="1"/>
    </w:lvl>
  </w:abstractNum>
  <w:abstractNum w:abstractNumId="109">
    <w:nsid w:val="64429599"/>
    <w:multiLevelType w:val="hybridMultilevel"/>
    <w:lvl w:ilvl="0">
      <w:lvlJc w:val="left"/>
      <w:lvlText w:val="%1"/>
      <w:numFmt w:val="decimal"/>
      <w:start w:val="14"/>
    </w:lvl>
  </w:abstractNum>
  <w:abstractNum w:abstractNumId="110">
    <w:nsid w:val="631F1690"/>
    <w:multiLevelType w:val="hybridMultilevel"/>
    <w:lvl w:ilvl="0">
      <w:lvlJc w:val="left"/>
      <w:lvlText w:val="(%1)"/>
      <w:numFmt w:val="lowerLetter"/>
      <w:start w:val="1"/>
    </w:lvl>
  </w:abstractNum>
  <w:abstractNum w:abstractNumId="111">
    <w:nsid w:val="25973E32"/>
    <w:multiLevelType w:val="hybridMultilevel"/>
    <w:lvl w:ilvl="0">
      <w:lvlJc w:val="left"/>
      <w:lvlText w:val="(%1)"/>
      <w:numFmt w:val="lowerLetter"/>
      <w:start w:val="1"/>
    </w:lvl>
  </w:abstractNum>
  <w:abstractNum w:abstractNumId="112">
    <w:nsid w:val="EAD6F57"/>
    <w:multiLevelType w:val="hybridMultilevel"/>
    <w:lvl w:ilvl="0">
      <w:lvlJc w:val="left"/>
      <w:lvlText w:val="(%1)"/>
      <w:numFmt w:val="lowerLetter"/>
      <w:start w:val="1"/>
    </w:lvl>
  </w:abstractNum>
  <w:abstractNum w:abstractNumId="113">
    <w:nsid w:val="6EC9D844"/>
    <w:multiLevelType w:val="hybridMultilevel"/>
    <w:lvl w:ilvl="0">
      <w:lvlJc w:val="left"/>
      <w:lvlText w:val="(%1)"/>
      <w:numFmt w:val="lowerLetter"/>
      <w:start w:val="1"/>
    </w:lvl>
    <w:lvl w:ilvl="1">
      <w:lvlJc w:val="left"/>
      <w:lvlText w:val="(%2)"/>
      <w:numFmt w:val="lowerRoman"/>
      <w:start w:val="1"/>
    </w:lvl>
  </w:abstractNum>
  <w:abstractNum w:abstractNumId="114">
    <w:nsid w:val="5C49EAEE"/>
    <w:multiLevelType w:val="hybridMultilevel"/>
    <w:lvl w:ilvl="0">
      <w:lvlJc w:val="left"/>
      <w:lvlText w:val="%1"/>
      <w:numFmt w:val="decimal"/>
      <w:start w:val="15"/>
    </w:lvl>
  </w:abstractNum>
  <w:abstractNum w:abstractNumId="115">
    <w:nsid w:val="64AF49B"/>
    <w:multiLevelType w:val="hybridMultilevel"/>
    <w:lvl w:ilvl="0">
      <w:lvlJc w:val="left"/>
      <w:lvlText w:val="(%1)"/>
      <w:numFmt w:val="lowerLetter"/>
      <w:start w:val="1"/>
    </w:lvl>
  </w:abstractNum>
  <w:abstractNum w:abstractNumId="116">
    <w:nsid w:val="397C46BC"/>
    <w:multiLevelType w:val="hybridMultilevel"/>
    <w:lvl w:ilvl="0">
      <w:lvlJc w:val="left"/>
      <w:lvlText w:val="(%1)"/>
      <w:numFmt w:val="lowerLetter"/>
      <w:start w:val="1"/>
    </w:lvl>
    <w:lvl w:ilvl="1">
      <w:lvlJc w:val="left"/>
      <w:lvlText w:val="(%2)"/>
      <w:numFmt w:val="lowerRoman"/>
      <w:start w:val="1"/>
    </w:lvl>
  </w:abstractNum>
  <w:abstractNum w:abstractNumId="117">
    <w:nsid w:val="7E448DE9"/>
    <w:multiLevelType w:val="hybridMultilevel"/>
    <w:lvl w:ilvl="0">
      <w:lvlJc w:val="left"/>
      <w:lvlText w:val="(%1)"/>
      <w:numFmt w:val="lowerLetter"/>
      <w:start w:val="1"/>
    </w:lvl>
  </w:abstractNum>
  <w:abstractNum w:abstractNumId="118">
    <w:nsid w:val="5A9CC3E5"/>
    <w:multiLevelType w:val="hybridMultilevel"/>
    <w:lvl w:ilvl="0">
      <w:lvlJc w:val="left"/>
      <w:lvlText w:val="%1"/>
      <w:numFmt w:val="decimal"/>
      <w:start w:val="16"/>
    </w:lvl>
  </w:abstractNum>
  <w:abstractNum w:abstractNumId="119">
    <w:nsid w:val="1AFE3625"/>
    <w:multiLevelType w:val="hybridMultilevel"/>
    <w:lvl w:ilvl="0">
      <w:lvlJc w:val="left"/>
      <w:lvlText w:val="%1"/>
      <w:numFmt w:val="decimal"/>
      <w:start w:val="17"/>
    </w:lvl>
  </w:abstractNum>
  <w:abstractNum w:abstractNumId="120">
    <w:nsid w:val="3CA88EC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1">
    <w:nsid w:val="6EBE4208"/>
    <w:multiLevelType w:val="hybridMultilevel"/>
    <w:lvl w:ilvl="0">
      <w:lvlJc w:val="left"/>
      <w:lvlText w:val="(%1)"/>
      <w:numFmt w:val="lowerLetter"/>
      <w:start w:val="1"/>
    </w:lvl>
  </w:abstractNum>
  <w:abstractNum w:abstractNumId="122">
    <w:nsid w:val="C058DF5"/>
    <w:multiLevelType w:val="hybridMultilevel"/>
    <w:lvl w:ilvl="0">
      <w:lvlJc w:val="left"/>
      <w:lvlText w:val="(%1)"/>
      <w:numFmt w:val="lowerLetter"/>
      <w:start w:val="3"/>
    </w:lvl>
  </w:abstractNum>
  <w:abstractNum w:abstractNumId="123">
    <w:nsid w:val="CBE5BE9"/>
    <w:multiLevelType w:val="hybridMultilevel"/>
    <w:lvl w:ilvl="0">
      <w:lvlJc w:val="left"/>
      <w:lvlText w:val="%1"/>
      <w:numFmt w:val="decimal"/>
      <w:start w:val="18"/>
    </w:lvl>
  </w:abstractNum>
  <w:abstractNum w:abstractNumId="124">
    <w:nsid w:val="3102BBE2"/>
    <w:multiLevelType w:val="hybridMultilevel"/>
    <w:lvl w:ilvl="0">
      <w:lvlJc w:val="left"/>
      <w:lvlText w:val="(%1)"/>
      <w:numFmt w:val="lowerLetter"/>
      <w:start w:val="1"/>
    </w:lvl>
  </w:abstractNum>
  <w:abstractNum w:abstractNumId="125">
    <w:nsid w:val="26A02C5E"/>
    <w:multiLevelType w:val="hybridMultilevel"/>
    <w:lvl w:ilvl="0">
      <w:lvlJc w:val="left"/>
      <w:lvlText w:val="(%1)"/>
      <w:numFmt w:val="lowerLetter"/>
      <w:start w:val="1"/>
    </w:lvl>
  </w:abstractNum>
  <w:abstractNum w:abstractNumId="126">
    <w:nsid w:val="541C8153"/>
    <w:multiLevelType w:val="hybridMultilevel"/>
    <w:lvl w:ilvl="0">
      <w:lvlJc w:val="left"/>
      <w:lvlText w:val="(%1)"/>
      <w:numFmt w:val="lowerLetter"/>
      <w:start w:val="3"/>
    </w:lvl>
  </w:abstractNum>
  <w:abstractNum w:abstractNumId="127">
    <w:nsid w:val="67906F60"/>
    <w:multiLevelType w:val="hybridMultilevel"/>
    <w:lvl w:ilvl="0">
      <w:lvlJc w:val="left"/>
      <w:lvlText w:val="(%1)"/>
      <w:numFmt w:val="lowerLetter"/>
      <w:start w:val="1"/>
    </w:lvl>
  </w:abstractNum>
  <w:abstractNum w:abstractNumId="128">
    <w:nsid w:val="10DB9DAA"/>
    <w:multiLevelType w:val="hybridMultilevel"/>
    <w:lvl w:ilvl="0">
      <w:lvlJc w:val="left"/>
      <w:lvlText w:val="%1"/>
      <w:numFmt w:val="decimal"/>
      <w:start w:val="19"/>
    </w:lvl>
  </w:abstractNum>
  <w:abstractNum w:abstractNumId="129">
    <w:nsid w:val="697D2D2"/>
    <w:multiLevelType w:val="hybridMultilevel"/>
    <w:lvl w:ilvl="0">
      <w:lvlJc w:val="left"/>
      <w:lvlText w:val="(%1)"/>
      <w:numFmt w:val="lowerLetter"/>
      <w:start w:val="1"/>
    </w:lvl>
  </w:abstractNum>
  <w:abstractNum w:abstractNumId="130">
    <w:nsid w:val="6D68AB2"/>
    <w:multiLevelType w:val="hybridMultilevel"/>
    <w:lvl w:ilvl="0">
      <w:lvlJc w:val="left"/>
      <w:lvlText w:val="(%1)"/>
      <w:numFmt w:val="lowerLetter"/>
      <w:start w:val="1"/>
    </w:lvl>
  </w:abstractNum>
  <w:abstractNum w:abstractNumId="131">
    <w:nsid w:val="3A966CD0"/>
    <w:multiLevelType w:val="hybridMultilevel"/>
    <w:lvl w:ilvl="0">
      <w:lvlJc w:val="left"/>
      <w:lvlText w:val="(%1)"/>
      <w:numFmt w:val="lowerLetter"/>
      <w:start w:val="1"/>
    </w:lvl>
  </w:abstractNum>
  <w:abstractNum w:abstractNumId="132">
    <w:nsid w:val="63F37E85"/>
    <w:multiLevelType w:val="hybridMultilevel"/>
    <w:lvl w:ilvl="0">
      <w:lvlJc w:val="left"/>
      <w:lvlText w:val="%1"/>
      <w:numFmt w:val="decimal"/>
      <w:start w:val="20"/>
    </w:lvl>
  </w:abstractNum>
  <w:abstractNum w:abstractNumId="133">
    <w:nsid w:val="5895F5FA"/>
    <w:multiLevelType w:val="hybridMultilevel"/>
    <w:lvl w:ilvl="0">
      <w:lvlJc w:val="left"/>
      <w:lvlText w:val="(%1)"/>
      <w:numFmt w:val="lowerLetter"/>
      <w:start w:val="1"/>
    </w:lvl>
  </w:abstractNum>
  <w:abstractNum w:abstractNumId="134">
    <w:nsid w:val="38A5D054"/>
    <w:multiLevelType w:val="hybridMultilevel"/>
    <w:lvl w:ilvl="0">
      <w:lvlJc w:val="left"/>
      <w:lvlText w:val="(%1)"/>
      <w:numFmt w:val="lowerLetter"/>
      <w:start w:val="1"/>
    </w:lvl>
  </w:abstractNum>
  <w:abstractNum w:abstractNumId="135">
    <w:nsid w:val="F3F09D8"/>
    <w:multiLevelType w:val="hybridMultilevel"/>
    <w:lvl w:ilvl="0">
      <w:lvlJc w:val="left"/>
      <w:lvlText w:val="%1"/>
      <w:numFmt w:val="decimal"/>
      <w:start w:val="21"/>
    </w:lvl>
  </w:abstractNum>
  <w:abstractNum w:abstractNumId="136">
    <w:nsid w:val="4B793735"/>
    <w:multiLevelType w:val="hybridMultilevel"/>
    <w:lvl w:ilvl="0">
      <w:lvlJc w:val="left"/>
      <w:lvlText w:val="(%1)"/>
      <w:numFmt w:val="lowerLetter"/>
      <w:start w:val="1"/>
    </w:lvl>
  </w:abstractNum>
  <w:abstractNum w:abstractNumId="137">
    <w:nsid w:val="4A10B4E8"/>
    <w:multiLevelType w:val="hybridMultilevel"/>
    <w:lvl w:ilvl="0">
      <w:lvlJc w:val="left"/>
      <w:lvlText w:val="%1"/>
      <w:numFmt w:val="decimal"/>
      <w:start w:val="22"/>
    </w:lvl>
  </w:abstractNum>
  <w:abstractNum w:abstractNumId="138">
    <w:nsid w:val="43D3BCD4"/>
    <w:multiLevelType w:val="hybridMultilevel"/>
    <w:lvl w:ilvl="0">
      <w:lvlJc w:val="left"/>
      <w:lvlText w:val="(%1)"/>
      <w:numFmt w:val="lowerLetter"/>
      <w:start w:val="1"/>
    </w:lvl>
  </w:abstractNum>
  <w:abstractNum w:abstractNumId="139">
    <w:nsid w:val="4C2A7166"/>
    <w:multiLevelType w:val="hybridMultilevel"/>
    <w:lvl w:ilvl="0">
      <w:lvlJc w:val="left"/>
      <w:lvlText w:val="(%1)"/>
      <w:numFmt w:val="lowerLetter"/>
      <w:start w:val="1"/>
    </w:lvl>
  </w:abstractNum>
  <w:abstractNum w:abstractNumId="140">
    <w:nsid w:val="2E534A82"/>
    <w:multiLevelType w:val="hybridMultilevel"/>
    <w:lvl w:ilvl="0">
      <w:lvlJc w:val="left"/>
      <w:lvlText w:val="%1"/>
      <w:numFmt w:val="decimal"/>
      <w:start w:val="23"/>
    </w:lvl>
  </w:abstractNum>
  <w:abstractNum w:abstractNumId="141">
    <w:nsid w:val="26F2D364"/>
    <w:multiLevelType w:val="hybridMultilevel"/>
    <w:lvl w:ilvl="0">
      <w:lvlJc w:val="left"/>
      <w:lvlText w:val="%1"/>
      <w:numFmt w:val="decimal"/>
      <w:start w:val="24"/>
    </w:lvl>
  </w:abstractNum>
  <w:abstractNum w:abstractNumId="142">
    <w:nsid w:val="71C1AF98"/>
    <w:multiLevelType w:val="hybridMultilevel"/>
    <w:lvl w:ilvl="0">
      <w:lvlJc w:val="left"/>
      <w:lvlText w:val="(%1)"/>
      <w:numFmt w:val="lowerLetter"/>
      <w:start w:val="1"/>
    </w:lvl>
    <w:lvl w:ilvl="1">
      <w:lvlJc w:val="left"/>
      <w:lvlText w:val="(%2)"/>
      <w:numFmt w:val="lowerRoman"/>
      <w:start w:val="1"/>
    </w:lvl>
  </w:abstractNum>
  <w:abstractNum w:abstractNumId="143">
    <w:nsid w:val="3D00B9D9"/>
    <w:multiLevelType w:val="hybridMultilevel"/>
    <w:lvl w:ilvl="0">
      <w:lvlJc w:val="left"/>
      <w:lvlText w:val="(%1)"/>
      <w:numFmt w:val="lowerLetter"/>
      <w:start w:val="1"/>
    </w:lvl>
  </w:abstractNum>
  <w:abstractNum w:abstractNumId="144">
    <w:nsid w:val="15BCABA8"/>
    <w:multiLevelType w:val="hybridMultilevel"/>
    <w:lvl w:ilvl="0">
      <w:lvlJc w:val="left"/>
      <w:lvlText w:val="(%1)"/>
      <w:numFmt w:val="lowerLetter"/>
      <w:start w:val="1"/>
    </w:lvl>
  </w:abstractNum>
  <w:abstractNum w:abstractNumId="145">
    <w:nsid w:val="4E0B9A87"/>
    <w:multiLevelType w:val="hybridMultilevel"/>
    <w:lvl w:ilvl="0">
      <w:lvlJc w:val="left"/>
      <w:lvlText w:val="%1"/>
      <w:numFmt w:val="decimal"/>
      <w:start w:val="25"/>
    </w:lvl>
  </w:abstractNum>
  <w:abstractNum w:abstractNumId="146">
    <w:nsid w:val="434BAE75"/>
    <w:multiLevelType w:val="hybridMultilevel"/>
    <w:lvl w:ilvl="0">
      <w:lvlJc w:val="left"/>
      <w:lvlText w:val="(%1)"/>
      <w:numFmt w:val="lowerLetter"/>
      <w:start w:val="1"/>
    </w:lvl>
  </w:abstractNum>
  <w:abstractNum w:abstractNumId="147">
    <w:nsid w:val="4F38F265"/>
    <w:multiLevelType w:val="hybridMultilevel"/>
    <w:lvl w:ilvl="0">
      <w:lvlJc w:val="left"/>
      <w:lvlText w:val="%1"/>
      <w:numFmt w:val="decimal"/>
      <w:start w:val="26"/>
    </w:lvl>
  </w:abstractNum>
  <w:abstractNum w:abstractNumId="148">
    <w:nsid w:val="4C502870"/>
    <w:multiLevelType w:val="hybridMultilevel"/>
    <w:lvl w:ilvl="0">
      <w:lvlJc w:val="left"/>
      <w:lvlText w:val="(%1)"/>
      <w:numFmt w:val="lowerLetter"/>
      <w:start w:val="1"/>
    </w:lvl>
  </w:abstractNum>
  <w:abstractNum w:abstractNumId="149">
    <w:nsid w:val="1DE8725A"/>
    <w:multiLevelType w:val="hybridMultilevel"/>
    <w:lvl w:ilvl="0">
      <w:lvlJc w:val="left"/>
      <w:lvlText w:val="%1"/>
      <w:numFmt w:val="decimal"/>
      <w:start w:val="27"/>
    </w:lvl>
  </w:abstractNum>
  <w:abstractNum w:abstractNumId="150">
    <w:nsid w:val="6A37288A"/>
    <w:multiLevelType w:val="hybridMultilevel"/>
    <w:lvl w:ilvl="0">
      <w:lvlJc w:val="left"/>
      <w:lvlText w:val="(%1)"/>
      <w:numFmt w:val="lowerLetter"/>
      <w:start w:val="1"/>
    </w:lvl>
  </w:abstractNum>
  <w:abstractNum w:abstractNumId="151">
    <w:nsid w:val="8F8B73F"/>
    <w:multiLevelType w:val="hybridMultilevel"/>
    <w:lvl w:ilvl="0">
      <w:lvlJc w:val="left"/>
      <w:lvlText w:val="(%1)"/>
      <w:numFmt w:val="lowerLetter"/>
      <w:start w:val="1"/>
    </w:lvl>
  </w:abstractNum>
  <w:abstractNum w:abstractNumId="152">
    <w:nsid w:val="CA6B462"/>
    <w:multiLevelType w:val="hybridMultilevel"/>
    <w:lvl w:ilvl="0">
      <w:lvlJc w:val="left"/>
      <w:lvlText w:val="(%1)"/>
      <w:numFmt w:val="lowerLetter"/>
      <w:start w:val="3"/>
    </w:lvl>
  </w:abstractNum>
  <w:abstractNum w:abstractNumId="153">
    <w:nsid w:val="763CB680"/>
    <w:multiLevelType w:val="hybridMultilevel"/>
    <w:lvl w:ilvl="0">
      <w:lvlJc w:val="left"/>
      <w:lvlText w:val="(%1)"/>
      <w:numFmt w:val="lowerLetter"/>
      <w:start w:val="1"/>
    </w:lvl>
  </w:abstractNum>
  <w:abstractNum w:abstractNumId="154">
    <w:nsid w:val="15B71329"/>
    <w:multiLevelType w:val="hybridMultilevel"/>
    <w:lvl w:ilvl="0">
      <w:lvlJc w:val="left"/>
      <w:lvlText w:val="(%1)"/>
      <w:numFmt w:val="lowerLetter"/>
      <w:start w:val="1"/>
    </w:lvl>
  </w:abstractNum>
  <w:abstractNum w:abstractNumId="155">
    <w:nsid w:val="3DA97044"/>
    <w:multiLevelType w:val="hybridMultilevel"/>
    <w:lvl w:ilvl="0">
      <w:lvlJc w:val="left"/>
      <w:lvlText w:val="(%1)"/>
      <w:numFmt w:val="lowerLetter"/>
      <w:start w:val="1"/>
    </w:lvl>
  </w:abstractNum>
  <w:abstractNum w:abstractNumId="156">
    <w:nsid w:val="1CDCE2DE"/>
    <w:multiLevelType w:val="hybridMultilevel"/>
    <w:lvl w:ilvl="0">
      <w:lvlJc w:val="left"/>
      <w:lvlText w:val="%1"/>
      <w:numFmt w:val="decimal"/>
      <w:start w:val="28"/>
    </w:lvl>
  </w:abstractNum>
  <w:abstractNum w:abstractNumId="157">
    <w:nsid w:val="69D3947C"/>
    <w:multiLevelType w:val="hybridMultilevel"/>
    <w:lvl w:ilvl="0">
      <w:lvlJc w:val="left"/>
      <w:lvlText w:val="(%1)"/>
      <w:numFmt w:val="lowerLetter"/>
      <w:start w:val="1"/>
    </w:lvl>
  </w:abstractNum>
  <w:abstractNum w:abstractNumId="158">
    <w:nsid w:val="2539DFA5"/>
    <w:multiLevelType w:val="hybridMultilevel"/>
    <w:lvl w:ilvl="0">
      <w:lvlJc w:val="left"/>
      <w:lvlText w:val="(%1)"/>
      <w:numFmt w:val="lowerLetter"/>
      <w:start w:val="1"/>
    </w:lvl>
  </w:abstractNum>
  <w:abstractNum w:abstractNumId="159">
    <w:nsid w:val="2DB88089"/>
    <w:multiLevelType w:val="hybridMultilevel"/>
    <w:lvl w:ilvl="0">
      <w:lvlJc w:val="left"/>
      <w:lvlText w:val="%1"/>
      <w:numFmt w:val="decimal"/>
      <w:start w:val="29"/>
    </w:lvl>
  </w:abstractNum>
  <w:abstractNum w:abstractNumId="160">
    <w:nsid w:val="706B674E"/>
    <w:multiLevelType w:val="hybridMultilevel"/>
    <w:lvl w:ilvl="0">
      <w:lvlJc w:val="left"/>
      <w:lvlText w:val="(%1)"/>
      <w:numFmt w:val="lowerLetter"/>
      <w:start w:val="1"/>
    </w:lvl>
  </w:abstractNum>
  <w:abstractNum w:abstractNumId="161">
    <w:nsid w:val="2C106A57"/>
    <w:multiLevelType w:val="hybridMultilevel"/>
    <w:lvl w:ilvl="0">
      <w:lvlJc w:val="left"/>
      <w:lvlText w:val="%1"/>
      <w:numFmt w:val="decimal"/>
      <w:start w:val="30"/>
    </w:lvl>
  </w:abstractNum>
  <w:abstractNum w:abstractNumId="162">
    <w:nsid w:val="684EED59"/>
    <w:multiLevelType w:val="hybridMultilevel"/>
    <w:lvl w:ilvl="0">
      <w:lvlJc w:val="left"/>
      <w:lvlText w:val="(%1)"/>
      <w:numFmt w:val="lowerLetter"/>
      <w:start w:val="1"/>
    </w:lvl>
  </w:abstractNum>
  <w:abstractNum w:abstractNumId="163">
    <w:nsid w:val="545EE5D3"/>
    <w:multiLevelType w:val="hybridMultilevel"/>
    <w:lvl w:ilvl="0">
      <w:lvlJc w:val="left"/>
      <w:lvlText w:val="(%1)"/>
      <w:numFmt w:val="lowerLetter"/>
      <w:start w:val="1"/>
    </w:lvl>
  </w:abstractNum>
  <w:abstractNum w:abstractNumId="164">
    <w:nsid w:val="4A66051"/>
    <w:multiLevelType w:val="hybridMultilevel"/>
    <w:lvl w:ilvl="0">
      <w:lvlJc w:val="left"/>
      <w:lvlText w:val="(%1)"/>
      <w:numFmt w:val="lowerLetter"/>
      <w:start w:val="1"/>
    </w:lvl>
  </w:abstractNum>
  <w:abstractNum w:abstractNumId="165">
    <w:nsid w:val="20F4BDAD"/>
    <w:multiLevelType w:val="hybridMultilevel"/>
    <w:lvl w:ilvl="0">
      <w:lvlJc w:val="left"/>
      <w:lvlText w:val="%1"/>
      <w:numFmt w:val="decimal"/>
      <w:start w:val="31"/>
    </w:lvl>
  </w:abstractNum>
  <w:abstractNum w:abstractNumId="166">
    <w:nsid w:val="639DEFAC"/>
    <w:multiLevelType w:val="hybridMultilevel"/>
    <w:lvl w:ilvl="0">
      <w:lvlJc w:val="left"/>
      <w:lvlText w:val="(%1)"/>
      <w:numFmt w:val="lowerLetter"/>
      <w:start w:val="1"/>
    </w:lvl>
  </w:abstractNum>
  <w:abstractNum w:abstractNumId="167">
    <w:nsid w:val="501F9786"/>
    <w:multiLevelType w:val="hybridMultilevel"/>
    <w:lvl w:ilvl="0">
      <w:lvlJc w:val="left"/>
      <w:lvlText w:val="(%1)"/>
      <w:numFmt w:val="lowerLetter"/>
      <w:start w:val="2"/>
    </w:lvl>
  </w:abstractNum>
  <w:abstractNum w:abstractNumId="168">
    <w:nsid w:val="6B057295"/>
    <w:multiLevelType w:val="hybridMultilevel"/>
    <w:lvl w:ilvl="0">
      <w:lvlJc w:val="left"/>
      <w:lvlText w:val="(%1)"/>
      <w:numFmt w:val="lowerLetter"/>
      <w:start w:val="1"/>
    </w:lvl>
    <w:lvl w:ilvl="1">
      <w:lvlJc w:val="left"/>
      <w:lvlText w:val="(%2)"/>
      <w:numFmt w:val="lowerRoman"/>
      <w:start w:val="1"/>
    </w:lvl>
  </w:abstractNum>
  <w:abstractNum w:abstractNumId="169">
    <w:nsid w:val="2771AC80"/>
    <w:multiLevelType w:val="hybridMultilevel"/>
    <w:lvl w:ilvl="0">
      <w:lvlJc w:val="left"/>
      <w:lvlText w:val="%1"/>
      <w:numFmt w:val="decimal"/>
      <w:start w:val="32"/>
    </w:lvl>
  </w:abstractNum>
  <w:abstractNum w:abstractNumId="170">
    <w:nsid w:val="1C4A08EC"/>
    <w:multiLevelType w:val="hybridMultilevel"/>
    <w:lvl w:ilvl="0">
      <w:lvlJc w:val="left"/>
      <w:lvlText w:val="(%1)"/>
      <w:numFmt w:val="lowerLetter"/>
      <w:start w:val="1"/>
    </w:lvl>
  </w:abstractNum>
  <w:abstractNum w:abstractNumId="171">
    <w:nsid w:val="1958BD17"/>
    <w:multiLevelType w:val="hybridMultilevel"/>
    <w:lvl w:ilvl="0">
      <w:lvlJc w:val="left"/>
      <w:lvlText w:val="(%1)"/>
      <w:numFmt w:val="lowerLetter"/>
      <w:start w:val="1"/>
    </w:lvl>
  </w:abstractNum>
  <w:abstractNum w:abstractNumId="172">
    <w:nsid w:val="4E647FE4"/>
    <w:multiLevelType w:val="hybridMultilevel"/>
    <w:lvl w:ilvl="0">
      <w:lvlJc w:val="left"/>
      <w:lvlText w:val="%1"/>
      <w:numFmt w:val="decimal"/>
      <w:start w:val="33"/>
    </w:lvl>
  </w:abstractNum>
  <w:abstractNum w:abstractNumId="173">
    <w:nsid w:val="E0BB885"/>
    <w:multiLevelType w:val="hybridMultilevel"/>
    <w:lvl w:ilvl="0">
      <w:lvlJc w:val="left"/>
      <w:lvlText w:val="(%1)"/>
      <w:numFmt w:val="lowerLetter"/>
      <w:start w:val="1"/>
    </w:lvl>
  </w:abstractNum>
  <w:abstractNum w:abstractNumId="174">
    <w:nsid w:val="565976F1"/>
    <w:multiLevelType w:val="hybridMultilevel"/>
    <w:lvl w:ilvl="0">
      <w:lvlJc w:val="left"/>
      <w:lvlText w:val="(%1)"/>
      <w:numFmt w:val="lowerLetter"/>
      <w:start w:val="1"/>
    </w:lvl>
  </w:abstractNum>
  <w:abstractNum w:abstractNumId="175">
    <w:nsid w:val="64212B8C"/>
    <w:multiLevelType w:val="hybridMultilevel"/>
    <w:lvl w:ilvl="0">
      <w:lvlJc w:val="left"/>
      <w:lvlText w:val="(%1)"/>
      <w:numFmt w:val="lowerLetter"/>
      <w:start w:val="1"/>
    </w:lvl>
  </w:abstractNum>
  <w:abstractNum w:abstractNumId="176">
    <w:nsid w:val="5C17530C"/>
    <w:multiLevelType w:val="hybridMultilevel"/>
    <w:lvl w:ilvl="0">
      <w:lvlJc w:val="left"/>
      <w:lvlText w:val="%1"/>
      <w:numFmt w:val="decimal"/>
      <w:start w:val="34"/>
    </w:lvl>
  </w:abstractNum>
  <w:abstractNum w:abstractNumId="177">
    <w:nsid w:val="19A52566"/>
    <w:multiLevelType w:val="hybridMultilevel"/>
    <w:lvl w:ilvl="0">
      <w:lvlJc w:val="left"/>
      <w:lvlText w:val="(%1)"/>
      <w:numFmt w:val="lowerLetter"/>
      <w:start w:val="1"/>
    </w:lvl>
  </w:abstractNum>
  <w:abstractNum w:abstractNumId="178">
    <w:nsid w:val="335A1DF1"/>
    <w:multiLevelType w:val="hybridMultilevel"/>
    <w:lvl w:ilvl="0">
      <w:lvlJc w:val="left"/>
      <w:lvlText w:val="(%1)"/>
      <w:numFmt w:val="lowerLetter"/>
      <w:start w:val="1"/>
    </w:lvl>
  </w:abstractNum>
  <w:abstractNum w:abstractNumId="179">
    <w:nsid w:val="28677B7C"/>
    <w:multiLevelType w:val="hybridMultilevel"/>
    <w:lvl w:ilvl="0">
      <w:lvlJc w:val="left"/>
      <w:lvlText w:val="%1"/>
      <w:numFmt w:val="decimal"/>
      <w:start w:val="35"/>
    </w:lvl>
  </w:abstractNum>
  <w:abstractNum w:abstractNumId="180">
    <w:nsid w:val="378D97C0"/>
    <w:multiLevelType w:val="hybridMultilevel"/>
    <w:lvl w:ilvl="0">
      <w:lvlJc w:val="left"/>
      <w:lvlText w:val="(%1)"/>
      <w:numFmt w:val="lowerLetter"/>
      <w:start w:val="1"/>
    </w:lvl>
  </w:abstractNum>
  <w:abstractNum w:abstractNumId="181">
    <w:nsid w:val="1D91467C"/>
    <w:multiLevelType w:val="hybridMultilevel"/>
    <w:lvl w:ilvl="0">
      <w:lvlJc w:val="left"/>
      <w:lvlText w:val="%1"/>
      <w:numFmt w:val="decimal"/>
      <w:start w:val="36"/>
    </w:lvl>
  </w:abstractNum>
  <w:abstractNum w:abstractNumId="182">
    <w:nsid w:val="316032BB"/>
    <w:multiLevelType w:val="hybridMultilevel"/>
    <w:lvl w:ilvl="0">
      <w:lvlJc w:val="left"/>
      <w:lvlText w:val="(%1)"/>
      <w:numFmt w:val="lowerLetter"/>
      <w:start w:val="1"/>
    </w:lvl>
  </w:abstractNum>
  <w:abstractNum w:abstractNumId="183">
    <w:nsid w:val="44344C22"/>
    <w:multiLevelType w:val="hybridMultilevel"/>
    <w:lvl w:ilvl="0">
      <w:lvlJc w:val="left"/>
      <w:lvlText w:val="%1"/>
      <w:numFmt w:val="decimal"/>
      <w:start w:val="37"/>
    </w:lvl>
  </w:abstractNum>
  <w:abstractNum w:abstractNumId="184">
    <w:nsid w:val="13CDFCFC"/>
    <w:multiLevelType w:val="hybridMultilevel"/>
    <w:lvl w:ilvl="0">
      <w:lvlJc w:val="left"/>
      <w:lvlText w:val="%1"/>
      <w:numFmt w:val="decimal"/>
      <w:start w:val="38"/>
    </w:lvl>
  </w:abstractNum>
  <w:abstractNum w:abstractNumId="185">
    <w:nsid w:val="471745E4"/>
    <w:multiLevelType w:val="hybridMultilevel"/>
    <w:lvl w:ilvl="0">
      <w:lvlJc w:val="left"/>
      <w:lvlText w:val="(%1)"/>
      <w:numFmt w:val="lowerLetter"/>
      <w:start w:val="1"/>
    </w:lvl>
  </w:abstractNum>
  <w:abstractNum w:abstractNumId="186">
    <w:nsid w:val="1DDBC66"/>
    <w:multiLevelType w:val="hybridMultilevel"/>
    <w:lvl w:ilvl="0">
      <w:lvlJc w:val="left"/>
      <w:lvlText w:val="(%1)"/>
      <w:numFmt w:val="lowerLetter"/>
      <w:start w:val="1"/>
    </w:lvl>
    <w:lvl w:ilvl="1">
      <w:lvlJc w:val="left"/>
      <w:lvlText w:val="(%2)"/>
      <w:numFmt w:val="lowerRoman"/>
      <w:start w:val="1"/>
    </w:lvl>
  </w:abstractNum>
  <w:abstractNum w:abstractNumId="187">
    <w:nsid w:val="30AADFDA"/>
    <w:multiLevelType w:val="hybridMultilevel"/>
    <w:lvl w:ilvl="0">
      <w:lvlJc w:val="left"/>
      <w:lvlText w:val="(%1)"/>
      <w:numFmt w:val="lowerLetter"/>
      <w:start w:val="1"/>
    </w:lvl>
    <w:lvl w:ilvl="1">
      <w:lvlJc w:val="left"/>
      <w:lvlText w:val="(%2)"/>
      <w:numFmt w:val="lowerRoman"/>
      <w:start w:val="1"/>
    </w:lvl>
  </w:abstractNum>
  <w:abstractNum w:abstractNumId="188">
    <w:nsid w:val="30EADA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89">
    <w:nsid w:val="27179C0B"/>
    <w:multiLevelType w:val="hybridMultilevel"/>
    <w:lvl w:ilvl="0">
      <w:lvlJc w:val="left"/>
      <w:lvlText w:val="(%1)"/>
      <w:numFmt w:val="lowerLetter"/>
      <w:start w:val="1"/>
    </w:lvl>
  </w:abstractNum>
  <w:abstractNum w:abstractNumId="190">
    <w:nsid w:val="5E636063"/>
    <w:multiLevelType w:val="hybridMultilevel"/>
    <w:lvl w:ilvl="0">
      <w:lvlJc w:val="left"/>
      <w:lvlText w:val="%1"/>
      <w:numFmt w:val="decimal"/>
      <w:start w:val="39"/>
    </w:lvl>
  </w:abstractNum>
  <w:abstractNum w:abstractNumId="191">
    <w:nsid w:val="215641AF"/>
    <w:multiLevelType w:val="hybridMultilevel"/>
    <w:lvl w:ilvl="0">
      <w:lvlJc w:val="left"/>
      <w:lvlText w:val="%1"/>
      <w:numFmt w:val="decimal"/>
      <w:start w:val="40"/>
    </w:lvl>
  </w:abstractNum>
  <w:abstractNum w:abstractNumId="192">
    <w:nsid w:val="53280662"/>
    <w:multiLevelType w:val="hybridMultilevel"/>
    <w:lvl w:ilvl="0">
      <w:lvlJc w:val="left"/>
      <w:lvlText w:val="%1."/>
      <w:numFmt w:val="upperLetter"/>
      <w:start w:val="1"/>
    </w:lvl>
    <w:lvl w:ilvl="1">
      <w:lvlJc w:val="left"/>
      <w:lvlText w:val="(%2)"/>
      <w:numFmt w:val="lowerRoman"/>
      <w:start w:val="1"/>
    </w:lvl>
  </w:abstractNum>
  <w:abstractNum w:abstractNumId="193">
    <w:nsid w:val="46B24DBC"/>
    <w:multiLevelType w:val="hybridMultilevel"/>
    <w:lvl w:ilvl="0">
      <w:lvlJc w:val="left"/>
      <w:lvlText w:val="%1"/>
      <w:numFmt w:val="upperLetter"/>
      <w:start w:val="1"/>
    </w:lvl>
    <w:lvl w:ilvl="1">
      <w:lvlJc w:val="left"/>
      <w:lvlText w:val="(%2)"/>
      <w:numFmt w:val="lowerRoman"/>
      <w:start w:val="2"/>
    </w:lvl>
  </w:abstractNum>
  <w:abstractNum w:abstractNumId="194">
    <w:nsid w:val="75B52783"/>
    <w:multiLevelType w:val="hybridMultilevel"/>
    <w:lvl w:ilvl="0">
      <w:lvlJc w:val="left"/>
      <w:lvlText w:val="%1."/>
      <w:numFmt w:val="upperLetter"/>
      <w:start w:val="3"/>
    </w:lvl>
    <w:lvl w:ilvl="1">
      <w:lvlJc w:val="left"/>
      <w:lvlText w:val="(%2)"/>
      <w:numFmt w:val="lowerRoman"/>
      <w:start w:val="1"/>
    </w:lvl>
  </w:abstractNum>
  <w:abstractNum w:abstractNumId="195">
    <w:nsid w:val="57CE66B4"/>
    <w:multiLevelType w:val="hybridMultilevel"/>
    <w:lvl w:ilvl="0">
      <w:lvlJc w:val="left"/>
      <w:lvlText w:val="%1."/>
      <w:numFmt w:val="upperLetter"/>
      <w:start w:val="1"/>
    </w:lvl>
  </w:abstractNum>
  <w:abstractNum w:abstractNumId="196">
    <w:nsid w:val="67A70B69"/>
    <w:multiLevelType w:val="hybridMultilevel"/>
    <w:lvl w:ilvl="0">
      <w:lvlJc w:val="left"/>
      <w:lvlText w:val="%1"/>
      <w:numFmt w:val="upperLetter"/>
      <w:start w:val="1"/>
    </w:lvl>
    <w:lvl w:ilvl="1">
      <w:lvlJc w:val="left"/>
      <w:lvlText w:val="(%2)"/>
      <w:numFmt w:val="lowerRoman"/>
      <w:start w:val="1"/>
    </w:lvl>
  </w:abstractNum>
  <w:abstractNum w:abstractNumId="197">
    <w:nsid w:val="5953172F"/>
    <w:multiLevelType w:val="hybridMultilevel"/>
    <w:lvl w:ilvl="0">
      <w:lvlJc w:val="left"/>
      <w:lvlText w:val="%1."/>
      <w:numFmt w:val="upperLetter"/>
      <w:start w:val="3"/>
    </w:lvl>
    <w:lvl w:ilvl="1">
      <w:lvlJc w:val="left"/>
      <w:lvlText w:val="%2"/>
      <w:numFmt w:val="lowerRoman"/>
      <w:start w:val="1"/>
    </w:lvl>
  </w:abstractNum>
  <w:abstractNum w:abstractNumId="198">
    <w:nsid w:val="27EDFE3A"/>
    <w:multiLevelType w:val="hybridMultilevel"/>
    <w:lvl w:ilvl="0">
      <w:lvlJc w:val="left"/>
      <w:lvlText w:val="%1."/>
      <w:numFmt w:val="upperLetter"/>
      <w:start w:val="1"/>
    </w:lvl>
    <w:lvl w:ilvl="1">
      <w:lvlJc w:val="left"/>
      <w:lvlText w:val="(%2)"/>
      <w:numFmt w:val="lowerRoman"/>
      <w:start w:val="1"/>
    </w:lvl>
  </w:abstractNum>
  <w:abstractNum w:abstractNumId="199">
    <w:nsid w:val="52AC7DFF"/>
    <w:multiLevelType w:val="hybridMultilevel"/>
    <w:lvl w:ilvl="0">
      <w:lvlJc w:val="left"/>
      <w:lvlText w:val="(%1)"/>
      <w:numFmt w:val="lowerRoman"/>
      <w:start w:val="5"/>
    </w:lvl>
  </w:abstractNum>
  <w:abstractNum w:abstractNumId="200">
    <w:nsid w:val="C4C3AF"/>
    <w:multiLevelType w:val="hybridMultilevel"/>
    <w:lvl w:ilvl="0">
      <w:lvlJc w:val="left"/>
      <w:lvlText w:val="%1."/>
      <w:numFmt w:val="upperLetter"/>
      <w:start w:val="1"/>
    </w:lvl>
  </w:abstractNum>
  <w:abstractNum w:abstractNumId="201">
    <w:nsid w:val="44380727"/>
    <w:multiLevelType w:val="hybridMultilevel"/>
    <w:lvl w:ilvl="0">
      <w:lvlJc w:val="left"/>
      <w:lvlText w:val="%1."/>
      <w:numFmt w:val="upperLetter"/>
      <w:start w:val="1"/>
    </w:lvl>
  </w:abstractNum>
  <w:abstractNum w:abstractNumId="202">
    <w:nsid w:val="6C053B16"/>
    <w:multiLevelType w:val="hybridMultilevel"/>
    <w:lvl w:ilvl="0">
      <w:lvlJc w:val="left"/>
      <w:lvlText w:val="%1."/>
      <w:numFmt w:val="upperLetter"/>
      <w:start w:val="4"/>
    </w:lvl>
  </w:abstractNum>
  <w:abstractNum w:abstractNumId="203">
    <w:nsid w:val="4F294393"/>
    <w:multiLevelType w:val="hybridMultilevel"/>
    <w:lvl w:ilvl="0">
      <w:lvlJc w:val="left"/>
      <w:lvlText w:val="%1."/>
      <w:numFmt w:val="upperLetter"/>
      <w:start w:val="1"/>
    </w:lvl>
  </w:abstractNum>
  <w:abstractNum w:abstractNumId="204">
    <w:nsid w:val="5243BFAC"/>
    <w:multiLevelType w:val="hybridMultilevel"/>
    <w:lvl w:ilvl="0">
      <w:lvlJc w:val="left"/>
      <w:lvlText w:val="%1."/>
      <w:numFmt w:val="upperLetter"/>
      <w:start w:val="1"/>
    </w:lvl>
  </w:abstractNum>
  <w:abstractNum w:abstractNumId="205">
    <w:nsid w:val="425EB207"/>
    <w:multiLevelType w:val="hybridMultilevel"/>
    <w:lvl w:ilvl="0">
      <w:lvlJc w:val="left"/>
      <w:lvlText w:val="(%1)"/>
      <w:numFmt w:val="upperLetter"/>
      <w:start w:val="1"/>
    </w:lvl>
  </w:abstractNum>
  <w:abstractNum w:abstractNumId="206">
    <w:nsid w:val="334A6F1F"/>
    <w:multiLevelType w:val="hybridMultilevel"/>
    <w:lvl w:ilvl="0">
      <w:lvlJc w:val="left"/>
      <w:lvlText w:val="%1."/>
      <w:numFmt w:val="upperLetter"/>
      <w:start w:val="1"/>
    </w:lvl>
    <w:lvl w:ilvl="1">
      <w:lvlJc w:val="left"/>
      <w:lvlText w:val="(%2)"/>
      <w:numFmt w:val="lowerRoman"/>
      <w:start w:val="1"/>
    </w:lvl>
  </w:abstractNum>
  <w:abstractNum w:abstractNumId="207">
    <w:nsid w:val="2E5B12B8"/>
    <w:multiLevelType w:val="hybridMultilevel"/>
    <w:lvl w:ilvl="0">
      <w:lvlJc w:val="left"/>
      <w:lvlText w:val="(%1)"/>
      <w:numFmt w:val="lowerRoman"/>
      <w:start w:val="2"/>
    </w:lvl>
  </w:abstractNum>
  <w:abstractNum w:abstractNumId="208">
    <w:nsid w:val="5C03D76D"/>
    <w:multiLevelType w:val="hybridMultilevel"/>
    <w:lvl w:ilvl="0">
      <w:lvlJc w:val="left"/>
      <w:lvlText w:val="%1"/>
      <w:numFmt w:val="lowerRoman"/>
      <w:start w:val="1"/>
    </w:lvl>
    <w:lvl w:ilvl="1">
      <w:lvlJc w:val="left"/>
      <w:lvlText w:val="(%2)"/>
      <w:numFmt w:val="lowerRoman"/>
      <w:start w:val="4"/>
    </w:lvl>
  </w:abstractNum>
  <w:abstractNum w:abstractNumId="209">
    <w:nsid w:val="66A48D11"/>
    <w:multiLevelType w:val="hybridMultilevel"/>
    <w:lvl w:ilvl="0">
      <w:lvlJc w:val="left"/>
      <w:lvlText w:val="(%1)"/>
      <w:numFmt w:val="lowerRoman"/>
      <w:start w:val="1"/>
    </w:lvl>
    <w:lvl w:ilvl="1">
      <w:lvlJc w:val="left"/>
      <w:lvlText w:val="(%2)"/>
      <w:numFmt w:val="lowerRoman"/>
      <w:start w:val="5"/>
    </w:lvl>
  </w:abstractNum>
  <w:abstractNum w:abstractNumId="210">
    <w:nsid w:val="56C28E34"/>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211">
    <w:nsid w:val="13916F2D"/>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2"/>
    </w:lvl>
  </w:abstractNum>
  <w:abstractNum w:abstractNumId="212">
    <w:nsid w:val="435D38D"/>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213">
    <w:nsid w:val="822C0EF"/>
    <w:multiLevelType w:val="hybridMultilevel"/>
    <w:lvl w:ilvl="0">
      <w:lvlJc w:val="left"/>
      <w:lvlText w:val="%1."/>
      <w:numFmt w:val="upperLetter"/>
      <w:start w:val="3"/>
    </w:lvl>
    <w:lvl w:ilvl="1">
      <w:lvlJc w:val="left"/>
      <w:lvlText w:val="(%2)"/>
      <w:numFmt w:val="lowerRoman"/>
      <w:start w:val="1"/>
    </w:lvl>
    <w:lvl w:ilvl="2">
      <w:lvlJc w:val="left"/>
      <w:lvlText w:val="%3"/>
      <w:numFmt w:val="decimal"/>
      <w:start w:val="1"/>
    </w:lvl>
  </w:abstractNum>
  <w:abstractNum w:abstractNumId="214">
    <w:nsid w:val="57C5BB4F"/>
    <w:multiLevelType w:val="hybridMultilevel"/>
    <w:lvl w:ilvl="0">
      <w:lvlJc w:val="left"/>
      <w:lvlText w:val="(%1)"/>
      <w:numFmt w:val="lowerRoman"/>
      <w:start w:val="2"/>
    </w:lvl>
  </w:abstractNum>
  <w:abstractNum w:abstractNumId="215">
    <w:nsid w:val="1803D089"/>
    <w:multiLevelType w:val="hybridMultilevel"/>
    <w:lvl w:ilvl="0">
      <w:lvlJc w:val="left"/>
      <w:lvlText w:val="%1"/>
      <w:numFmt w:val="upperLetter"/>
      <w:start w:val="1"/>
    </w:lvl>
    <w:lvl w:ilvl="1">
      <w:lvlJc w:val="left"/>
      <w:lvlText w:val="(%2)"/>
      <w:numFmt w:val="lowerRoman"/>
      <w:start w:val="4"/>
    </w:lvl>
  </w:abstractNum>
  <w:abstractNum w:abstractNumId="216">
    <w:nsid w:val="4F3A06D4"/>
    <w:multiLevelType w:val="hybridMultilevel"/>
    <w:lvl w:ilvl="0">
      <w:lvlJc w:val="left"/>
      <w:lvlText w:val="%1."/>
      <w:numFmt w:val="upperLetter"/>
      <w:start w:val="4"/>
    </w:lvl>
    <w:lvl w:ilvl="1">
      <w:lvlJc w:val="left"/>
      <w:lvlText w:val="%2"/>
      <w:numFmt w:val="lowerRoman"/>
      <w:start w:val="1"/>
    </w:lvl>
  </w:abstractNum>
  <w:abstractNum w:abstractNumId="217">
    <w:nsid w:val="59A377B6"/>
    <w:multiLevelType w:val="hybridMultilevel"/>
    <w:lvl w:ilvl="0">
      <w:lvlJc w:val="left"/>
      <w:lvlText w:val="%1."/>
      <w:numFmt w:val="upperLetter"/>
      <w:start w:val="1"/>
    </w:lvl>
    <w:lvl w:ilvl="1">
      <w:lvlJc w:val="left"/>
      <w:lvlText w:val="(%2)"/>
      <w:numFmt w:val="lowerRoman"/>
      <w:start w:val="1"/>
    </w:lvl>
  </w:abstractNum>
  <w:abstractNum w:abstractNumId="218">
    <w:nsid w:val="48AEB063"/>
    <w:multiLevelType w:val="hybridMultilevel"/>
    <w:lvl w:ilvl="0">
      <w:lvlJc w:val="left"/>
      <w:lvlText w:val="(%1)"/>
      <w:numFmt w:val="lowerRoman"/>
      <w:start w:val="4"/>
    </w:lvl>
  </w:abstractNum>
  <w:abstractNum w:abstractNumId="219">
    <w:nsid w:val="24E135"/>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1"/>
    </w:lvl>
  </w:abstractNum>
  <w:abstractNum w:abstractNumId="220">
    <w:nsid w:val="BB13C1"/>
    <w:multiLevelType w:val="hybridMultilevel"/>
    <w:lvl w:ilvl="0">
      <w:lvlJc w:val="left"/>
      <w:lvlText w:val="%1"/>
      <w:numFmt w:val="lowerRoman"/>
      <w:start w:val="1"/>
    </w:lvl>
    <w:lvl w:ilvl="1">
      <w:lvlJc w:val="left"/>
      <w:lvlText w:val="%2."/>
      <w:numFmt w:val="upperLetter"/>
      <w:start w:val="2"/>
    </w:lvl>
    <w:lvl w:ilvl="2">
      <w:lvlJc w:val="left"/>
      <w:lvlText w:val="%3"/>
      <w:numFmt w:val="lowerRoman"/>
      <w:start w:val="1"/>
    </w:lvl>
  </w:abstractNum>
  <w:abstractNum w:abstractNumId="221">
    <w:nsid w:val="271210C7"/>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22">
    <w:nsid w:val="217B22E4"/>
    <w:multiLevelType w:val="hybridMultilevel"/>
    <w:lvl w:ilvl="0">
      <w:lvlJc w:val="left"/>
      <w:lvlText w:val="%1."/>
      <w:numFmt w:val="upperLetter"/>
      <w:start w:val="4"/>
    </w:lvl>
  </w:abstractNum>
  <w:abstractNum w:abstractNumId="223">
    <w:nsid w:val="53E31A24"/>
    <w:multiLevelType w:val="hybridMultilevel"/>
    <w:lvl w:ilvl="0">
      <w:lvlJc w:val="left"/>
      <w:lvlText w:val="%1."/>
      <w:numFmt w:val="upperLetter"/>
      <w:start w:val="1"/>
    </w:lvl>
    <w:lvl w:ilvl="1">
      <w:lvlJc w:val="left"/>
      <w:lvlText w:val="(%2)"/>
      <w:numFmt w:val="lowerRoman"/>
      <w:start w:val="1"/>
    </w:lvl>
  </w:abstractNum>
  <w:abstractNum w:abstractNumId="224">
    <w:nsid w:val="6DC45E83"/>
    <w:multiLevelType w:val="hybridMultilevel"/>
    <w:lvl w:ilvl="0">
      <w:lvlJc w:val="left"/>
      <w:lvlText w:val="(%1)"/>
      <w:numFmt w:val="lowerRoman"/>
      <w:start w:val="2"/>
    </w:lvl>
  </w:abstractNum>
  <w:abstractNum w:abstractNumId="225">
    <w:nsid w:val="17304A67"/>
    <w:multiLevelType w:val="hybridMultilevel"/>
    <w:lvl w:ilvl="0">
      <w:lvlJc w:val="left"/>
      <w:lvlText w:val="(%1)"/>
      <w:numFmt w:val="lowerRoman"/>
      <w:start w:val="4"/>
    </w:lvl>
  </w:abstractNum>
  <w:abstractNum w:abstractNumId="226">
    <w:nsid w:val="2BB180D8"/>
    <w:multiLevelType w:val="hybridMultilevel"/>
    <w:lvl w:ilvl="0">
      <w:lvlJc w:val="left"/>
      <w:lvlText w:val="(%1)"/>
      <w:numFmt w:val="lowerRoman"/>
      <w:start w:val="1"/>
    </w:lvl>
  </w:abstractNum>
  <w:abstractNum w:abstractNumId="227">
    <w:nsid w:val="556B69ED"/>
    <w:multiLevelType w:val="hybridMultilevel"/>
    <w:lvl w:ilvl="0">
      <w:lvlJc w:val="left"/>
      <w:lvlText w:val="(%1)"/>
      <w:numFmt w:val="lowerRoman"/>
      <w:start w:val="3"/>
    </w:lvl>
  </w:abstractNum>
  <w:abstractNum w:abstractNumId="228">
    <w:nsid w:val="70836196"/>
    <w:multiLevelType w:val="hybridMultilevel"/>
    <w:lvl w:ilvl="0">
      <w:lvlJc w:val="left"/>
      <w:lvlText w:val="%1"/>
      <w:numFmt w:val="lowerLetter"/>
      <w:start w:val="1"/>
    </w:lvl>
    <w:lvl w:ilvl="1">
      <w:lvlJc w:val="left"/>
      <w:lvlText w:val="(%2)"/>
      <w:numFmt w:val="lowerRoman"/>
      <w:start w:val="9"/>
    </w:lvl>
  </w:abstractNum>
  <w:abstractNum w:abstractNumId="229">
    <w:nsid w:val="539F7F12"/>
    <w:multiLevelType w:val="hybridMultilevel"/>
    <w:lvl w:ilvl="0">
      <w:lvlJc w:val="left"/>
      <w:lvlText w:val="(%1)"/>
      <w:numFmt w:val="lowerLetter"/>
      <w:start w:val="1"/>
    </w:lvl>
    <w:lvl w:ilvl="1">
      <w:lvlJc w:val="left"/>
      <w:lvlText w:val="(%2)"/>
      <w:numFmt w:val="lowerRoman"/>
      <w:start w:val="11"/>
    </w:lvl>
  </w:abstractNum>
  <w:abstractNum w:abstractNumId="230">
    <w:nsid w:val="2817E7EC"/>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abstractNum>
  <w:abstractNum w:abstractNumId="231">
    <w:nsid w:val="71482545"/>
    <w:multiLevelType w:val="hybridMultilevel"/>
    <w:lvl w:ilvl="0">
      <w:lvlJc w:val="left"/>
      <w:lvlText w:val="(%1)"/>
      <w:numFmt w:val="lowerRoman"/>
      <w:start w:val="2"/>
    </w:lvl>
    <w:lvl w:ilvl="1">
      <w:lvlJc w:val="left"/>
      <w:lvlText w:val="%2."/>
      <w:numFmt w:val="upperLetter"/>
      <w:start w:val="2"/>
    </w:lvl>
    <w:lvl w:ilvl="2">
      <w:lvlJc w:val="left"/>
      <w:lvlText w:val="(%3)"/>
      <w:numFmt w:val="lowerRoman"/>
      <w:start w:val="1"/>
    </w:lvl>
  </w:abstractNum>
  <w:abstractNum w:abstractNumId="232">
    <w:nsid w:val="17D78639"/>
    <w:multiLevelType w:val="hybridMultilevel"/>
    <w:lvl w:ilvl="0">
      <w:lvlJc w:val="left"/>
      <w:lvlText w:val="%1."/>
      <w:numFmt w:val="upperLetter"/>
      <w:start w:val="4"/>
    </w:lvl>
  </w:abstractNum>
  <w:abstractNum w:abstractNumId="233">
    <w:nsid w:val="141D2302"/>
    <w:multiLevelType w:val="hybridMultilevel"/>
    <w:lvl w:ilvl="0">
      <w:lvlJc w:val="left"/>
      <w:lvlText w:val="%1."/>
      <w:numFmt w:val="upperLetter"/>
      <w:start w:val="11"/>
    </w:lvl>
  </w:abstractNum>
  <w:abstractNum w:abstractNumId="234">
    <w:nsid w:val="407168D8"/>
    <w:multiLevelType w:val="hybridMultilevel"/>
    <w:lvl w:ilvl="0">
      <w:lvlJc w:val="left"/>
      <w:lvlText w:val="%1."/>
      <w:numFmt w:val="decimal"/>
      <w:start w:val="1"/>
    </w:lvl>
    <w:lvl w:ilvl="1">
      <w:lvlJc w:val="left"/>
      <w:lvlText w:val="(%2)"/>
      <w:numFmt w:val="lowerLetter"/>
      <w:start w:val="1"/>
    </w:lvl>
  </w:abstractNum>
  <w:abstractNum w:abstractNumId="235">
    <w:nsid w:val="6A1B45E5"/>
    <w:multiLevelType w:val="hybridMultilevel"/>
    <w:lvl w:ilvl="0">
      <w:lvlJc w:val="left"/>
      <w:lvlText w:val="%1"/>
      <w:numFmt w:val="decimal"/>
      <w:start w:val="1"/>
    </w:lvl>
    <w:lvl w:ilvl="1">
      <w:lvlJc w:val="left"/>
      <w:lvlText w:val="(%2)"/>
      <w:numFmt w:val="lowerLetter"/>
      <w:start w:val="2"/>
    </w:lvl>
  </w:abstractNum>
  <w:abstractNum w:abstractNumId="236">
    <w:nsid w:val="567BD50A"/>
    <w:multiLevelType w:val="hybridMultilevel"/>
    <w:lvl w:ilvl="0">
      <w:lvlJc w:val="left"/>
      <w:lvlText w:val="(%1)"/>
      <w:numFmt w:val="decimal"/>
      <w:start w:val="3"/>
    </w:lvl>
    <w:lvl w:ilvl="1">
      <w:lvlJc w:val="left"/>
      <w:lvlText w:val="(%2)"/>
      <w:numFmt w:val="lowerLetter"/>
      <w:start w:val="4"/>
    </w:lvl>
  </w:abstractNum>
  <w:abstractNum w:abstractNumId="237">
    <w:nsid w:val="73BBD7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238">
    <w:nsid w:val="1876589D"/>
    <w:multiLevelType w:val="hybridMultilevel"/>
    <w:lvl w:ilvl="0">
      <w:lvlJc w:val="left"/>
      <w:lvlText w:val="(%1)"/>
      <w:numFmt w:val="lowerLetter"/>
      <w:start w:val="10"/>
    </w:lvl>
    <w:lvl w:ilvl="1">
      <w:lvlJc w:val="left"/>
      <w:lvlText w:val="%2."/>
      <w:numFmt w:val="decimal"/>
      <w:start w:val="2"/>
    </w:lvl>
    <w:lvl w:ilvl="2">
      <w:lvlJc w:val="left"/>
      <w:lvlText w:val="(%3)"/>
      <w:numFmt w:val="lowerLetter"/>
      <w:start w:val="1"/>
    </w:lvl>
  </w:abstractNum>
  <w:abstractNum w:abstractNumId="239">
    <w:nsid w:val="327FAC77"/>
    <w:multiLevelType w:val="hybridMultilevel"/>
    <w:lvl w:ilvl="0">
      <w:lvlJc w:val="left"/>
      <w:lvlText w:val="(%1)"/>
      <w:numFmt w:val="lowerLetter"/>
      <w:start w:val="2"/>
    </w:lvl>
  </w:abstractNum>
  <w:abstractNum w:abstractNumId="240">
    <w:nsid w:val="5A606509"/>
    <w:multiLevelType w:val="hybridMultilevel"/>
    <w:lvl w:ilvl="0">
      <w:lvlJc w:val="left"/>
      <w:lvlText w:val="%1"/>
      <w:numFmt w:val="decimal"/>
      <w:start w:val="1"/>
    </w:lvl>
    <w:lvl w:ilvl="1">
      <w:lvlJc w:val="left"/>
      <w:lvlText w:val="(%2)"/>
      <w:numFmt w:val="lowerLetter"/>
      <w:start w:val="8"/>
    </w:lvl>
  </w:abstractNum>
  <w:abstractNum w:abstractNumId="241">
    <w:nsid w:val="6F38E6D1"/>
    <w:multiLevelType w:val="hybridMultilevel"/>
    <w:lvl w:ilvl="0">
      <w:lvlJc w:val="left"/>
      <w:lvlText w:val="%1."/>
      <w:numFmt w:val="decimal"/>
      <w:start w:val="3"/>
    </w:lvl>
    <w:lvl w:ilvl="1">
      <w:lvlJc w:val="left"/>
      <w:lvlText w:val="(%2)"/>
      <w:numFmt w:val="lowerLetter"/>
      <w:start w:val="1"/>
    </w:lvl>
  </w:abstractNum>
  <w:abstractNum w:abstractNumId="242">
    <w:nsid w:val="46111BA5"/>
    <w:multiLevelType w:val="hybridMultilevel"/>
    <w:lvl w:ilvl="0">
      <w:lvlJc w:val="left"/>
      <w:lvlText w:val="%1"/>
      <w:numFmt w:val="decimal"/>
      <w:start w:val="1"/>
    </w:lvl>
    <w:lvl w:ilvl="1">
      <w:lvlJc w:val="left"/>
      <w:lvlText w:val="(%2)"/>
      <w:numFmt w:val="lowerLetter"/>
      <w:start w:val="8"/>
    </w:lvl>
  </w:abstractNum>
  <w:abstractNum w:abstractNumId="243">
    <w:nsid w:val="5E963896"/>
    <w:multiLevelType w:val="hybridMultilevel"/>
    <w:lvl w:ilvl="0">
      <w:lvlJc w:val="left"/>
      <w:lvlText w:val="%1."/>
      <w:numFmt w:val="decimal"/>
      <w:start w:val="4"/>
    </w:lvl>
    <w:lvl w:ilvl="1">
      <w:lvlJc w:val="left"/>
      <w:lvlText w:val="(%2)"/>
      <w:numFmt w:val="lowerLetter"/>
      <w:start w:val="1"/>
    </w:lvl>
  </w:abstractNum>
  <w:abstractNum w:abstractNumId="244">
    <w:nsid w:val="775BA7C1"/>
    <w:multiLevelType w:val="hybridMultilevel"/>
    <w:lvl w:ilvl="0">
      <w:lvlJc w:val="left"/>
      <w:lvlText w:val="%1"/>
      <w:numFmt w:val="decimal"/>
      <w:start w:val="1"/>
    </w:lvl>
    <w:lvl w:ilvl="1">
      <w:lvlJc w:val="left"/>
      <w:lvlText w:val="(%2)"/>
      <w:numFmt w:val="lowerLetter"/>
      <w:start w:val="2"/>
    </w:lvl>
  </w:abstractNum>
  <w:abstractNum w:abstractNumId="245">
    <w:nsid w:val="1DD6D6F4"/>
    <w:multiLevelType w:val="hybridMultilevel"/>
    <w:lvl w:ilvl="0">
      <w:lvlJc w:val="left"/>
      <w:lvlText w:val="%1."/>
      <w:numFmt w:val="decimal"/>
      <w:start w:val="6"/>
    </w:lvl>
    <w:lvl w:ilvl="1">
      <w:lvlJc w:val="left"/>
      <w:lvlText w:val="(%2)"/>
      <w:numFmt w:val="lowerLetter"/>
      <w:start w:val="1"/>
    </w:lvl>
  </w:abstractNum>
  <w:abstractNum w:abstractNumId="246">
    <w:nsid w:val="769A091F"/>
    <w:multiLevelType w:val="hybridMultilevel"/>
    <w:lvl w:ilvl="0">
      <w:lvlJc w:val="left"/>
      <w:lvlText w:val="(%1)"/>
      <w:numFmt w:val="lowerLetter"/>
      <w:start w:val="6"/>
    </w:lvl>
  </w:abstractNum>
  <w:abstractNum w:abstractNumId="247">
    <w:nsid w:val="4695AE95"/>
    <w:multiLevelType w:val="hybridMultilevel"/>
    <w:lvl w:ilvl="0">
      <w:lvlJc w:val="left"/>
      <w:lvlText w:val="%1:"/>
      <w:numFmt w:val="lowerLetter"/>
      <w:start w:val="29"/>
    </w:lvl>
  </w:abstractNum>
  <w:abstractNum w:abstractNumId="248">
    <w:nsid w:val="777A4EAA"/>
    <w:multiLevelType w:val="hybridMultilevel"/>
    <w:lvl w:ilvl="0">
      <w:lvlJc w:val="left"/>
      <w:lvlText w:val="%1:"/>
      <w:numFmt w:val="lowerLetter"/>
      <w:start w:val="29"/>
    </w:lvl>
  </w:abstractNum>
  <w:abstractNum w:abstractNumId="249">
    <w:nsid w:val="3F48B982"/>
    <w:multiLevelType w:val="hybridMultilevel"/>
    <w:lvl w:ilvl="0">
      <w:lvlJc w:val="left"/>
      <w:lvlText w:val="%1:"/>
      <w:numFmt w:val="lowerLetter"/>
      <w:start w:val="29"/>
    </w:lvl>
  </w:abstractNum>
  <w:abstractNum w:abstractNumId="250">
    <w:nsid w:val="46BA8FCA"/>
    <w:multiLevelType w:val="hybridMultilevel"/>
    <w:lvl w:ilvl="0">
      <w:lvlJc w:val="left"/>
      <w:lvlText w:val="%1:"/>
      <w:numFmt w:val="lowerLetter"/>
      <w:start w:val="29"/>
    </w:lvl>
  </w:abstractNum>
  <w:abstractNum w:abstractNumId="251">
    <w:nsid w:val="7835626C"/>
    <w:multiLevelType w:val="hybridMultilevel"/>
    <w:lvl w:ilvl="0">
      <w:lvlJc w:val="left"/>
      <w:lvlText w:val="(%1)"/>
      <w:numFmt w:val="upperLetter"/>
      <w:start w:val="1"/>
    </w:lvl>
  </w:abstractNum>
  <w:abstractNum w:abstractNumId="252">
    <w:nsid w:val="665ACA49"/>
    <w:multiLevelType w:val="hybridMultilevel"/>
    <w:lvl w:ilvl="0">
      <w:lvlJc w:val="left"/>
      <w:lvlText w:val="(%1)"/>
      <w:numFmt w:val="lowerRoman"/>
      <w:start w:val="1"/>
    </w:lvl>
  </w:abstractNum>
  <w:abstractNum w:abstractNumId="253">
    <w:nsid w:val="6835B2AE"/>
    <w:multiLevelType w:val="hybridMultilevel"/>
    <w:lvl w:ilvl="0">
      <w:lvlJc w:val="left"/>
      <w:lvlText w:val="(%1)"/>
      <w:numFmt w:val="lowerLetter"/>
      <w:start w:val="1"/>
    </w:lvl>
  </w:abstractNum>
  <w:abstractNum w:abstractNumId="254">
    <w:nsid w:val="4C187C90"/>
    <w:multiLevelType w:val="hybridMultilevel"/>
    <w:lvl w:ilvl="0">
      <w:lvlJc w:val="left"/>
      <w:lvlText w:val="(%1)"/>
      <w:numFmt w:val="lowerLetter"/>
      <w:start w:val="2"/>
    </w:lvl>
  </w:abstractNum>
  <w:abstractNum w:abstractNumId="255">
    <w:nsid w:val="541F28CD"/>
    <w:multiLevelType w:val="hybridMultilevel"/>
    <w:lvl w:ilvl="0">
      <w:lvlJc w:val="left"/>
      <w:lvlText w:val="(%1)"/>
      <w:numFmt w:val="lowerRoman"/>
      <w:start w:val="1"/>
    </w:lvl>
  </w:abstractNum>
  <w:abstractNum w:abstractNumId="256">
    <w:nsid w:val="7F65FD16"/>
    <w:multiLevelType w:val="hybridMultilevel"/>
    <w:lvl w:ilvl="0">
      <w:lvlJc w:val="left"/>
      <w:lvlText w:val="(%1)"/>
      <w:numFmt w:val="lowerLetter"/>
      <w:start w:val="1"/>
    </w:lvl>
  </w:abstractNum>
  <w:abstractNum w:abstractNumId="257">
    <w:nsid w:val="77C9FD68"/>
    <w:multiLevelType w:val="hybridMultilevel"/>
    <w:lvl w:ilvl="0">
      <w:lvlJc w:val="left"/>
      <w:lvlText w:val="(%1)"/>
      <w:numFmt w:val="lowerRoman"/>
      <w:start w:val="2"/>
    </w:lvl>
  </w:abstractNum>
  <w:abstractNum w:abstractNumId="258">
    <w:nsid w:val="298A92BA"/>
    <w:multiLevelType w:val="hybridMultilevel"/>
    <w:lvl w:ilvl="0">
      <w:lvlJc w:val="left"/>
      <w:lvlText w:val="%1."/>
      <w:numFmt w:val="decimal"/>
      <w:start w:val="1"/>
    </w:lvl>
  </w:abstractNum>
  <w:abstractNum w:abstractNumId="259">
    <w:nsid w:val="6FE95EAC"/>
    <w:multiLevelType w:val="hybridMultilevel"/>
    <w:lvl w:ilvl="0">
      <w:lvlJc w:val="left"/>
      <w:lvlText w:val="%1."/>
      <w:numFmt w:val="decimal"/>
      <w:start w:val="2"/>
    </w:lvl>
    <w:lvl w:ilvl="1">
      <w:lvlJc w:val="left"/>
      <w:lvlText w:val="(%2)"/>
      <w:numFmt w:val="lowerLetter"/>
      <w:start w:val="1"/>
    </w:lvl>
  </w:abstractNum>
  <w:abstractNum w:abstractNumId="260">
    <w:nsid w:val="4B697C7A"/>
    <w:multiLevelType w:val="hybridMultilevel"/>
    <w:lvl w:ilvl="0">
      <w:lvlJc w:val="left"/>
      <w:lvlText w:val="%1."/>
      <w:numFmt w:val="decimal"/>
      <w:start w:val="4"/>
    </w:lvl>
    <w:lvl w:ilvl="1">
      <w:lvlJc w:val="left"/>
      <w:lvlText w:val="(%2)"/>
      <w:numFmt w:val="lowerLetter"/>
      <w:start w:val="1"/>
    </w:lvl>
  </w:abstractNum>
  <w:abstractNum w:abstractNumId="261">
    <w:nsid w:val="51A27AA6"/>
    <w:multiLevelType w:val="hybridMultilevel"/>
    <w:lvl w:ilvl="0">
      <w:lvlJc w:val="left"/>
      <w:lvlText w:val="%1."/>
      <w:numFmt w:val="decimal"/>
      <w:start w:val="5"/>
    </w:lvl>
    <w:lvl w:ilvl="1">
      <w:lvlJc w:val="left"/>
      <w:lvlText w:val="(%2)"/>
      <w:numFmt w:val="lowerLetter"/>
      <w:start w:val="1"/>
    </w:lvl>
  </w:abstractNum>
  <w:abstractNum w:abstractNumId="262">
    <w:nsid w:val="613183F2"/>
    <w:multiLevelType w:val="hybridMultilevel"/>
    <w:lvl w:ilvl="0">
      <w:lvlJc w:val="left"/>
      <w:lvlText w:val="%1."/>
      <w:numFmt w:val="decimal"/>
      <w:start w:val="6"/>
    </w:lvl>
  </w:abstractNum>
  <w:abstractNum w:abstractNumId="263">
    <w:nsid w:val="634102B4"/>
    <w:multiLevelType w:val="hybridMultilevel"/>
    <w:lvl w:ilvl="0">
      <w:lvlJc w:val="left"/>
      <w:lvlText w:val="%1."/>
      <w:numFmt w:val="decimal"/>
      <w:start w:val="11"/>
    </w:lvl>
  </w:abstractNum>
  <w:abstractNum w:abstractNumId="264">
    <w:nsid w:val="65BF9DA8"/>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2020-08-12T07:48:53Z</dcterms:created>
  <dcterms:modified xsi:type="dcterms:W3CDTF">2020-08-12T07:48:53Z</dcterms:modified>
</cp:coreProperties>
</file>