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26606041.xml.htm"/>
      <w:bookmarkStart w:id="1" w:name="kswkform4_17266060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Suzuki Kentaro</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NAUTILUS BIOTECHNOLOGY,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2701 EASTLAKE AVE EAST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SEATTLE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Nautilus Biotechnology, Inc.</w:t>
              </w:r>
            </w:hyperlink>
            <w:r>
              <w:rPr/>
              <w:t xml:space="preserve"> [ </w:t>
            </w:r>
            <w:r>
              <w:rPr>
                <w:rFonts w:ascii="Times;serif" w:hAnsi="Times;serif"/>
                <w:color w:val="0000FF"/>
                <w:sz w:val="24"/>
                <w:shd w:fill="FFFFFF" w:val="clear"/>
              </w:rPr>
              <w:t>NAUT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Marketing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2.96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09/16/2034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Option shall vest and become exercisable on the first anniversary of the Vesting Commencement Date, and the balance of the shares subject to the Option shall vest and become exercisable on a ratable, monthly basis over the 36 months succeeding such first anniversary so long as the reporting person remains a Service Provider as provided in the Company's 2021 Equity Incentive Plan through each such vesting date. The Vesting Commencement Date is September 16, 2024.</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Murphy,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09/17/2024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191" TargetMode="External"/><Relationship Id="rId5" Type="http://schemas.openxmlformats.org/officeDocument/2006/relationships/hyperlink" Target="http://www.sec.gov/cgi-bin/browse-edgar?action=getcompany&amp;CIK=00018088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3563</Characters>
  <CharactersWithSpaces>4155</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