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Attention: Abby Adams and Joe McCann</w:t>
      </w:r>
    </w:p>
    <w:p>
      <w:pPr>
        <w:spacing w:after="0" w:line="275" w:lineRule="exact"/>
        <w:rPr>
          <w:sz w:val="24"/>
          <w:szCs w:val="24"/>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ARYA Sciences Acquisition Corp III</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Draft Registration Statement on Form S-4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Submitted February 16, 2021</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CIK No. 0001808805</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Dear Ms. Adam and Mr. McCann:</w:t>
      </w:r>
    </w:p>
    <w:p>
      <w:pPr>
        <w:spacing w:after="0" w:line="225" w:lineRule="exact"/>
        <w:rPr>
          <w:sz w:val="24"/>
          <w:szCs w:val="24"/>
          <w:color w:val="auto"/>
        </w:rPr>
      </w:pPr>
    </w:p>
    <w:p>
      <w:pPr>
        <w:ind w:right="160" w:firstLine="441"/>
        <w:spacing w:after="0" w:line="263" w:lineRule="auto"/>
        <w:rPr>
          <w:sz w:val="20"/>
          <w:szCs w:val="20"/>
          <w:color w:val="auto"/>
        </w:rPr>
      </w:pPr>
      <w:r>
        <w:rPr>
          <w:rFonts w:ascii="Arial" w:cs="Arial" w:eastAsia="Arial" w:hAnsi="Arial"/>
          <w:sz w:val="18"/>
          <w:szCs w:val="18"/>
          <w:color w:val="auto"/>
        </w:rPr>
        <w:t>This letter sets forth responses of ARYA Sciences Acquisition Corp III (“ARYA”) to the comments of the staff of the Division of Corporation Finance (the “Staff”) of the U.S. Securities and Exchange Commission set forth in your letter, dated March 19, 2021, with respect to the above referenced Draft Registration Statement on Form S-4 (the “Registration Statement”).</w:t>
      </w:r>
    </w:p>
    <w:p>
      <w:pPr>
        <w:spacing w:after="0" w:line="184" w:lineRule="exact"/>
        <w:rPr>
          <w:sz w:val="24"/>
          <w:szCs w:val="24"/>
          <w:color w:val="auto"/>
        </w:rPr>
      </w:pPr>
    </w:p>
    <w:p>
      <w:pPr>
        <w:ind w:right="60" w:firstLine="441"/>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the Company’s response to each of the numbered comments immediately below each numbered comment.</w:t>
      </w:r>
    </w:p>
    <w:p>
      <w:pPr>
        <w:spacing w:after="0" w:line="184" w:lineRule="exact"/>
        <w:rPr>
          <w:sz w:val="24"/>
          <w:szCs w:val="24"/>
          <w:color w:val="auto"/>
        </w:rPr>
      </w:pPr>
    </w:p>
    <w:p>
      <w:pPr>
        <w:ind w:right="40" w:firstLine="441"/>
        <w:spacing w:after="0" w:line="263" w:lineRule="auto"/>
        <w:rPr>
          <w:sz w:val="20"/>
          <w:szCs w:val="20"/>
          <w:color w:val="auto"/>
        </w:rPr>
      </w:pPr>
      <w:r>
        <w:rPr>
          <w:rFonts w:ascii="Arial" w:cs="Arial" w:eastAsia="Arial" w:hAnsi="Arial"/>
          <w:sz w:val="18"/>
          <w:szCs w:val="18"/>
          <w:color w:val="auto"/>
        </w:rPr>
        <w:t>In addition, the Company has revised the Registration Statement in response to the Staff’s comments and the Company is concurrently filing publicly the revised Registration Statement with this letter. Page numbers in the text of the Company’s responses correspond to page numbers in the Registration Statement, as so amended.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Questions and Answers for Shareholders of ARYA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Did the ARYA Board obtain a third-party valuation or fairness opinion in determining whether or not to proceed with the Business Combination, page viii</w:t>
      </w:r>
    </w:p>
    <w:p>
      <w:pPr>
        <w:spacing w:after="0" w:line="248" w:lineRule="exact"/>
        <w:rPr>
          <w:sz w:val="24"/>
          <w:szCs w:val="24"/>
          <w:color w:val="auto"/>
        </w:rPr>
      </w:pPr>
    </w:p>
    <w:p>
      <w:pPr>
        <w:ind w:left="660" w:right="4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revise the prospectus, where appropriate, to provide the comparable company analysis as well as a detailed discussion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“necessary analyses” performed by the Board. In this regard, it should be clear how the Board arrived at the $900 million equity valuation for Nautilus and concluded that the acquisition satisfied the 80% test.</w:t>
      </w:r>
    </w:p>
    <w:p>
      <w:pPr>
        <w:spacing w:after="0" w:line="183" w:lineRule="exact"/>
        <w:rPr>
          <w:rFonts w:ascii="Arial" w:cs="Arial" w:eastAsia="Arial" w:hAnsi="Arial"/>
          <w:sz w:val="18"/>
          <w:szCs w:val="18"/>
          <w:color w:val="auto"/>
        </w:rPr>
      </w:pPr>
    </w:p>
    <w:p>
      <w:pPr>
        <w:ind w:left="660"/>
        <w:spacing w:after="0" w:line="24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section entitled “</w:t>
      </w:r>
      <w:r>
        <w:rPr>
          <w:rFonts w:ascii="Arial" w:cs="Arial" w:eastAsia="Arial" w:hAnsi="Arial"/>
          <w:sz w:val="18"/>
          <w:szCs w:val="18"/>
          <w:i w:val="1"/>
          <w:iCs w:val="1"/>
          <w:color w:val="auto"/>
        </w:rPr>
        <w:t>Business Combination Proposal—The ARYA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Board’s Reasons for the Business Combination</w:t>
      </w:r>
      <w:r>
        <w:rPr>
          <w:rFonts w:ascii="Arial" w:cs="Arial" w:eastAsia="Arial" w:hAnsi="Arial"/>
          <w:sz w:val="18"/>
          <w:szCs w:val="18"/>
          <w:color w:val="auto"/>
        </w:rPr>
        <w:t>” to include the comparable company analysis that the ARYA Board reviewed in connection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Nautilus and its determination that the transaction satisfied the 80% test.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Summary, page 1</w:t>
      </w:r>
    </w:p>
    <w:p>
      <w:pPr>
        <w:spacing w:after="0" w:line="225" w:lineRule="exact"/>
        <w:rPr>
          <w:sz w:val="20"/>
          <w:szCs w:val="20"/>
          <w:color w:val="auto"/>
        </w:rPr>
      </w:pPr>
    </w:p>
    <w:p>
      <w:pPr>
        <w:ind w:left="660" w:right="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Staff’s Comment: </w:t>
      </w:r>
      <w:r>
        <w:rPr>
          <w:rFonts w:ascii="Arial" w:cs="Arial" w:eastAsia="Arial" w:hAnsi="Arial"/>
          <w:sz w:val="16"/>
          <w:szCs w:val="16"/>
          <w:color w:val="auto"/>
        </w:rPr>
        <w:t>On page 4, revise the discussion of the conditions of the closing to clarify which conditions are waivable and by which party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Highlight the risk that Nasdaq approval of the New Nautilus listing is a waivable condition, as outlined in the risk factor on page 72.</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discussion of conditions of closing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28</w:t>
      </w:r>
    </w:p>
    <w:p>
      <w:pPr>
        <w:spacing w:after="0" w:line="225" w:lineRule="exact"/>
        <w:rPr>
          <w:sz w:val="20"/>
          <w:szCs w:val="20"/>
          <w:color w:val="auto"/>
        </w:rPr>
      </w:pPr>
    </w:p>
    <w:p>
      <w:pPr>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In the introduction to this section you explain that the risk factors are not “exhaustive” and you encourage investors “to perform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investigation with respect to [your] business, financial condition and prospects.” Please revise to eliminate this disclaimer or explain why it is appropriate to direct investors to information that is not contained in the registration statement.</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deleted the disclaimer.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New Nautilus Common Stock, page 59</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On page 62, revise to describe the risk that the exclusive forum provisions may increase investors’ costs to bring a claim.</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risk factor to include this risk on page 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to the Business Combination, page 102</w:t>
      </w:r>
    </w:p>
    <w:p>
      <w:pPr>
        <w:spacing w:after="0" w:line="225" w:lineRule="exact"/>
        <w:rPr>
          <w:sz w:val="20"/>
          <w:szCs w:val="20"/>
          <w:color w:val="auto"/>
        </w:rPr>
      </w:pPr>
    </w:p>
    <w:p>
      <w:pPr>
        <w:ind w:left="660" w:right="4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Substantially revise the background section to provide additional detail regarding the discussions with other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targets and between ARYA and Nautilus. In particular we note no disclosure of when discussions with the remaining two of the three final candidates ended, and no disclosure regarding what occurred between October 21, 2020 and December 1, 2020.</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comments and has revised the disclosure accordingly.</w:t>
      </w:r>
    </w:p>
    <w:p>
      <w:pPr>
        <w:spacing w:after="0" w:line="22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Revise to disclose the potential structure of the transaction as discussed at the December 1, 2020 meeting.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comments and has revised the disclosure accordingly.</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Refer to the top of page 104. Disclose ARYA’s valuation of Nautilus shared at that time and the comparable company analysis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ARYA had performed, and the valuation ARYA identified at which it was interested in pursuing a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comments and has revised the disclosure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Company Projected Financial Information, page 110</w:t>
      </w:r>
    </w:p>
    <w:p>
      <w:pPr>
        <w:spacing w:after="0" w:line="225"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revise to include the cost projections referenced on page 111 as well as any other material projections provided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w:t>
      </w:r>
    </w:p>
    <w:p>
      <w:pPr>
        <w:spacing w:after="0" w:line="170" w:lineRule="exact"/>
        <w:rPr>
          <w:rFonts w:ascii="Arial" w:cs="Arial" w:eastAsia="Arial" w:hAnsi="Arial"/>
          <w:sz w:val="18"/>
          <w:szCs w:val="18"/>
          <w:color w:val="auto"/>
        </w:rPr>
      </w:pPr>
    </w:p>
    <w:p>
      <w:pPr>
        <w:ind w:left="660" w:right="660"/>
        <w:spacing w:after="0" w:line="261"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comments and has revised the disclosure on page 113 to include projections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and on page 114 to describe a potential upside scenario reviewed by the ARYA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1" w:right="359" w:bottom="1440" w:gutter="0" w:footer="0" w:header="0"/>
        </w:sectPr>
      </w:pPr>
    </w:p>
    <w:bookmarkStart w:id="2" w:name="page3"/>
    <w:bookmarkEnd w:id="2"/>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Federal Income Tax Considerations, page 149</w:t>
      </w:r>
    </w:p>
    <w:p>
      <w:pPr>
        <w:spacing w:after="0" w:line="225" w:lineRule="exact"/>
        <w:rPr>
          <w:sz w:val="20"/>
          <w:szCs w:val="20"/>
          <w:color w:val="auto"/>
        </w:rPr>
      </w:pPr>
    </w:p>
    <w:p>
      <w:pPr>
        <w:ind w:left="660" w:right="2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You state that the disclosure is “for informational purposes only.” Investors are entitled to rely on your disclosure. Revise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eliminate this inappropriate disclaimer.</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deleted the disclaimer.</w:t>
      </w:r>
    </w:p>
    <w:p>
      <w:pPr>
        <w:spacing w:after="0" w:line="225" w:lineRule="exact"/>
        <w:rPr>
          <w:rFonts w:ascii="Arial" w:cs="Arial" w:eastAsia="Arial" w:hAnsi="Arial"/>
          <w:sz w:val="18"/>
          <w:szCs w:val="18"/>
          <w:color w:val="auto"/>
        </w:rPr>
      </w:pPr>
    </w:p>
    <w:p>
      <w:pPr>
        <w:ind w:left="660" w:right="20" w:hanging="328"/>
        <w:spacing w:after="0" w:line="29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Staff’s Comment: </w:t>
      </w:r>
      <w:r>
        <w:rPr>
          <w:rFonts w:ascii="Arial" w:cs="Arial" w:eastAsia="Arial" w:hAnsi="Arial"/>
          <w:sz w:val="16"/>
          <w:szCs w:val="16"/>
          <w:color w:val="auto"/>
        </w:rPr>
        <w:t>Please revise the heading to indicate that this section covers Material U.S. Federal Income Tax Consequences and provide a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opinion in accordance with Regulation S-K, Item 601(b)(8). Also, refer to Sections III.C.3 and 4 of Staff Legal Bulletin No. 19 concerning assumptions and opinions subject to uncertainty. In this regard, we note the disclosure that U.S. holders “generally should not” recognize gain or loss on the domestication “[a]ssuming the Domestication” qualifies as an “F” Reorganization. We also note the disclosure that the “Domestication could be a taxable event to U.S. Holders under the PFIC provisions of the Code.” Please note that these are only examples.</w:t>
      </w:r>
    </w:p>
    <w:p>
      <w:pPr>
        <w:spacing w:after="0" w:line="16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disclosure accordingly. The Company will file a tax opinion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amendment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Summary, page 187</w:t>
      </w:r>
    </w:p>
    <w:p>
      <w:pPr>
        <w:spacing w:after="0" w:line="225" w:lineRule="exact"/>
        <w:rPr>
          <w:sz w:val="20"/>
          <w:szCs w:val="20"/>
          <w:color w:val="auto"/>
        </w:rPr>
      </w:pPr>
    </w:p>
    <w:p>
      <w:pPr>
        <w:ind w:left="660" w:right="60" w:hanging="328"/>
        <w:spacing w:after="0" w:line="263"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revise the opening paragraph to explain that you are a development stage company and the third paragraph to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status of your Nautilus Platform including whether you have a working prototype. Please make similar changes to the Summary on page 1.</w:t>
      </w:r>
    </w:p>
    <w:p>
      <w:pPr>
        <w:spacing w:after="0" w:line="183" w:lineRule="exact"/>
        <w:rPr>
          <w:rFonts w:ascii="Arial" w:cs="Arial" w:eastAsia="Arial" w:hAnsi="Arial"/>
          <w:sz w:val="18"/>
          <w:szCs w:val="18"/>
          <w:color w:val="auto"/>
        </w:rPr>
      </w:pPr>
    </w:p>
    <w:p>
      <w:pPr>
        <w:ind w:left="660"/>
        <w:spacing w:after="0" w:line="263"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opening paragraph in this section and in the Summary on page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state that Nautilus is a development stage company and state that it has built a prototype of a single molecule instrument, or Nautilus' Proteomic Analysis System.</w:t>
      </w:r>
    </w:p>
    <w:p>
      <w:pPr>
        <w:spacing w:after="0" w:line="183"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We note numerous statements indicating that you have “designed” your Nautilus Platform to achieve certain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specifications but it remains unclear whether the specifications you cite are aspirational goals or whether you presently have technology that can meet these specifications. For instance, we refer to your statement on page 198 that you have designed your Nautilus Platform to measure billions of individual protein molecules at a time, in a massively parallel and efficient workflow.</w:t>
      </w:r>
    </w:p>
    <w:p>
      <w:pPr>
        <w:spacing w:after="0" w:line="171" w:lineRule="exact"/>
        <w:rPr>
          <w:rFonts w:ascii="Arial" w:cs="Arial" w:eastAsia="Arial" w:hAnsi="Arial"/>
          <w:sz w:val="17"/>
          <w:szCs w:val="17"/>
          <w:color w:val="auto"/>
        </w:rPr>
      </w:pPr>
    </w:p>
    <w:p>
      <w:pPr>
        <w:ind w:left="660" w:right="780"/>
        <w:spacing w:after="0" w:line="277" w:lineRule="auto"/>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revised the description throughout to clarify the status of Nautilus'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efforts.</w:t>
      </w:r>
    </w:p>
    <w:p>
      <w:pPr>
        <w:spacing w:after="0" w:line="197"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With reference to your disclosure on page 45, discuss how the Nautilus Platform involves the use of laser technology.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added this description on page 207.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Nautilus Approach, page 196</w:t>
      </w:r>
    </w:p>
    <w:p>
      <w:pPr>
        <w:spacing w:after="0" w:line="225" w:lineRule="exact"/>
        <w:rPr>
          <w:sz w:val="20"/>
          <w:szCs w:val="20"/>
          <w:color w:val="auto"/>
        </w:rPr>
      </w:pPr>
    </w:p>
    <w:p>
      <w:pPr>
        <w:ind w:left="66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Please revise this section to include a development plan that identifies and discusses the key work that you will need to perform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Nautilus Platform in order to achieve your stated goal of broad commercialization by the end of 2023 or beginning of 2024.</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The Company acknowledges the Staff's comment and has added a description of the development plan on pages 214-215.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Government Regulation, page 216</w:t>
      </w:r>
    </w:p>
    <w:p>
      <w:pPr>
        <w:spacing w:after="0" w:line="225"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that your risk factor discussion on page 45 discusses your use of hazardous chemicals and biological materials in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Please revise to discuss regulations governing your use of these materials or advise.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 and has added this discussion on page 227.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provide a form of proxy marked as “preliminary” with your next submission.</w:t>
      </w:r>
    </w:p>
    <w:p>
      <w:pPr>
        <w:spacing w:after="0" w:line="225" w:lineRule="exact"/>
        <w:rPr>
          <w:rFonts w:ascii="Arial" w:cs="Arial" w:eastAsia="Arial" w:hAnsi="Arial"/>
          <w:sz w:val="18"/>
          <w:szCs w:val="18"/>
          <w:color w:val="auto"/>
        </w:rPr>
      </w:pPr>
    </w:p>
    <w:p>
      <w:pPr>
        <w:ind w:left="660" w:right="740"/>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acknowledges the Staff’s comments and has included a form of proxy marked as “preliminary” in the revised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that is being filed concurrently with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14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6"/>
          <w:szCs w:val="16"/>
          <w:color w:val="auto"/>
        </w:rPr>
        <w:t>We hope that the foregoing has been responsive to the Staff’s comments. If you have any questions related to this letter, please contact Christian 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Nagler at (212) 446-4660 and Peter S. Seligson at (212) 446-4756 of Kirkland &amp; Ellis LLP.</w:t>
      </w:r>
    </w:p>
    <w:p>
      <w:pPr>
        <w:spacing w:after="0" w:line="26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6920"/>
        <w:spacing w:after="0"/>
        <w:tabs>
          <w:tab w:leader="none" w:pos="7420" w:val="left"/>
        </w:tabs>
        <w:rPr>
          <w:sz w:val="20"/>
          <w:szCs w:val="20"/>
          <w:color w:val="auto"/>
        </w:rPr>
      </w:pPr>
      <w:r>
        <w:rPr>
          <w:rFonts w:ascii="Arial" w:cs="Arial" w:eastAsia="Arial" w:hAnsi="Arial"/>
          <w:sz w:val="18"/>
          <w:szCs w:val="18"/>
          <w:color w:val="auto"/>
        </w:rPr>
        <w:t>By:</w:t>
        <w:tab/>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Adam Stone</w:t>
      </w:r>
    </w:p>
    <w:p>
      <w:pPr>
        <w:spacing w:after="0" w:line="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Via E-mail:</w:t>
      </w:r>
    </w:p>
    <w:p>
      <w:pPr>
        <w:spacing w:after="0" w:line="320" w:lineRule="exact"/>
        <w:rPr>
          <w:sz w:val="20"/>
          <w:szCs w:val="20"/>
          <w:color w:val="auto"/>
        </w:rPr>
      </w:pPr>
    </w:p>
    <w:p>
      <w:pPr>
        <w:ind w:left="460" w:right="9020" w:hanging="434"/>
        <w:spacing w:after="0" w:line="352"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Christian O. Nagler Peter S. Seligson </w:t>
      </w:r>
      <w:r>
        <w:rPr>
          <w:rFonts w:ascii="Arial" w:cs="Arial" w:eastAsia="Arial" w:hAnsi="Arial"/>
          <w:sz w:val="17"/>
          <w:szCs w:val="17"/>
          <w:i w:val="1"/>
          <w:iCs w:val="1"/>
          <w:color w:val="auto"/>
        </w:rPr>
        <w:t>Kirkland &amp; Ellis LLP</w:t>
      </w:r>
    </w:p>
    <w:p>
      <w:pPr>
        <w:spacing w:after="0" w:line="206" w:lineRule="exact"/>
        <w:rPr>
          <w:rFonts w:ascii="Arial" w:cs="Arial" w:eastAsia="Arial" w:hAnsi="Arial"/>
          <w:sz w:val="17"/>
          <w:szCs w:val="17"/>
          <w:color w:val="auto"/>
        </w:rPr>
      </w:pPr>
    </w:p>
    <w:p>
      <w:pPr>
        <w:ind w:left="460" w:right="9160"/>
        <w:spacing w:after="0" w:line="352" w:lineRule="auto"/>
        <w:rPr>
          <w:rFonts w:ascii="Arial" w:cs="Arial" w:eastAsia="Arial" w:hAnsi="Arial"/>
          <w:sz w:val="17"/>
          <w:szCs w:val="17"/>
          <w:color w:val="auto"/>
        </w:rPr>
      </w:pPr>
      <w:r>
        <w:rPr>
          <w:rFonts w:ascii="Arial" w:cs="Arial" w:eastAsia="Arial" w:hAnsi="Arial"/>
          <w:sz w:val="16"/>
          <w:szCs w:val="16"/>
          <w:color w:val="auto"/>
        </w:rPr>
        <w:t>Robert F. Kornegay Michael Nordtvedt Brian Keyes Zachary B. Myers</w:t>
      </w:r>
    </w:p>
    <w:p>
      <w:pPr>
        <w:ind w:left="460"/>
        <w:spacing w:after="0"/>
        <w:rPr>
          <w:rFonts w:ascii="Arial" w:cs="Arial" w:eastAsia="Arial" w:hAnsi="Arial"/>
          <w:sz w:val="17"/>
          <w:szCs w:val="17"/>
          <w:color w:val="auto"/>
        </w:rPr>
      </w:pPr>
      <w:r>
        <w:rPr>
          <w:rFonts w:ascii="Arial" w:cs="Arial" w:eastAsia="Arial" w:hAnsi="Arial"/>
          <w:sz w:val="18"/>
          <w:szCs w:val="18"/>
          <w:i w:val="1"/>
          <w:iCs w:val="1"/>
          <w:color w:val="auto"/>
        </w:rPr>
        <w:t>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sectPr>
      <w:pgSz w:w="11900" w:h="16838" w:orient="portrait"/>
      <w:cols w:equalWidth="0" w:num="1">
        <w:col w:w="11040"/>
      </w:cols>
      <w:pgMar w:left="320" w:top="14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8"/>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decimal"/>
      <w:start w:val="15"/>
    </w:lvl>
  </w:abstractNum>
  <w:abstractNum w:abstractNumId="10">
    <w:nsid w:val="1190CDE7"/>
    <w:multiLevelType w:val="hybridMultilevel"/>
    <w:lvl w:ilvl="0">
      <w:lvlJc w:val="left"/>
      <w:lvlText w:val="%1."/>
      <w:numFmt w:val="decimal"/>
      <w:start w:val="16"/>
    </w:lvl>
  </w:abstractNum>
  <w:abstractNum w:abstractNumId="11">
    <w:nsid w:val="66EF438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2021-08-15T20:48:03Z</dcterms:created>
  <dcterms:modified xsi:type="dcterms:W3CDTF">2021-08-15T20:48:03Z</dcterms:modified>
</cp:coreProperties>
</file>