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5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80" w:lineRule="exact"/>
        <w:rPr>
          <w:sz w:val="24"/>
          <w:szCs w:val="24"/>
          <w:color w:val="auto"/>
        </w:rPr>
      </w:pPr>
    </w:p>
    <w:tbl>
      <w:tblPr>
        <w:tblLayout w:type="fixed"/>
        <w:tblInd w:w="980" w:type="dxa"/>
        <w:tblCellMar>
          <w:top w:w="0" w:type="dxa"/>
          <w:left w:w="0" w:type="dxa"/>
          <w:bottom w:w="0" w:type="dxa"/>
          <w:right w:w="0" w:type="dxa"/>
        </w:tblCellMar>
      </w:tblPr>
      <w:tr>
        <w:trPr>
          <w:trHeight w:val="238"/>
        </w:trPr>
        <w:tc>
          <w:tcPr>
            <w:tcW w:w="3460" w:type="dxa"/>
            <w:vAlign w:val="bottom"/>
          </w:tcPr>
          <w:p>
            <w:pPr>
              <w:jc w:val="center"/>
              <w:ind w:right="165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155"/>
              <w:spacing w:after="0"/>
              <w:rPr>
                <w:sz w:val="20"/>
                <w:szCs w:val="20"/>
                <w:color w:val="auto"/>
              </w:rPr>
            </w:pPr>
            <w:r>
              <w:rPr>
                <w:rFonts w:ascii="Times New Roman" w:cs="Times New Roman" w:eastAsia="Times New Roman" w:hAnsi="Times New Roman"/>
                <w:sz w:val="18"/>
                <w:szCs w:val="18"/>
                <w:b w:val="1"/>
                <w:bCs w:val="1"/>
                <w:color w:val="auto"/>
              </w:rPr>
              <w:t>001-39434</w:t>
            </w:r>
          </w:p>
        </w:tc>
        <w:tc>
          <w:tcPr>
            <w:tcW w:w="2760" w:type="dxa"/>
            <w:vAlign w:val="bottom"/>
          </w:tcPr>
          <w:p>
            <w:pPr>
              <w:jc w:val="center"/>
              <w:ind w:left="1475"/>
              <w:spacing w:after="0"/>
              <w:rPr>
                <w:sz w:val="20"/>
                <w:szCs w:val="20"/>
                <w:color w:val="auto"/>
              </w:rPr>
            </w:pPr>
            <w:r>
              <w:rPr>
                <w:rFonts w:ascii="Times New Roman" w:cs="Times New Roman" w:eastAsia="Times New Roman" w:hAnsi="Times New Roman"/>
                <w:sz w:val="18"/>
                <w:szCs w:val="18"/>
                <w:b w:val="1"/>
                <w:bCs w:val="1"/>
                <w:color w:val="auto"/>
              </w:rPr>
              <w:t>98-1541723</w:t>
            </w:r>
          </w:p>
        </w:tc>
      </w:tr>
      <w:tr>
        <w:trPr>
          <w:trHeight w:val="291"/>
        </w:trPr>
        <w:tc>
          <w:tcPr>
            <w:tcW w:w="3460" w:type="dxa"/>
            <w:vAlign w:val="bottom"/>
          </w:tcPr>
          <w:p>
            <w:pPr>
              <w:jc w:val="center"/>
              <w:ind w:right="1653"/>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2800" w:type="dxa"/>
            <w:vAlign w:val="bottom"/>
          </w:tcPr>
          <w:p>
            <w:pPr>
              <w:jc w:val="center"/>
              <w:ind w:right="375"/>
              <w:spacing w:after="0"/>
              <w:rPr>
                <w:sz w:val="20"/>
                <w:szCs w:val="20"/>
                <w:color w:val="auto"/>
              </w:rPr>
            </w:pPr>
            <w:r>
              <w:rPr>
                <w:rFonts w:ascii="Times New Roman" w:cs="Times New Roman" w:eastAsia="Times New Roman" w:hAnsi="Times New Roman"/>
                <w:sz w:val="16"/>
                <w:szCs w:val="16"/>
                <w:color w:val="auto"/>
              </w:rPr>
              <w:t>(Commission File Number)</w:t>
            </w:r>
          </w:p>
        </w:tc>
        <w:tc>
          <w:tcPr>
            <w:tcW w:w="2760" w:type="dxa"/>
            <w:vAlign w:val="bottom"/>
          </w:tcPr>
          <w:p>
            <w:pPr>
              <w:jc w:val="center"/>
              <w:ind w:left="1475"/>
              <w:spacing w:after="0"/>
              <w:rPr>
                <w:sz w:val="20"/>
                <w:szCs w:val="20"/>
                <w:color w:val="auto"/>
              </w:rPr>
            </w:pPr>
            <w:r>
              <w:rPr>
                <w:rFonts w:ascii="Times New Roman" w:cs="Times New Roman" w:eastAsia="Times New Roman" w:hAnsi="Times New Roman"/>
                <w:sz w:val="16"/>
                <w:szCs w:val="16"/>
                <w:color w:val="auto"/>
              </w:rPr>
              <w:t>(I.R.S. Employer</w:t>
            </w:r>
          </w:p>
        </w:tc>
      </w:tr>
      <w:tr>
        <w:trPr>
          <w:trHeight w:val="216"/>
        </w:trPr>
        <w:tc>
          <w:tcPr>
            <w:tcW w:w="3460" w:type="dxa"/>
            <w:vAlign w:val="bottom"/>
          </w:tcPr>
          <w:p>
            <w:pPr>
              <w:jc w:val="center"/>
              <w:ind w:right="1673"/>
              <w:spacing w:after="0"/>
              <w:rPr>
                <w:sz w:val="20"/>
                <w:szCs w:val="20"/>
                <w:color w:val="auto"/>
              </w:rPr>
            </w:pPr>
            <w:r>
              <w:rPr>
                <w:rFonts w:ascii="Times New Roman" w:cs="Times New Roman" w:eastAsia="Times New Roman" w:hAnsi="Times New Roman"/>
                <w:sz w:val="16"/>
                <w:szCs w:val="16"/>
                <w:color w:val="auto"/>
              </w:rPr>
              <w:t>of incorporation)</w:t>
            </w:r>
          </w:p>
        </w:tc>
        <w:tc>
          <w:tcPr>
            <w:tcW w:w="2800" w:type="dxa"/>
            <w:vAlign w:val="bottom"/>
          </w:tcPr>
          <w:p>
            <w:pPr>
              <w:spacing w:after="0"/>
              <w:rPr>
                <w:sz w:val="18"/>
                <w:szCs w:val="18"/>
                <w:color w:val="auto"/>
              </w:rPr>
            </w:pPr>
          </w:p>
        </w:tc>
        <w:tc>
          <w:tcPr>
            <w:tcW w:w="2760" w:type="dxa"/>
            <w:vAlign w:val="bottom"/>
          </w:tcPr>
          <w:p>
            <w:pPr>
              <w:jc w:val="center"/>
              <w:ind w:left="1475"/>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861"/>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2701 Eastlake Avenue East</w:t>
            </w:r>
          </w:p>
        </w:tc>
        <w:tc>
          <w:tcPr>
            <w:tcW w:w="28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00"/>
        </w:trPr>
        <w:tc>
          <w:tcPr>
            <w:tcW w:w="34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Seattle</w:t>
            </w:r>
            <w:r>
              <w:rPr>
                <w:rFonts w:ascii="Arial" w:cs="Arial" w:eastAsia="Arial" w:hAnsi="Arial"/>
                <w:sz w:val="18"/>
                <w:szCs w:val="18"/>
                <w:color w:val="auto"/>
                <w:w w:val="99"/>
              </w:rPr>
              <w:t>,</w:t>
            </w:r>
            <w:r>
              <w:rPr>
                <w:rFonts w:ascii="Times New Roman" w:cs="Times New Roman" w:eastAsia="Times New Roman" w:hAnsi="Times New Roman"/>
                <w:sz w:val="18"/>
                <w:szCs w:val="18"/>
                <w:b w:val="1"/>
                <w:bCs w:val="1"/>
                <w:color w:val="auto"/>
                <w:w w:val="99"/>
              </w:rPr>
              <w:t xml:space="preserve"> Washington</w:t>
            </w:r>
          </w:p>
        </w:tc>
        <w:tc>
          <w:tcPr>
            <w:tcW w:w="2800" w:type="dxa"/>
            <w:vAlign w:val="bottom"/>
          </w:tcPr>
          <w:p>
            <w:pPr>
              <w:spacing w:after="0"/>
              <w:rPr>
                <w:sz w:val="17"/>
                <w:szCs w:val="17"/>
                <w:color w:val="auto"/>
              </w:rPr>
            </w:pPr>
          </w:p>
        </w:tc>
        <w:tc>
          <w:tcPr>
            <w:tcW w:w="2760" w:type="dxa"/>
            <w:vAlign w:val="bottom"/>
          </w:tcPr>
          <w:p>
            <w:pPr>
              <w:jc w:val="right"/>
              <w:ind w:right="1355"/>
              <w:spacing w:after="0" w:line="200" w:lineRule="exact"/>
              <w:rPr>
                <w:sz w:val="20"/>
                <w:szCs w:val="20"/>
                <w:color w:val="auto"/>
              </w:rPr>
            </w:pPr>
            <w:r>
              <w:rPr>
                <w:rFonts w:ascii="Times New Roman" w:cs="Times New Roman" w:eastAsia="Times New Roman" w:hAnsi="Times New Roman"/>
                <w:sz w:val="18"/>
                <w:szCs w:val="18"/>
                <w:b w:val="1"/>
                <w:bCs w:val="1"/>
                <w:color w:val="auto"/>
              </w:rPr>
              <w:t>98102</w:t>
            </w:r>
          </w:p>
        </w:tc>
      </w:tr>
      <w:tr>
        <w:trPr>
          <w:trHeight w:val="234"/>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0" w:type="dxa"/>
            <w:vAlign w:val="bottom"/>
          </w:tcPr>
          <w:p>
            <w:pPr>
              <w:spacing w:after="0"/>
              <w:rPr>
                <w:sz w:val="20"/>
                <w:szCs w:val="20"/>
                <w:color w:val="auto"/>
              </w:rPr>
            </w:pPr>
          </w:p>
        </w:tc>
        <w:tc>
          <w:tcPr>
            <w:tcW w:w="2760" w:type="dxa"/>
            <w:vAlign w:val="bottom"/>
          </w:tcPr>
          <w:p>
            <w:pPr>
              <w:jc w:val="center"/>
              <w:ind w:right="475"/>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(206) 333-2001</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76" w:lineRule="exact"/>
        <w:rPr>
          <w:sz w:val="24"/>
          <w:szCs w:val="24"/>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18"/>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00" w:type="dxa"/>
            <w:vAlign w:val="bottom"/>
          </w:tcPr>
          <w:p>
            <w:pPr>
              <w:spacing w:after="0"/>
              <w:rPr>
                <w:sz w:val="20"/>
                <w:szCs w:val="20"/>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NAUT</w:t>
            </w:r>
          </w:p>
        </w:tc>
        <w:tc>
          <w:tcPr>
            <w:tcW w:w="100" w:type="dxa"/>
            <w:vAlign w:val="bottom"/>
          </w:tcPr>
          <w:p>
            <w:pPr>
              <w:spacing w:after="0"/>
              <w:rPr>
                <w:sz w:val="20"/>
                <w:szCs w:val="20"/>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6" w:lineRule="exact"/>
        <w:rPr>
          <w:sz w:val="24"/>
          <w:szCs w:val="24"/>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907415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Nautilus Biotechnology, Inc. (the “Company”) held its 2026 annual meeting of stockholders on June 17, 2026 (the “Annual Meeting”). Of the 127,078,855 shares of the Company’s common stock outstanding as of the record date of April 20, 2026, 85,002,191 shares were represented at the Annual Meeting, either by proxy or by attending the meeting. The matters voted on at the Annual Meeting and the votes cast with respect to each such matter are set forth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0980" w:type="dxa"/>
            <w:vAlign w:val="bottom"/>
            <w:gridSpan w:val="31"/>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Election of Class II Directors. </w:t>
            </w:r>
            <w:r>
              <w:rPr>
                <w:rFonts w:ascii="Times New Roman" w:cs="Times New Roman" w:eastAsia="Times New Roman" w:hAnsi="Times New Roman"/>
                <w:sz w:val="18"/>
                <w:szCs w:val="18"/>
                <w:color w:val="auto"/>
              </w:rPr>
              <w:t>The following nominees were elected to serve as Class II directors, each to hold office until the Company’s 2029</w:t>
            </w:r>
          </w:p>
        </w:tc>
      </w:tr>
      <w:tr>
        <w:trPr>
          <w:trHeight w:val="234"/>
        </w:trPr>
        <w:tc>
          <w:tcPr>
            <w:tcW w:w="260" w:type="dxa"/>
            <w:vAlign w:val="bottom"/>
          </w:tcPr>
          <w:p>
            <w:pPr>
              <w:spacing w:after="0"/>
              <w:rPr>
                <w:sz w:val="20"/>
                <w:szCs w:val="20"/>
                <w:color w:val="auto"/>
              </w:rPr>
            </w:pPr>
          </w:p>
        </w:tc>
        <w:tc>
          <w:tcPr>
            <w:tcW w:w="740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auto"/>
              </w:rPr>
              <w:t>annual meeting of stockholders or until his respective successor has been duly elected and qualified: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2"/>
        </w:trPr>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920" w:type="dxa"/>
            <w:vAlign w:val="bottom"/>
          </w:tcPr>
          <w:p>
            <w:pPr>
              <w:spacing w:after="0"/>
              <w:rPr>
                <w:sz w:val="21"/>
                <w:szCs w:val="21"/>
                <w:color w:val="auto"/>
              </w:rPr>
            </w:pPr>
          </w:p>
        </w:tc>
      </w:tr>
      <w:tr>
        <w:trPr>
          <w:trHeight w:val="210"/>
        </w:trPr>
        <w:tc>
          <w:tcPr>
            <w:tcW w:w="2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0" w:type="dxa"/>
            <w:vAlign w:val="bottom"/>
            <w:tcBorders>
              <w:right w:val="single" w:sz="8" w:color="CFF0FC"/>
            </w:tcBorders>
            <w:shd w:val="clear" w:color="auto" w:fill="CFF0FC"/>
          </w:tcPr>
          <w:p>
            <w:pPr>
              <w:spacing w:after="0"/>
              <w:rPr>
                <w:sz w:val="18"/>
                <w:szCs w:val="18"/>
                <w:color w:val="auto"/>
              </w:rPr>
            </w:pPr>
          </w:p>
        </w:tc>
        <w:tc>
          <w:tcPr>
            <w:tcW w:w="2500" w:type="dxa"/>
            <w:vAlign w:val="bottom"/>
            <w:gridSpan w:val="6"/>
            <w:shd w:val="clear" w:color="auto" w:fill="CFF0FC"/>
          </w:tcPr>
          <w:p>
            <w:pPr>
              <w:ind w:left="660"/>
              <w:spacing w:after="0"/>
              <w:rPr>
                <w:sz w:val="20"/>
                <w:szCs w:val="20"/>
                <w:color w:val="auto"/>
              </w:rPr>
            </w:pPr>
            <w:r>
              <w:rPr>
                <w:rFonts w:ascii="Times New Roman" w:cs="Times New Roman" w:eastAsia="Times New Roman" w:hAnsi="Times New Roman"/>
                <w:sz w:val="16"/>
                <w:szCs w:val="16"/>
                <w:b w:val="1"/>
                <w:bCs w:val="1"/>
                <w:color w:val="auto"/>
              </w:rPr>
              <w:t>Nominee</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80" w:type="dxa"/>
            <w:vAlign w:val="bottom"/>
            <w:gridSpan w:val="6"/>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22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Votes Withheld</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20" w:type="dxa"/>
            <w:vAlign w:val="bottom"/>
            <w:tcBorders>
              <w:right w:val="single" w:sz="8" w:color="auto"/>
            </w:tcBorders>
            <w:gridSpan w:val="5"/>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Broker Non-Votes</w:t>
            </w:r>
          </w:p>
        </w:tc>
        <w:tc>
          <w:tcPr>
            <w:tcW w:w="920" w:type="dxa"/>
            <w:vAlign w:val="bottom"/>
          </w:tcPr>
          <w:p>
            <w:pPr>
              <w:spacing w:after="0"/>
              <w:rPr>
                <w:sz w:val="18"/>
                <w:szCs w:val="18"/>
                <w:color w:val="auto"/>
              </w:rPr>
            </w:pPr>
          </w:p>
        </w:tc>
      </w:tr>
      <w:tr>
        <w:trPr>
          <w:trHeight w:val="207"/>
        </w:trPr>
        <w:tc>
          <w:tcPr>
            <w:tcW w:w="2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040" w:type="dxa"/>
            <w:vAlign w:val="bottom"/>
            <w:tcBorders>
              <w:top w:val="single" w:sz="8" w:color="auto"/>
              <w:bottom w:val="single" w:sz="8" w:color="auto"/>
            </w:tcBorders>
            <w:gridSpan w:val="7"/>
          </w:tcPr>
          <w:p>
            <w:pPr>
              <w:ind w:left="140"/>
              <w:spacing w:after="0"/>
              <w:rPr>
                <w:sz w:val="20"/>
                <w:szCs w:val="20"/>
                <w:color w:val="auto"/>
              </w:rPr>
            </w:pPr>
            <w:r>
              <w:rPr>
                <w:rFonts w:ascii="Times New Roman" w:cs="Times New Roman" w:eastAsia="Times New Roman" w:hAnsi="Times New Roman"/>
                <w:sz w:val="16"/>
                <w:szCs w:val="16"/>
                <w:color w:val="auto"/>
              </w:rPr>
              <w:t>Parag Mallick</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top w:val="single" w:sz="8" w:color="auto"/>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67,882,439</w:t>
            </w:r>
          </w:p>
        </w:tc>
        <w:tc>
          <w:tcPr>
            <w:tcW w:w="1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2,411,134</w:t>
            </w:r>
          </w:p>
        </w:tc>
        <w:tc>
          <w:tcPr>
            <w:tcW w:w="3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880" w:type="dxa"/>
            <w:vAlign w:val="bottom"/>
            <w:tcBorders>
              <w:top w:val="single" w:sz="8" w:color="auto"/>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6"/>
                <w:szCs w:val="16"/>
                <w:color w:val="auto"/>
              </w:rPr>
              <w:t>14,708,618</w:t>
            </w:r>
          </w:p>
        </w:tc>
        <w:tc>
          <w:tcPr>
            <w:tcW w:w="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2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04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6"/>
                <w:szCs w:val="16"/>
                <w:color w:val="auto"/>
              </w:rPr>
              <w:t>Farzad Nazem</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67,994,844</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2,298,729</w:t>
            </w: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6"/>
                <w:szCs w:val="16"/>
                <w:color w:val="auto"/>
              </w:rPr>
              <w:t>14,708,618</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r>
      <w:tr>
        <w:trPr>
          <w:trHeight w:val="464"/>
        </w:trPr>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0980" w:type="dxa"/>
            <w:vAlign w:val="bottom"/>
            <w:gridSpan w:val="31"/>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Ratification of Appointment of Independent Registered Public Accounting Firm. </w:t>
            </w:r>
            <w:r>
              <w:rPr>
                <w:rFonts w:ascii="Times New Roman" w:cs="Times New Roman" w:eastAsia="Times New Roman" w:hAnsi="Times New Roman"/>
                <w:sz w:val="18"/>
                <w:szCs w:val="18"/>
                <w:color w:val="auto"/>
              </w:rPr>
              <w:t>The appointment of PricewaterhouseCoopers LLP as the</w:t>
            </w:r>
          </w:p>
        </w:tc>
      </w:tr>
      <w:tr>
        <w:trPr>
          <w:trHeight w:val="180"/>
        </w:trPr>
        <w:tc>
          <w:tcPr>
            <w:tcW w:w="260" w:type="dxa"/>
            <w:vAlign w:val="bottom"/>
          </w:tcPr>
          <w:p>
            <w:pPr>
              <w:spacing w:after="0"/>
              <w:rPr>
                <w:sz w:val="15"/>
                <w:szCs w:val="15"/>
                <w:color w:val="auto"/>
              </w:rPr>
            </w:pPr>
          </w:p>
        </w:tc>
        <w:tc>
          <w:tcPr>
            <w:tcW w:w="10980" w:type="dxa"/>
            <w:vAlign w:val="bottom"/>
            <w:gridSpan w:val="31"/>
          </w:tcPr>
          <w:p>
            <w:pPr>
              <w:ind w:left="140"/>
              <w:spacing w:after="0" w:line="181" w:lineRule="exact"/>
              <w:rPr>
                <w:sz w:val="20"/>
                <w:szCs w:val="20"/>
                <w:color w:val="auto"/>
              </w:rPr>
            </w:pPr>
            <w:r>
              <w:rPr>
                <w:rFonts w:ascii="Times New Roman" w:cs="Times New Roman" w:eastAsia="Times New Roman" w:hAnsi="Times New Roman"/>
                <w:sz w:val="18"/>
                <w:szCs w:val="18"/>
                <w:color w:val="auto"/>
              </w:rPr>
              <w:t>Company’s independent registered public accounting firm for the fiscal year ending December 31, 2026 was ratified based on the following results of</w:t>
            </w:r>
          </w:p>
        </w:tc>
      </w:tr>
      <w:tr>
        <w:trPr>
          <w:trHeight w:val="234"/>
        </w:trPr>
        <w:tc>
          <w:tcPr>
            <w:tcW w:w="260" w:type="dxa"/>
            <w:vAlign w:val="bottom"/>
          </w:tcPr>
          <w:p>
            <w:pPr>
              <w:spacing w:after="0"/>
              <w:rPr>
                <w:sz w:val="20"/>
                <w:szCs w:val="20"/>
                <w:color w:val="auto"/>
              </w:rPr>
            </w:pPr>
          </w:p>
        </w:tc>
        <w:tc>
          <w:tcPr>
            <w:tcW w:w="326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voting: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8"/>
        </w:trPr>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spacing w:after="0"/>
              <w:rPr>
                <w:sz w:val="20"/>
                <w:szCs w:val="20"/>
                <w:color w:val="auto"/>
              </w:rPr>
            </w:pPr>
          </w:p>
        </w:tc>
        <w:tc>
          <w:tcPr>
            <w:tcW w:w="1300" w:type="dxa"/>
            <w:vAlign w:val="bottom"/>
            <w:tcBorders>
              <w:bottom w:val="single" w:sz="8" w:color="auto"/>
            </w:tcBorders>
            <w:gridSpan w:val="3"/>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gridSpan w:val="2"/>
          </w:tcPr>
          <w:p>
            <w:pPr>
              <w:spacing w:after="0"/>
              <w:rPr>
                <w:sz w:val="20"/>
                <w:szCs w:val="20"/>
                <w:color w:val="auto"/>
              </w:rPr>
            </w:pPr>
          </w:p>
        </w:tc>
        <w:tc>
          <w:tcPr>
            <w:tcW w:w="980" w:type="dxa"/>
            <w:vAlign w:val="bottom"/>
            <w:gridSpan w:val="2"/>
          </w:tcPr>
          <w:p>
            <w:pPr>
              <w:spacing w:after="0"/>
              <w:rPr>
                <w:sz w:val="20"/>
                <w:szCs w:val="20"/>
                <w:color w:val="auto"/>
              </w:rPr>
            </w:pPr>
          </w:p>
        </w:tc>
      </w:tr>
      <w:tr>
        <w:trPr>
          <w:trHeight w:val="228"/>
        </w:trPr>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gridSpan w:val="6"/>
            <w:shd w:val="clear" w:color="auto" w:fill="CFF0FC"/>
          </w:tcPr>
          <w:p>
            <w:pPr>
              <w:ind w:left="480"/>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right w:val="single" w:sz="8" w:color="auto"/>
            </w:tcBorders>
            <w:gridSpan w:val="5"/>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Abstentions</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89"/>
        </w:trPr>
        <w:tc>
          <w:tcPr>
            <w:tcW w:w="26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280" w:type="dxa"/>
            <w:vAlign w:val="bottom"/>
            <w:tcBorders>
              <w:top w:val="single" w:sz="8" w:color="auto"/>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84,937,704</w:t>
            </w:r>
          </w:p>
        </w:tc>
        <w:tc>
          <w:tcPr>
            <w:tcW w:w="1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gridSpan w:val="2"/>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27,748</w:t>
            </w:r>
          </w:p>
        </w:tc>
        <w:tc>
          <w:tcPr>
            <w:tcW w:w="6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36,739</w:t>
            </w:r>
          </w:p>
        </w:tc>
        <w:tc>
          <w:tcPr>
            <w:tcW w:w="740" w:type="dxa"/>
            <w:vAlign w:val="bottom"/>
            <w:tcBorders>
              <w:top w:val="single" w:sz="8" w:color="auto"/>
              <w:bottom w:val="single" w:sz="8" w:color="auto"/>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518"/>
        </w:trPr>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0980" w:type="dxa"/>
            <w:vAlign w:val="bottom"/>
            <w:gridSpan w:val="31"/>
          </w:tcPr>
          <w:p>
            <w:pPr>
              <w:ind w:left="120"/>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r>
              <w:rPr>
                <w:rFonts w:ascii="Times New Roman" w:cs="Times New Roman" w:eastAsia="Times New Roman" w:hAnsi="Times New Roman"/>
                <w:sz w:val="18"/>
                <w:szCs w:val="18"/>
                <w:color w:val="auto"/>
              </w:rPr>
              <w:t>: The vote to approve, on an advisory basis, the compensation of the Company’s named executive</w:t>
            </w:r>
          </w:p>
        </w:tc>
      </w:tr>
      <w:tr>
        <w:trPr>
          <w:trHeight w:val="234"/>
        </w:trPr>
        <w:tc>
          <w:tcPr>
            <w:tcW w:w="260" w:type="dxa"/>
            <w:vAlign w:val="bottom"/>
          </w:tcPr>
          <w:p>
            <w:pPr>
              <w:spacing w:after="0"/>
              <w:rPr>
                <w:sz w:val="20"/>
                <w:szCs w:val="20"/>
                <w:color w:val="auto"/>
              </w:rPr>
            </w:pPr>
          </w:p>
        </w:tc>
        <w:tc>
          <w:tcPr>
            <w:tcW w:w="7400" w:type="dxa"/>
            <w:vAlign w:val="bottom"/>
            <w:gridSpan w:val="22"/>
          </w:tcPr>
          <w:p>
            <w:pPr>
              <w:ind w:left="140"/>
              <w:spacing w:after="0"/>
              <w:rPr>
                <w:sz w:val="20"/>
                <w:szCs w:val="20"/>
                <w:color w:val="auto"/>
              </w:rPr>
            </w:pPr>
            <w:r>
              <w:rPr>
                <w:rFonts w:ascii="Times New Roman" w:cs="Times New Roman" w:eastAsia="Times New Roman" w:hAnsi="Times New Roman"/>
                <w:sz w:val="18"/>
                <w:szCs w:val="18"/>
                <w:color w:val="auto"/>
              </w:rPr>
              <w:t>officers for the fiscal year ended December 31, 2025 (the “Say on Pay Vote”) was as follows: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4"/>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gridSpan w:val="2"/>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spacing w:after="0"/>
              <w:rPr>
                <w:sz w:val="23"/>
                <w:szCs w:val="23"/>
                <w:color w:val="auto"/>
              </w:rPr>
            </w:pPr>
          </w:p>
        </w:tc>
        <w:tc>
          <w:tcPr>
            <w:tcW w:w="800" w:type="dxa"/>
            <w:vAlign w:val="bottom"/>
            <w:tcBorders>
              <w:bottom w:val="single" w:sz="8" w:color="auto"/>
            </w:tcBorders>
            <w:gridSpan w:val="2"/>
          </w:tcPr>
          <w:p>
            <w:pPr>
              <w:spacing w:after="0"/>
              <w:rPr>
                <w:sz w:val="23"/>
                <w:szCs w:val="23"/>
                <w:color w:val="auto"/>
              </w:rPr>
            </w:pPr>
          </w:p>
        </w:tc>
        <w:tc>
          <w:tcPr>
            <w:tcW w:w="980" w:type="dxa"/>
            <w:vAlign w:val="bottom"/>
            <w:gridSpan w:val="2"/>
          </w:tcPr>
          <w:p>
            <w:pPr>
              <w:spacing w:after="0"/>
              <w:rPr>
                <w:sz w:val="23"/>
                <w:szCs w:val="23"/>
                <w:color w:val="auto"/>
              </w:rPr>
            </w:pPr>
          </w:p>
        </w:tc>
      </w:tr>
      <w:tr>
        <w:trPr>
          <w:trHeight w:val="210"/>
        </w:trPr>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2500" w:type="dxa"/>
            <w:vAlign w:val="bottom"/>
            <w:gridSpan w:val="6"/>
            <w:shd w:val="clear" w:color="auto" w:fill="CFF0FC"/>
          </w:tcPr>
          <w:p>
            <w:pPr>
              <w:ind w:left="50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2500" w:type="dxa"/>
            <w:vAlign w:val="bottom"/>
            <w:gridSpan w:val="10"/>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22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Abstentions</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960" w:type="dxa"/>
            <w:vAlign w:val="bottom"/>
            <w:tcBorders>
              <w:right w:val="single" w:sz="8" w:color="auto"/>
            </w:tcBorders>
            <w:gridSpan w:val="4"/>
            <w:shd w:val="clear" w:color="auto" w:fill="CFF0FC"/>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Broker Non-Votes</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260" w:type="dxa"/>
            <w:vAlign w:val="bottom"/>
          </w:tcPr>
          <w:p>
            <w:pPr>
              <w:spacing w:after="0"/>
              <w:rPr>
                <w:sz w:val="17"/>
                <w:szCs w:val="17"/>
                <w:color w:val="auto"/>
              </w:rPr>
            </w:pPr>
          </w:p>
        </w:tc>
        <w:tc>
          <w:tcPr>
            <w:tcW w:w="760" w:type="dxa"/>
            <w:vAlign w:val="bottom"/>
            <w:tcBorders>
              <w:right w:val="single" w:sz="8" w:color="auto"/>
            </w:tcBorders>
            <w:gridSpan w:val="2"/>
          </w:tcPr>
          <w:p>
            <w:pPr>
              <w:spacing w:after="0"/>
              <w:rPr>
                <w:sz w:val="17"/>
                <w:szCs w:val="17"/>
                <w:color w:val="auto"/>
              </w:rPr>
            </w:pPr>
          </w:p>
        </w:tc>
        <w:tc>
          <w:tcPr>
            <w:tcW w:w="1680" w:type="dxa"/>
            <w:vAlign w:val="bottom"/>
            <w:tcBorders>
              <w:top w:val="single" w:sz="8" w:color="auto"/>
              <w:bottom w:val="single" w:sz="8" w:color="auto"/>
            </w:tcBorders>
            <w:gridSpan w:val="3"/>
          </w:tcPr>
          <w:p>
            <w:pPr>
              <w:ind w:left="520"/>
              <w:spacing w:after="0"/>
              <w:rPr>
                <w:sz w:val="20"/>
                <w:szCs w:val="20"/>
                <w:color w:val="auto"/>
              </w:rPr>
            </w:pPr>
            <w:r>
              <w:rPr>
                <w:rFonts w:ascii="Times New Roman" w:cs="Times New Roman" w:eastAsia="Times New Roman" w:hAnsi="Times New Roman"/>
                <w:sz w:val="16"/>
                <w:szCs w:val="16"/>
                <w:color w:val="auto"/>
              </w:rPr>
              <w:t>69,994,022</w:t>
            </w:r>
          </w:p>
        </w:tc>
        <w:tc>
          <w:tcPr>
            <w:tcW w:w="4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gridSpan w:val="5"/>
          </w:tcPr>
          <w:p>
            <w:pPr>
              <w:jc w:val="right"/>
              <w:ind w:right="539"/>
              <w:spacing w:after="0"/>
              <w:rPr>
                <w:sz w:val="20"/>
                <w:szCs w:val="20"/>
                <w:color w:val="auto"/>
              </w:rPr>
            </w:pPr>
            <w:r>
              <w:rPr>
                <w:rFonts w:ascii="Times New Roman" w:cs="Times New Roman" w:eastAsia="Times New Roman" w:hAnsi="Times New Roman"/>
                <w:sz w:val="16"/>
                <w:szCs w:val="16"/>
                <w:color w:val="auto"/>
              </w:rPr>
              <w:t>268,341</w:t>
            </w: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31,210</w:t>
            </w:r>
          </w:p>
        </w:tc>
        <w:tc>
          <w:tcPr>
            <w:tcW w:w="300" w:type="dxa"/>
            <w:vAlign w:val="bottom"/>
            <w:tcBorders>
              <w:top w:val="single" w:sz="8" w:color="auto"/>
              <w:bottom w:val="single" w:sz="8" w:color="auto"/>
            </w:tcBorders>
          </w:tcPr>
          <w:p>
            <w:pPr>
              <w:spacing w:after="0"/>
              <w:rPr>
                <w:sz w:val="17"/>
                <w:szCs w:val="17"/>
                <w:color w:val="auto"/>
              </w:rPr>
            </w:pPr>
          </w:p>
        </w:tc>
        <w:tc>
          <w:tcPr>
            <w:tcW w:w="1800" w:type="dxa"/>
            <w:vAlign w:val="bottom"/>
            <w:tcBorders>
              <w:top w:val="single" w:sz="8" w:color="auto"/>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14,708,618</w:t>
            </w:r>
          </w:p>
        </w:tc>
        <w:tc>
          <w:tcPr>
            <w:tcW w:w="7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518"/>
        </w:trPr>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0980" w:type="dxa"/>
            <w:vAlign w:val="bottom"/>
            <w:gridSpan w:val="31"/>
          </w:tcPr>
          <w:p>
            <w:pPr>
              <w:ind w:left="120"/>
              <w:spacing w:after="0"/>
              <w:rPr>
                <w:sz w:val="20"/>
                <w:szCs w:val="20"/>
                <w:color w:val="auto"/>
              </w:rPr>
            </w:pPr>
            <w:r>
              <w:rPr>
                <w:rFonts w:ascii="Times New Roman" w:cs="Times New Roman" w:eastAsia="Times New Roman" w:hAnsi="Times New Roman"/>
                <w:sz w:val="18"/>
                <w:szCs w:val="18"/>
                <w:b w:val="1"/>
                <w:bCs w:val="1"/>
                <w:color w:val="auto"/>
              </w:rPr>
              <w:t>Advisory Vote on Frequency of Future Advisory Votes on Executive Compensation</w:t>
            </w:r>
            <w:r>
              <w:rPr>
                <w:rFonts w:ascii="Times New Roman" w:cs="Times New Roman" w:eastAsia="Times New Roman" w:hAnsi="Times New Roman"/>
                <w:sz w:val="18"/>
                <w:szCs w:val="18"/>
                <w:color w:val="auto"/>
              </w:rPr>
              <w:t>: The vote to approve, on an advisory basis, the frequency of</w:t>
            </w:r>
          </w:p>
        </w:tc>
      </w:tr>
      <w:tr>
        <w:trPr>
          <w:trHeight w:val="234"/>
        </w:trPr>
        <w:tc>
          <w:tcPr>
            <w:tcW w:w="260" w:type="dxa"/>
            <w:vAlign w:val="bottom"/>
          </w:tcPr>
          <w:p>
            <w:pPr>
              <w:spacing w:after="0"/>
              <w:rPr>
                <w:sz w:val="20"/>
                <w:szCs w:val="20"/>
                <w:color w:val="auto"/>
              </w:rPr>
            </w:pPr>
          </w:p>
        </w:tc>
        <w:tc>
          <w:tcPr>
            <w:tcW w:w="326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future Say on Pay Votes was as follows: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3"/>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3"/>
          </w:tcPr>
          <w:p>
            <w:pPr>
              <w:spacing w:after="0"/>
              <w:rPr>
                <w:sz w:val="23"/>
                <w:szCs w:val="23"/>
                <w:color w:val="auto"/>
              </w:rPr>
            </w:pPr>
          </w:p>
        </w:tc>
        <w:tc>
          <w:tcPr>
            <w:tcW w:w="400" w:type="dxa"/>
            <w:vAlign w:val="bottom"/>
            <w:tcBorders>
              <w:bottom w:val="single" w:sz="8" w:color="auto"/>
            </w:tcBorders>
            <w:gridSpan w:val="3"/>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3"/>
          </w:tcPr>
          <w:p>
            <w:pPr>
              <w:spacing w:after="0"/>
              <w:rPr>
                <w:sz w:val="23"/>
                <w:szCs w:val="23"/>
                <w:color w:val="auto"/>
              </w:rPr>
            </w:pPr>
          </w:p>
        </w:tc>
        <w:tc>
          <w:tcPr>
            <w:tcW w:w="1780" w:type="dxa"/>
            <w:vAlign w:val="bottom"/>
            <w:gridSpan w:val="4"/>
          </w:tcPr>
          <w:p>
            <w:pPr>
              <w:spacing w:after="0"/>
              <w:rPr>
                <w:sz w:val="23"/>
                <w:szCs w:val="23"/>
                <w:color w:val="auto"/>
              </w:rPr>
            </w:pPr>
          </w:p>
        </w:tc>
      </w:tr>
      <w:tr>
        <w:trPr>
          <w:trHeight w:val="228"/>
        </w:trPr>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420" w:type="dxa"/>
            <w:vAlign w:val="bottom"/>
            <w:tcBorders>
              <w:bottom w:val="single" w:sz="8" w:color="CFF0FC"/>
              <w:right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4"/>
            <w:shd w:val="clear" w:color="auto" w:fill="CFF0FC"/>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7"/>
              </w:rPr>
              <w:t>1-Year</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120" w:type="dxa"/>
            <w:vAlign w:val="bottom"/>
            <w:tcBorders>
              <w:bottom w:val="single" w:sz="8" w:color="CFF0FC"/>
            </w:tcBorders>
            <w:gridSpan w:val="7"/>
            <w:shd w:val="clear" w:color="auto" w:fill="CFF0FC"/>
          </w:tcPr>
          <w:p>
            <w:pPr>
              <w:jc w:val="right"/>
              <w:ind w:right="1300"/>
              <w:spacing w:after="0"/>
              <w:rPr>
                <w:sz w:val="20"/>
                <w:szCs w:val="20"/>
                <w:color w:val="auto"/>
              </w:rPr>
            </w:pPr>
            <w:r>
              <w:rPr>
                <w:rFonts w:ascii="Times New Roman" w:cs="Times New Roman" w:eastAsia="Times New Roman" w:hAnsi="Times New Roman"/>
                <w:sz w:val="16"/>
                <w:szCs w:val="16"/>
                <w:b w:val="1"/>
                <w:bCs w:val="1"/>
                <w:color w:val="auto"/>
              </w:rPr>
              <w:t>2-Years</w:t>
            </w:r>
          </w:p>
        </w:tc>
        <w:tc>
          <w:tcPr>
            <w:tcW w:w="2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3-Years</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right w:val="single" w:sz="8" w:color="auto"/>
            </w:tcBorders>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Abstentions</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88"/>
        </w:trPr>
        <w:tc>
          <w:tcPr>
            <w:tcW w:w="260" w:type="dxa"/>
            <w:vAlign w:val="bottom"/>
          </w:tcPr>
          <w:p>
            <w:pPr>
              <w:spacing w:after="0"/>
              <w:rPr>
                <w:sz w:val="16"/>
                <w:szCs w:val="16"/>
                <w:color w:val="auto"/>
              </w:rPr>
            </w:pPr>
          </w:p>
        </w:tc>
        <w:tc>
          <w:tcPr>
            <w:tcW w:w="1560" w:type="dxa"/>
            <w:vAlign w:val="bottom"/>
            <w:tcBorders>
              <w:right w:val="single" w:sz="8" w:color="auto"/>
            </w:tcBorders>
            <w:gridSpan w:val="3"/>
          </w:tcPr>
          <w:p>
            <w:pPr>
              <w:spacing w:after="0"/>
              <w:rPr>
                <w:sz w:val="16"/>
                <w:szCs w:val="16"/>
                <w:color w:val="auto"/>
              </w:rPr>
            </w:pPr>
          </w:p>
        </w:tc>
        <w:tc>
          <w:tcPr>
            <w:tcW w:w="1300" w:type="dxa"/>
            <w:vAlign w:val="bottom"/>
            <w:tcBorders>
              <w:top w:val="single" w:sz="8" w:color="auto"/>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69,142,818</w:t>
            </w:r>
          </w:p>
        </w:tc>
        <w:tc>
          <w:tcPr>
            <w:tcW w:w="28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color w:val="auto"/>
              </w:rPr>
              <w:t>6,733</w:t>
            </w:r>
          </w:p>
        </w:tc>
        <w:tc>
          <w:tcPr>
            <w:tcW w:w="240" w:type="dxa"/>
            <w:vAlign w:val="bottom"/>
            <w:tcBorders>
              <w:top w:val="single" w:sz="8" w:color="auto"/>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1,112,824</w:t>
            </w: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31,198</w:t>
            </w:r>
          </w:p>
        </w:tc>
        <w:tc>
          <w:tcPr>
            <w:tcW w:w="420" w:type="dxa"/>
            <w:vAlign w:val="bottom"/>
            <w:tcBorders>
              <w:top w:val="single" w:sz="8" w:color="auto"/>
              <w:bottom w:val="single" w:sz="8" w:color="auto"/>
              <w:righ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votes set forth above, the stockholders advised that they were in favor of every one year as the frequency of future Say on Pay Votes. In accordance with the voting results for this proposal, the Company has determined to hold future stockholder advisory votes on the compensation of the Company’s named executive officers every year until the next required non-binding advisory vote on the frequency of future Say on Pay Votes. The next required advisory vote on the frequency of future stockholder advisory votes on the compensation of the Company’s named executive officers will take place no later than at the Company’s 2032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569595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firstLine="648"/>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18, 2026</w:t>
      </w:r>
    </w:p>
    <w:p>
      <w:pPr>
        <w:spacing w:after="0" w:line="28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Sujal Patel</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2026-06-18T15:15:04Z</dcterms:created>
  <dcterms:modified xsi:type="dcterms:W3CDTF">2026-06-18T15:15:04Z</dcterms:modified>
</cp:coreProperties>
</file>