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brhc10021542_10k.htm"/>
      <w:bookmarkStart w:id="1" w:name="ksbrhc10021542_10k"/>
      <w:bookmarkStart w:id="2" w:name="brhc10021542_10k.htm"/>
      <w:bookmarkStart w:id="3" w:name="ksbrhc10021542_10k"/>
      <w:bookmarkEnd w:id="2"/>
      <w:bookmarkEnd w:id="3"/>
    </w:p>
    <w:p>
      <w:pPr>
        <w:pStyle w:val="TextBody"/>
        <w:spacing w:before="0" w:after="0"/>
        <w:jc w:val="center"/>
        <w:rPr>
          <w:b/>
          <w:sz w:val="28"/>
        </w:rPr>
      </w:pPr>
      <w:r>
        <w:rPr>
          <w:b/>
          <w:sz w:val="28"/>
        </w:rPr>
        <w:t>UNITED STATES</w:t>
      </w:r>
    </w:p>
    <w:p>
      <w:pPr>
        <w:pStyle w:val="TextBody"/>
        <w:spacing w:before="0" w:after="0"/>
        <w:jc w:val="center"/>
        <w:rPr>
          <w:b/>
          <w:sz w:val="28"/>
        </w:rPr>
      </w:pPr>
      <w:r>
        <w:rPr>
          <w:b/>
          <w:sz w:val="28"/>
        </w:rPr>
        <w:t>SECURITIES AND EXCHANGE COMMISSION</w:t>
      </w:r>
    </w:p>
    <w:p>
      <w:pPr>
        <w:pStyle w:val="TextBody"/>
        <w:spacing w:before="0" w:after="0"/>
        <w:jc w:val="center"/>
        <w:rPr>
          <w:b/>
          <w:sz w:val="24"/>
        </w:rPr>
      </w:pPr>
      <w:r>
        <w:rPr>
          <w:b/>
          <w:sz w:val="24"/>
        </w:rPr>
        <w:t xml:space="preserve">Washington, D.C. 20549 </w:t>
      </w:r>
    </w:p>
    <w:p>
      <w:pPr>
        <w:pStyle w:val="TextBody"/>
        <w:spacing w:before="0" w:after="0"/>
        <w:jc w:val="center"/>
        <w:rPr/>
      </w:pPr>
      <w:r>
        <w:rPr/>
      </w:r>
    </w:p>
    <w:p>
      <w:pPr>
        <w:pStyle w:val="TextBody"/>
        <w:spacing w:before="0" w:after="0"/>
        <w:jc w:val="center"/>
        <w:rPr>
          <w:b/>
          <w:sz w:val="36"/>
        </w:rPr>
      </w:pPr>
      <w:r>
        <w:rPr>
          <w:b/>
          <w:sz w:val="36"/>
        </w:rPr>
        <w:t>FORM 10-K</w:t>
      </w:r>
    </w:p>
    <w:p>
      <w:pPr>
        <w:pStyle w:val="TextBody"/>
        <w:spacing w:before="0" w:after="0"/>
        <w:jc w:val="center"/>
        <w:rPr/>
      </w:pPr>
      <w:r>
        <w:rPr/>
      </w:r>
    </w:p>
    <w:p>
      <w:pPr>
        <w:pStyle w:val="TextBody"/>
        <w:spacing w:before="0" w:after="0"/>
        <w:jc w:val="center"/>
        <w:rPr>
          <w:b/>
        </w:rPr>
      </w:pPr>
      <w:r>
        <w:rPr>
          <w:b/>
        </w:rPr>
        <w:t>(Mark One)</w:t>
      </w:r>
    </w:p>
    <w:p>
      <w:pPr>
        <w:pStyle w:val="Normal"/>
        <w:spacing w:before="0" w:after="0"/>
        <w:rPr>
          <w:sz w:val="4"/>
          <w:szCs w:val="4"/>
        </w:rPr>
      </w:pPr>
      <w:r>
        <w:rPr>
          <w:sz w:val="4"/>
          <w:szCs w:val="4"/>
        </w:rPr>
      </w:r>
      <w:bookmarkStart w:id="4" w:name="z2e75bbd114df4b7991cd54454458472f"/>
      <w:bookmarkStart w:id="5" w:name="z2e75bbd114df4b7991cd54454458472f"/>
      <w:bookmarkEnd w:id="5"/>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0"/>
              <w:jc w:val="left"/>
              <w:rPr/>
            </w:pPr>
            <w:r>
              <w:rPr/>
              <w:t>☒</w:t>
            </w:r>
          </w:p>
        </w:tc>
        <w:tc>
          <w:tcPr>
            <w:tcW w:w="9960" w:type="dxa"/>
            <w:tcBorders/>
            <w:shd w:fill="auto" w:val="clear"/>
            <w:vAlign w:val="center"/>
          </w:tcPr>
          <w:p>
            <w:pPr>
              <w:pStyle w:val="TableContents"/>
              <w:spacing w:before="0" w:after="0"/>
              <w:jc w:val="left"/>
              <w:rPr>
                <w:b/>
              </w:rPr>
            </w:pPr>
            <w:r>
              <w:rPr>
                <w:b/>
              </w:rPr>
              <w:t>ANNUAL REPORT PURSUANT TO SECTION 13 OR 15(D) OF THE SECURITIES EXCHANGE ACT OF 1934</w:t>
            </w:r>
          </w:p>
        </w:tc>
      </w:tr>
    </w:tbl>
    <w:p>
      <w:pPr>
        <w:pStyle w:val="TextBody"/>
        <w:spacing w:before="0" w:after="0"/>
        <w:jc w:val="center"/>
        <w:rPr/>
      </w:pPr>
      <w:r>
        <w:rPr/>
      </w:r>
    </w:p>
    <w:p>
      <w:pPr>
        <w:pStyle w:val="TextBody"/>
        <w:spacing w:before="0" w:after="0"/>
        <w:jc w:val="center"/>
        <w:rPr>
          <w:b/>
        </w:rPr>
      </w:pPr>
      <w:r>
        <w:rPr>
          <w:b/>
        </w:rPr>
        <w:t>For the fiscal year ended December 31, 2020</w:t>
      </w:r>
    </w:p>
    <w:p>
      <w:pPr>
        <w:pStyle w:val="TextBody"/>
        <w:spacing w:before="0" w:after="0"/>
        <w:rPr/>
      </w:pPr>
      <w:r>
        <w:rPr/>
      </w:r>
    </w:p>
    <w:p>
      <w:pPr>
        <w:pStyle w:val="Normal"/>
        <w:spacing w:before="0" w:after="0"/>
        <w:rPr>
          <w:sz w:val="4"/>
          <w:szCs w:val="4"/>
        </w:rPr>
      </w:pPr>
      <w:r>
        <w:rPr>
          <w:sz w:val="4"/>
          <w:szCs w:val="4"/>
        </w:rPr>
      </w:r>
      <w:bookmarkStart w:id="6" w:name="z49a884c5319c4ec9abbb6289e80ac26c"/>
      <w:bookmarkStart w:id="7" w:name="z49a884c5319c4ec9abbb6289e80ac26c"/>
      <w:bookmarkEnd w:id="7"/>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0"/>
              <w:jc w:val="left"/>
              <w:rPr/>
            </w:pPr>
            <w:r>
              <w:rPr/>
              <w:t>☐</w:t>
            </w:r>
          </w:p>
        </w:tc>
        <w:tc>
          <w:tcPr>
            <w:tcW w:w="9960" w:type="dxa"/>
            <w:tcBorders/>
            <w:shd w:fill="auto" w:val="clear"/>
            <w:vAlign w:val="center"/>
          </w:tcPr>
          <w:p>
            <w:pPr>
              <w:pStyle w:val="TableContents"/>
              <w:spacing w:before="0" w:after="0"/>
              <w:jc w:val="left"/>
              <w:rPr>
                <w:b/>
              </w:rPr>
            </w:pPr>
            <w:r>
              <w:rPr>
                <w:b/>
              </w:rPr>
              <w:t>TRANSITION REPORT PURSUANT TO SECTION 13 OR 15(D) OF THE SECURITIES EXCHANGE ACT OF 1934</w:t>
            </w:r>
          </w:p>
        </w:tc>
      </w:tr>
    </w:tbl>
    <w:p>
      <w:pPr>
        <w:pStyle w:val="TextBody"/>
        <w:spacing w:before="0" w:after="0"/>
        <w:rPr/>
      </w:pPr>
      <w:r>
        <w:rPr/>
      </w:r>
    </w:p>
    <w:p>
      <w:pPr>
        <w:pStyle w:val="TextBody"/>
        <w:spacing w:before="0" w:after="0"/>
        <w:jc w:val="center"/>
        <w:rPr>
          <w:b/>
          <w:color w:val="000000"/>
        </w:rPr>
      </w:pPr>
      <w:r>
        <w:rPr>
          <w:b/>
          <w:color w:val="000000"/>
        </w:rPr>
        <w:t>For the transition period from            to</w:t>
      </w:r>
    </w:p>
    <w:p>
      <w:pPr>
        <w:pStyle w:val="TextBody"/>
        <w:spacing w:before="0" w:after="0"/>
        <w:jc w:val="center"/>
        <w:rPr/>
      </w:pPr>
      <w:r>
        <w:rPr/>
      </w:r>
    </w:p>
    <w:p>
      <w:pPr>
        <w:pStyle w:val="TextBody"/>
        <w:spacing w:before="0" w:after="0"/>
        <w:jc w:val="center"/>
        <w:rPr>
          <w:b/>
          <w:sz w:val="48"/>
        </w:rPr>
      </w:pPr>
      <w:r>
        <w:rPr>
          <w:b/>
          <w:sz w:val="48"/>
        </w:rPr>
        <w:t>ARYA SCIENCES ACQUISITION CORP III</w:t>
      </w:r>
    </w:p>
    <w:p>
      <w:pPr>
        <w:pStyle w:val="TextBody"/>
        <w:spacing w:before="0" w:after="0"/>
        <w:jc w:val="center"/>
        <w:rPr>
          <w:b/>
        </w:rPr>
      </w:pPr>
      <w:r>
        <w:rPr>
          <w:b/>
        </w:rPr>
        <w:t>(Exact name of registrant as specified in its charter)</w:t>
      </w:r>
    </w:p>
    <w:p>
      <w:pPr>
        <w:pStyle w:val="TextBody"/>
        <w:spacing w:before="0" w:after="0"/>
        <w:jc w:val="center"/>
        <w:rPr/>
      </w:pPr>
      <w:r>
        <w:rPr/>
      </w:r>
    </w:p>
    <w:p>
      <w:pPr>
        <w:pStyle w:val="Normal"/>
        <w:spacing w:before="0" w:after="0"/>
        <w:rPr>
          <w:sz w:val="4"/>
          <w:szCs w:val="4"/>
        </w:rPr>
      </w:pPr>
      <w:r>
        <w:rPr>
          <w:sz w:val="4"/>
          <w:szCs w:val="4"/>
        </w:rPr>
      </w:r>
      <w:bookmarkStart w:id="8" w:name="z34223a3be4054f7aa865493fdf4ebc65"/>
      <w:bookmarkStart w:id="9" w:name="z34223a3be4054f7aa865493fdf4ebc65"/>
      <w:bookmarkEnd w:id="9"/>
    </w:p>
    <w:tbl>
      <w:tblPr>
        <w:tblW w:w="10205" w:type="dxa"/>
        <w:jc w:val="left"/>
        <w:tblInd w:w="0" w:type="dxa"/>
        <w:tblCellMar>
          <w:top w:w="0" w:type="dxa"/>
          <w:left w:w="0" w:type="dxa"/>
          <w:bottom w:w="28" w:type="dxa"/>
          <w:right w:w="0" w:type="dxa"/>
        </w:tblCellMar>
      </w:tblPr>
      <w:tblGrid>
        <w:gridCol w:w="4560"/>
        <w:gridCol w:w="60"/>
        <w:gridCol w:w="2294"/>
        <w:gridCol w:w="60"/>
        <w:gridCol w:w="3231"/>
      </w:tblGrid>
      <w:tr>
        <w:trPr/>
        <w:tc>
          <w:tcPr>
            <w:tcW w:w="4560" w:type="dxa"/>
            <w:tcBorders>
              <w:bottom w:val="single" w:sz="12" w:space="0" w:color="000000"/>
            </w:tcBorders>
            <w:shd w:fill="auto" w:val="clear"/>
            <w:vAlign w:val="center"/>
          </w:tcPr>
          <w:p>
            <w:pPr>
              <w:pStyle w:val="TableContents"/>
              <w:spacing w:before="0" w:after="0"/>
              <w:jc w:val="center"/>
              <w:rPr>
                <w:b/>
              </w:rPr>
            </w:pPr>
            <w:r>
              <w:rPr>
                <w:b/>
              </w:rPr>
              <w:t>Cayman Islands</w:t>
            </w:r>
          </w:p>
        </w:tc>
        <w:tc>
          <w:tcPr>
            <w:tcW w:w="60" w:type="dxa"/>
            <w:tcBorders/>
            <w:shd w:fill="auto" w:val="clear"/>
            <w:tcMar>
              <w:bottom w:w="0" w:type="dxa"/>
            </w:tcMar>
            <w:vAlign w:val="center"/>
          </w:tcPr>
          <w:p>
            <w:pPr>
              <w:pStyle w:val="TableContents"/>
              <w:spacing w:before="0" w:after="283"/>
              <w:rPr/>
            </w:pPr>
            <w:r>
              <w:rPr/>
              <w:t> </w:t>
            </w:r>
          </w:p>
        </w:tc>
        <w:tc>
          <w:tcPr>
            <w:tcW w:w="2294" w:type="dxa"/>
            <w:tcBorders>
              <w:bottom w:val="single" w:sz="12" w:space="0" w:color="000000"/>
            </w:tcBorders>
            <w:shd w:fill="auto" w:val="clear"/>
            <w:vAlign w:val="center"/>
          </w:tcPr>
          <w:p>
            <w:pPr>
              <w:pStyle w:val="TableContents"/>
              <w:spacing w:before="0" w:after="0"/>
              <w:jc w:val="center"/>
              <w:rPr>
                <w:b/>
              </w:rPr>
            </w:pPr>
            <w:r>
              <w:rPr>
                <w:b/>
              </w:rPr>
              <w:t>001-39434</w:t>
            </w:r>
          </w:p>
        </w:tc>
        <w:tc>
          <w:tcPr>
            <w:tcW w:w="60" w:type="dxa"/>
            <w:tcBorders/>
            <w:shd w:fill="auto" w:val="clear"/>
            <w:tcMar>
              <w:bottom w:w="0" w:type="dxa"/>
            </w:tcMar>
            <w:vAlign w:val="center"/>
          </w:tcPr>
          <w:p>
            <w:pPr>
              <w:pStyle w:val="TableContents"/>
              <w:spacing w:before="0" w:after="283"/>
              <w:rPr/>
            </w:pPr>
            <w:r>
              <w:rPr/>
              <w:t> </w:t>
            </w:r>
          </w:p>
        </w:tc>
        <w:tc>
          <w:tcPr>
            <w:tcW w:w="3231" w:type="dxa"/>
            <w:tcBorders>
              <w:bottom w:val="single" w:sz="12" w:space="0" w:color="000000"/>
            </w:tcBorders>
            <w:shd w:fill="auto" w:val="clear"/>
            <w:vAlign w:val="center"/>
          </w:tcPr>
          <w:p>
            <w:pPr>
              <w:pStyle w:val="TableContents"/>
              <w:spacing w:before="0" w:after="0"/>
              <w:jc w:val="center"/>
              <w:rPr>
                <w:b/>
              </w:rPr>
            </w:pPr>
            <w:r>
              <w:rPr>
                <w:b/>
              </w:rPr>
              <w:t>98-15441723</w:t>
            </w:r>
          </w:p>
        </w:tc>
      </w:tr>
      <w:tr>
        <w:trPr/>
        <w:tc>
          <w:tcPr>
            <w:tcW w:w="4560" w:type="dxa"/>
            <w:tcBorders/>
            <w:shd w:fill="auto" w:val="clear"/>
            <w:tcMar>
              <w:bottom w:w="0" w:type="dxa"/>
            </w:tcMar>
            <w:vAlign w:val="center"/>
          </w:tcPr>
          <w:p>
            <w:pPr>
              <w:pStyle w:val="TableContents"/>
              <w:spacing w:before="0" w:after="0"/>
              <w:jc w:val="center"/>
              <w:rPr>
                <w:b/>
              </w:rPr>
            </w:pPr>
            <w:r>
              <w:rPr>
                <w:b/>
              </w:rPr>
              <w:t>(State or other jurisdiction of incorporation or organization)</w:t>
            </w:r>
          </w:p>
        </w:tc>
        <w:tc>
          <w:tcPr>
            <w:tcW w:w="60" w:type="dxa"/>
            <w:tcBorders/>
            <w:shd w:fill="auto" w:val="clear"/>
            <w:tcMar>
              <w:bottom w:w="0" w:type="dxa"/>
            </w:tcMar>
            <w:vAlign w:val="center"/>
          </w:tcPr>
          <w:p>
            <w:pPr>
              <w:pStyle w:val="TableContents"/>
              <w:spacing w:before="0" w:after="283"/>
              <w:rPr/>
            </w:pPr>
            <w:r>
              <w:rPr/>
              <w:t> </w:t>
            </w:r>
          </w:p>
        </w:tc>
        <w:tc>
          <w:tcPr>
            <w:tcW w:w="2294" w:type="dxa"/>
            <w:tcBorders/>
            <w:shd w:fill="auto" w:val="clear"/>
            <w:tcMar>
              <w:bottom w:w="0" w:type="dxa"/>
            </w:tcMar>
            <w:vAlign w:val="center"/>
          </w:tcPr>
          <w:p>
            <w:pPr>
              <w:pStyle w:val="TableContents"/>
              <w:spacing w:before="0" w:after="0"/>
              <w:jc w:val="center"/>
              <w:rPr>
                <w:b/>
              </w:rPr>
            </w:pPr>
            <w:r>
              <w:rPr>
                <w:b/>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3231" w:type="dxa"/>
            <w:tcBorders/>
            <w:shd w:fill="auto" w:val="clear"/>
            <w:tcMar>
              <w:bottom w:w="0" w:type="dxa"/>
            </w:tcMar>
            <w:vAlign w:val="center"/>
          </w:tcPr>
          <w:p>
            <w:pPr>
              <w:pStyle w:val="TableContents"/>
              <w:spacing w:before="0" w:after="0"/>
              <w:jc w:val="center"/>
              <w:rPr>
                <w:b/>
              </w:rPr>
            </w:pPr>
            <w:r>
              <w:rPr>
                <w:b/>
              </w:rPr>
              <w:t>(I.R.S. Employer Identification Number)</w:t>
            </w:r>
          </w:p>
        </w:tc>
      </w:tr>
    </w:tbl>
    <w:p>
      <w:pPr>
        <w:pStyle w:val="TextBody"/>
        <w:spacing w:before="0" w:after="0"/>
        <w:rPr/>
      </w:pPr>
      <w:r>
        <w:rPr/>
      </w:r>
    </w:p>
    <w:p>
      <w:pPr>
        <w:pStyle w:val="Normal"/>
        <w:spacing w:before="0" w:after="0"/>
        <w:rPr>
          <w:sz w:val="4"/>
          <w:szCs w:val="4"/>
        </w:rPr>
      </w:pPr>
      <w:r>
        <w:rPr>
          <w:sz w:val="4"/>
          <w:szCs w:val="4"/>
        </w:rPr>
      </w:r>
      <w:bookmarkStart w:id="10" w:name="z7d2b72b591db491aa825650ff4f4f2b3"/>
      <w:bookmarkStart w:id="11" w:name="z7d2b72b591db491aa825650ff4f4f2b3"/>
      <w:bookmarkEnd w:id="11"/>
    </w:p>
    <w:tbl>
      <w:tblPr>
        <w:tblW w:w="5110" w:type="dxa"/>
        <w:jc w:val="left"/>
        <w:tblInd w:w="0" w:type="dxa"/>
        <w:tblCellMar>
          <w:top w:w="0" w:type="dxa"/>
          <w:left w:w="0" w:type="dxa"/>
          <w:bottom w:w="28" w:type="dxa"/>
          <w:right w:w="0" w:type="dxa"/>
        </w:tblCellMar>
      </w:tblPr>
      <w:tblGrid>
        <w:gridCol w:w="3920"/>
        <w:gridCol w:w="60"/>
        <w:gridCol w:w="1130"/>
      </w:tblGrid>
      <w:tr>
        <w:trPr/>
        <w:tc>
          <w:tcPr>
            <w:tcW w:w="3920" w:type="dxa"/>
            <w:tcBorders>
              <w:bottom w:val="single" w:sz="12" w:space="0" w:color="000000"/>
            </w:tcBorders>
            <w:shd w:fill="auto" w:val="clear"/>
            <w:vAlign w:val="center"/>
          </w:tcPr>
          <w:p>
            <w:pPr>
              <w:pStyle w:val="TableContents"/>
              <w:spacing w:before="0" w:after="0"/>
              <w:jc w:val="center"/>
              <w:rPr>
                <w:b/>
              </w:rPr>
            </w:pPr>
            <w:r>
              <w:rPr>
                <w:b/>
              </w:rPr>
              <w:t>51 Astor Place, 10th Floor</w:t>
            </w:r>
          </w:p>
          <w:p>
            <w:pPr>
              <w:pStyle w:val="TableContents"/>
              <w:spacing w:before="0" w:after="0"/>
              <w:jc w:val="center"/>
              <w:rPr>
                <w:b/>
              </w:rPr>
            </w:pPr>
            <w:r>
              <w:rPr>
                <w:b/>
              </w:rPr>
              <w:t>New York, NY</w:t>
            </w:r>
          </w:p>
        </w:tc>
        <w:tc>
          <w:tcPr>
            <w:tcW w:w="60" w:type="dxa"/>
            <w:tcBorders/>
            <w:shd w:fill="auto" w:val="clear"/>
            <w:tcMar>
              <w:bottom w:w="0" w:type="dxa"/>
            </w:tcMar>
            <w:vAlign w:val="center"/>
          </w:tcPr>
          <w:p>
            <w:pPr>
              <w:pStyle w:val="TableContents"/>
              <w:spacing w:before="0" w:after="283"/>
              <w:rPr/>
            </w:pPr>
            <w:r>
              <w:rPr/>
              <w:t> </w:t>
            </w:r>
          </w:p>
        </w:tc>
        <w:tc>
          <w:tcPr>
            <w:tcW w:w="1130" w:type="dxa"/>
            <w:tcBorders>
              <w:bottom w:val="single" w:sz="12" w:space="0" w:color="000000"/>
            </w:tcBorders>
            <w:shd w:fill="auto" w:val="clear"/>
            <w:vAlign w:val="center"/>
          </w:tcPr>
          <w:p>
            <w:pPr>
              <w:pStyle w:val="TableContents"/>
              <w:spacing w:before="0" w:after="0"/>
              <w:jc w:val="center"/>
              <w:rPr>
                <w:b/>
              </w:rPr>
            </w:pPr>
            <w:r>
              <w:rPr>
                <w:b/>
              </w:rPr>
              <w:t>10003</w:t>
            </w:r>
          </w:p>
        </w:tc>
      </w:tr>
      <w:tr>
        <w:trPr/>
        <w:tc>
          <w:tcPr>
            <w:tcW w:w="3920" w:type="dxa"/>
            <w:tcBorders/>
            <w:shd w:fill="auto" w:val="clear"/>
            <w:tcMar>
              <w:bottom w:w="0" w:type="dxa"/>
            </w:tcMar>
            <w:vAlign w:val="center"/>
          </w:tcPr>
          <w:p>
            <w:pPr>
              <w:pStyle w:val="TableContents"/>
              <w:spacing w:before="0" w:after="0"/>
              <w:jc w:val="center"/>
              <w:rPr>
                <w:b/>
              </w:rPr>
            </w:pPr>
            <w:r>
              <w:rPr>
                <w:b/>
              </w:rPr>
              <w:t>(Address of principal executive offices)</w:t>
            </w:r>
          </w:p>
        </w:tc>
        <w:tc>
          <w:tcPr>
            <w:tcW w:w="60" w:type="dxa"/>
            <w:tcBorders/>
            <w:shd w:fill="auto" w:val="clear"/>
            <w:tcMar>
              <w:bottom w:w="0" w:type="dxa"/>
            </w:tcMar>
            <w:vAlign w:val="center"/>
          </w:tcPr>
          <w:p>
            <w:pPr>
              <w:pStyle w:val="TableContents"/>
              <w:spacing w:before="0" w:after="283"/>
              <w:rPr/>
            </w:pPr>
            <w:r>
              <w:rPr/>
              <w:t> </w:t>
            </w:r>
          </w:p>
        </w:tc>
        <w:tc>
          <w:tcPr>
            <w:tcW w:w="1130" w:type="dxa"/>
            <w:tcBorders/>
            <w:shd w:fill="auto" w:val="clear"/>
            <w:tcMar>
              <w:bottom w:w="0" w:type="dxa"/>
            </w:tcMar>
            <w:vAlign w:val="center"/>
          </w:tcPr>
          <w:p>
            <w:pPr>
              <w:pStyle w:val="TableContents"/>
              <w:spacing w:before="0" w:after="0"/>
              <w:jc w:val="center"/>
              <w:rPr>
                <w:b/>
              </w:rPr>
            </w:pPr>
            <w:r>
              <w:rPr>
                <w:b/>
              </w:rPr>
              <w:t>(Zip Code)</w:t>
            </w:r>
          </w:p>
        </w:tc>
      </w:tr>
    </w:tbl>
    <w:p>
      <w:pPr>
        <w:pStyle w:val="TextBody"/>
        <w:spacing w:before="0" w:after="0"/>
        <w:jc w:val="center"/>
        <w:rPr/>
      </w:pPr>
      <w:r>
        <w:rPr/>
      </w:r>
    </w:p>
    <w:p>
      <w:pPr>
        <w:pStyle w:val="TextBody"/>
        <w:spacing w:before="0" w:after="0"/>
        <w:jc w:val="center"/>
        <w:rPr>
          <w:b/>
        </w:rPr>
      </w:pPr>
      <w:r>
        <w:rPr>
          <w:b/>
        </w:rPr>
        <w:t>Registrant’s telephone number, including area code: (212) 284-2300</w:t>
      </w:r>
    </w:p>
    <w:p>
      <w:pPr>
        <w:pStyle w:val="TextBody"/>
        <w:spacing w:before="0" w:after="0"/>
        <w:jc w:val="center"/>
        <w:rPr/>
      </w:pPr>
      <w:r>
        <w:rPr/>
      </w:r>
    </w:p>
    <w:p>
      <w:pPr>
        <w:pStyle w:val="TextBody"/>
        <w:spacing w:before="0" w:after="0"/>
        <w:jc w:val="center"/>
        <w:rPr>
          <w:b/>
        </w:rPr>
      </w:pPr>
      <w:r>
        <w:rPr>
          <w:b/>
        </w:rPr>
        <w:t>Not Applicable</w:t>
      </w:r>
    </w:p>
    <w:p>
      <w:pPr>
        <w:pStyle w:val="TextBody"/>
        <w:spacing w:before="0" w:after="0"/>
        <w:jc w:val="center"/>
        <w:rPr>
          <w:b/>
        </w:rPr>
      </w:pPr>
      <w:r>
        <w:rPr>
          <w:b/>
        </w:rPr>
        <w:t>(Former name or former address, if changed since last report)</w:t>
      </w:r>
    </w:p>
    <w:p>
      <w:pPr>
        <w:pStyle w:val="TextBody"/>
        <w:spacing w:before="0" w:after="0"/>
        <w:jc w:val="center"/>
        <w:rPr/>
      </w:pPr>
      <w:r>
        <w:rPr/>
      </w:r>
    </w:p>
    <w:p>
      <w:pPr>
        <w:pStyle w:val="TextBody"/>
        <w:spacing w:before="0" w:after="0"/>
        <w:jc w:val="center"/>
        <w:rPr>
          <w:b/>
        </w:rPr>
      </w:pPr>
      <w:r>
        <w:rPr>
          <w:b/>
        </w:rPr>
        <w:t>Securities registered pursuant to Section 12(b) of the Act:</w:t>
      </w:r>
    </w:p>
    <w:p>
      <w:pPr>
        <w:pStyle w:val="TextBody"/>
        <w:spacing w:before="0" w:after="0"/>
        <w:rPr/>
      </w:pPr>
      <w:r>
        <w:rPr/>
      </w:r>
    </w:p>
    <w:p>
      <w:pPr>
        <w:pStyle w:val="Normal"/>
        <w:spacing w:before="0" w:after="0"/>
        <w:rPr>
          <w:sz w:val="4"/>
          <w:szCs w:val="4"/>
        </w:rPr>
      </w:pPr>
      <w:r>
        <w:rPr>
          <w:sz w:val="4"/>
          <w:szCs w:val="4"/>
        </w:rPr>
      </w:r>
      <w:bookmarkStart w:id="12" w:name="z3bbf903d26734b12932cd412bd9541b9"/>
      <w:bookmarkStart w:id="13" w:name="z3bbf903d26734b12932cd412bd9541b9"/>
      <w:bookmarkEnd w:id="13"/>
    </w:p>
    <w:tbl>
      <w:tblPr>
        <w:tblW w:w="10205" w:type="dxa"/>
        <w:jc w:val="left"/>
        <w:tblInd w:w="0" w:type="dxa"/>
        <w:tblCellMar>
          <w:top w:w="0" w:type="dxa"/>
          <w:left w:w="0" w:type="dxa"/>
          <w:bottom w:w="28" w:type="dxa"/>
          <w:right w:w="0" w:type="dxa"/>
        </w:tblCellMar>
      </w:tblPr>
      <w:tblGrid>
        <w:gridCol w:w="3746"/>
        <w:gridCol w:w="1668"/>
        <w:gridCol w:w="4791"/>
      </w:tblGrid>
      <w:tr>
        <w:trPr/>
        <w:tc>
          <w:tcPr>
            <w:tcW w:w="3746" w:type="dxa"/>
            <w:tcBorders>
              <w:bottom w:val="single" w:sz="12" w:space="0" w:color="000000"/>
            </w:tcBorders>
            <w:shd w:fill="auto" w:val="clear"/>
            <w:vAlign w:val="center"/>
          </w:tcPr>
          <w:p>
            <w:pPr>
              <w:pStyle w:val="TableContents"/>
              <w:spacing w:before="0" w:after="0"/>
              <w:jc w:val="center"/>
              <w:rPr>
                <w:b/>
              </w:rPr>
            </w:pPr>
            <w:r>
              <w:rPr>
                <w:b/>
              </w:rPr>
              <w:t>Title of Each Class:</w:t>
            </w:r>
          </w:p>
        </w:tc>
        <w:tc>
          <w:tcPr>
            <w:tcW w:w="1668" w:type="dxa"/>
            <w:tcBorders>
              <w:bottom w:val="single" w:sz="12" w:space="0" w:color="000000"/>
            </w:tcBorders>
            <w:shd w:fill="auto" w:val="clear"/>
            <w:vAlign w:val="center"/>
          </w:tcPr>
          <w:p>
            <w:pPr>
              <w:pStyle w:val="TableContents"/>
              <w:spacing w:before="0" w:after="0"/>
              <w:jc w:val="center"/>
              <w:rPr/>
            </w:pPr>
            <w:r>
              <w:rPr/>
              <w:t> </w:t>
            </w:r>
            <w:r>
              <w:rPr>
                <w:b/>
              </w:rPr>
              <w:t>Trading Symbol:</w:t>
            </w:r>
          </w:p>
        </w:tc>
        <w:tc>
          <w:tcPr>
            <w:tcW w:w="4791" w:type="dxa"/>
            <w:tcBorders>
              <w:bottom w:val="single" w:sz="12" w:space="0" w:color="000000"/>
            </w:tcBorders>
            <w:shd w:fill="auto" w:val="clear"/>
            <w:vAlign w:val="center"/>
          </w:tcPr>
          <w:p>
            <w:pPr>
              <w:pStyle w:val="TableContents"/>
              <w:spacing w:before="0" w:after="0"/>
              <w:jc w:val="center"/>
              <w:rPr>
                <w:b/>
              </w:rPr>
            </w:pPr>
            <w:r>
              <w:rPr>
                <w:b/>
              </w:rPr>
              <w:t>Name of Each Exchange on Which Registered:</w:t>
            </w:r>
          </w:p>
        </w:tc>
      </w:tr>
      <w:tr>
        <w:trPr/>
        <w:tc>
          <w:tcPr>
            <w:tcW w:w="3746" w:type="dxa"/>
            <w:tcBorders/>
            <w:shd w:fill="auto" w:val="clear"/>
            <w:tcMar>
              <w:bottom w:w="0" w:type="dxa"/>
            </w:tcMar>
            <w:vAlign w:val="center"/>
          </w:tcPr>
          <w:p>
            <w:pPr>
              <w:pStyle w:val="TableContents"/>
              <w:spacing w:before="0" w:after="0"/>
              <w:jc w:val="center"/>
              <w:rPr/>
            </w:pPr>
            <w:r>
              <w:rPr/>
              <w:t>Class A ordinary shares, $0.0001 par value</w:t>
            </w:r>
          </w:p>
        </w:tc>
        <w:tc>
          <w:tcPr>
            <w:tcW w:w="1668" w:type="dxa"/>
            <w:tcBorders/>
            <w:shd w:fill="auto" w:val="clear"/>
            <w:tcMar>
              <w:bottom w:w="0" w:type="dxa"/>
            </w:tcMar>
            <w:vAlign w:val="center"/>
          </w:tcPr>
          <w:p>
            <w:pPr>
              <w:pStyle w:val="TableContents"/>
              <w:spacing w:before="0" w:after="0"/>
              <w:jc w:val="center"/>
              <w:rPr/>
            </w:pPr>
            <w:r>
              <w:rPr/>
              <w:t>ARYA</w:t>
            </w:r>
          </w:p>
        </w:tc>
        <w:tc>
          <w:tcPr>
            <w:tcW w:w="4791" w:type="dxa"/>
            <w:tcBorders/>
            <w:shd w:fill="auto" w:val="clear"/>
            <w:tcMar>
              <w:bottom w:w="0" w:type="dxa"/>
            </w:tcMar>
            <w:vAlign w:val="center"/>
          </w:tcPr>
          <w:p>
            <w:pPr>
              <w:pStyle w:val="TableContents"/>
              <w:spacing w:before="0" w:after="0"/>
              <w:jc w:val="center"/>
              <w:rPr/>
            </w:pPr>
            <w:r>
              <w:rPr/>
              <w:t>The Nasdaq Capital Market</w:t>
            </w:r>
          </w:p>
        </w:tc>
      </w:tr>
    </w:tbl>
    <w:p>
      <w:pPr>
        <w:pStyle w:val="TextBody"/>
        <w:spacing w:before="0" w:after="0"/>
        <w:jc w:val="center"/>
        <w:rPr/>
      </w:pPr>
      <w:r>
        <w:rPr/>
      </w:r>
    </w:p>
    <w:p>
      <w:pPr>
        <w:pStyle w:val="TextBody"/>
        <w:spacing w:before="0" w:after="0"/>
        <w:jc w:val="center"/>
        <w:rPr>
          <w:b/>
        </w:rPr>
      </w:pPr>
      <w:r>
        <w:rPr>
          <w:b/>
        </w:rPr>
        <w:t xml:space="preserve">Securities registered pursuant to Section 12(g) of the Act: None </w:t>
      </w:r>
    </w:p>
    <w:p>
      <w:pPr>
        <w:pStyle w:val="TextBody"/>
        <w:spacing w:before="0" w:after="0"/>
        <w:rPr/>
      </w:pPr>
      <w:r>
        <w:rPr/>
      </w:r>
    </w:p>
    <w:p>
      <w:pPr>
        <w:pStyle w:val="TextBody"/>
        <w:spacing w:before="0" w:after="0"/>
        <w:jc w:val="both"/>
        <w:rPr/>
      </w:pPr>
      <w:r>
        <w:rPr/>
        <w:t>Indicate by check mark if the registrant is a well-known seasoned issuer, as defined in Rule 405 of the Securities Act. Yes ☐ No ☒</w:t>
      </w:r>
    </w:p>
    <w:p>
      <w:pPr>
        <w:pStyle w:val="TextBody"/>
        <w:spacing w:before="0" w:after="0"/>
        <w:rPr/>
      </w:pPr>
      <w:r>
        <w:rPr/>
        <w:t> </w:t>
      </w:r>
    </w:p>
    <w:p>
      <w:pPr>
        <w:pStyle w:val="TextBody"/>
        <w:spacing w:before="0" w:after="0"/>
        <w:jc w:val="both"/>
        <w:rPr/>
      </w:pPr>
      <w:r>
        <w:rPr/>
        <w:t>Indicate by check mark if the registrant is not required to file reports pursuant to Section 13 or Section 15(d) of the Exchange Act. Yes ☐ No ☒</w:t>
      </w:r>
    </w:p>
    <w:p>
      <w:pPr>
        <w:pStyle w:val="TextBody"/>
        <w:spacing w:before="0" w:after="0"/>
        <w:rPr/>
      </w:pPr>
      <w:r>
        <w:rPr/>
        <w:t> </w:t>
      </w:r>
    </w:p>
    <w:p>
      <w:pPr>
        <w:pStyle w:val="TextBody"/>
        <w:spacing w:before="0" w:after="0"/>
        <w:jc w:val="both"/>
        <w:rPr/>
      </w:pPr>
      <w: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rPr/>
      </w:pPr>
      <w:r>
        <w:rPr/>
        <w:t> </w:t>
      </w:r>
    </w:p>
    <w:p>
      <w:pPr>
        <w:pStyle w:val="TextBody"/>
        <w:spacing w:before="0" w:after="0"/>
        <w:jc w:val="both"/>
        <w:rPr/>
      </w:pPr>
      <w:r>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 No ☐</w:t>
      </w:r>
    </w:p>
    <w:p>
      <w:pPr>
        <w:pStyle w:val="TextBody"/>
        <w:spacing w:before="0" w:after="0"/>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pStyle w:val="TextBody"/>
        <w:spacing w:before="0" w:after="0"/>
        <w:rPr/>
      </w:pPr>
      <w:r>
        <w:rPr/>
        <w:t> </w:t>
      </w:r>
    </w:p>
    <w:p>
      <w:pPr>
        <w:pStyle w:val="Normal"/>
        <w:spacing w:before="0" w:after="0"/>
        <w:rPr>
          <w:sz w:val="4"/>
          <w:szCs w:val="4"/>
        </w:rPr>
      </w:pPr>
      <w:r>
        <w:rPr>
          <w:sz w:val="4"/>
          <w:szCs w:val="4"/>
        </w:rPr>
      </w:r>
      <w:bookmarkStart w:id="14" w:name="z147cfbb6ce8640298346fb70bc302130"/>
      <w:bookmarkStart w:id="15" w:name="z147cfbb6ce8640298346fb70bc302130"/>
      <w:bookmarkEnd w:id="15"/>
    </w:p>
    <w:tbl>
      <w:tblPr>
        <w:tblW w:w="5195" w:type="dxa"/>
        <w:jc w:val="left"/>
        <w:tblInd w:w="0" w:type="dxa"/>
        <w:tblCellMar>
          <w:top w:w="0" w:type="dxa"/>
          <w:left w:w="0" w:type="dxa"/>
          <w:bottom w:w="0" w:type="dxa"/>
          <w:right w:w="0" w:type="dxa"/>
        </w:tblCellMar>
      </w:tblPr>
      <w:tblGrid>
        <w:gridCol w:w="2120"/>
        <w:gridCol w:w="230"/>
        <w:gridCol w:w="2615"/>
        <w:gridCol w:w="230"/>
      </w:tblGrid>
      <w:tr>
        <w:trPr/>
        <w:tc>
          <w:tcPr>
            <w:tcW w:w="2120" w:type="dxa"/>
            <w:tcBorders/>
            <w:shd w:fill="auto" w:val="clear"/>
            <w:vAlign w:val="center"/>
          </w:tcPr>
          <w:p>
            <w:pPr>
              <w:pStyle w:val="TableContents"/>
              <w:spacing w:before="0" w:after="0"/>
              <w:rPr/>
            </w:pPr>
            <w:r>
              <w:rPr/>
              <w:t>Large accelerated filer</w:t>
            </w:r>
          </w:p>
        </w:tc>
        <w:tc>
          <w:tcPr>
            <w:tcW w:w="230" w:type="dxa"/>
            <w:tcBorders/>
            <w:shd w:fill="auto" w:val="clear"/>
            <w:vAlign w:val="center"/>
          </w:tcPr>
          <w:p>
            <w:pPr>
              <w:pStyle w:val="TableContents"/>
              <w:spacing w:before="0" w:after="283"/>
              <w:rPr/>
            </w:pPr>
            <w:r>
              <w:rPr/>
              <w:t>☐</w:t>
            </w:r>
          </w:p>
        </w:tc>
        <w:tc>
          <w:tcPr>
            <w:tcW w:w="2615" w:type="dxa"/>
            <w:tcBorders/>
            <w:shd w:fill="auto" w:val="clear"/>
            <w:vAlign w:val="center"/>
          </w:tcPr>
          <w:p>
            <w:pPr>
              <w:pStyle w:val="TableContents"/>
              <w:spacing w:before="0" w:after="0"/>
              <w:rPr/>
            </w:pPr>
            <w:r>
              <w:rPr/>
              <w:t>Accelerated filer</w:t>
            </w:r>
          </w:p>
        </w:tc>
        <w:tc>
          <w:tcPr>
            <w:tcW w:w="230" w:type="dxa"/>
            <w:tcBorders/>
            <w:shd w:fill="auto" w:val="clear"/>
            <w:vAlign w:val="center"/>
          </w:tcPr>
          <w:p>
            <w:pPr>
              <w:pStyle w:val="TableContents"/>
              <w:spacing w:before="0" w:after="0"/>
              <w:rPr/>
            </w:pPr>
            <w:r>
              <w:rPr/>
              <w:t>☐</w:t>
            </w:r>
          </w:p>
        </w:tc>
      </w:tr>
      <w:tr>
        <w:trPr/>
        <w:tc>
          <w:tcPr>
            <w:tcW w:w="2120" w:type="dxa"/>
            <w:tcBorders/>
            <w:shd w:fill="auto" w:val="clear"/>
            <w:vAlign w:val="center"/>
          </w:tcPr>
          <w:p>
            <w:pPr>
              <w:pStyle w:val="TableContents"/>
              <w:spacing w:before="0" w:after="0"/>
              <w:rPr/>
            </w:pPr>
            <w:r>
              <w:rPr/>
              <w:t>Non-accelerated filer</w:t>
            </w:r>
          </w:p>
        </w:tc>
        <w:tc>
          <w:tcPr>
            <w:tcW w:w="230" w:type="dxa"/>
            <w:tcBorders/>
            <w:shd w:fill="auto" w:val="clear"/>
            <w:vAlign w:val="center"/>
          </w:tcPr>
          <w:p>
            <w:pPr>
              <w:pStyle w:val="TableContents"/>
              <w:spacing w:before="0" w:after="283"/>
              <w:rPr/>
            </w:pPr>
            <w:r>
              <w:rPr/>
              <w:t>☒</w:t>
            </w:r>
          </w:p>
        </w:tc>
        <w:tc>
          <w:tcPr>
            <w:tcW w:w="2615" w:type="dxa"/>
            <w:tcBorders/>
            <w:shd w:fill="auto" w:val="clear"/>
            <w:vAlign w:val="center"/>
          </w:tcPr>
          <w:p>
            <w:pPr>
              <w:pStyle w:val="TableContents"/>
              <w:spacing w:before="0" w:after="0"/>
              <w:rPr/>
            </w:pPr>
            <w:r>
              <w:rPr/>
              <w:t>Smaller reporting company</w:t>
            </w:r>
          </w:p>
        </w:tc>
        <w:tc>
          <w:tcPr>
            <w:tcW w:w="230" w:type="dxa"/>
            <w:tcBorders/>
            <w:shd w:fill="auto" w:val="clear"/>
            <w:vAlign w:val="center"/>
          </w:tcPr>
          <w:p>
            <w:pPr>
              <w:pStyle w:val="TableContents"/>
              <w:spacing w:before="0" w:after="283"/>
              <w:rPr/>
            </w:pPr>
            <w:r>
              <w:rPr/>
              <w:t>☒</w:t>
            </w:r>
          </w:p>
        </w:tc>
      </w:tr>
      <w:tr>
        <w:trPr/>
        <w:tc>
          <w:tcPr>
            <w:tcW w:w="2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0"/>
              <w:rPr/>
            </w:pPr>
            <w:r>
              <w:rPr/>
              <w:t>Emerging growth company</w:t>
            </w:r>
          </w:p>
        </w:tc>
        <w:tc>
          <w:tcPr>
            <w:tcW w:w="230" w:type="dxa"/>
            <w:tcBorders/>
            <w:shd w:fill="auto" w:val="clear"/>
            <w:vAlign w:val="center"/>
          </w:tcPr>
          <w:p>
            <w:pPr>
              <w:pStyle w:val="TableContents"/>
              <w:spacing w:before="0" w:after="283"/>
              <w:rPr/>
            </w:pPr>
            <w:r>
              <w:rPr/>
              <w:t>☒</w:t>
            </w:r>
          </w:p>
        </w:tc>
      </w:tr>
    </w:tbl>
    <w:p>
      <w:pPr>
        <w:pStyle w:val="TextBody"/>
        <w:spacing w:before="0" w:after="0"/>
        <w:rPr/>
      </w:pPr>
      <w:r>
        <w:rPr/>
        <w:t> </w:t>
      </w:r>
    </w:p>
    <w:p>
      <w:pPr>
        <w:pStyle w:val="TextBody"/>
        <w:spacing w:before="0" w:after="0"/>
        <w:rPr/>
      </w:pPr>
      <w: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t> </w:t>
      </w:r>
    </w:p>
    <w:p>
      <w:pPr>
        <w:pStyle w:val="TextBody"/>
        <w:spacing w:before="0" w:after="0"/>
        <w:rPr/>
      </w:pPr>
      <w: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rPr/>
      </w:pPr>
      <w:r>
        <w:rPr/>
        <w:t> </w:t>
      </w:r>
    </w:p>
    <w:p>
      <w:pPr>
        <w:pStyle w:val="TextBody"/>
        <w:spacing w:before="0" w:after="0"/>
        <w:rPr/>
      </w:pPr>
      <w:r>
        <w:rPr/>
        <w:t>Indicate by check mark whether the registrant is a shell company (as defined in Rule 12b-2 of the Exchange Act). Yes ☒ No ☐</w:t>
      </w:r>
    </w:p>
    <w:p>
      <w:pPr>
        <w:pStyle w:val="TextBody"/>
        <w:spacing w:before="0" w:after="0"/>
        <w:rPr/>
      </w:pPr>
      <w:r>
        <w:rPr/>
        <w:t> </w:t>
      </w:r>
    </w:p>
    <w:p>
      <w:pPr>
        <w:pStyle w:val="TextBody"/>
        <w:spacing w:before="0" w:after="0"/>
        <w:jc w:val="both"/>
        <w:rPr/>
      </w:pPr>
      <w:r>
        <w:rPr/>
        <w:t>As of June 30, 2020, the last business day of the registrant’s most recently completed second fiscal quarter, the registrant’s securities were not publicly traded. The registrant’s Class A ordinary shares began trading on Nasdaq Capital Market (“Nasdaq”) on August 7, 2020. The aggregate market value of the Class A ordinary shares outstanding, other than shares held by persons who may be deemed affiliates of the registrant, computed by reference to the closing sales price for the ordinary shares on December 31, 2020, as reported on the Nasdaq, was $167,621,650.</w:t>
      </w:r>
    </w:p>
    <w:p>
      <w:pPr>
        <w:pStyle w:val="TextBody"/>
        <w:spacing w:before="0" w:after="0"/>
        <w:jc w:val="both"/>
        <w:rPr/>
      </w:pPr>
      <w:r>
        <w:rPr/>
      </w:r>
    </w:p>
    <w:p>
      <w:pPr>
        <w:pStyle w:val="TextBody"/>
        <w:spacing w:before="0" w:after="0"/>
        <w:jc w:val="both"/>
        <w:rPr/>
      </w:pPr>
      <w:r>
        <w:rPr/>
        <w:t>As of March 30, 2021, 15,449,000 Class A ordinary shares, par value $0.0001, and 3,737,500 Class B ordinary shares, par value $0.0001, were issued and outstanding.</w:t>
      </w:r>
    </w:p>
    <w:p>
      <w:pPr>
        <w:pStyle w:val="TextBody"/>
        <w:spacing w:before="0" w:after="0"/>
        <w:jc w:val="both"/>
        <w:rPr/>
      </w:pPr>
      <w:r>
        <w:rPr/>
      </w:r>
    </w:p>
    <w:p>
      <w:pPr>
        <w:pStyle w:val="TextBody"/>
        <w:spacing w:before="0" w:after="0"/>
        <w:jc w:val="both"/>
        <w:rPr/>
      </w:pPr>
      <w:r>
        <w:rPr/>
        <w:t>Documents Incorporated by Reference: None.</w:t>
      </w:r>
    </w:p>
    <w:p>
      <w:pPr>
        <w:pStyle w:val="TextBody"/>
        <w:spacing w:before="0" w:after="0"/>
        <w:jc w:val="both"/>
        <w:rPr/>
      </w:pPr>
      <w:r>
        <w:rPr/>
      </w:r>
    </w:p>
    <w:p>
      <w:pPr>
        <w:pStyle w:val="HorizontalLine"/>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6" w:name="DSPFPageBreakArea"/>
      <w:bookmarkStart w:id="17" w:name="DSPFPageBreakArea"/>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8" w:name="DSPFPageBreak"/>
      <w:bookmarkStart w:id="19" w:name="DSPFPageBreak"/>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u w:val="single"/>
        </w:rPr>
      </w:pPr>
      <w:bookmarkStart w:id="20" w:name="TABLEOFCONTENTS"/>
      <w:bookmarkEnd w:id="20"/>
      <w:r>
        <w:rPr>
          <w:b/>
          <w:u w:val="single"/>
        </w:rPr>
        <w:t>TABLE OF CONTENTS</w:t>
      </w:r>
    </w:p>
    <w:p>
      <w:pPr>
        <w:pStyle w:val="TextBody"/>
        <w:spacing w:before="0" w:after="0"/>
        <w:rPr/>
      </w:pPr>
      <w:r>
        <w:rPr/>
      </w:r>
    </w:p>
    <w:p>
      <w:pPr>
        <w:pStyle w:val="Normal"/>
        <w:spacing w:before="0" w:after="0"/>
        <w:rPr>
          <w:sz w:val="4"/>
          <w:szCs w:val="4"/>
        </w:rPr>
      </w:pPr>
      <w:r>
        <w:rPr>
          <w:sz w:val="4"/>
          <w:szCs w:val="4"/>
        </w:rPr>
      </w:r>
      <w:bookmarkStart w:id="21" w:name="zf427dd4b92284f64874dbc7e65c09568"/>
      <w:bookmarkStart w:id="22" w:name="zf427dd4b92284f64874dbc7e65c09568"/>
      <w:bookmarkEnd w:id="22"/>
    </w:p>
    <w:tbl>
      <w:tblPr>
        <w:tblW w:w="11490" w:type="dxa"/>
        <w:jc w:val="left"/>
        <w:tblInd w:w="0" w:type="dxa"/>
        <w:tblCellMar>
          <w:top w:w="0" w:type="dxa"/>
          <w:left w:w="0" w:type="dxa"/>
          <w:bottom w:w="0" w:type="dxa"/>
          <w:right w:w="0" w:type="dxa"/>
        </w:tblCellMar>
      </w:tblPr>
      <w:tblGrid>
        <w:gridCol w:w="200"/>
        <w:gridCol w:w="10595"/>
        <w:gridCol w:w="695"/>
      </w:tblGrid>
      <w:tr>
        <w:trPr/>
        <w:tc>
          <w:tcPr>
            <w:tcW w:w="200" w:type="dxa"/>
            <w:tcBorders/>
            <w:shd w:fill="auto" w:val="clear"/>
            <w:vAlign w:val="center"/>
          </w:tcPr>
          <w:p>
            <w:pPr>
              <w:pStyle w:val="TableContents"/>
              <w:spacing w:before="0" w:after="283"/>
              <w:rPr/>
            </w:pPr>
            <w:r>
              <w:rPr/>
              <w:t> </w:t>
            </w:r>
          </w:p>
        </w:tc>
        <w:tc>
          <w:tcPr>
            <w:tcW w:w="10595" w:type="dxa"/>
            <w:tcBorders/>
            <w:shd w:fill="auto" w:val="clear"/>
            <w:vAlign w:val="center"/>
          </w:tcPr>
          <w:p>
            <w:pPr>
              <w:pStyle w:val="TableContents"/>
              <w:spacing w:before="0" w:after="283"/>
              <w:rPr/>
            </w:pPr>
            <w:r>
              <w:rPr/>
              <w:t> </w:t>
            </w:r>
          </w:p>
        </w:tc>
        <w:tc>
          <w:tcPr>
            <w:tcW w:w="695" w:type="dxa"/>
            <w:tcBorders>
              <w:bottom w:val="single" w:sz="12" w:space="0" w:color="000000"/>
            </w:tcBorders>
            <w:shd w:fill="auto" w:val="clear"/>
            <w:tcMar>
              <w:bottom w:w="28" w:type="dxa"/>
            </w:tcMar>
            <w:vAlign w:val="center"/>
          </w:tcPr>
          <w:p>
            <w:pPr>
              <w:pStyle w:val="TableContents"/>
              <w:spacing w:before="0" w:after="0"/>
              <w:jc w:val="center"/>
              <w:rPr>
                <w:b/>
              </w:rPr>
            </w:pPr>
            <w:r>
              <w:rPr>
                <w:b/>
              </w:rPr>
              <w:t>PAGE</w:t>
            </w:r>
          </w:p>
        </w:tc>
      </w:tr>
      <w:tr>
        <w:trPr/>
        <w:tc>
          <w:tcPr>
            <w:tcW w:w="10795" w:type="dxa"/>
            <w:gridSpan w:val="2"/>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rPr/>
            </w:pPr>
            <w:r>
              <w:rPr/>
              <w:t> </w:t>
            </w:r>
          </w:p>
        </w:tc>
      </w:tr>
      <w:tr>
        <w:trPr/>
        <w:tc>
          <w:tcPr>
            <w:tcW w:w="10795" w:type="dxa"/>
            <w:gridSpan w:val="2"/>
            <w:tcBorders/>
            <w:shd w:fill="auto" w:val="clear"/>
            <w:vAlign w:val="center"/>
          </w:tcPr>
          <w:p>
            <w:pPr>
              <w:pStyle w:val="TableContents"/>
              <w:spacing w:before="0" w:after="0"/>
              <w:rPr/>
            </w:pPr>
            <w:r>
              <w:rPr/>
              <w:t>CAUTIONARY NOTE REGARDING FORWARD-LOOKING STATEMENTS AND RISK FACTOR SUMMARY</w:t>
            </w:r>
          </w:p>
        </w:tc>
        <w:tc>
          <w:tcPr>
            <w:tcW w:w="695" w:type="dxa"/>
            <w:tcBorders/>
            <w:shd w:fill="auto" w:val="clear"/>
            <w:vAlign w:val="center"/>
          </w:tcPr>
          <w:p>
            <w:pPr>
              <w:pStyle w:val="TableContents"/>
              <w:spacing w:before="0" w:after="283"/>
              <w:rPr/>
            </w:pPr>
            <w:r>
              <w:rPr/>
              <w:t> </w:t>
            </w:r>
          </w:p>
        </w:tc>
      </w:tr>
      <w:tr>
        <w:trPr/>
        <w:tc>
          <w:tcPr>
            <w:tcW w:w="10795" w:type="dxa"/>
            <w:gridSpan w:val="2"/>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rPr/>
            </w:pPr>
            <w:r>
              <w:rPr/>
              <w:t> </w:t>
            </w:r>
          </w:p>
        </w:tc>
      </w:tr>
      <w:tr>
        <w:trPr/>
        <w:tc>
          <w:tcPr>
            <w:tcW w:w="10795" w:type="dxa"/>
            <w:gridSpan w:val="2"/>
            <w:tcBorders/>
            <w:shd w:fill="auto" w:val="clear"/>
            <w:vAlign w:val="center"/>
          </w:tcPr>
          <w:p>
            <w:pPr>
              <w:pStyle w:val="TableContents"/>
              <w:spacing w:before="0" w:after="0"/>
              <w:ind w:left="240" w:right="0" w:hanging="240"/>
              <w:rPr/>
            </w:pPr>
            <w:r>
              <w:rPr/>
              <w:t>PART I</w:t>
            </w:r>
          </w:p>
        </w:tc>
        <w:tc>
          <w:tcPr>
            <w:tcW w:w="695" w:type="dxa"/>
            <w:tcBorders/>
            <w:shd w:fill="auto" w:val="clear"/>
            <w:vAlign w:val="center"/>
          </w:tcPr>
          <w:p>
            <w:pPr>
              <w:pStyle w:val="TableContents"/>
              <w:spacing w:before="0" w:after="283"/>
              <w:rPr/>
            </w:pPr>
            <w:r>
              <w:rPr/>
              <w:t> </w:t>
            </w:r>
          </w:p>
        </w:tc>
      </w:tr>
      <w:tr>
        <w:trPr/>
        <w:tc>
          <w:tcPr>
            <w:tcW w:w="200" w:type="dxa"/>
            <w:tcBorders/>
            <w:shd w:fill="CCEEFF" w:val="clear"/>
            <w:vAlign w:val="center"/>
          </w:tcPr>
          <w:p>
            <w:pPr>
              <w:pStyle w:val="TableContents"/>
              <w:spacing w:before="0" w:after="0"/>
              <w:ind w:left="240" w:right="0" w:hanging="240"/>
              <w:rPr/>
            </w:pPr>
            <w:r>
              <w:rPr/>
              <w:t>Item 1.</w:t>
            </w:r>
          </w:p>
        </w:tc>
        <w:tc>
          <w:tcPr>
            <w:tcW w:w="10595" w:type="dxa"/>
            <w:tcBorders/>
            <w:shd w:fill="CCEEFF" w:val="clear"/>
            <w:vAlign w:val="center"/>
          </w:tcPr>
          <w:p>
            <w:pPr>
              <w:pStyle w:val="TableContents"/>
              <w:spacing w:before="0" w:after="0"/>
              <w:rPr/>
            </w:pPr>
            <w:hyperlink w:anchor="BUSINESS">
              <w:r>
                <w:rPr>
                  <w:rStyle w:val="InternetLink"/>
                </w:rPr>
                <w:t>Business</w:t>
              </w:r>
            </w:hyperlink>
          </w:p>
        </w:tc>
        <w:tc>
          <w:tcPr>
            <w:tcW w:w="695" w:type="dxa"/>
            <w:tcBorders/>
            <w:shd w:fill="CCEEFF" w:val="clear"/>
            <w:vAlign w:val="center"/>
          </w:tcPr>
          <w:p>
            <w:pPr>
              <w:pStyle w:val="TableContents"/>
              <w:spacing w:before="0" w:after="283"/>
              <w:jc w:val="right"/>
              <w:rPr/>
            </w:pPr>
            <w:r>
              <w:rPr/>
              <w:t>6</w:t>
            </w:r>
          </w:p>
        </w:tc>
      </w:tr>
      <w:tr>
        <w:trPr/>
        <w:tc>
          <w:tcPr>
            <w:tcW w:w="200" w:type="dxa"/>
            <w:tcBorders/>
            <w:shd w:fill="auto" w:val="clear"/>
            <w:vAlign w:val="center"/>
          </w:tcPr>
          <w:p>
            <w:pPr>
              <w:pStyle w:val="TableContents"/>
              <w:spacing w:before="0" w:after="0"/>
              <w:ind w:left="240" w:right="0" w:hanging="240"/>
              <w:rPr/>
            </w:pPr>
            <w:r>
              <w:rPr/>
              <w:t>Item 1A.</w:t>
            </w:r>
          </w:p>
        </w:tc>
        <w:tc>
          <w:tcPr>
            <w:tcW w:w="10595" w:type="dxa"/>
            <w:tcBorders/>
            <w:shd w:fill="auto" w:val="clear"/>
            <w:vAlign w:val="center"/>
          </w:tcPr>
          <w:p>
            <w:pPr>
              <w:pStyle w:val="TableContents"/>
              <w:spacing w:before="0" w:after="0"/>
              <w:rPr/>
            </w:pPr>
            <w:hyperlink w:anchor="Item1A.">
              <w:r>
                <w:rPr>
                  <w:rStyle w:val="InternetLink"/>
                </w:rPr>
                <w:t>Risk Factors</w:t>
              </w:r>
            </w:hyperlink>
          </w:p>
        </w:tc>
        <w:tc>
          <w:tcPr>
            <w:tcW w:w="695" w:type="dxa"/>
            <w:tcBorders/>
            <w:shd w:fill="auto" w:val="clear"/>
            <w:vAlign w:val="center"/>
          </w:tcPr>
          <w:p>
            <w:pPr>
              <w:pStyle w:val="TableContents"/>
              <w:spacing w:before="0" w:after="283"/>
              <w:jc w:val="right"/>
              <w:rPr/>
            </w:pPr>
            <w:r>
              <w:rPr/>
              <w:t>22</w:t>
            </w:r>
          </w:p>
        </w:tc>
      </w:tr>
      <w:tr>
        <w:trPr/>
        <w:tc>
          <w:tcPr>
            <w:tcW w:w="200" w:type="dxa"/>
            <w:tcBorders/>
            <w:shd w:fill="CCEEFF" w:val="clear"/>
            <w:vAlign w:val="center"/>
          </w:tcPr>
          <w:p>
            <w:pPr>
              <w:pStyle w:val="TableContents"/>
              <w:spacing w:before="0" w:after="0"/>
              <w:ind w:left="240" w:right="0" w:hanging="240"/>
              <w:rPr/>
            </w:pPr>
            <w:r>
              <w:rPr/>
              <w:t>Item 1B.</w:t>
            </w:r>
          </w:p>
        </w:tc>
        <w:tc>
          <w:tcPr>
            <w:tcW w:w="10595" w:type="dxa"/>
            <w:tcBorders/>
            <w:shd w:fill="CCEEFF" w:val="clear"/>
            <w:vAlign w:val="center"/>
          </w:tcPr>
          <w:p>
            <w:pPr>
              <w:pStyle w:val="TableContents"/>
              <w:spacing w:before="0" w:after="0"/>
              <w:rPr/>
            </w:pPr>
            <w:hyperlink w:anchor="Item1B.">
              <w:r>
                <w:rPr>
                  <w:rStyle w:val="InternetLink"/>
                </w:rPr>
                <w:t>Unresolved Staff Comments</w:t>
              </w:r>
            </w:hyperlink>
          </w:p>
        </w:tc>
        <w:tc>
          <w:tcPr>
            <w:tcW w:w="695" w:type="dxa"/>
            <w:tcBorders/>
            <w:shd w:fill="CCEEFF" w:val="clear"/>
            <w:vAlign w:val="center"/>
          </w:tcPr>
          <w:p>
            <w:pPr>
              <w:pStyle w:val="TableContents"/>
              <w:spacing w:before="0" w:after="283"/>
              <w:jc w:val="right"/>
              <w:rPr/>
            </w:pPr>
            <w:r>
              <w:rPr/>
              <w:t>50</w:t>
            </w:r>
          </w:p>
        </w:tc>
      </w:tr>
      <w:tr>
        <w:trPr/>
        <w:tc>
          <w:tcPr>
            <w:tcW w:w="200" w:type="dxa"/>
            <w:tcBorders/>
            <w:shd w:fill="auto" w:val="clear"/>
            <w:vAlign w:val="center"/>
          </w:tcPr>
          <w:p>
            <w:pPr>
              <w:pStyle w:val="TableContents"/>
              <w:spacing w:before="0" w:after="0"/>
              <w:ind w:left="240" w:right="0" w:hanging="240"/>
              <w:rPr/>
            </w:pPr>
            <w:r>
              <w:rPr/>
              <w:t>Item 2.</w:t>
            </w:r>
          </w:p>
        </w:tc>
        <w:tc>
          <w:tcPr>
            <w:tcW w:w="10595" w:type="dxa"/>
            <w:tcBorders/>
            <w:shd w:fill="auto" w:val="clear"/>
            <w:vAlign w:val="center"/>
          </w:tcPr>
          <w:p>
            <w:pPr>
              <w:pStyle w:val="TableContents"/>
              <w:spacing w:before="0" w:after="0"/>
              <w:rPr/>
            </w:pPr>
            <w:hyperlink w:anchor="Item2.">
              <w:r>
                <w:rPr>
                  <w:rStyle w:val="InternetLink"/>
                </w:rPr>
                <w:t>Properties</w:t>
              </w:r>
            </w:hyperlink>
          </w:p>
        </w:tc>
        <w:tc>
          <w:tcPr>
            <w:tcW w:w="695" w:type="dxa"/>
            <w:tcBorders/>
            <w:shd w:fill="auto" w:val="clear"/>
            <w:vAlign w:val="center"/>
          </w:tcPr>
          <w:p>
            <w:pPr>
              <w:pStyle w:val="TableContents"/>
              <w:spacing w:before="0" w:after="283"/>
              <w:jc w:val="right"/>
              <w:rPr/>
            </w:pPr>
            <w:r>
              <w:rPr/>
              <w:t>50</w:t>
            </w:r>
          </w:p>
        </w:tc>
      </w:tr>
      <w:tr>
        <w:trPr/>
        <w:tc>
          <w:tcPr>
            <w:tcW w:w="200" w:type="dxa"/>
            <w:tcBorders/>
            <w:shd w:fill="CCEEFF" w:val="clear"/>
            <w:vAlign w:val="center"/>
          </w:tcPr>
          <w:p>
            <w:pPr>
              <w:pStyle w:val="TableContents"/>
              <w:spacing w:before="0" w:after="0"/>
              <w:ind w:left="240" w:right="0" w:hanging="240"/>
              <w:rPr/>
            </w:pPr>
            <w:r>
              <w:rPr/>
              <w:t>Item 3.</w:t>
            </w:r>
          </w:p>
        </w:tc>
        <w:tc>
          <w:tcPr>
            <w:tcW w:w="10595" w:type="dxa"/>
            <w:tcBorders/>
            <w:shd w:fill="CCEEFF" w:val="clear"/>
            <w:vAlign w:val="center"/>
          </w:tcPr>
          <w:p>
            <w:pPr>
              <w:pStyle w:val="TableContents"/>
              <w:spacing w:before="0" w:after="0"/>
              <w:rPr/>
            </w:pPr>
            <w:hyperlink w:anchor="Item3.">
              <w:r>
                <w:rPr>
                  <w:rStyle w:val="InternetLink"/>
                </w:rPr>
                <w:t>Legal Proceedings</w:t>
              </w:r>
            </w:hyperlink>
          </w:p>
        </w:tc>
        <w:tc>
          <w:tcPr>
            <w:tcW w:w="695" w:type="dxa"/>
            <w:tcBorders/>
            <w:shd w:fill="CCEEFF" w:val="clear"/>
            <w:vAlign w:val="center"/>
          </w:tcPr>
          <w:p>
            <w:pPr>
              <w:pStyle w:val="TableContents"/>
              <w:spacing w:before="0" w:after="283"/>
              <w:jc w:val="right"/>
              <w:rPr/>
            </w:pPr>
            <w:r>
              <w:rPr/>
              <w:t>50</w:t>
            </w:r>
          </w:p>
        </w:tc>
      </w:tr>
      <w:tr>
        <w:trPr/>
        <w:tc>
          <w:tcPr>
            <w:tcW w:w="200" w:type="dxa"/>
            <w:tcBorders/>
            <w:shd w:fill="auto" w:val="clear"/>
            <w:vAlign w:val="center"/>
          </w:tcPr>
          <w:p>
            <w:pPr>
              <w:pStyle w:val="TableContents"/>
              <w:spacing w:before="0" w:after="0"/>
              <w:ind w:left="240" w:right="0" w:hanging="240"/>
              <w:rPr/>
            </w:pPr>
            <w:r>
              <w:rPr/>
              <w:t>Item 4.</w:t>
            </w:r>
          </w:p>
        </w:tc>
        <w:tc>
          <w:tcPr>
            <w:tcW w:w="10595" w:type="dxa"/>
            <w:tcBorders/>
            <w:shd w:fill="auto" w:val="clear"/>
            <w:vAlign w:val="center"/>
          </w:tcPr>
          <w:p>
            <w:pPr>
              <w:pStyle w:val="TableContents"/>
              <w:spacing w:before="0" w:after="0"/>
              <w:rPr/>
            </w:pPr>
            <w:hyperlink w:anchor="Item4.">
              <w:r>
                <w:rPr>
                  <w:rStyle w:val="InternetLink"/>
                </w:rPr>
                <w:t>Mine Safety Disclosures</w:t>
              </w:r>
            </w:hyperlink>
          </w:p>
        </w:tc>
        <w:tc>
          <w:tcPr>
            <w:tcW w:w="695" w:type="dxa"/>
            <w:tcBorders/>
            <w:shd w:fill="auto" w:val="clear"/>
            <w:vAlign w:val="center"/>
          </w:tcPr>
          <w:p>
            <w:pPr>
              <w:pStyle w:val="TableContents"/>
              <w:spacing w:before="0" w:after="283"/>
              <w:jc w:val="right"/>
              <w:rPr/>
            </w:pPr>
            <w:r>
              <w:rPr/>
              <w:t>50</w:t>
            </w:r>
          </w:p>
        </w:tc>
      </w:tr>
      <w:tr>
        <w:trPr/>
        <w:tc>
          <w:tcPr>
            <w:tcW w:w="10795" w:type="dxa"/>
            <w:gridSpan w:val="2"/>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pPr>
            <w:r>
              <w:rPr/>
              <w:t> </w:t>
            </w:r>
          </w:p>
        </w:tc>
      </w:tr>
      <w:tr>
        <w:trPr/>
        <w:tc>
          <w:tcPr>
            <w:tcW w:w="10795" w:type="dxa"/>
            <w:gridSpan w:val="2"/>
            <w:tcBorders/>
            <w:shd w:fill="auto" w:val="clear"/>
            <w:vAlign w:val="center"/>
          </w:tcPr>
          <w:p>
            <w:pPr>
              <w:pStyle w:val="TableContents"/>
              <w:spacing w:before="0" w:after="0"/>
              <w:ind w:left="240" w:right="0" w:hanging="240"/>
              <w:rPr/>
            </w:pPr>
            <w:r>
              <w:rPr/>
              <w:t>PART II</w:t>
            </w:r>
          </w:p>
        </w:tc>
        <w:tc>
          <w:tcPr>
            <w:tcW w:w="695" w:type="dxa"/>
            <w:tcBorders/>
            <w:shd w:fill="auto" w:val="clear"/>
            <w:vAlign w:val="center"/>
          </w:tcPr>
          <w:p>
            <w:pPr>
              <w:pStyle w:val="TableContents"/>
              <w:spacing w:before="0" w:after="283"/>
              <w:jc w:val="right"/>
              <w:rPr/>
            </w:pPr>
            <w:r>
              <w:rPr/>
              <w:t> </w:t>
            </w:r>
          </w:p>
        </w:tc>
      </w:tr>
      <w:tr>
        <w:trPr/>
        <w:tc>
          <w:tcPr>
            <w:tcW w:w="200" w:type="dxa"/>
            <w:tcBorders/>
            <w:shd w:fill="CCEEFF" w:val="clear"/>
            <w:vAlign w:val="center"/>
          </w:tcPr>
          <w:p>
            <w:pPr>
              <w:pStyle w:val="TableContents"/>
              <w:spacing w:before="0" w:after="0"/>
              <w:ind w:left="240" w:right="0" w:hanging="240"/>
              <w:rPr/>
            </w:pPr>
            <w:r>
              <w:rPr/>
              <w:t>Item 5.</w:t>
            </w:r>
          </w:p>
        </w:tc>
        <w:tc>
          <w:tcPr>
            <w:tcW w:w="10595" w:type="dxa"/>
            <w:tcBorders/>
            <w:shd w:fill="CCEEFF" w:val="clear"/>
            <w:vAlign w:val="center"/>
          </w:tcPr>
          <w:p>
            <w:pPr>
              <w:pStyle w:val="TableContents"/>
              <w:spacing w:before="0" w:after="0"/>
              <w:rPr/>
            </w:pPr>
            <w:hyperlink w:anchor="Item5">
              <w:r>
                <w:rPr>
                  <w:rStyle w:val="InternetLink"/>
                </w:rPr>
                <w:t>Market for Registrant’s Common Equity, Related Shareholder Matters and Issuer Purchases of Equity Securities</w:t>
              </w:r>
            </w:hyperlink>
          </w:p>
        </w:tc>
        <w:tc>
          <w:tcPr>
            <w:tcW w:w="695" w:type="dxa"/>
            <w:tcBorders/>
            <w:shd w:fill="CCEEFF" w:val="clear"/>
            <w:vAlign w:val="center"/>
          </w:tcPr>
          <w:p>
            <w:pPr>
              <w:pStyle w:val="TableContents"/>
              <w:spacing w:before="0" w:after="283"/>
              <w:jc w:val="right"/>
              <w:rPr/>
            </w:pPr>
            <w:r>
              <w:rPr/>
              <w:t>51</w:t>
            </w:r>
          </w:p>
        </w:tc>
      </w:tr>
      <w:tr>
        <w:trPr/>
        <w:tc>
          <w:tcPr>
            <w:tcW w:w="200" w:type="dxa"/>
            <w:tcBorders/>
            <w:shd w:fill="auto" w:val="clear"/>
            <w:vAlign w:val="center"/>
          </w:tcPr>
          <w:p>
            <w:pPr>
              <w:pStyle w:val="TableContents"/>
              <w:spacing w:before="0" w:after="0"/>
              <w:ind w:left="240" w:right="0" w:hanging="240"/>
              <w:rPr/>
            </w:pPr>
            <w:r>
              <w:rPr/>
              <w:t>Item 6.</w:t>
            </w:r>
          </w:p>
        </w:tc>
        <w:tc>
          <w:tcPr>
            <w:tcW w:w="10595" w:type="dxa"/>
            <w:tcBorders/>
            <w:shd w:fill="auto" w:val="clear"/>
            <w:vAlign w:val="center"/>
          </w:tcPr>
          <w:p>
            <w:pPr>
              <w:pStyle w:val="TableContents"/>
              <w:spacing w:before="0" w:after="0"/>
              <w:rPr/>
            </w:pPr>
            <w:hyperlink w:anchor="Item6">
              <w:r>
                <w:rPr>
                  <w:rStyle w:val="InternetLink"/>
                </w:rPr>
                <w:t>Selected Financial Data</w:t>
              </w:r>
            </w:hyperlink>
          </w:p>
        </w:tc>
        <w:tc>
          <w:tcPr>
            <w:tcW w:w="695" w:type="dxa"/>
            <w:tcBorders/>
            <w:shd w:fill="auto" w:val="clear"/>
            <w:vAlign w:val="center"/>
          </w:tcPr>
          <w:p>
            <w:pPr>
              <w:pStyle w:val="TableContents"/>
              <w:spacing w:before="0" w:after="283"/>
              <w:jc w:val="right"/>
              <w:rPr/>
            </w:pPr>
            <w:r>
              <w:rPr/>
              <w:t>52</w:t>
            </w:r>
          </w:p>
        </w:tc>
      </w:tr>
      <w:tr>
        <w:trPr/>
        <w:tc>
          <w:tcPr>
            <w:tcW w:w="200" w:type="dxa"/>
            <w:tcBorders/>
            <w:shd w:fill="CCEEFF" w:val="clear"/>
            <w:vAlign w:val="center"/>
          </w:tcPr>
          <w:p>
            <w:pPr>
              <w:pStyle w:val="TableContents"/>
              <w:spacing w:before="0" w:after="0"/>
              <w:ind w:left="240" w:right="0" w:hanging="240"/>
              <w:rPr/>
            </w:pPr>
            <w:r>
              <w:rPr/>
              <w:t>Item 7.</w:t>
            </w:r>
          </w:p>
        </w:tc>
        <w:tc>
          <w:tcPr>
            <w:tcW w:w="10595" w:type="dxa"/>
            <w:tcBorders/>
            <w:shd w:fill="CCEEFF" w:val="clear"/>
            <w:vAlign w:val="center"/>
          </w:tcPr>
          <w:p>
            <w:pPr>
              <w:pStyle w:val="TableContents"/>
              <w:spacing w:before="0" w:after="0"/>
              <w:rPr/>
            </w:pPr>
            <w:hyperlink w:anchor="Item7.">
              <w:r>
                <w:rPr>
                  <w:rStyle w:val="InternetLink"/>
                </w:rPr>
                <w:t>Management’s Discussion and Analysis of Financial Condition and Results of Operations</w:t>
              </w:r>
            </w:hyperlink>
          </w:p>
        </w:tc>
        <w:tc>
          <w:tcPr>
            <w:tcW w:w="695" w:type="dxa"/>
            <w:tcBorders/>
            <w:shd w:fill="CCEEFF" w:val="clear"/>
            <w:vAlign w:val="center"/>
          </w:tcPr>
          <w:p>
            <w:pPr>
              <w:pStyle w:val="TableContents"/>
              <w:spacing w:before="0" w:after="283"/>
              <w:jc w:val="right"/>
              <w:rPr/>
            </w:pPr>
            <w:r>
              <w:rPr/>
              <w:t>52</w:t>
            </w:r>
          </w:p>
        </w:tc>
      </w:tr>
      <w:tr>
        <w:trPr/>
        <w:tc>
          <w:tcPr>
            <w:tcW w:w="200" w:type="dxa"/>
            <w:tcBorders/>
            <w:shd w:fill="auto" w:val="clear"/>
            <w:vAlign w:val="center"/>
          </w:tcPr>
          <w:p>
            <w:pPr>
              <w:pStyle w:val="TableContents"/>
              <w:spacing w:before="0" w:after="0"/>
              <w:ind w:left="240" w:right="0" w:hanging="240"/>
              <w:rPr/>
            </w:pPr>
            <w:r>
              <w:rPr/>
              <w:t>Item 7A.</w:t>
            </w:r>
          </w:p>
        </w:tc>
        <w:tc>
          <w:tcPr>
            <w:tcW w:w="10595" w:type="dxa"/>
            <w:tcBorders/>
            <w:shd w:fill="auto" w:val="clear"/>
            <w:vAlign w:val="center"/>
          </w:tcPr>
          <w:p>
            <w:pPr>
              <w:pStyle w:val="TableContents"/>
              <w:spacing w:before="0" w:after="0"/>
              <w:rPr/>
            </w:pPr>
            <w:hyperlink w:anchor="Item7A.">
              <w:r>
                <w:rPr>
                  <w:rStyle w:val="InternetLink"/>
                </w:rPr>
                <w:t>Quantitative and Qualitative Disclosures About Market Risk</w:t>
              </w:r>
            </w:hyperlink>
          </w:p>
        </w:tc>
        <w:tc>
          <w:tcPr>
            <w:tcW w:w="695" w:type="dxa"/>
            <w:tcBorders/>
            <w:shd w:fill="auto" w:val="clear"/>
            <w:vAlign w:val="center"/>
          </w:tcPr>
          <w:p>
            <w:pPr>
              <w:pStyle w:val="TableContents"/>
              <w:spacing w:before="0" w:after="283"/>
              <w:jc w:val="right"/>
              <w:rPr/>
            </w:pPr>
            <w:r>
              <w:rPr/>
              <w:t>59</w:t>
            </w:r>
          </w:p>
        </w:tc>
      </w:tr>
      <w:tr>
        <w:trPr/>
        <w:tc>
          <w:tcPr>
            <w:tcW w:w="200" w:type="dxa"/>
            <w:tcBorders/>
            <w:shd w:fill="CCEEFF" w:val="clear"/>
            <w:vAlign w:val="center"/>
          </w:tcPr>
          <w:p>
            <w:pPr>
              <w:pStyle w:val="TableContents"/>
              <w:spacing w:before="0" w:after="0"/>
              <w:ind w:left="240" w:right="0" w:hanging="240"/>
              <w:rPr/>
            </w:pPr>
            <w:r>
              <w:rPr/>
              <w:t>Item 8.</w:t>
            </w:r>
          </w:p>
        </w:tc>
        <w:tc>
          <w:tcPr>
            <w:tcW w:w="10595" w:type="dxa"/>
            <w:tcBorders/>
            <w:shd w:fill="CCEEFF" w:val="clear"/>
            <w:vAlign w:val="center"/>
          </w:tcPr>
          <w:p>
            <w:pPr>
              <w:pStyle w:val="TableContents"/>
              <w:spacing w:before="0" w:after="0"/>
              <w:rPr/>
            </w:pPr>
            <w:hyperlink w:anchor="Item8">
              <w:r>
                <w:rPr>
                  <w:rStyle w:val="InternetLink"/>
                </w:rPr>
                <w:t>Financial Statements and Supplementary Data</w:t>
              </w:r>
            </w:hyperlink>
          </w:p>
        </w:tc>
        <w:tc>
          <w:tcPr>
            <w:tcW w:w="695" w:type="dxa"/>
            <w:tcBorders/>
            <w:shd w:fill="CCEEFF" w:val="clear"/>
            <w:vAlign w:val="center"/>
          </w:tcPr>
          <w:p>
            <w:pPr>
              <w:pStyle w:val="TableContents"/>
              <w:spacing w:before="0" w:after="283"/>
              <w:jc w:val="right"/>
              <w:rPr/>
            </w:pPr>
            <w:r>
              <w:rPr/>
              <w:t>59</w:t>
            </w:r>
          </w:p>
        </w:tc>
      </w:tr>
      <w:tr>
        <w:trPr/>
        <w:tc>
          <w:tcPr>
            <w:tcW w:w="200" w:type="dxa"/>
            <w:tcBorders/>
            <w:shd w:fill="auto" w:val="clear"/>
            <w:vAlign w:val="center"/>
          </w:tcPr>
          <w:p>
            <w:pPr>
              <w:pStyle w:val="TableContents"/>
              <w:spacing w:before="0" w:after="0"/>
              <w:ind w:left="240" w:right="0" w:hanging="240"/>
              <w:rPr/>
            </w:pPr>
            <w:r>
              <w:rPr/>
              <w:t>Item 9A.</w:t>
            </w:r>
          </w:p>
        </w:tc>
        <w:tc>
          <w:tcPr>
            <w:tcW w:w="10595" w:type="dxa"/>
            <w:tcBorders/>
            <w:shd w:fill="auto" w:val="clear"/>
            <w:vAlign w:val="center"/>
          </w:tcPr>
          <w:p>
            <w:pPr>
              <w:pStyle w:val="TableContents"/>
              <w:spacing w:before="0" w:after="0"/>
              <w:rPr/>
            </w:pPr>
            <w:hyperlink w:anchor="Item9A.">
              <w:r>
                <w:rPr>
                  <w:rStyle w:val="InternetLink"/>
                </w:rPr>
                <w:t>Controls and Procedures</w:t>
              </w:r>
            </w:hyperlink>
          </w:p>
        </w:tc>
        <w:tc>
          <w:tcPr>
            <w:tcW w:w="695" w:type="dxa"/>
            <w:tcBorders/>
            <w:shd w:fill="auto" w:val="clear"/>
            <w:vAlign w:val="center"/>
          </w:tcPr>
          <w:p>
            <w:pPr>
              <w:pStyle w:val="TableContents"/>
              <w:spacing w:before="0" w:after="283"/>
              <w:jc w:val="right"/>
              <w:rPr/>
            </w:pPr>
            <w:r>
              <w:rPr/>
              <w:t>59</w:t>
            </w:r>
          </w:p>
        </w:tc>
      </w:tr>
      <w:tr>
        <w:trPr/>
        <w:tc>
          <w:tcPr>
            <w:tcW w:w="200" w:type="dxa"/>
            <w:tcBorders/>
            <w:shd w:fill="CCEEFF" w:val="clear"/>
            <w:vAlign w:val="center"/>
          </w:tcPr>
          <w:p>
            <w:pPr>
              <w:pStyle w:val="TableContents"/>
              <w:spacing w:before="0" w:after="0"/>
              <w:ind w:left="240" w:right="0" w:hanging="240"/>
              <w:rPr/>
            </w:pPr>
            <w:r>
              <w:rPr/>
              <w:t>Item 9B.</w:t>
            </w:r>
          </w:p>
        </w:tc>
        <w:tc>
          <w:tcPr>
            <w:tcW w:w="10595" w:type="dxa"/>
            <w:tcBorders/>
            <w:shd w:fill="CCEEFF" w:val="clear"/>
            <w:vAlign w:val="center"/>
          </w:tcPr>
          <w:p>
            <w:pPr>
              <w:pStyle w:val="TableContents"/>
              <w:spacing w:before="0" w:after="0"/>
              <w:rPr/>
            </w:pPr>
            <w:hyperlink w:anchor="Item9B.">
              <w:r>
                <w:rPr>
                  <w:rStyle w:val="InternetLink"/>
                </w:rPr>
                <w:t>Other Information</w:t>
              </w:r>
            </w:hyperlink>
          </w:p>
        </w:tc>
        <w:tc>
          <w:tcPr>
            <w:tcW w:w="695" w:type="dxa"/>
            <w:tcBorders/>
            <w:shd w:fill="CCEEFF" w:val="clear"/>
            <w:vAlign w:val="center"/>
          </w:tcPr>
          <w:p>
            <w:pPr>
              <w:pStyle w:val="TableContents"/>
              <w:spacing w:before="0" w:after="283"/>
              <w:jc w:val="right"/>
              <w:rPr/>
            </w:pPr>
            <w:r>
              <w:rPr/>
              <w:t>60</w:t>
            </w:r>
          </w:p>
        </w:tc>
      </w:tr>
      <w:tr>
        <w:trPr/>
        <w:tc>
          <w:tcPr>
            <w:tcW w:w="10795" w:type="dxa"/>
            <w:gridSpan w:val="2"/>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right"/>
              <w:rPr/>
            </w:pPr>
            <w:r>
              <w:rPr/>
              <w:t> </w:t>
            </w:r>
          </w:p>
        </w:tc>
      </w:tr>
      <w:tr>
        <w:trPr/>
        <w:tc>
          <w:tcPr>
            <w:tcW w:w="10795" w:type="dxa"/>
            <w:gridSpan w:val="2"/>
            <w:tcBorders/>
            <w:shd w:fill="CCEEFF" w:val="clear"/>
            <w:vAlign w:val="center"/>
          </w:tcPr>
          <w:p>
            <w:pPr>
              <w:pStyle w:val="TableContents"/>
              <w:spacing w:before="0" w:after="0"/>
              <w:ind w:left="240" w:right="0" w:hanging="240"/>
              <w:rPr/>
            </w:pPr>
            <w:r>
              <w:rPr/>
              <w:t>PART III</w:t>
            </w:r>
          </w:p>
        </w:tc>
        <w:tc>
          <w:tcPr>
            <w:tcW w:w="695" w:type="dxa"/>
            <w:tcBorders/>
            <w:shd w:fill="CCEEFF" w:val="clear"/>
            <w:vAlign w:val="center"/>
          </w:tcPr>
          <w:p>
            <w:pPr>
              <w:pStyle w:val="TableContents"/>
              <w:spacing w:before="0" w:after="283"/>
              <w:jc w:val="right"/>
              <w:rPr/>
            </w:pPr>
            <w:r>
              <w:rPr/>
              <w:t> </w:t>
            </w:r>
          </w:p>
        </w:tc>
      </w:tr>
      <w:tr>
        <w:trPr/>
        <w:tc>
          <w:tcPr>
            <w:tcW w:w="200" w:type="dxa"/>
            <w:tcBorders/>
            <w:shd w:fill="auto" w:val="clear"/>
            <w:vAlign w:val="center"/>
          </w:tcPr>
          <w:p>
            <w:pPr>
              <w:pStyle w:val="TableContents"/>
              <w:spacing w:before="0" w:after="0"/>
              <w:ind w:left="240" w:right="0" w:hanging="240"/>
              <w:rPr/>
            </w:pPr>
            <w:r>
              <w:rPr/>
              <w:t>Item 10.</w:t>
            </w:r>
          </w:p>
        </w:tc>
        <w:tc>
          <w:tcPr>
            <w:tcW w:w="10595" w:type="dxa"/>
            <w:tcBorders/>
            <w:shd w:fill="auto" w:val="clear"/>
            <w:vAlign w:val="center"/>
          </w:tcPr>
          <w:p>
            <w:pPr>
              <w:pStyle w:val="TableContents"/>
              <w:spacing w:before="0" w:after="0"/>
              <w:rPr/>
            </w:pPr>
            <w:hyperlink w:anchor="Item10.">
              <w:r>
                <w:rPr>
                  <w:rStyle w:val="InternetLink"/>
                </w:rPr>
                <w:t>Directors, Executive Officers and Corporate Governance</w:t>
              </w:r>
            </w:hyperlink>
          </w:p>
        </w:tc>
        <w:tc>
          <w:tcPr>
            <w:tcW w:w="695" w:type="dxa"/>
            <w:tcBorders/>
            <w:shd w:fill="auto" w:val="clear"/>
            <w:vAlign w:val="center"/>
          </w:tcPr>
          <w:p>
            <w:pPr>
              <w:pStyle w:val="TableContents"/>
              <w:spacing w:before="0" w:after="283"/>
              <w:jc w:val="right"/>
              <w:rPr/>
            </w:pPr>
            <w:r>
              <w:rPr/>
              <w:t>61</w:t>
            </w:r>
          </w:p>
        </w:tc>
      </w:tr>
      <w:tr>
        <w:trPr/>
        <w:tc>
          <w:tcPr>
            <w:tcW w:w="200" w:type="dxa"/>
            <w:tcBorders/>
            <w:shd w:fill="CCEEFF" w:val="clear"/>
            <w:vAlign w:val="center"/>
          </w:tcPr>
          <w:p>
            <w:pPr>
              <w:pStyle w:val="TableContents"/>
              <w:spacing w:before="0" w:after="0"/>
              <w:ind w:left="240" w:right="0" w:hanging="240"/>
              <w:rPr/>
            </w:pPr>
            <w:r>
              <w:rPr/>
              <w:t>Item 11.</w:t>
            </w:r>
          </w:p>
        </w:tc>
        <w:tc>
          <w:tcPr>
            <w:tcW w:w="10595" w:type="dxa"/>
            <w:tcBorders/>
            <w:shd w:fill="CCEEFF" w:val="clear"/>
            <w:vAlign w:val="center"/>
          </w:tcPr>
          <w:p>
            <w:pPr>
              <w:pStyle w:val="TableContents"/>
              <w:spacing w:before="0" w:after="0"/>
              <w:rPr/>
            </w:pPr>
            <w:hyperlink w:anchor="Item11">
              <w:r>
                <w:rPr>
                  <w:rStyle w:val="InternetLink"/>
                </w:rPr>
                <w:t>Executive Compensation</w:t>
              </w:r>
            </w:hyperlink>
          </w:p>
        </w:tc>
        <w:tc>
          <w:tcPr>
            <w:tcW w:w="695" w:type="dxa"/>
            <w:tcBorders/>
            <w:shd w:fill="CCEEFF" w:val="clear"/>
            <w:vAlign w:val="center"/>
          </w:tcPr>
          <w:p>
            <w:pPr>
              <w:pStyle w:val="TableContents"/>
              <w:spacing w:before="0" w:after="283"/>
              <w:jc w:val="right"/>
              <w:rPr/>
            </w:pPr>
            <w:r>
              <w:rPr/>
              <w:t>68</w:t>
            </w:r>
          </w:p>
        </w:tc>
      </w:tr>
      <w:tr>
        <w:trPr/>
        <w:tc>
          <w:tcPr>
            <w:tcW w:w="200" w:type="dxa"/>
            <w:tcBorders/>
            <w:shd w:fill="auto" w:val="clear"/>
            <w:vAlign w:val="center"/>
          </w:tcPr>
          <w:p>
            <w:pPr>
              <w:pStyle w:val="TableContents"/>
              <w:spacing w:before="0" w:after="0"/>
              <w:ind w:left="240" w:right="0" w:hanging="240"/>
              <w:rPr/>
            </w:pPr>
            <w:r>
              <w:rPr/>
              <w:t>Item 12.</w:t>
            </w:r>
          </w:p>
        </w:tc>
        <w:tc>
          <w:tcPr>
            <w:tcW w:w="10595" w:type="dxa"/>
            <w:tcBorders/>
            <w:shd w:fill="auto" w:val="clear"/>
            <w:vAlign w:val="center"/>
          </w:tcPr>
          <w:p>
            <w:pPr>
              <w:pStyle w:val="TableContents"/>
              <w:spacing w:before="0" w:after="0"/>
              <w:rPr/>
            </w:pPr>
            <w:hyperlink w:anchor="Item12.">
              <w:r>
                <w:rPr>
                  <w:rStyle w:val="InternetLink"/>
                </w:rPr>
                <w:t>Security Ownership of Certain Beneficial Owners and Management and Related Stockholder Matters</w:t>
              </w:r>
            </w:hyperlink>
          </w:p>
        </w:tc>
        <w:tc>
          <w:tcPr>
            <w:tcW w:w="695" w:type="dxa"/>
            <w:tcBorders/>
            <w:shd w:fill="auto" w:val="clear"/>
            <w:vAlign w:val="center"/>
          </w:tcPr>
          <w:p>
            <w:pPr>
              <w:pStyle w:val="TableContents"/>
              <w:spacing w:before="0" w:after="283"/>
              <w:jc w:val="right"/>
              <w:rPr/>
            </w:pPr>
            <w:r>
              <w:rPr/>
              <w:t>69</w:t>
            </w:r>
          </w:p>
        </w:tc>
      </w:tr>
      <w:tr>
        <w:trPr/>
        <w:tc>
          <w:tcPr>
            <w:tcW w:w="200" w:type="dxa"/>
            <w:tcBorders/>
            <w:shd w:fill="CCEEFF" w:val="clear"/>
            <w:vAlign w:val="center"/>
          </w:tcPr>
          <w:p>
            <w:pPr>
              <w:pStyle w:val="TableContents"/>
              <w:spacing w:before="0" w:after="0"/>
              <w:ind w:left="240" w:right="0" w:hanging="240"/>
              <w:rPr/>
            </w:pPr>
            <w:r>
              <w:rPr/>
              <w:t>Item 13.</w:t>
            </w:r>
          </w:p>
        </w:tc>
        <w:tc>
          <w:tcPr>
            <w:tcW w:w="10595" w:type="dxa"/>
            <w:tcBorders/>
            <w:shd w:fill="CCEEFF" w:val="clear"/>
            <w:vAlign w:val="center"/>
          </w:tcPr>
          <w:p>
            <w:pPr>
              <w:pStyle w:val="TableContents"/>
              <w:spacing w:before="0" w:after="0"/>
              <w:rPr/>
            </w:pPr>
            <w:hyperlink w:anchor="Item13">
              <w:r>
                <w:rPr>
                  <w:rStyle w:val="InternetLink"/>
                </w:rPr>
                <w:t>Certain Relationships and Related Transactions, and Director Independence</w:t>
              </w:r>
            </w:hyperlink>
          </w:p>
        </w:tc>
        <w:tc>
          <w:tcPr>
            <w:tcW w:w="695" w:type="dxa"/>
            <w:tcBorders/>
            <w:shd w:fill="CCEEFF" w:val="clear"/>
            <w:vAlign w:val="center"/>
          </w:tcPr>
          <w:p>
            <w:pPr>
              <w:pStyle w:val="TableContents"/>
              <w:spacing w:before="0" w:after="283"/>
              <w:jc w:val="right"/>
              <w:rPr/>
            </w:pPr>
            <w:r>
              <w:rPr/>
              <w:t>70</w:t>
            </w:r>
          </w:p>
        </w:tc>
      </w:tr>
      <w:tr>
        <w:trPr/>
        <w:tc>
          <w:tcPr>
            <w:tcW w:w="200" w:type="dxa"/>
            <w:tcBorders/>
            <w:shd w:fill="auto" w:val="clear"/>
            <w:vAlign w:val="center"/>
          </w:tcPr>
          <w:p>
            <w:pPr>
              <w:pStyle w:val="TableContents"/>
              <w:spacing w:before="0" w:after="0"/>
              <w:ind w:left="240" w:right="0" w:hanging="240"/>
              <w:rPr/>
            </w:pPr>
            <w:r>
              <w:rPr/>
              <w:t>Item 14.</w:t>
            </w:r>
          </w:p>
        </w:tc>
        <w:tc>
          <w:tcPr>
            <w:tcW w:w="10595" w:type="dxa"/>
            <w:tcBorders/>
            <w:shd w:fill="auto" w:val="clear"/>
            <w:vAlign w:val="center"/>
          </w:tcPr>
          <w:p>
            <w:pPr>
              <w:pStyle w:val="TableContents"/>
              <w:spacing w:before="0" w:after="0"/>
              <w:rPr/>
            </w:pPr>
            <w:hyperlink w:anchor="Item14">
              <w:r>
                <w:rPr>
                  <w:rStyle w:val="InternetLink"/>
                </w:rPr>
                <w:t>Principal Accountant Fees and Services</w:t>
              </w:r>
            </w:hyperlink>
          </w:p>
        </w:tc>
        <w:tc>
          <w:tcPr>
            <w:tcW w:w="695" w:type="dxa"/>
            <w:tcBorders/>
            <w:shd w:fill="auto" w:val="clear"/>
            <w:vAlign w:val="center"/>
          </w:tcPr>
          <w:p>
            <w:pPr>
              <w:pStyle w:val="TableContents"/>
              <w:spacing w:before="0" w:after="283"/>
              <w:jc w:val="right"/>
              <w:rPr/>
            </w:pPr>
            <w:r>
              <w:rPr/>
              <w:t>72</w:t>
            </w:r>
          </w:p>
        </w:tc>
      </w:tr>
      <w:tr>
        <w:trPr/>
        <w:tc>
          <w:tcPr>
            <w:tcW w:w="10795" w:type="dxa"/>
            <w:gridSpan w:val="2"/>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r>
          </w:p>
        </w:tc>
      </w:tr>
      <w:tr>
        <w:trPr/>
        <w:tc>
          <w:tcPr>
            <w:tcW w:w="10795" w:type="dxa"/>
            <w:gridSpan w:val="2"/>
            <w:tcBorders/>
            <w:shd w:fill="auto" w:val="clear"/>
            <w:vAlign w:val="center"/>
          </w:tcPr>
          <w:p>
            <w:pPr>
              <w:pStyle w:val="TableContents"/>
              <w:spacing w:before="0" w:after="0"/>
              <w:ind w:left="240" w:right="0" w:hanging="240"/>
              <w:rPr/>
            </w:pPr>
            <w:r>
              <w:rPr/>
              <w:t>PART IV</w:t>
            </w:r>
          </w:p>
        </w:tc>
        <w:tc>
          <w:tcPr>
            <w:tcW w:w="695" w:type="dxa"/>
            <w:tcBorders/>
            <w:shd w:fill="auto" w:val="clear"/>
            <w:vAlign w:val="center"/>
          </w:tcPr>
          <w:p>
            <w:pPr>
              <w:pStyle w:val="TableContents"/>
              <w:spacing w:before="0" w:after="283"/>
              <w:jc w:val="right"/>
              <w:rPr/>
            </w:pPr>
            <w:r>
              <w:rPr/>
              <w:t> </w:t>
            </w:r>
          </w:p>
        </w:tc>
      </w:tr>
      <w:tr>
        <w:trPr/>
        <w:tc>
          <w:tcPr>
            <w:tcW w:w="200" w:type="dxa"/>
            <w:tcBorders/>
            <w:shd w:fill="CCEEFF" w:val="clear"/>
            <w:vAlign w:val="center"/>
          </w:tcPr>
          <w:p>
            <w:pPr>
              <w:pStyle w:val="TableContents"/>
              <w:spacing w:before="0" w:after="0"/>
              <w:ind w:left="240" w:right="0" w:hanging="240"/>
              <w:rPr/>
            </w:pPr>
            <w:r>
              <w:rPr/>
              <w:t>Item 15.</w:t>
            </w:r>
          </w:p>
        </w:tc>
        <w:tc>
          <w:tcPr>
            <w:tcW w:w="10595" w:type="dxa"/>
            <w:tcBorders/>
            <w:shd w:fill="CCEEFF" w:val="clear"/>
            <w:vAlign w:val="center"/>
          </w:tcPr>
          <w:p>
            <w:pPr>
              <w:pStyle w:val="TableContents"/>
              <w:spacing w:before="0" w:after="0"/>
              <w:rPr/>
            </w:pPr>
            <w:hyperlink w:anchor="Item15.">
              <w:r>
                <w:rPr>
                  <w:rStyle w:val="InternetLink"/>
                </w:rPr>
                <w:t>Exhibits and Financial Statement Schedules</w:t>
              </w:r>
            </w:hyperlink>
          </w:p>
        </w:tc>
        <w:tc>
          <w:tcPr>
            <w:tcW w:w="695" w:type="dxa"/>
            <w:tcBorders/>
            <w:shd w:fill="CCEEFF" w:val="clear"/>
            <w:vAlign w:val="center"/>
          </w:tcPr>
          <w:p>
            <w:pPr>
              <w:pStyle w:val="TableContents"/>
              <w:spacing w:before="0" w:after="283"/>
              <w:jc w:val="right"/>
              <w:rPr/>
            </w:pPr>
            <w:r>
              <w:rPr/>
              <w:t>73</w:t>
            </w:r>
          </w:p>
        </w:tc>
      </w:tr>
      <w:tr>
        <w:trPr/>
        <w:tc>
          <w:tcPr>
            <w:tcW w:w="200" w:type="dxa"/>
            <w:tcBorders/>
            <w:shd w:fill="auto" w:val="clear"/>
            <w:vAlign w:val="center"/>
          </w:tcPr>
          <w:p>
            <w:pPr>
              <w:pStyle w:val="TableContents"/>
              <w:spacing w:before="0" w:after="0"/>
              <w:ind w:left="240" w:right="0" w:hanging="240"/>
              <w:rPr/>
            </w:pPr>
            <w:r>
              <w:rPr/>
              <w:t>Item 16.</w:t>
            </w:r>
          </w:p>
        </w:tc>
        <w:tc>
          <w:tcPr>
            <w:tcW w:w="10595" w:type="dxa"/>
            <w:tcBorders/>
            <w:shd w:fill="auto" w:val="clear"/>
            <w:vAlign w:val="center"/>
          </w:tcPr>
          <w:p>
            <w:pPr>
              <w:pStyle w:val="TableContents"/>
              <w:spacing w:before="0" w:after="0"/>
              <w:rPr/>
            </w:pPr>
            <w:hyperlink w:anchor="Item16.">
              <w:r>
                <w:rPr>
                  <w:rStyle w:val="InternetLink"/>
                </w:rPr>
                <w:t>Form 10-K Summary</w:t>
              </w:r>
            </w:hyperlink>
          </w:p>
        </w:tc>
        <w:tc>
          <w:tcPr>
            <w:tcW w:w="695" w:type="dxa"/>
            <w:tcBorders/>
            <w:shd w:fill="auto" w:val="clear"/>
            <w:vAlign w:val="center"/>
          </w:tcPr>
          <w:p>
            <w:pPr>
              <w:pStyle w:val="TableContents"/>
              <w:spacing w:before="0" w:after="283"/>
              <w:jc w:val="right"/>
              <w:rPr/>
            </w:pPr>
            <w:r>
              <w:rPr/>
              <w:t>74</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 w:name="DSPFPageBreakArea1"/>
      <w:bookmarkStart w:id="24" w:name="DSPFPageBreakArea1"/>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5" w:name="DSPFPageNumber"/>
      <w:bookmarkEnd w:id="25"/>
      <w:r>
        <w:rPr>
          <w:b w:val="false"/>
          <w:i w:val="false"/>
          <w:caps w:val="false"/>
          <w:smallCaps w:val="false"/>
          <w:sz w:val="16"/>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 w:name="DSPFPageBreak1"/>
      <w:bookmarkStart w:id="27" w:name="DSPFPageBreak1"/>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color w:val="000000"/>
        </w:rPr>
      </w:pPr>
      <w:r>
        <w:rPr>
          <w:b/>
          <w:color w:val="000000"/>
        </w:rPr>
        <w:t>CERTAIN TERMS</w:t>
      </w:r>
    </w:p>
    <w:p>
      <w:pPr>
        <w:pStyle w:val="TextBody"/>
        <w:spacing w:before="0" w:after="0"/>
        <w:rPr/>
      </w:pPr>
      <w:r>
        <w:rPr/>
        <w:t> </w:t>
      </w:r>
    </w:p>
    <w:p>
      <w:pPr>
        <w:pStyle w:val="TextBody"/>
        <w:spacing w:before="0" w:after="0"/>
        <w:rPr>
          <w:color w:val="000000"/>
        </w:rPr>
      </w:pPr>
      <w:r>
        <w:rPr>
          <w:color w:val="000000"/>
        </w:rPr>
        <w:t>Unless otherwise stated in this Annual Report on Form 10-K (this “Report”), references to:</w:t>
      </w:r>
    </w:p>
    <w:p>
      <w:pPr>
        <w:pStyle w:val="TextBody"/>
        <w:spacing w:before="0" w:after="0"/>
        <w:rPr/>
      </w:pPr>
      <w:r>
        <w:rPr/>
        <w:t> </w:t>
      </w:r>
    </w:p>
    <w:p>
      <w:pPr>
        <w:pStyle w:val="Normal"/>
        <w:spacing w:before="0" w:after="0"/>
        <w:rPr>
          <w:sz w:val="4"/>
          <w:szCs w:val="4"/>
        </w:rPr>
      </w:pPr>
      <w:r>
        <w:rPr>
          <w:sz w:val="4"/>
          <w:szCs w:val="4"/>
        </w:rPr>
      </w:r>
      <w:bookmarkStart w:id="28" w:name="zdfc24dfbeb694af2be5931662825ab76"/>
      <w:bookmarkStart w:id="29" w:name="zdfc24dfbeb694af2be5931662825ab76"/>
      <w:bookmarkEnd w:id="29"/>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w:t>
            </w:r>
            <w:r>
              <w:rPr>
                <w:color w:val="000000"/>
              </w:rPr>
              <w:t>Companies Act” are to the Companies Law (As Revised) of the Cayman Islands as the same may be amended from time to time;</w:t>
            </w:r>
          </w:p>
        </w:tc>
      </w:tr>
    </w:tbl>
    <w:p>
      <w:pPr>
        <w:pStyle w:val="TextBody"/>
        <w:spacing w:before="0" w:after="0"/>
        <w:rPr/>
      </w:pPr>
      <w:r>
        <w:rPr/>
        <w:t> </w:t>
      </w:r>
    </w:p>
    <w:p>
      <w:pPr>
        <w:pStyle w:val="Normal"/>
        <w:spacing w:before="0" w:after="0"/>
        <w:rPr>
          <w:sz w:val="4"/>
          <w:szCs w:val="4"/>
        </w:rPr>
      </w:pPr>
      <w:r>
        <w:rPr>
          <w:sz w:val="4"/>
          <w:szCs w:val="4"/>
        </w:rPr>
      </w:r>
      <w:bookmarkStart w:id="30" w:name="z586a4a0a0e2b41bda9340853b53927c1"/>
      <w:bookmarkStart w:id="31" w:name="z586a4a0a0e2b41bda9340853b53927c1"/>
      <w:bookmarkEnd w:id="31"/>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w:t>
            </w:r>
            <w:r>
              <w:rPr>
                <w:color w:val="000000"/>
              </w:rPr>
              <w:t>company,” “we,” “us,” “our,” or “our company” are to ARYA Sciences Acquisition Corp III, a Cayman Islands exempted company;</w:t>
            </w:r>
          </w:p>
        </w:tc>
      </w:tr>
    </w:tbl>
    <w:p>
      <w:pPr>
        <w:pStyle w:val="TextBody"/>
        <w:spacing w:before="0" w:after="0"/>
        <w:rPr/>
      </w:pPr>
      <w:r>
        <w:rPr/>
        <w:t> </w:t>
      </w:r>
    </w:p>
    <w:p>
      <w:pPr>
        <w:pStyle w:val="Normal"/>
        <w:spacing w:before="0" w:after="0"/>
        <w:rPr>
          <w:sz w:val="4"/>
          <w:szCs w:val="4"/>
        </w:rPr>
      </w:pPr>
      <w:r>
        <w:rPr>
          <w:sz w:val="4"/>
          <w:szCs w:val="4"/>
        </w:rPr>
      </w:r>
      <w:bookmarkStart w:id="32" w:name="zbdd06df95a3949248c0cbfdae1e159c0"/>
      <w:bookmarkStart w:id="33" w:name="zbdd06df95a3949248c0cbfdae1e159c0"/>
      <w:bookmarkEnd w:id="33"/>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w:t>
            </w:r>
            <w:r>
              <w:rPr>
                <w:color w:val="000000"/>
              </w:rPr>
              <w:t>founders” are to Joseph Edelman, Adam Stone, Michael Altman and Konstantin Poukalov, senior executives of Perceptive Advisors;</w:t>
            </w:r>
          </w:p>
        </w:tc>
      </w:tr>
    </w:tbl>
    <w:p>
      <w:pPr>
        <w:pStyle w:val="TextBody"/>
        <w:spacing w:before="0" w:after="0"/>
        <w:rPr/>
      </w:pPr>
      <w:r>
        <w:rPr/>
        <w:t> </w:t>
      </w:r>
    </w:p>
    <w:p>
      <w:pPr>
        <w:pStyle w:val="Normal"/>
        <w:spacing w:before="0" w:after="0"/>
        <w:rPr>
          <w:sz w:val="4"/>
          <w:szCs w:val="4"/>
        </w:rPr>
      </w:pPr>
      <w:r>
        <w:rPr>
          <w:sz w:val="4"/>
          <w:szCs w:val="4"/>
        </w:rPr>
      </w:r>
      <w:bookmarkStart w:id="34" w:name="z1c97f144aa9646b38c8aba05bb74b3c4"/>
      <w:bookmarkStart w:id="35" w:name="z1c97f144aa9646b38c8aba05bb74b3c4"/>
      <w:bookmarkEnd w:id="35"/>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w:t>
            </w:r>
            <w:r>
              <w:rPr>
                <w:color w:val="000000"/>
              </w:rPr>
              <w:t>founder shares” are to our Class B ordinary shares initially issued to our sponsor in a private placement prior to our Initial Public Offering and the Class A ordinary shares that will be issued upon the automatic conversion of the Class B ordinary shares at the time of our initial business combination (for the avoidance of doubt, such Class A ordinary shares will not be “public shares”);</w:t>
            </w:r>
          </w:p>
        </w:tc>
      </w:tr>
    </w:tbl>
    <w:p>
      <w:pPr>
        <w:pStyle w:val="TextBody"/>
        <w:spacing w:before="0" w:after="0"/>
        <w:rPr/>
      </w:pPr>
      <w:r>
        <w:rPr/>
        <w:t> </w:t>
      </w:r>
    </w:p>
    <w:p>
      <w:pPr>
        <w:pStyle w:val="Normal"/>
        <w:spacing w:before="0" w:after="0"/>
        <w:rPr>
          <w:sz w:val="4"/>
          <w:szCs w:val="4"/>
        </w:rPr>
      </w:pPr>
      <w:r>
        <w:rPr>
          <w:sz w:val="4"/>
          <w:szCs w:val="4"/>
        </w:rPr>
      </w:r>
      <w:bookmarkStart w:id="36" w:name="z7c497f237e4f4913a8265c65e5c6b542"/>
      <w:bookmarkStart w:id="37" w:name="z7c497f237e4f4913a8265c65e5c6b542"/>
      <w:bookmarkEnd w:id="3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w:t>
            </w:r>
            <w:r>
              <w:rPr>
                <w:color w:val="000000"/>
              </w:rPr>
              <w:t>initial shareholders” are to our sponsor and each other holder of founder shares upon the consummation of our Initial Public Offering;</w:t>
            </w:r>
          </w:p>
        </w:tc>
      </w:tr>
    </w:tbl>
    <w:p>
      <w:pPr>
        <w:pStyle w:val="TextBody"/>
        <w:spacing w:before="0" w:after="0"/>
        <w:rPr/>
      </w:pPr>
      <w:r>
        <w:rPr/>
        <w:t> </w:t>
      </w:r>
    </w:p>
    <w:p>
      <w:pPr>
        <w:pStyle w:val="Normal"/>
        <w:spacing w:before="0" w:after="0"/>
        <w:rPr>
          <w:sz w:val="4"/>
          <w:szCs w:val="4"/>
        </w:rPr>
      </w:pPr>
      <w:r>
        <w:rPr>
          <w:sz w:val="4"/>
          <w:szCs w:val="4"/>
        </w:rPr>
      </w:r>
      <w:bookmarkStart w:id="38" w:name="z5358309d872a48a191ffbcb4a53076b6"/>
      <w:bookmarkStart w:id="39" w:name="z5358309d872a48a191ffbcb4a53076b6"/>
      <w:bookmarkEnd w:id="39"/>
    </w:p>
    <w:tbl>
      <w:tblPr>
        <w:tblW w:w="8778" w:type="dxa"/>
        <w:jc w:val="left"/>
        <w:tblInd w:w="0" w:type="dxa"/>
        <w:tblCellMar>
          <w:top w:w="0" w:type="dxa"/>
          <w:left w:w="0" w:type="dxa"/>
          <w:bottom w:w="0" w:type="dxa"/>
          <w:right w:w="0" w:type="dxa"/>
        </w:tblCellMar>
      </w:tblPr>
      <w:tblGrid>
        <w:gridCol w:w="38"/>
        <w:gridCol w:w="110"/>
        <w:gridCol w:w="86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8630" w:type="dxa"/>
            <w:tcBorders/>
            <w:shd w:fill="auto" w:val="clear"/>
            <w:vAlign w:val="center"/>
          </w:tcPr>
          <w:p>
            <w:pPr>
              <w:pStyle w:val="TableContents"/>
              <w:spacing w:before="0" w:after="0"/>
              <w:rPr>
                <w:color w:val="000000"/>
              </w:rPr>
            </w:pPr>
            <w:r>
              <w:rPr>
                <w:color w:val="000000"/>
              </w:rPr>
              <w:t>“</w:t>
            </w:r>
            <w:r>
              <w:rPr>
                <w:color w:val="000000"/>
              </w:rPr>
              <w:t>Initial Public Offering” refers to our initial public offering for our Class A ordinary shares;</w:t>
            </w:r>
          </w:p>
        </w:tc>
      </w:tr>
    </w:tbl>
    <w:p>
      <w:pPr>
        <w:pStyle w:val="TextBody"/>
        <w:spacing w:before="0" w:after="0"/>
        <w:rPr/>
      </w:pPr>
      <w:r>
        <w:rPr/>
        <w:t> </w:t>
      </w:r>
    </w:p>
    <w:p>
      <w:pPr>
        <w:pStyle w:val="Normal"/>
        <w:spacing w:before="0" w:after="0"/>
        <w:rPr>
          <w:sz w:val="4"/>
          <w:szCs w:val="4"/>
        </w:rPr>
      </w:pPr>
      <w:r>
        <w:rPr>
          <w:sz w:val="4"/>
          <w:szCs w:val="4"/>
        </w:rPr>
      </w:r>
      <w:bookmarkStart w:id="40" w:name="ze471f5be493544e6b5d3c66c1cf0eadc"/>
      <w:bookmarkStart w:id="41" w:name="ze471f5be493544e6b5d3c66c1cf0eadc"/>
      <w:bookmarkEnd w:id="41"/>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w:t>
            </w:r>
            <w:r>
              <w:rPr>
                <w:color w:val="000000"/>
              </w:rPr>
              <w:t>management” or “our management team” are to our executive officers and directors (including our directors who became directors at the consummation of our Initial Public Offering);</w:t>
            </w:r>
          </w:p>
        </w:tc>
      </w:tr>
    </w:tbl>
    <w:p>
      <w:pPr>
        <w:pStyle w:val="TextBody"/>
        <w:spacing w:before="0" w:after="0"/>
        <w:rPr/>
      </w:pPr>
      <w:r>
        <w:rPr/>
        <w:t> </w:t>
      </w:r>
    </w:p>
    <w:p>
      <w:pPr>
        <w:pStyle w:val="Normal"/>
        <w:spacing w:before="0" w:after="0"/>
        <w:rPr>
          <w:sz w:val="4"/>
          <w:szCs w:val="4"/>
        </w:rPr>
      </w:pPr>
      <w:r>
        <w:rPr>
          <w:sz w:val="4"/>
          <w:szCs w:val="4"/>
        </w:rPr>
      </w:r>
      <w:bookmarkStart w:id="42" w:name="ze00ac5eefddd47379a6eb5d67a4192f5"/>
      <w:bookmarkStart w:id="43" w:name="ze00ac5eefddd47379a6eb5d67a4192f5"/>
      <w:bookmarkEnd w:id="43"/>
    </w:p>
    <w:tbl>
      <w:tblPr>
        <w:tblW w:w="8238" w:type="dxa"/>
        <w:jc w:val="left"/>
        <w:tblInd w:w="0" w:type="dxa"/>
        <w:tblCellMar>
          <w:top w:w="0" w:type="dxa"/>
          <w:left w:w="0" w:type="dxa"/>
          <w:bottom w:w="0" w:type="dxa"/>
          <w:right w:w="0" w:type="dxa"/>
        </w:tblCellMar>
      </w:tblPr>
      <w:tblGrid>
        <w:gridCol w:w="38"/>
        <w:gridCol w:w="110"/>
        <w:gridCol w:w="80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8090" w:type="dxa"/>
            <w:tcBorders/>
            <w:shd w:fill="auto" w:val="clear"/>
            <w:vAlign w:val="center"/>
          </w:tcPr>
          <w:p>
            <w:pPr>
              <w:pStyle w:val="TableContents"/>
              <w:spacing w:before="0" w:after="0"/>
              <w:rPr>
                <w:color w:val="000000"/>
              </w:rPr>
            </w:pPr>
            <w:r>
              <w:rPr>
                <w:color w:val="000000"/>
              </w:rPr>
              <w:t>“</w:t>
            </w:r>
            <w:r>
              <w:rPr>
                <w:color w:val="000000"/>
              </w:rPr>
              <w:t>ordinary shares” are to our Class A ordinary shares and our Class B ordinary shares;</w:t>
            </w:r>
          </w:p>
        </w:tc>
      </w:tr>
    </w:tbl>
    <w:p>
      <w:pPr>
        <w:pStyle w:val="TextBody"/>
        <w:spacing w:before="0" w:after="0"/>
        <w:rPr/>
      </w:pPr>
      <w:r>
        <w:rPr/>
        <w:t> </w:t>
      </w:r>
    </w:p>
    <w:p>
      <w:pPr>
        <w:pStyle w:val="Normal"/>
        <w:spacing w:before="0" w:after="0"/>
        <w:rPr>
          <w:sz w:val="4"/>
          <w:szCs w:val="4"/>
        </w:rPr>
      </w:pPr>
      <w:r>
        <w:rPr>
          <w:sz w:val="4"/>
          <w:szCs w:val="4"/>
        </w:rPr>
      </w:r>
      <w:bookmarkStart w:id="44" w:name="zd139363f40c34a648950683de514228f"/>
      <w:bookmarkStart w:id="45" w:name="zd139363f40c34a648950683de514228f"/>
      <w:bookmarkEnd w:id="45"/>
    </w:p>
    <w:tbl>
      <w:tblPr>
        <w:tblW w:w="8028" w:type="dxa"/>
        <w:jc w:val="left"/>
        <w:tblInd w:w="0" w:type="dxa"/>
        <w:tblCellMar>
          <w:top w:w="0" w:type="dxa"/>
          <w:left w:w="0" w:type="dxa"/>
          <w:bottom w:w="0" w:type="dxa"/>
          <w:right w:w="0" w:type="dxa"/>
        </w:tblCellMar>
      </w:tblPr>
      <w:tblGrid>
        <w:gridCol w:w="38"/>
        <w:gridCol w:w="110"/>
        <w:gridCol w:w="78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7880" w:type="dxa"/>
            <w:tcBorders/>
            <w:shd w:fill="auto" w:val="clear"/>
            <w:vAlign w:val="center"/>
          </w:tcPr>
          <w:p>
            <w:pPr>
              <w:pStyle w:val="TableContents"/>
              <w:spacing w:before="0" w:after="0"/>
              <w:rPr>
                <w:color w:val="000000"/>
              </w:rPr>
            </w:pPr>
            <w:r>
              <w:rPr>
                <w:color w:val="000000"/>
              </w:rPr>
              <w:t>“</w:t>
            </w:r>
            <w:r>
              <w:rPr>
                <w:color w:val="000000"/>
              </w:rPr>
              <w:t>Perceptive Advisors” are to Perceptive Advisors, LLC, an affiliate of our sponsor;</w:t>
            </w:r>
          </w:p>
        </w:tc>
      </w:tr>
    </w:tbl>
    <w:p>
      <w:pPr>
        <w:pStyle w:val="TextBody"/>
        <w:spacing w:before="0" w:after="0"/>
        <w:rPr/>
      </w:pPr>
      <w:r>
        <w:rPr/>
        <w:t> </w:t>
      </w:r>
    </w:p>
    <w:p>
      <w:pPr>
        <w:pStyle w:val="Normal"/>
        <w:spacing w:before="0" w:after="0"/>
        <w:rPr>
          <w:sz w:val="4"/>
          <w:szCs w:val="4"/>
        </w:rPr>
      </w:pPr>
      <w:r>
        <w:rPr>
          <w:sz w:val="4"/>
          <w:szCs w:val="4"/>
        </w:rPr>
      </w:r>
      <w:bookmarkStart w:id="46" w:name="zc5152ad5656c47af987f4422a367645e"/>
      <w:bookmarkStart w:id="47" w:name="zc5152ad5656c47af987f4422a367645e"/>
      <w:bookmarkEnd w:id="4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w:t>
            </w:r>
            <w:r>
              <w:rPr>
                <w:color w:val="000000"/>
              </w:rPr>
              <w:t>private placement shares” are to the Class A ordinary shares issued to our sponsor in a private placement simultaneously with the closing of our Initial Public Offering (which private placement shares are identical to the shares sold in our Initial Public Offering, subject to certain limited exceptions) and upon conversion of working capital loans;</w:t>
            </w:r>
          </w:p>
        </w:tc>
      </w:tr>
    </w:tbl>
    <w:p>
      <w:pPr>
        <w:pStyle w:val="TextBody"/>
        <w:spacing w:before="0" w:after="0"/>
        <w:rPr/>
      </w:pPr>
      <w:r>
        <w:rPr/>
        <w:t> </w:t>
      </w:r>
    </w:p>
    <w:p>
      <w:pPr>
        <w:pStyle w:val="Normal"/>
        <w:spacing w:before="0" w:after="0"/>
        <w:rPr>
          <w:sz w:val="4"/>
          <w:szCs w:val="4"/>
        </w:rPr>
      </w:pPr>
      <w:r>
        <w:rPr>
          <w:sz w:val="4"/>
          <w:szCs w:val="4"/>
        </w:rPr>
      </w:r>
      <w:bookmarkStart w:id="48" w:name="z49f3aaccdd704e228b1808afa3afa00f"/>
      <w:bookmarkStart w:id="49" w:name="z49f3aaccdd704e228b1808afa3afa00f"/>
      <w:bookmarkEnd w:id="49"/>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w:t>
            </w:r>
            <w:r>
              <w:rPr>
                <w:color w:val="000000"/>
              </w:rPr>
              <w:t xml:space="preserve">public shareholders” are to the holders of our public shares, including our sponsor and management team to the extent our sponsor and/or members of our management team purchase public shares, </w:t>
            </w:r>
            <w:r>
              <w:rPr>
                <w:i/>
                <w:color w:val="000000"/>
              </w:rPr>
              <w:t>provided</w:t>
            </w:r>
            <w:r>
              <w:rPr>
                <w:color w:val="000000"/>
              </w:rPr>
              <w:t xml:space="preserve"> that our sponsor’s and each member of our management team’s status as a “public shareholder” will only exist with respect to such public shares;</w:t>
            </w:r>
          </w:p>
        </w:tc>
      </w:tr>
    </w:tbl>
    <w:p>
      <w:pPr>
        <w:pStyle w:val="TextBody"/>
        <w:spacing w:before="0" w:after="0"/>
        <w:rPr/>
      </w:pPr>
      <w:r>
        <w:rPr/>
        <w:t> </w:t>
      </w:r>
    </w:p>
    <w:p>
      <w:pPr>
        <w:pStyle w:val="Normal"/>
        <w:spacing w:before="0" w:after="0"/>
        <w:rPr>
          <w:sz w:val="4"/>
          <w:szCs w:val="4"/>
        </w:rPr>
      </w:pPr>
      <w:r>
        <w:rPr>
          <w:sz w:val="4"/>
          <w:szCs w:val="4"/>
        </w:rPr>
      </w:r>
      <w:bookmarkStart w:id="50" w:name="z34afb7445307436a90ef7a59a5a4c5ca"/>
      <w:bookmarkStart w:id="51" w:name="z34afb7445307436a90ef7a59a5a4c5ca"/>
      <w:bookmarkEnd w:id="51"/>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rPr>
                <w:color w:val="000000"/>
              </w:rPr>
            </w:pPr>
            <w:r>
              <w:rPr>
                <w:color w:val="000000"/>
              </w:rPr>
              <w:t>“</w:t>
            </w:r>
            <w:r>
              <w:rPr>
                <w:color w:val="000000"/>
              </w:rPr>
              <w:t>public shares” are to our Class A ordinary shares to be sold in our Initial Public Offering (whether they are purchased in our Initial Public Offering or thereafter in the open market); and</w:t>
            </w:r>
          </w:p>
        </w:tc>
      </w:tr>
    </w:tbl>
    <w:p>
      <w:pPr>
        <w:pStyle w:val="TextBody"/>
        <w:spacing w:before="0" w:after="0"/>
        <w:rPr/>
      </w:pPr>
      <w:r>
        <w:rPr/>
        <w:t> </w:t>
      </w:r>
    </w:p>
    <w:p>
      <w:pPr>
        <w:pStyle w:val="Normal"/>
        <w:spacing w:before="0" w:after="0"/>
        <w:rPr>
          <w:sz w:val="4"/>
          <w:szCs w:val="4"/>
        </w:rPr>
      </w:pPr>
      <w:r>
        <w:rPr>
          <w:sz w:val="4"/>
          <w:szCs w:val="4"/>
        </w:rPr>
      </w:r>
      <w:bookmarkStart w:id="52" w:name="b6c2d586a27e47e7a97f4009b23b93a2"/>
      <w:bookmarkStart w:id="53" w:name="b6c2d586a27e47e7a97f4009b23b93a2"/>
      <w:bookmarkEnd w:id="53"/>
    </w:p>
    <w:tbl>
      <w:tblPr>
        <w:tblW w:w="9048" w:type="dxa"/>
        <w:jc w:val="left"/>
        <w:tblInd w:w="0" w:type="dxa"/>
        <w:tblCellMar>
          <w:top w:w="0" w:type="dxa"/>
          <w:left w:w="0" w:type="dxa"/>
          <w:bottom w:w="0" w:type="dxa"/>
          <w:right w:w="0" w:type="dxa"/>
        </w:tblCellMar>
      </w:tblPr>
      <w:tblGrid>
        <w:gridCol w:w="38"/>
        <w:gridCol w:w="110"/>
        <w:gridCol w:w="8900"/>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color w:val="000000"/>
              </w:rPr>
            </w:pPr>
            <w:r>
              <w:rPr>
                <w:color w:val="000000"/>
              </w:rPr>
              <w:t>•</w:t>
            </w:r>
          </w:p>
        </w:tc>
        <w:tc>
          <w:tcPr>
            <w:tcW w:w="8900" w:type="dxa"/>
            <w:tcBorders/>
            <w:shd w:fill="auto" w:val="clear"/>
            <w:vAlign w:val="center"/>
          </w:tcPr>
          <w:p>
            <w:pPr>
              <w:pStyle w:val="TableContents"/>
              <w:spacing w:before="0" w:after="0"/>
              <w:rPr>
                <w:color w:val="000000"/>
              </w:rPr>
            </w:pPr>
            <w:r>
              <w:rPr>
                <w:color w:val="000000"/>
              </w:rPr>
              <w:t>“</w:t>
            </w:r>
            <w:r>
              <w:rPr>
                <w:color w:val="000000"/>
              </w:rPr>
              <w:t>sponsor” are to ARYA Sciences Holdings III, a Cayman Islands exempted limited company.</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4" w:name="DSPFPageBreakArea2"/>
      <w:bookmarkStart w:id="55" w:name="DSPFPageBreakArea2"/>
      <w:bookmarkEnd w:id="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56" w:name="DSPFPageNumber1"/>
      <w:bookmarkStart w:id="57" w:name="DSPFPageNumberArea"/>
      <w:bookmarkEnd w:id="56"/>
      <w:bookmarkEnd w:id="57"/>
      <w:r>
        <w:rPr>
          <w:b w:val="false"/>
          <w:i w:val="false"/>
          <w:caps w:val="false"/>
          <w:smallCaps w:val="false"/>
          <w:sz w:val="16"/>
        </w:rPr>
        <w:t>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8" w:name="DSPFPageBreak2"/>
      <w:bookmarkStart w:id="59" w:name="DSPFPageBreak2"/>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60" w:name="DSPFPageHeader"/>
        <w:bookmarkEnd w:id="60"/>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rPr>
      </w:pPr>
      <w:r>
        <w:rPr>
          <w:b/>
        </w:rPr>
        <w:t>CAUTIONARY NOTE REGARDING FORWARD-LOOKING STATEMENTS AND RISK FACTOR SYMMARY</w:t>
      </w:r>
    </w:p>
    <w:p>
      <w:pPr>
        <w:pStyle w:val="TextBody"/>
        <w:spacing w:before="0" w:after="0"/>
        <w:jc w:val="center"/>
        <w:rPr/>
      </w:pPr>
      <w:r>
        <w:rPr/>
      </w:r>
    </w:p>
    <w:p>
      <w:pPr>
        <w:pStyle w:val="TextBody"/>
        <w:spacing w:before="0" w:after="0"/>
        <w:ind w:left="0" w:right="0" w:firstLine="720"/>
        <w:jc w:val="both"/>
        <w:rPr/>
      </w:pPr>
      <w:r>
        <w:rPr/>
        <w:t>Some of the statements contained in this Report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w:t>
      </w:r>
    </w:p>
    <w:p>
      <w:pPr>
        <w:pStyle w:val="TextBody"/>
        <w:spacing w:before="0" w:after="0"/>
        <w:rPr/>
      </w:pPr>
      <w:r>
        <w:rPr/>
        <w:t> </w:t>
      </w:r>
    </w:p>
    <w:p>
      <w:pPr>
        <w:pStyle w:val="TextBody"/>
        <w:spacing w:before="0" w:after="0"/>
        <w:ind w:left="0" w:right="0" w:firstLine="720"/>
        <w:jc w:val="both"/>
        <w:rPr/>
      </w:pPr>
      <w:r>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(some of which are beyond our control) or other factors:</w:t>
      </w:r>
    </w:p>
    <w:p>
      <w:pPr>
        <w:pStyle w:val="TextBody"/>
        <w:spacing w:before="0" w:after="0"/>
        <w:rPr/>
      </w:pPr>
      <w:r>
        <w:rPr/>
        <w:t> </w:t>
      </w:r>
    </w:p>
    <w:p>
      <w:pPr>
        <w:pStyle w:val="Normal"/>
        <w:spacing w:before="0" w:after="0"/>
        <w:rPr>
          <w:sz w:val="4"/>
          <w:szCs w:val="4"/>
        </w:rPr>
      </w:pPr>
      <w:r>
        <w:rPr>
          <w:sz w:val="4"/>
          <w:szCs w:val="4"/>
        </w:rPr>
      </w:r>
      <w:bookmarkStart w:id="61" w:name="z4e6abd9e707540e8a96c940a95a37ff0"/>
      <w:bookmarkStart w:id="62" w:name="z4e6abd9e707540e8a96c940a95a37ff0"/>
      <w:bookmarkEnd w:id="6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we are a recently incorporated company with no operating history and no revenues, and you have no basis on which to evaluate our ability to achieve our business objective;</w:t>
            </w:r>
          </w:p>
        </w:tc>
      </w:tr>
    </w:tbl>
    <w:p>
      <w:pPr>
        <w:pStyle w:val="TextBody"/>
        <w:spacing w:before="0" w:after="0"/>
        <w:rPr/>
      </w:pPr>
      <w:r>
        <w:rPr/>
        <w:t> </w:t>
      </w:r>
    </w:p>
    <w:p>
      <w:pPr>
        <w:pStyle w:val="Normal"/>
        <w:spacing w:before="0" w:after="0"/>
        <w:rPr>
          <w:sz w:val="4"/>
          <w:szCs w:val="4"/>
        </w:rPr>
      </w:pPr>
      <w:r>
        <w:rPr>
          <w:sz w:val="4"/>
          <w:szCs w:val="4"/>
        </w:rPr>
      </w:r>
      <w:bookmarkStart w:id="63" w:name="z2419bddd274d41068d890bb9c74e98c9"/>
      <w:bookmarkStart w:id="64" w:name="z2419bddd274d41068d890bb9c74e98c9"/>
      <w:bookmarkEnd w:id="64"/>
    </w:p>
    <w:tbl>
      <w:tblPr>
        <w:tblW w:w="6183" w:type="dxa"/>
        <w:jc w:val="left"/>
        <w:tblInd w:w="0" w:type="dxa"/>
        <w:tblCellMar>
          <w:top w:w="0" w:type="dxa"/>
          <w:left w:w="0" w:type="dxa"/>
          <w:bottom w:w="0" w:type="dxa"/>
          <w:right w:w="0" w:type="dxa"/>
        </w:tblCellMar>
      </w:tblPr>
      <w:tblGrid>
        <w:gridCol w:w="38"/>
        <w:gridCol w:w="110"/>
        <w:gridCol w:w="603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035" w:type="dxa"/>
            <w:tcBorders/>
            <w:shd w:fill="auto" w:val="clear"/>
            <w:vAlign w:val="center"/>
          </w:tcPr>
          <w:p>
            <w:pPr>
              <w:pStyle w:val="TableContents"/>
              <w:spacing w:before="0" w:after="0"/>
              <w:jc w:val="both"/>
              <w:rPr/>
            </w:pPr>
            <w:r>
              <w:rPr/>
              <w:t>our ability to select an appropriate target business or businesses;</w:t>
            </w:r>
          </w:p>
        </w:tc>
      </w:tr>
    </w:tbl>
    <w:p>
      <w:pPr>
        <w:pStyle w:val="TextBody"/>
        <w:spacing w:before="0" w:after="0"/>
        <w:rPr/>
      </w:pPr>
      <w:r>
        <w:rPr/>
        <w:t> </w:t>
      </w:r>
    </w:p>
    <w:p>
      <w:pPr>
        <w:pStyle w:val="Normal"/>
        <w:spacing w:before="0" w:after="0"/>
        <w:rPr>
          <w:sz w:val="4"/>
          <w:szCs w:val="4"/>
        </w:rPr>
      </w:pPr>
      <w:r>
        <w:rPr>
          <w:sz w:val="4"/>
          <w:szCs w:val="4"/>
        </w:rPr>
      </w:r>
      <w:bookmarkStart w:id="65" w:name="zc84ce0c5e31044a4805a7aee7eb82598"/>
      <w:bookmarkStart w:id="66" w:name="zc84ce0c5e31044a4805a7aee7eb82598"/>
      <w:bookmarkEnd w:id="66"/>
    </w:p>
    <w:tbl>
      <w:tblPr>
        <w:tblW w:w="5403" w:type="dxa"/>
        <w:jc w:val="left"/>
        <w:tblInd w:w="0" w:type="dxa"/>
        <w:tblCellMar>
          <w:top w:w="0" w:type="dxa"/>
          <w:left w:w="0" w:type="dxa"/>
          <w:bottom w:w="0" w:type="dxa"/>
          <w:right w:w="0" w:type="dxa"/>
        </w:tblCellMar>
      </w:tblPr>
      <w:tblGrid>
        <w:gridCol w:w="38"/>
        <w:gridCol w:w="110"/>
        <w:gridCol w:w="52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255" w:type="dxa"/>
            <w:tcBorders/>
            <w:shd w:fill="auto" w:val="clear"/>
            <w:vAlign w:val="center"/>
          </w:tcPr>
          <w:p>
            <w:pPr>
              <w:pStyle w:val="TableContents"/>
              <w:spacing w:before="0" w:after="0"/>
              <w:jc w:val="both"/>
              <w:rPr/>
            </w:pPr>
            <w:r>
              <w:rPr/>
              <w:t>our ability to complete our initial business combination;</w:t>
            </w:r>
          </w:p>
        </w:tc>
      </w:tr>
    </w:tbl>
    <w:p>
      <w:pPr>
        <w:pStyle w:val="TextBody"/>
        <w:spacing w:before="0" w:after="0"/>
        <w:rPr/>
      </w:pPr>
      <w:r>
        <w:rPr/>
        <w:t> </w:t>
      </w:r>
    </w:p>
    <w:p>
      <w:pPr>
        <w:pStyle w:val="Normal"/>
        <w:spacing w:before="0" w:after="0"/>
        <w:rPr>
          <w:sz w:val="4"/>
          <w:szCs w:val="4"/>
        </w:rPr>
      </w:pPr>
      <w:r>
        <w:rPr>
          <w:sz w:val="4"/>
          <w:szCs w:val="4"/>
        </w:rPr>
      </w:r>
      <w:bookmarkStart w:id="67" w:name="z3b11842e072240fea7d83952da8af32b"/>
      <w:bookmarkStart w:id="68" w:name="z3b11842e072240fea7d83952da8af32b"/>
      <w:bookmarkEnd w:id="68"/>
    </w:p>
    <w:tbl>
      <w:tblPr>
        <w:tblW w:w="8403" w:type="dxa"/>
        <w:jc w:val="left"/>
        <w:tblInd w:w="0" w:type="dxa"/>
        <w:tblCellMar>
          <w:top w:w="0" w:type="dxa"/>
          <w:left w:w="0" w:type="dxa"/>
          <w:bottom w:w="0" w:type="dxa"/>
          <w:right w:w="0" w:type="dxa"/>
        </w:tblCellMar>
      </w:tblPr>
      <w:tblGrid>
        <w:gridCol w:w="38"/>
        <w:gridCol w:w="110"/>
        <w:gridCol w:w="82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255" w:type="dxa"/>
            <w:tcBorders/>
            <w:shd w:fill="auto" w:val="clear"/>
            <w:vAlign w:val="center"/>
          </w:tcPr>
          <w:p>
            <w:pPr>
              <w:pStyle w:val="TableContents"/>
              <w:spacing w:before="0" w:after="0"/>
              <w:jc w:val="both"/>
              <w:rPr/>
            </w:pPr>
            <w:r>
              <w:rPr/>
              <w:t>our expectations around the performance of a prospective target business or businesses;</w:t>
            </w:r>
          </w:p>
        </w:tc>
      </w:tr>
    </w:tbl>
    <w:p>
      <w:pPr>
        <w:pStyle w:val="TextBody"/>
        <w:spacing w:before="0" w:after="0"/>
        <w:rPr/>
      </w:pPr>
      <w:r>
        <w:rPr/>
        <w:t> </w:t>
      </w:r>
    </w:p>
    <w:p>
      <w:pPr>
        <w:pStyle w:val="Normal"/>
        <w:spacing w:before="0" w:after="0"/>
        <w:rPr>
          <w:sz w:val="4"/>
          <w:szCs w:val="4"/>
        </w:rPr>
      </w:pPr>
      <w:r>
        <w:rPr>
          <w:sz w:val="4"/>
          <w:szCs w:val="4"/>
        </w:rPr>
      </w:r>
      <w:bookmarkStart w:id="69" w:name="z9c0973c6d5b5443cbe50c8a1f9c09293"/>
      <w:bookmarkStart w:id="70" w:name="z9c0973c6d5b5443cbe50c8a1f9c09293"/>
      <w:bookmarkEnd w:id="7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our success in retaining or recruiting, or changes required in, our officers, key employees or directors following our initial business combination;</w:t>
            </w:r>
          </w:p>
        </w:tc>
      </w:tr>
    </w:tbl>
    <w:p>
      <w:pPr>
        <w:pStyle w:val="TextBody"/>
        <w:spacing w:before="0" w:after="0"/>
        <w:rPr/>
      </w:pPr>
      <w:r>
        <w:rPr/>
        <w:t> </w:t>
      </w:r>
    </w:p>
    <w:p>
      <w:pPr>
        <w:pStyle w:val="Normal"/>
        <w:spacing w:before="0" w:after="0"/>
        <w:rPr>
          <w:sz w:val="4"/>
          <w:szCs w:val="4"/>
        </w:rPr>
      </w:pPr>
      <w:r>
        <w:rPr>
          <w:sz w:val="4"/>
          <w:szCs w:val="4"/>
        </w:rPr>
      </w:r>
      <w:bookmarkStart w:id="71" w:name="zdd8fb4d549fe4a68a23d5417cffbed09"/>
      <w:bookmarkStart w:id="72" w:name="zdd8fb4d549fe4a68a23d5417cffbed09"/>
      <w:bookmarkEnd w:id="7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our officers and directors allocating their time to other businesses and potentially having conflicts of interest with our business or in approving our initial business combination;</w:t>
            </w:r>
          </w:p>
        </w:tc>
      </w:tr>
    </w:tbl>
    <w:p>
      <w:pPr>
        <w:pStyle w:val="TextBody"/>
        <w:spacing w:before="0" w:after="0"/>
        <w:rPr/>
      </w:pPr>
      <w:r>
        <w:rPr/>
        <w:t> </w:t>
      </w:r>
    </w:p>
    <w:p>
      <w:pPr>
        <w:pStyle w:val="Normal"/>
        <w:spacing w:before="0" w:after="0"/>
        <w:rPr>
          <w:sz w:val="4"/>
          <w:szCs w:val="4"/>
        </w:rPr>
      </w:pPr>
      <w:r>
        <w:rPr>
          <w:sz w:val="4"/>
          <w:szCs w:val="4"/>
        </w:rPr>
      </w:r>
      <w:bookmarkStart w:id="73" w:name="z87c62b3bcc094e7da29780fcb4b52312"/>
      <w:bookmarkStart w:id="74" w:name="z87c62b3bcc094e7da29780fcb4b52312"/>
      <w:bookmarkEnd w:id="74"/>
    </w:p>
    <w:tbl>
      <w:tblPr>
        <w:tblW w:w="9093" w:type="dxa"/>
        <w:jc w:val="left"/>
        <w:tblInd w:w="0" w:type="dxa"/>
        <w:tblCellMar>
          <w:top w:w="0" w:type="dxa"/>
          <w:left w:w="0" w:type="dxa"/>
          <w:bottom w:w="0" w:type="dxa"/>
          <w:right w:w="0" w:type="dxa"/>
        </w:tblCellMar>
      </w:tblPr>
      <w:tblGrid>
        <w:gridCol w:w="38"/>
        <w:gridCol w:w="110"/>
        <w:gridCol w:w="894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945" w:type="dxa"/>
            <w:tcBorders/>
            <w:shd w:fill="auto" w:val="clear"/>
            <w:vAlign w:val="center"/>
          </w:tcPr>
          <w:p>
            <w:pPr>
              <w:pStyle w:val="TableContents"/>
              <w:spacing w:before="0" w:after="0"/>
              <w:jc w:val="both"/>
              <w:rPr/>
            </w:pPr>
            <w:r>
              <w:rPr/>
              <w:t>our potential ability to obtain additional financing to complete our initial business combination;</w:t>
            </w:r>
          </w:p>
        </w:tc>
      </w:tr>
    </w:tbl>
    <w:p>
      <w:pPr>
        <w:pStyle w:val="TextBody"/>
        <w:spacing w:before="0" w:after="0"/>
        <w:rPr/>
      </w:pPr>
      <w:r>
        <w:rPr/>
        <w:t> </w:t>
      </w:r>
    </w:p>
    <w:p>
      <w:pPr>
        <w:pStyle w:val="Normal"/>
        <w:spacing w:before="0" w:after="0"/>
        <w:rPr>
          <w:sz w:val="4"/>
          <w:szCs w:val="4"/>
        </w:rPr>
      </w:pPr>
      <w:r>
        <w:rPr>
          <w:sz w:val="4"/>
          <w:szCs w:val="4"/>
        </w:rPr>
      </w:r>
      <w:bookmarkStart w:id="75" w:name="z4aa6eb9c8c5e48aaa43dc8ce1cc09f1b"/>
      <w:bookmarkStart w:id="76" w:name="z4aa6eb9c8c5e48aaa43dc8ce1cc09f1b"/>
      <w:bookmarkEnd w:id="76"/>
    </w:p>
    <w:tbl>
      <w:tblPr>
        <w:tblW w:w="4068" w:type="dxa"/>
        <w:jc w:val="left"/>
        <w:tblInd w:w="0" w:type="dxa"/>
        <w:tblCellMar>
          <w:top w:w="0" w:type="dxa"/>
          <w:left w:w="0" w:type="dxa"/>
          <w:bottom w:w="0" w:type="dxa"/>
          <w:right w:w="0" w:type="dxa"/>
        </w:tblCellMar>
      </w:tblPr>
      <w:tblGrid>
        <w:gridCol w:w="38"/>
        <w:gridCol w:w="110"/>
        <w:gridCol w:w="39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920" w:type="dxa"/>
            <w:tcBorders/>
            <w:shd w:fill="auto" w:val="clear"/>
            <w:vAlign w:val="center"/>
          </w:tcPr>
          <w:p>
            <w:pPr>
              <w:pStyle w:val="TableContents"/>
              <w:spacing w:before="0" w:after="0"/>
              <w:jc w:val="both"/>
              <w:rPr/>
            </w:pPr>
            <w:r>
              <w:rPr/>
              <w:t>our pool of prospective target businesses;</w:t>
            </w:r>
          </w:p>
        </w:tc>
      </w:tr>
    </w:tbl>
    <w:p>
      <w:pPr>
        <w:pStyle w:val="TextBody"/>
        <w:spacing w:before="0" w:after="0"/>
        <w:rPr/>
      </w:pPr>
      <w:r>
        <w:rPr/>
        <w:t> </w:t>
      </w:r>
    </w:p>
    <w:p>
      <w:pPr>
        <w:pStyle w:val="Normal"/>
        <w:spacing w:before="0" w:after="0"/>
        <w:rPr>
          <w:sz w:val="4"/>
          <w:szCs w:val="4"/>
        </w:rPr>
      </w:pPr>
      <w:r>
        <w:rPr>
          <w:sz w:val="4"/>
          <w:szCs w:val="4"/>
        </w:rPr>
      </w:r>
      <w:bookmarkStart w:id="77" w:name="z680d8a70574a4190bce81a1328f431b1"/>
      <w:bookmarkStart w:id="78" w:name="z680d8a70574a4190bce81a1328f431b1"/>
      <w:bookmarkEnd w:id="7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our ability to consummate an initial business combination due to the uncertainty resulting from the recent COVID-19 pandemic;</w:t>
            </w:r>
          </w:p>
        </w:tc>
      </w:tr>
    </w:tbl>
    <w:p>
      <w:pPr>
        <w:pStyle w:val="TextBody"/>
        <w:spacing w:before="0" w:after="0"/>
        <w:rPr/>
      </w:pPr>
      <w:r>
        <w:rPr/>
        <w:t> </w:t>
      </w:r>
    </w:p>
    <w:p>
      <w:pPr>
        <w:pStyle w:val="Normal"/>
        <w:spacing w:before="0" w:after="0"/>
        <w:rPr>
          <w:sz w:val="4"/>
          <w:szCs w:val="4"/>
        </w:rPr>
      </w:pPr>
      <w:r>
        <w:rPr>
          <w:sz w:val="4"/>
          <w:szCs w:val="4"/>
        </w:rPr>
      </w:r>
      <w:bookmarkStart w:id="79" w:name="zd1f38a3dd07a41b6856f6d8a98956856"/>
      <w:bookmarkStart w:id="80" w:name="zd1f38a3dd07a41b6856f6d8a98956856"/>
      <w:bookmarkEnd w:id="8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the ability of our officers and directors to generate a number of potential business combination opportunities;</w:t>
            </w:r>
          </w:p>
        </w:tc>
      </w:tr>
    </w:tbl>
    <w:p>
      <w:pPr>
        <w:pStyle w:val="TextBody"/>
        <w:spacing w:before="0" w:after="0"/>
        <w:rPr/>
      </w:pPr>
      <w:r>
        <w:rPr/>
        <w:t> </w:t>
      </w:r>
    </w:p>
    <w:p>
      <w:pPr>
        <w:pStyle w:val="Normal"/>
        <w:spacing w:before="0" w:after="0"/>
        <w:rPr>
          <w:sz w:val="4"/>
          <w:szCs w:val="4"/>
        </w:rPr>
      </w:pPr>
      <w:r>
        <w:rPr>
          <w:sz w:val="4"/>
          <w:szCs w:val="4"/>
        </w:rPr>
      </w:r>
      <w:bookmarkStart w:id="81" w:name="zaf591eb82760418ca6b8839314a18aea"/>
      <w:bookmarkStart w:id="82" w:name="zaf591eb82760418ca6b8839314a18aea"/>
      <w:bookmarkEnd w:id="82"/>
    </w:p>
    <w:tbl>
      <w:tblPr>
        <w:tblW w:w="5043" w:type="dxa"/>
        <w:jc w:val="left"/>
        <w:tblInd w:w="0" w:type="dxa"/>
        <w:tblCellMar>
          <w:top w:w="0" w:type="dxa"/>
          <w:left w:w="0" w:type="dxa"/>
          <w:bottom w:w="0" w:type="dxa"/>
          <w:right w:w="0" w:type="dxa"/>
        </w:tblCellMar>
      </w:tblPr>
      <w:tblGrid>
        <w:gridCol w:w="38"/>
        <w:gridCol w:w="110"/>
        <w:gridCol w:w="48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895" w:type="dxa"/>
            <w:tcBorders/>
            <w:shd w:fill="auto" w:val="clear"/>
            <w:vAlign w:val="center"/>
          </w:tcPr>
          <w:p>
            <w:pPr>
              <w:pStyle w:val="TableContents"/>
              <w:spacing w:before="0" w:after="0"/>
              <w:jc w:val="both"/>
              <w:rPr/>
            </w:pPr>
            <w:r>
              <w:rPr/>
              <w:t>our public securities’ potential liquidity and trading;</w:t>
            </w:r>
          </w:p>
        </w:tc>
      </w:tr>
    </w:tbl>
    <w:p>
      <w:pPr>
        <w:pStyle w:val="TextBody"/>
        <w:spacing w:before="0" w:after="0"/>
        <w:rPr/>
      </w:pPr>
      <w:r>
        <w:rPr/>
        <w:t> </w:t>
      </w:r>
    </w:p>
    <w:p>
      <w:pPr>
        <w:pStyle w:val="Normal"/>
        <w:spacing w:before="0" w:after="0"/>
        <w:rPr>
          <w:sz w:val="4"/>
          <w:szCs w:val="4"/>
        </w:rPr>
      </w:pPr>
      <w:r>
        <w:rPr>
          <w:sz w:val="4"/>
          <w:szCs w:val="4"/>
        </w:rPr>
      </w:r>
      <w:bookmarkStart w:id="83" w:name="z1bf9a6f4b01345c282819cda592f65a7"/>
      <w:bookmarkStart w:id="84" w:name="z1bf9a6f4b01345c282819cda592f65a7"/>
      <w:bookmarkEnd w:id="8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the use of proceeds not held in the trust account or available to us from interest income on the trust account balance;</w:t>
            </w:r>
          </w:p>
        </w:tc>
      </w:tr>
    </w:tbl>
    <w:p>
      <w:pPr>
        <w:pStyle w:val="TextBody"/>
        <w:spacing w:before="0" w:after="0"/>
        <w:rPr/>
      </w:pPr>
      <w:r>
        <w:rPr/>
        <w:t> </w:t>
      </w:r>
    </w:p>
    <w:p>
      <w:pPr>
        <w:pStyle w:val="Normal"/>
        <w:spacing w:before="0" w:after="0"/>
        <w:rPr>
          <w:sz w:val="4"/>
          <w:szCs w:val="4"/>
        </w:rPr>
      </w:pPr>
      <w:r>
        <w:rPr>
          <w:sz w:val="4"/>
          <w:szCs w:val="4"/>
        </w:rPr>
      </w:r>
      <w:bookmarkStart w:id="85" w:name="zf16b31835a5544c5b5df077ce15c7d0a"/>
      <w:bookmarkStart w:id="86" w:name="zf16b31835a5544c5b5df077ce15c7d0a"/>
      <w:bookmarkEnd w:id="86"/>
    </w:p>
    <w:tbl>
      <w:tblPr>
        <w:tblW w:w="5778" w:type="dxa"/>
        <w:jc w:val="left"/>
        <w:tblInd w:w="0" w:type="dxa"/>
        <w:tblCellMar>
          <w:top w:w="0" w:type="dxa"/>
          <w:left w:w="0" w:type="dxa"/>
          <w:bottom w:w="0" w:type="dxa"/>
          <w:right w:w="0" w:type="dxa"/>
        </w:tblCellMar>
      </w:tblPr>
      <w:tblGrid>
        <w:gridCol w:w="38"/>
        <w:gridCol w:w="110"/>
        <w:gridCol w:w="56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630" w:type="dxa"/>
            <w:tcBorders/>
            <w:shd w:fill="auto" w:val="clear"/>
            <w:vAlign w:val="center"/>
          </w:tcPr>
          <w:p>
            <w:pPr>
              <w:pStyle w:val="TableContents"/>
              <w:spacing w:before="0" w:after="0"/>
              <w:jc w:val="both"/>
              <w:rPr/>
            </w:pPr>
            <w:r>
              <w:rPr/>
              <w:t>the trust account not being subject to claims of third parties;</w:t>
            </w:r>
          </w:p>
        </w:tc>
      </w:tr>
    </w:tbl>
    <w:p>
      <w:pPr>
        <w:pStyle w:val="TextBody"/>
        <w:spacing w:before="0" w:after="0"/>
        <w:rPr/>
      </w:pPr>
      <w:r>
        <w:rPr/>
        <w:t> </w:t>
      </w:r>
    </w:p>
    <w:p>
      <w:pPr>
        <w:pStyle w:val="Normal"/>
        <w:spacing w:before="0" w:after="0"/>
        <w:rPr>
          <w:sz w:val="4"/>
          <w:szCs w:val="4"/>
        </w:rPr>
      </w:pPr>
      <w:r>
        <w:rPr>
          <w:sz w:val="4"/>
          <w:szCs w:val="4"/>
        </w:rPr>
      </w:r>
      <w:bookmarkStart w:id="87" w:name="z5a97d6697fb241b18c6e29d54159ea2b"/>
      <w:bookmarkStart w:id="88" w:name="z5a97d6697fb241b18c6e29d54159ea2b"/>
      <w:bookmarkEnd w:id="88"/>
    </w:p>
    <w:tbl>
      <w:tblPr>
        <w:tblW w:w="6558" w:type="dxa"/>
        <w:jc w:val="left"/>
        <w:tblInd w:w="0" w:type="dxa"/>
        <w:tblCellMar>
          <w:top w:w="0" w:type="dxa"/>
          <w:left w:w="0" w:type="dxa"/>
          <w:bottom w:w="0" w:type="dxa"/>
          <w:right w:w="0" w:type="dxa"/>
        </w:tblCellMar>
      </w:tblPr>
      <w:tblGrid>
        <w:gridCol w:w="38"/>
        <w:gridCol w:w="110"/>
        <w:gridCol w:w="641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410" w:type="dxa"/>
            <w:tcBorders/>
            <w:shd w:fill="auto" w:val="clear"/>
            <w:vAlign w:val="center"/>
          </w:tcPr>
          <w:p>
            <w:pPr>
              <w:pStyle w:val="TableContents"/>
              <w:spacing w:before="0" w:after="0"/>
              <w:jc w:val="both"/>
              <w:rPr/>
            </w:pPr>
            <w:r>
              <w:rPr/>
              <w:t>our financial performance following our Initial Public Offering; and</w:t>
            </w:r>
          </w:p>
        </w:tc>
      </w:tr>
    </w:tbl>
    <w:p>
      <w:pPr>
        <w:pStyle w:val="TextBody"/>
        <w:spacing w:before="0" w:after="0"/>
        <w:rPr/>
      </w:pPr>
      <w:r>
        <w:rPr/>
        <w:t> </w:t>
      </w:r>
    </w:p>
    <w:p>
      <w:pPr>
        <w:pStyle w:val="Normal"/>
        <w:spacing w:before="0" w:after="0"/>
        <w:rPr>
          <w:sz w:val="4"/>
          <w:szCs w:val="4"/>
        </w:rPr>
      </w:pPr>
      <w:r>
        <w:rPr>
          <w:sz w:val="4"/>
          <w:szCs w:val="4"/>
        </w:rPr>
      </w:r>
      <w:bookmarkStart w:id="89" w:name="zb909650e61c94b2f93351ea1d41cc43a"/>
      <w:bookmarkStart w:id="90" w:name="zb909650e61c94b2f93351ea1d41cc43a"/>
      <w:bookmarkEnd w:id="90"/>
    </w:p>
    <w:tbl>
      <w:tblPr>
        <w:tblW w:w="8613" w:type="dxa"/>
        <w:jc w:val="left"/>
        <w:tblInd w:w="0" w:type="dxa"/>
        <w:tblCellMar>
          <w:top w:w="0" w:type="dxa"/>
          <w:left w:w="0" w:type="dxa"/>
          <w:bottom w:w="0" w:type="dxa"/>
          <w:right w:w="0" w:type="dxa"/>
        </w:tblCellMar>
      </w:tblPr>
      <w:tblGrid>
        <w:gridCol w:w="38"/>
        <w:gridCol w:w="110"/>
        <w:gridCol w:w="846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465" w:type="dxa"/>
            <w:tcBorders/>
            <w:shd w:fill="auto" w:val="clear"/>
            <w:vAlign w:val="center"/>
          </w:tcPr>
          <w:p>
            <w:pPr>
              <w:pStyle w:val="TableContents"/>
              <w:spacing w:before="0" w:after="0"/>
              <w:jc w:val="both"/>
              <w:rPr/>
            </w:pPr>
            <w:r>
              <w:rPr/>
              <w:t>the other risks and uncertainties discussed in “Risk Factors” and elsewhere in this Report.</w:t>
            </w:r>
          </w:p>
        </w:tc>
      </w:tr>
    </w:tbl>
    <w:p>
      <w:pPr>
        <w:pStyle w:val="TextBody"/>
        <w:spacing w:before="0" w:after="0"/>
        <w:rPr/>
      </w:pPr>
      <w:r>
        <w:rPr/>
        <w:t> </w:t>
      </w:r>
    </w:p>
    <w:p>
      <w:pPr>
        <w:pStyle w:val="TextBody"/>
        <w:spacing w:before="0" w:after="0"/>
        <w:ind w:left="0" w:right="0" w:firstLine="720"/>
        <w:jc w:val="both"/>
        <w:rPr/>
      </w:pPr>
      <w:r>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1" w:name="DSPFPageBreakArea3"/>
      <w:bookmarkStart w:id="92" w:name="DSPFPageBreakArea3"/>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93" w:name="DSPFPageNumber2"/>
      <w:bookmarkStart w:id="94" w:name="DSPFPageNumberArea1"/>
      <w:bookmarkEnd w:id="93"/>
      <w:bookmarkEnd w:id="94"/>
      <w:r>
        <w:rPr>
          <w:b w:val="false"/>
          <w:i w:val="false"/>
          <w:caps w:val="false"/>
          <w:smallCaps w:val="false"/>
          <w:sz w:val="16"/>
        </w:rPr>
        <w:t>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5" w:name="DSPFPageBreak3"/>
      <w:bookmarkStart w:id="96" w:name="DSPFPageBreak3"/>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97" w:name="DSPFPageHeader1"/>
        <w:bookmarkEnd w:id="97"/>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color w:val="000000"/>
        </w:rPr>
      </w:pPr>
      <w:r>
        <w:rPr>
          <w:b/>
          <w:color w:val="000000"/>
        </w:rPr>
        <w:t>PART I</w:t>
      </w:r>
    </w:p>
    <w:p>
      <w:pPr>
        <w:pStyle w:val="TextBody"/>
        <w:spacing w:before="0" w:after="0"/>
        <w:jc w:val="center"/>
        <w:rPr>
          <w:b/>
          <w:color w:val="000000"/>
        </w:rPr>
      </w:pPr>
      <w:r>
        <w:rPr>
          <w:b/>
          <w:color w:val="000000"/>
        </w:rPr>
      </w:r>
    </w:p>
    <w:p>
      <w:pPr>
        <w:pStyle w:val="Normal"/>
        <w:spacing w:before="0" w:after="0"/>
        <w:rPr>
          <w:sz w:val="4"/>
          <w:szCs w:val="4"/>
        </w:rPr>
      </w:pPr>
      <w:r>
        <w:rPr>
          <w:sz w:val="4"/>
          <w:szCs w:val="4"/>
        </w:rPr>
      </w:r>
      <w:bookmarkStart w:id="98" w:name="z3728125f852e45a4a3953972b31f25d7"/>
      <w:bookmarkStart w:id="99" w:name="z3728125f852e45a4a3953972b31f25d7"/>
      <w:bookmarkEnd w:id="99"/>
    </w:p>
    <w:tbl>
      <w:tblPr>
        <w:tblW w:w="2140" w:type="dxa"/>
        <w:jc w:val="left"/>
        <w:tblInd w:w="0" w:type="dxa"/>
        <w:tblCellMar>
          <w:top w:w="0" w:type="dxa"/>
          <w:left w:w="0" w:type="dxa"/>
          <w:bottom w:w="0" w:type="dxa"/>
          <w:right w:w="0" w:type="dxa"/>
        </w:tblCellMar>
      </w:tblPr>
      <w:tblGrid>
        <w:gridCol w:w="920"/>
        <w:gridCol w:w="1220"/>
      </w:tblGrid>
      <w:tr>
        <w:trPr/>
        <w:tc>
          <w:tcPr>
            <w:tcW w:w="920" w:type="dxa"/>
            <w:tcBorders/>
            <w:shd w:fill="auto" w:val="clear"/>
            <w:vAlign w:val="center"/>
          </w:tcPr>
          <w:p>
            <w:pPr>
              <w:pStyle w:val="TableContents"/>
              <w:spacing w:before="0" w:after="0"/>
              <w:jc w:val="both"/>
              <w:rPr>
                <w:b/>
                <w:color w:val="000000"/>
              </w:rPr>
            </w:pPr>
            <w:r>
              <w:rPr>
                <w:b/>
                <w:color w:val="000000"/>
              </w:rPr>
              <w:t>ITEM 1.</w:t>
            </w:r>
          </w:p>
        </w:tc>
        <w:tc>
          <w:tcPr>
            <w:tcW w:w="1220" w:type="dxa"/>
            <w:tcBorders/>
            <w:shd w:fill="auto" w:val="clear"/>
            <w:vAlign w:val="center"/>
          </w:tcPr>
          <w:p>
            <w:pPr>
              <w:pStyle w:val="TableContents"/>
              <w:spacing w:before="0" w:after="0"/>
              <w:jc w:val="both"/>
              <w:rPr>
                <w:b/>
                <w:color w:val="000000"/>
              </w:rPr>
            </w:pPr>
            <w:bookmarkStart w:id="100" w:name="BUSINESS"/>
            <w:bookmarkEnd w:id="100"/>
            <w:r>
              <w:rPr>
                <w:b/>
                <w:color w:val="000000"/>
              </w:rPr>
              <w:t>BUSINESS</w:t>
            </w:r>
          </w:p>
        </w:tc>
      </w:tr>
    </w:tbl>
    <w:p>
      <w:pPr>
        <w:pStyle w:val="TextBody"/>
        <w:spacing w:before="0" w:after="0"/>
        <w:rPr/>
      </w:pPr>
      <w:r>
        <w:rPr/>
      </w:r>
    </w:p>
    <w:p>
      <w:pPr>
        <w:pStyle w:val="TextBody"/>
        <w:spacing w:before="0" w:after="0"/>
        <w:rPr>
          <w:b/>
          <w:color w:val="000000"/>
        </w:rPr>
      </w:pPr>
      <w:r>
        <w:rPr>
          <w:b/>
          <w:color w:val="000000"/>
        </w:rPr>
        <w:t>Summary</w:t>
      </w:r>
    </w:p>
    <w:p>
      <w:pPr>
        <w:pStyle w:val="TextBody"/>
        <w:spacing w:before="0" w:after="0"/>
        <w:rPr/>
      </w:pPr>
      <w:r>
        <w:rPr/>
      </w:r>
    </w:p>
    <w:p>
      <w:pPr>
        <w:pStyle w:val="TextBody"/>
        <w:spacing w:before="0" w:after="0"/>
        <w:jc w:val="both"/>
        <w:rPr>
          <w:b/>
          <w:color w:val="000000"/>
        </w:rPr>
      </w:pPr>
      <w:r>
        <w:rPr>
          <w:b/>
          <w:color w:val="000000"/>
        </w:rPr>
        <w:t>Introduction</w:t>
      </w:r>
    </w:p>
    <w:p>
      <w:pPr>
        <w:pStyle w:val="TextBody"/>
        <w:spacing w:before="0" w:after="0"/>
        <w:rPr/>
      </w:pPr>
      <w:r>
        <w:rPr/>
      </w:r>
    </w:p>
    <w:p>
      <w:pPr>
        <w:pStyle w:val="TextBody"/>
        <w:spacing w:before="0" w:after="0"/>
        <w:jc w:val="both"/>
        <w:rPr>
          <w:color w:val="000000"/>
        </w:rPr>
      </w:pPr>
      <w:r>
        <w:rPr>
          <w:color w:val="000000"/>
        </w:rPr>
        <w:t>We are a recently organized blank check company incorporated in March 27, 2020 as a Cayman Islands exempted company formed for the purpose of effecting a merger, share exchange, asset acquisition, share purchase, reorganization or similar business combination with one or more businesses, which we refer to throughout this Report as our initial business combination. We have generated no operating revenues to date and we do not expect that we will generate operating revenues until we consummate our initial business combination. To date, our efforts have been limited to organizational activities, activities related to our Initial Public Offering as well as the search for a prospective business combination.</w:t>
      </w:r>
    </w:p>
    <w:p>
      <w:pPr>
        <w:pStyle w:val="TextBody"/>
        <w:spacing w:before="0" w:after="0"/>
        <w:rPr/>
      </w:pPr>
      <w:r>
        <w:rPr/>
      </w:r>
    </w:p>
    <w:p>
      <w:pPr>
        <w:pStyle w:val="TextBody"/>
        <w:spacing w:before="0" w:after="0"/>
        <w:jc w:val="both"/>
        <w:rPr>
          <w:color w:val="000000"/>
        </w:rPr>
      </w:pPr>
      <w:r>
        <w:rPr>
          <w:color w:val="000000"/>
        </w:rPr>
        <w:t>While we may pursue an acquisition opportunity in any business, industry, sector or geographical location, we focus on industries that complement our management team’s background, and to capitalize on the ability of our management team to identify and acquire a business, focusing on the healthcare or healthcare-related industries. In particular, we are targeting North American or European companies in the life sciences and medical technology sectors where our management has extensive investment experience. We may pursue a transaction in which our shareholders immediately prior to the completion of our initial business combination would collectively own a minority interest in the post-business combination company.</w:t>
      </w:r>
    </w:p>
    <w:p>
      <w:pPr>
        <w:pStyle w:val="TextBody"/>
        <w:spacing w:before="0" w:after="0"/>
        <w:rPr/>
      </w:pPr>
      <w:r>
        <w:rPr/>
      </w:r>
    </w:p>
    <w:p>
      <w:pPr>
        <w:pStyle w:val="TextBody"/>
        <w:spacing w:before="0" w:after="0"/>
        <w:jc w:val="both"/>
        <w:rPr>
          <w:b/>
          <w:color w:val="000000"/>
        </w:rPr>
      </w:pPr>
      <w:r>
        <w:rPr>
          <w:b/>
          <w:color w:val="000000"/>
        </w:rPr>
        <w:t>Our Founders</w:t>
      </w:r>
    </w:p>
    <w:p>
      <w:pPr>
        <w:pStyle w:val="TextBody"/>
        <w:spacing w:before="0" w:after="0"/>
        <w:rPr/>
      </w:pPr>
      <w:r>
        <w:rPr/>
      </w:r>
    </w:p>
    <w:p>
      <w:pPr>
        <w:pStyle w:val="TextBody"/>
        <w:spacing w:before="0" w:after="0"/>
        <w:jc w:val="both"/>
        <w:rPr>
          <w:color w:val="000000"/>
        </w:rPr>
      </w:pPr>
      <w:r>
        <w:rPr>
          <w:color w:val="000000"/>
        </w:rPr>
        <w:t>Our sponsor is an affiliate of Perceptive Advisors, a leading life sciences focused investment firm with over $10 billion of regulatory assets under management as of September 30, 2020. Since its launch in 1999, Perceptive Advisors has focused exclusively on the healthcare industry. Our founders are the founder and management of Perceptive Advisors. Joseph Edelman, our Chairman, founded Perceptive Advisors in 1999. Adam Stone, our Chief Executive Officer, is the Chief Investment Officer of Perceptive Advisors, Michael Altman, our Chief Financial Officer, is a Managing Director at Perceptive Advisors and Konstantin Poukalov, our Chief Business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95 private companies since 2013 and in 2020 met with over 250 private companies in evaluation of private growth financing rounds, crossovers, and pre-IPO analysis.</w:t>
      </w:r>
    </w:p>
    <w:p>
      <w:pPr>
        <w:pStyle w:val="TextBody"/>
        <w:spacing w:before="0" w:after="0"/>
        <w:rPr/>
      </w:pPr>
      <w:r>
        <w:rPr/>
      </w:r>
    </w:p>
    <w:p>
      <w:pPr>
        <w:pStyle w:val="TextBody"/>
        <w:spacing w:before="0" w:after="0"/>
        <w:jc w:val="both"/>
        <w:rPr>
          <w:b/>
          <w:color w:val="000000"/>
        </w:rPr>
      </w:pPr>
      <w:r>
        <w:rPr>
          <w:b/>
          <w:color w:val="000000"/>
        </w:rPr>
        <w:t>Experience with Special Purpose Acquisition Vehicles</w:t>
      </w:r>
    </w:p>
    <w:p>
      <w:pPr>
        <w:pStyle w:val="TextBody"/>
        <w:spacing w:before="0" w:after="0"/>
        <w:rPr/>
      </w:pPr>
      <w:r>
        <w:rPr/>
      </w:r>
    </w:p>
    <w:p>
      <w:pPr>
        <w:pStyle w:val="TextBody"/>
        <w:spacing w:before="0" w:after="0"/>
        <w:jc w:val="both"/>
        <w:rPr>
          <w:color w:val="000000"/>
        </w:rPr>
      </w:pPr>
      <w:r>
        <w:rPr>
          <w:color w:val="000000"/>
        </w:rPr>
        <w:t>Our management team has previous experience in the execution of public acquisition vehicles. In July 2020, ARYA Sciences Acquisition Corp. consummated its initial business combination with Immatics Biotechnologies GmbH (“Immatics”). The ordinary shares of the combined company, Immatics N.V., are traded on Nasdaq under the symbol “IMTX.” Mr. Stone continues to serve on the supervisory board of Immatics N.V. following the consummation of the business combination.</w:t>
      </w:r>
    </w:p>
    <w:p>
      <w:pPr>
        <w:pStyle w:val="TextBody"/>
        <w:spacing w:before="0" w:after="0"/>
        <w:rPr/>
      </w:pPr>
      <w:r>
        <w:rPr/>
      </w:r>
    </w:p>
    <w:p>
      <w:pPr>
        <w:pStyle w:val="TextBody"/>
        <w:spacing w:before="0" w:after="0"/>
        <w:jc w:val="both"/>
        <w:rPr>
          <w:color w:val="000000"/>
        </w:rPr>
      </w:pPr>
      <w:r>
        <w:rPr>
          <w:color w:val="000000"/>
        </w:rPr>
        <w:t>Additionally, in October 2020, ARYA Sciences Acquisition Corp II, consummated its initial business combination with Cerevel Therapeutics (“Cerevel”). The ordinary shares of the combined company, Cerevel Therapeutics Holdings, Inc., are traded on Nasdaq under the symbol “CERE.”</w:t>
      </w:r>
    </w:p>
    <w:p>
      <w:pPr>
        <w:pStyle w:val="TextBody"/>
        <w:spacing w:before="0" w:after="0"/>
        <w:rPr/>
      </w:pPr>
      <w:r>
        <w:rPr/>
      </w:r>
    </w:p>
    <w:p>
      <w:pPr>
        <w:pStyle w:val="TextBody"/>
        <w:spacing w:before="0" w:after="0"/>
        <w:jc w:val="both"/>
        <w:rPr>
          <w:color w:val="000000"/>
        </w:rPr>
      </w:pPr>
      <w:r>
        <w:rPr>
          <w:color w:val="000000"/>
        </w:rPr>
        <w:t>Our founders and our directors and officers, Perceptive Advisors, or its affiliates expect in the future to become affiliated with other public special purpose acquisition companies that may have acquisition objectives that are similar to ours. See “Risk Factors—Risks Relating to our Sponsor and Management Team—Our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1" w:name="DSPFPageBreakArea4"/>
      <w:bookmarkStart w:id="102" w:name="DSPFPageBreakArea4"/>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103" w:name="DSPFPageNumber3"/>
      <w:bookmarkStart w:id="104" w:name="DSPFPageNumberArea2"/>
      <w:bookmarkEnd w:id="103"/>
      <w:bookmarkEnd w:id="104"/>
      <w:r>
        <w:rPr>
          <w:b w:val="false"/>
          <w:i w:val="false"/>
          <w:caps w:val="false"/>
          <w:smallCaps w:val="false"/>
          <w:sz w:val="16"/>
        </w:rPr>
        <w:t>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5" w:name="DSPFPageBreak4"/>
      <w:bookmarkStart w:id="106" w:name="DSPFPageBreak4"/>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07" w:name="DSPFPageHeader2"/>
        <w:bookmarkEnd w:id="107"/>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The past performance of the members of our management team or their affiliates, including ARYA Sciences Acquisition Corp., ARYA Sciences Acquisition Corp II, ARYA Sciences Acquisition Corp IV and Perceptive Advisors, is not a guarantee that we will be able to identify a suitable candidate for our initial business combination or of success with respect to any business combination we may consummate. You should not rely on the historical record or the performance of our management team or their affiliates, including ARYA Sciences Acquisition Corp., ARYA Sciences Acquisition Corp II, ARYA Sciences Acquisition Corp IV and Perceptive Advisors or any of their affiliates’ or managed fund’s performance as indicative of our future performance.</w:t>
      </w:r>
    </w:p>
    <w:p>
      <w:pPr>
        <w:pStyle w:val="TextBody"/>
        <w:spacing w:before="0" w:after="0"/>
        <w:rPr/>
      </w:pPr>
      <w:r>
        <w:rPr/>
      </w:r>
    </w:p>
    <w:p>
      <w:pPr>
        <w:pStyle w:val="TextBody"/>
        <w:spacing w:before="0" w:after="0"/>
        <w:jc w:val="both"/>
        <w:rPr>
          <w:b/>
          <w:color w:val="000000"/>
        </w:rPr>
      </w:pPr>
      <w:r>
        <w:rPr>
          <w:b/>
          <w:color w:val="000000"/>
        </w:rPr>
        <w:t>Industry Opportunity</w:t>
      </w:r>
    </w:p>
    <w:p>
      <w:pPr>
        <w:pStyle w:val="TextBody"/>
        <w:spacing w:before="0" w:after="0"/>
        <w:rPr/>
      </w:pPr>
      <w:r>
        <w:rPr/>
      </w:r>
    </w:p>
    <w:p>
      <w:pPr>
        <w:pStyle w:val="TextBody"/>
        <w:spacing w:before="0" w:after="0"/>
        <w:jc w:val="both"/>
        <w:rPr>
          <w:color w:val="000000"/>
        </w:rPr>
      </w:pPr>
      <w:r>
        <w:rPr>
          <w:color w:val="000000"/>
        </w:rPr>
        <w:t>While we may acquire a business in any industry, our focus is on the healthcare industry in the United States and other developed countries. We believe the healthcare industry, particularly the life sciences and medical technology sectors, represents an enormous and growing target market with a large number of potential target acquisition opportunities. In 2019, total U.S. national health expenditures represented approximately $3.8 trillion, and the Center for Medicare and Medicaid Services estimated that total healthcare spending accounted for approximately 18% of total U.S. Gross Domestic Product. According to IBISWorld, in February 2020, the global biotechnology market is expected to grow almost 2.9% to over $294 billion in revenue in 2020.</w:t>
      </w:r>
    </w:p>
    <w:p>
      <w:pPr>
        <w:pStyle w:val="TextBody"/>
        <w:spacing w:before="0" w:after="0"/>
        <w:rPr/>
      </w:pPr>
      <w:r>
        <w:rPr/>
      </w:r>
    </w:p>
    <w:p>
      <w:pPr>
        <w:pStyle w:val="TextBody"/>
        <w:spacing w:before="0" w:after="0"/>
        <w:jc w:val="both"/>
        <w:rPr>
          <w:b/>
          <w:color w:val="000000"/>
        </w:rPr>
      </w:pPr>
      <w:r>
        <w:rPr>
          <w:b/>
          <w:color w:val="000000"/>
        </w:rPr>
        <w:t>The Current Life Sciences IPO Market</w:t>
      </w:r>
    </w:p>
    <w:p>
      <w:pPr>
        <w:pStyle w:val="TextBody"/>
        <w:spacing w:before="0" w:after="0"/>
        <w:rPr/>
      </w:pPr>
      <w:r>
        <w:rPr/>
      </w:r>
    </w:p>
    <w:p>
      <w:pPr>
        <w:pStyle w:val="TextBody"/>
        <w:spacing w:before="0" w:after="0"/>
        <w:jc w:val="both"/>
        <w:rPr>
          <w:color w:val="000000"/>
        </w:rPr>
      </w:pPr>
      <w:r>
        <w:rPr>
          <w:color w:val="000000"/>
        </w:rPr>
        <w:t>We believe that current dynamics in the life sciences and medical technology IPO market may enhance our ability to locate an attractive target. Over 200 life sciences and medical technology companies have gone public since 2016 in the United States. Despite the current level of IPO activity, according to IBISWorld, in February 2020 there were estimated to be approximately 9,500 biotechnology companies globally, only a fraction of which are publicly traded.</w:t>
      </w:r>
    </w:p>
    <w:p>
      <w:pPr>
        <w:pStyle w:val="TextBody"/>
        <w:spacing w:before="0" w:after="0"/>
        <w:rPr/>
      </w:pPr>
      <w:r>
        <w:rPr/>
      </w:r>
    </w:p>
    <w:p>
      <w:pPr>
        <w:pStyle w:val="TextBody"/>
        <w:spacing w:before="0" w:after="0"/>
        <w:jc w:val="both"/>
        <w:rPr>
          <w:color w:val="000000"/>
        </w:rPr>
      </w:pPr>
      <w:r>
        <w:rPr>
          <w:color w:val="000000"/>
        </w:rPr>
        <w:t>We also believe that the process for life sciences and medical technology IPO demand generation often produces offerings that are significantly oversubscribed but where a majority of the offering is allocated to the top ten investors, some of whom may be existing investors in these companies or are industry specialists. As a result, we believe that there may be numerous investors who have not been able to receive meaningful, or any, allocations in recent life sciences and medical technology IPOs who may be interested in a potential target opportunity that we identify.</w:t>
      </w:r>
    </w:p>
    <w:p>
      <w:pPr>
        <w:pStyle w:val="TextBody"/>
        <w:spacing w:before="0" w:after="0"/>
        <w:rPr/>
      </w:pPr>
      <w:r>
        <w:rPr/>
      </w:r>
    </w:p>
    <w:p>
      <w:pPr>
        <w:pStyle w:val="TextBody"/>
        <w:spacing w:before="0" w:after="0"/>
        <w:jc w:val="both"/>
        <w:rPr>
          <w:color w:val="000000"/>
        </w:rPr>
      </w:pPr>
      <w:r>
        <w:rPr>
          <w:color w:val="000000"/>
        </w:rPr>
        <w:t>We believe that life sciences and medical technology companies, at a certain stage in their development, will see material benefits from being publicly traded, including greater access to capital, more liquid securities and increased customer awareness. An acquisition by a special purpose acquisition company with a management team that is well known to, and respected by, life sciences founders, their current third-party investors and their management teams, we believe, can provide a more transparent and efficient mechanism to bring a private healthcare company to the public markets.</w:t>
      </w:r>
    </w:p>
    <w:p>
      <w:pPr>
        <w:pStyle w:val="TextBody"/>
        <w:spacing w:before="0" w:after="0"/>
        <w:rPr/>
      </w:pPr>
      <w:r>
        <w:rPr/>
      </w:r>
    </w:p>
    <w:p>
      <w:pPr>
        <w:pStyle w:val="TextBody"/>
        <w:spacing w:before="0" w:after="0"/>
        <w:jc w:val="both"/>
        <w:rPr>
          <w:b/>
          <w:color w:val="000000"/>
        </w:rPr>
      </w:pPr>
      <w:r>
        <w:rPr>
          <w:b/>
          <w:color w:val="000000"/>
        </w:rPr>
        <w:t>Acquisition Strategy</w:t>
      </w:r>
    </w:p>
    <w:p>
      <w:pPr>
        <w:pStyle w:val="TextBody"/>
        <w:spacing w:before="0" w:after="0"/>
        <w:rPr/>
      </w:pPr>
      <w:r>
        <w:rPr/>
      </w:r>
    </w:p>
    <w:p>
      <w:pPr>
        <w:pStyle w:val="TextBody"/>
        <w:spacing w:before="0" w:after="0"/>
        <w:jc w:val="both"/>
        <w:rPr>
          <w:color w:val="000000"/>
        </w:rPr>
      </w:pPr>
      <w:r>
        <w:rPr>
          <w:color w:val="000000"/>
        </w:rPr>
        <w:t>We believe our management team is well positioned to identify unique opportunities in our target sectors. Our selection process leverages our relationships with leading venture capitalists and growth equity funds, executives of private and public companies, as well as leading investment banking firms, which we believe should provide us with a key competitive advantage in sourcing potential business combination targets. Given our profile and dedicated industry approach, we anticipate that target business candidates may be brought to our attention from various unaffiliated sources, and in particular investors in other private and public companies in our networks. We also believe that Perceptive Advisors’ reputation, experience and track record of making investments in the healthcare space will make us a preferred partner for these potential targets.</w:t>
      </w:r>
    </w:p>
    <w:p>
      <w:pPr>
        <w:pStyle w:val="TextBody"/>
        <w:spacing w:before="0" w:after="0"/>
        <w:rPr/>
      </w:pPr>
      <w:r>
        <w:rPr/>
      </w:r>
    </w:p>
    <w:p>
      <w:pPr>
        <w:pStyle w:val="TextBody"/>
        <w:spacing w:before="0" w:after="0"/>
        <w:jc w:val="both"/>
        <w:rPr>
          <w:color w:val="000000"/>
        </w:rPr>
      </w:pPr>
      <w:r>
        <w:rPr>
          <w:color w:val="000000"/>
        </w:rPr>
        <w:t>Consistent with our strategy, we have identified the following criteria to evaluate prospective target businesses. We may, however, decide to enter into our initial business combination with a target business that does not meet these criteria. We intend to seek to acquire companies that we believe:</w:t>
      </w:r>
    </w:p>
    <w:p>
      <w:pPr>
        <w:pStyle w:val="Normal"/>
        <w:spacing w:before="0" w:after="0"/>
        <w:rPr>
          <w:sz w:val="4"/>
          <w:szCs w:val="4"/>
        </w:rPr>
      </w:pPr>
      <w:r>
        <w:rPr>
          <w:sz w:val="4"/>
          <w:szCs w:val="4"/>
        </w:rPr>
      </w:r>
      <w:bookmarkStart w:id="108" w:name="zb456152eaebb4ee185e45e025a5b01a9"/>
      <w:bookmarkStart w:id="109" w:name="zb456152eaebb4ee185e45e025a5b01a9"/>
      <w:bookmarkEnd w:id="109"/>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color w:val="000000"/>
              </w:rPr>
            </w:pPr>
            <w:r>
              <w:rPr>
                <w:color w:val="000000"/>
              </w:rPr>
              <w:t>have a scientific or other competitive advantage in the markets in which they operate and which can benefit from access to additional capital as well as our industry relationships and expertise;</w:t>
            </w:r>
          </w:p>
        </w:tc>
      </w:tr>
    </w:tbl>
    <w:p>
      <w:pPr>
        <w:pStyle w:val="Normal"/>
        <w:spacing w:before="0" w:after="0"/>
        <w:rPr>
          <w:sz w:val="4"/>
          <w:szCs w:val="4"/>
        </w:rPr>
      </w:pPr>
      <w:r>
        <w:rPr>
          <w:sz w:val="4"/>
          <w:szCs w:val="4"/>
        </w:rPr>
      </w:r>
      <w:bookmarkStart w:id="110" w:name="z156db75e78a4499d9b8bd6d4f283edd2"/>
      <w:bookmarkStart w:id="111" w:name="z156db75e78a4499d9b8bd6d4f283edd2"/>
      <w:bookmarkEnd w:id="111"/>
    </w:p>
    <w:tbl>
      <w:tblPr>
        <w:tblW w:w="9783" w:type="dxa"/>
        <w:jc w:val="left"/>
        <w:tblInd w:w="0" w:type="dxa"/>
        <w:tblCellMar>
          <w:top w:w="0" w:type="dxa"/>
          <w:left w:w="0" w:type="dxa"/>
          <w:bottom w:w="0" w:type="dxa"/>
          <w:right w:w="0" w:type="dxa"/>
        </w:tblCellMar>
      </w:tblPr>
      <w:tblGrid>
        <w:gridCol w:w="38"/>
        <w:gridCol w:w="110"/>
        <w:gridCol w:w="963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635" w:type="dxa"/>
            <w:tcBorders/>
            <w:shd w:fill="auto" w:val="clear"/>
            <w:vAlign w:val="center"/>
          </w:tcPr>
          <w:p>
            <w:pPr>
              <w:pStyle w:val="TableContents"/>
              <w:spacing w:before="0" w:after="0"/>
              <w:rPr>
                <w:color w:val="000000"/>
              </w:rPr>
            </w:pPr>
            <w:r>
              <w:rPr>
                <w:color w:val="000000"/>
              </w:rPr>
              <w:t>are ready to be public, with strong management, corporate governance and reporting policies in place;</w:t>
            </w:r>
          </w:p>
        </w:tc>
      </w:tr>
    </w:tbl>
    <w:p>
      <w:pPr>
        <w:pStyle w:val="Normal"/>
        <w:spacing w:before="0" w:after="0"/>
        <w:rPr>
          <w:sz w:val="4"/>
          <w:szCs w:val="4"/>
        </w:rPr>
      </w:pPr>
      <w:r>
        <w:rPr>
          <w:sz w:val="4"/>
          <w:szCs w:val="4"/>
        </w:rPr>
      </w:r>
      <w:bookmarkStart w:id="112" w:name="zb2629be0a89d46bdb62f8fc292d8b50e"/>
      <w:bookmarkStart w:id="113" w:name="zb2629be0a89d46bdb62f8fc292d8b50e"/>
      <w:bookmarkEnd w:id="113"/>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color w:val="000000"/>
              </w:rPr>
            </w:pPr>
            <w:r>
              <w:rPr>
                <w:color w:val="000000"/>
              </w:rPr>
              <w:t>will likely be well received by public investors and are expected to have good access to the public capital markets;</w:t>
            </w:r>
          </w:p>
        </w:tc>
      </w:tr>
    </w:tbl>
    <w:p>
      <w:pPr>
        <w:pStyle w:val="Normal"/>
        <w:spacing w:before="0" w:after="0"/>
        <w:rPr>
          <w:sz w:val="4"/>
          <w:szCs w:val="4"/>
        </w:rPr>
      </w:pPr>
      <w:r>
        <w:rPr>
          <w:sz w:val="4"/>
          <w:szCs w:val="4"/>
        </w:rPr>
      </w:r>
      <w:bookmarkStart w:id="114" w:name="z8a8c7f1f44514554bc416320b3c81ead"/>
      <w:bookmarkStart w:id="115" w:name="z8a8c7f1f44514554bc416320b3c81ead"/>
      <w:bookmarkEnd w:id="115"/>
    </w:p>
    <w:tbl>
      <w:tblPr>
        <w:tblW w:w="6918" w:type="dxa"/>
        <w:jc w:val="left"/>
        <w:tblInd w:w="0" w:type="dxa"/>
        <w:tblCellMar>
          <w:top w:w="0" w:type="dxa"/>
          <w:left w:w="0" w:type="dxa"/>
          <w:bottom w:w="0" w:type="dxa"/>
          <w:right w:w="0" w:type="dxa"/>
        </w:tblCellMar>
      </w:tblPr>
      <w:tblGrid>
        <w:gridCol w:w="38"/>
        <w:gridCol w:w="110"/>
        <w:gridCol w:w="677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770" w:type="dxa"/>
            <w:tcBorders/>
            <w:shd w:fill="auto" w:val="clear"/>
            <w:vAlign w:val="center"/>
          </w:tcPr>
          <w:p>
            <w:pPr>
              <w:pStyle w:val="TableContents"/>
              <w:spacing w:before="0" w:after="0"/>
              <w:rPr>
                <w:color w:val="000000"/>
              </w:rPr>
            </w:pPr>
            <w:r>
              <w:rPr>
                <w:color w:val="000000"/>
              </w:rPr>
              <w:t>have significant embedded and/or underexploited growth opportunities;</w:t>
            </w:r>
          </w:p>
        </w:tc>
      </w:tr>
    </w:tbl>
    <w:p>
      <w:pPr>
        <w:pStyle w:val="Normal"/>
        <w:spacing w:before="0" w:after="0"/>
        <w:rPr>
          <w:sz w:val="4"/>
          <w:szCs w:val="4"/>
        </w:rPr>
      </w:pPr>
      <w:r>
        <w:rPr>
          <w:sz w:val="4"/>
          <w:szCs w:val="4"/>
        </w:rPr>
      </w:r>
      <w:bookmarkStart w:id="116" w:name="z2b6733cecba74950940c1f4eac97f55d"/>
      <w:bookmarkStart w:id="117" w:name="z2b6733cecba74950940c1f4eac97f55d"/>
      <w:bookmarkEnd w:id="11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color w:val="000000"/>
              </w:rPr>
            </w:pPr>
            <w:r>
              <w:rPr>
                <w:color w:val="000000"/>
              </w:rPr>
              <w:t>exhibit unrecognized value or other characteristics that we believe have been misevaluated by the market based on our rigorous analysis and scientific and business due diligence review; and</w:t>
            </w:r>
          </w:p>
        </w:tc>
      </w:tr>
    </w:tbl>
    <w:p>
      <w:pPr>
        <w:pStyle w:val="Normal"/>
        <w:spacing w:before="0" w:after="0"/>
        <w:rPr>
          <w:sz w:val="4"/>
          <w:szCs w:val="4"/>
        </w:rPr>
      </w:pPr>
      <w:r>
        <w:rPr>
          <w:sz w:val="4"/>
          <w:szCs w:val="4"/>
        </w:rPr>
      </w:r>
      <w:bookmarkStart w:id="118" w:name="zd9697c4551c54b74924b8338695444b1"/>
      <w:bookmarkStart w:id="119" w:name="zd9697c4551c54b74924b8338695444b1"/>
      <w:bookmarkEnd w:id="119"/>
    </w:p>
    <w:tbl>
      <w:tblPr>
        <w:tblW w:w="6588" w:type="dxa"/>
        <w:jc w:val="left"/>
        <w:tblInd w:w="0" w:type="dxa"/>
        <w:tblCellMar>
          <w:top w:w="0" w:type="dxa"/>
          <w:left w:w="0" w:type="dxa"/>
          <w:bottom w:w="0" w:type="dxa"/>
          <w:right w:w="0" w:type="dxa"/>
        </w:tblCellMar>
      </w:tblPr>
      <w:tblGrid>
        <w:gridCol w:w="38"/>
        <w:gridCol w:w="110"/>
        <w:gridCol w:w="64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440" w:type="dxa"/>
            <w:tcBorders/>
            <w:shd w:fill="auto" w:val="clear"/>
            <w:vAlign w:val="center"/>
          </w:tcPr>
          <w:p>
            <w:pPr>
              <w:pStyle w:val="TableContents"/>
              <w:spacing w:before="0" w:after="0"/>
              <w:rPr>
                <w:color w:val="000000"/>
              </w:rPr>
            </w:pPr>
            <w:r>
              <w:rPr>
                <w:color w:val="000000"/>
              </w:rPr>
              <w:t>will offer attractive risk-adjusted equity returns for our shareholders.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0" w:name="DSPFPageBreakArea5"/>
      <w:bookmarkStart w:id="121" w:name="DSPFPageBreakArea5"/>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122" w:name="DSPFPageNumber4"/>
      <w:bookmarkStart w:id="123" w:name="DSPFPageNumberArea3"/>
      <w:bookmarkEnd w:id="122"/>
      <w:bookmarkEnd w:id="123"/>
      <w:r>
        <w:rPr>
          <w:b w:val="false"/>
          <w:i w:val="false"/>
          <w:caps w:val="false"/>
          <w:smallCaps w:val="false"/>
          <w:sz w:val="16"/>
        </w:rPr>
        <w:t>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4" w:name="DSPFPageBreak5"/>
      <w:bookmarkStart w:id="125" w:name="DSPFPageBreak5"/>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26" w:name="DSPFPageHeader3"/>
        <w:bookmarkEnd w:id="126"/>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We are focused on target businesses with valuations of $300 to $500 million or more and that have the potential to be $1 billion or more market capitalization companies. We may use other criteria as well. Any evaluation relating to the merits of a particular initial business combination may be based on these general criteria as well as other considerations, factors and criteria that our management may deem relevant.</w:t>
      </w:r>
    </w:p>
    <w:p>
      <w:pPr>
        <w:pStyle w:val="TextBody"/>
        <w:spacing w:before="0" w:after="0"/>
        <w:rPr/>
      </w:pPr>
      <w:r>
        <w:rPr/>
      </w:r>
    </w:p>
    <w:p>
      <w:pPr>
        <w:pStyle w:val="TextBody"/>
        <w:spacing w:before="0" w:after="0"/>
        <w:jc w:val="both"/>
        <w:rPr>
          <w:b/>
          <w:color w:val="000000"/>
        </w:rPr>
      </w:pPr>
      <w:r>
        <w:rPr>
          <w:b/>
          <w:color w:val="000000"/>
        </w:rPr>
        <w:t>Initial Business Combination</w:t>
      </w:r>
    </w:p>
    <w:p>
      <w:pPr>
        <w:pStyle w:val="TextBody"/>
        <w:spacing w:before="0" w:after="0"/>
        <w:rPr/>
      </w:pPr>
      <w:r>
        <w:rPr/>
        <w:t> </w:t>
      </w:r>
    </w:p>
    <w:p>
      <w:pPr>
        <w:pStyle w:val="TextBody"/>
        <w:spacing w:before="0" w:after="0"/>
        <w:jc w:val="both"/>
        <w:rPr>
          <w:color w:val="000000"/>
        </w:rPr>
      </w:pPr>
      <w:r>
        <w:rPr>
          <w:color w:val="000000"/>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from an independent investment banking firm or an independent valuation or accounting firm with respect to the satisfaction of such criteria. Our shareholders may not be provided with a copy of such opinion nor will they be able to rely on such opinion. While we consider it unlikely that our board will not be able to make an independent determination of the fair market value of a target business or businesses, it may be unable to do so if the board is less familiar or experienced with the target company’s business, there is a significant amount of uncertainty as to the value of the company’s assets or prospects, including if such company is at an early stage of development, operations or growth, or if the anticipated transaction involves a complex financial analysis or other specialized skills and the board determines that outside expertise would be helpful or necessary in conducting such analysis. Since any opinion, if obtained, would merely state that the fair market value of the target business meets the 80% of net assets threshold, unless such opinion includes material information regarding the valuation of a target business or the consideration to be provided, it is not anticipated that copies of such opinion would be distributed to our shareholders. However, if required under applicable law, any proxy statement that we deliver to shareholders and file with the U.S. Securities and Exchange Commission (the “SEC”) in connection with a proposed transaction will include such opinion.</w:t>
      </w:r>
    </w:p>
    <w:p>
      <w:pPr>
        <w:pStyle w:val="TextBody"/>
        <w:spacing w:before="0" w:after="0"/>
        <w:rPr/>
      </w:pPr>
      <w:r>
        <w:rPr/>
      </w:r>
    </w:p>
    <w:p>
      <w:pPr>
        <w:pStyle w:val="TextBody"/>
        <w:spacing w:before="0" w:after="0"/>
        <w:jc w:val="both"/>
        <w:rPr>
          <w:color w:val="000000"/>
        </w:rPr>
      </w:pPr>
      <w:r>
        <w:rPr>
          <w:color w:val="000000"/>
        </w:rPr>
        <w:t>We anticipate structuring our initial business combination so that the post-business combination company in which our public shareholders own shares will own or acquire 100% of the equity interests or assets of the target business or businesses. We may, however, structure our initial business combination such that the post-business combination company owns or acquires less than 100% of such interests or assets of the target business in order to meet certain objectives of the target management team or shareholders or for other reasons, but we will only complete such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Even if the post-business combination company owns or acquires 50% or more of the voting securities of the target, our shareholders prior to the business combination may collectively own a minority interest in the post-business combination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the completion of our initial business combination could own less than a majority of our issued and outstanding shares subsequent to our initial business combination. If less than 100% of the equity interests or assets of a target business or businesses are owned or acquired by the post-business combination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pStyle w:val="TextBody"/>
        <w:spacing w:before="0" w:after="0"/>
        <w:rPr/>
      </w:pPr>
      <w:r>
        <w:rPr/>
      </w:r>
    </w:p>
    <w:p>
      <w:pPr>
        <w:pStyle w:val="TextBody"/>
        <w:spacing w:before="0" w:after="0"/>
        <w:jc w:val="both"/>
        <w:rPr>
          <w:color w:val="000000"/>
        </w:rPr>
      </w:pPr>
      <w:r>
        <w:rPr>
          <w:color w:val="000000"/>
        </w:rPr>
        <w:t>In addition, our sponsor has indicated an interest to purchase up to an aggregate of $25,000,000 of our ordinary shares in a private placement that would occur concurrently with the consummation of our initial business combination.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If we sell shares to our sponsor (or any other investor) in connection with our initial business combination, the equity interest of investors in our Initial Public Offering in the combined company may be diluted and the market prices for our securities may be adversely affected. In addition, if the per share trading price of our ordinary shares is greater than the price per share paid in the private placement, the private placement will result in value dilution to you.</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7" w:name="DSPFPageBreakArea6"/>
      <w:bookmarkStart w:id="128" w:name="DSPFPageBreakArea6"/>
      <w:bookmarkEnd w:id="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129" w:name="DSPFPageNumber5"/>
      <w:bookmarkStart w:id="130" w:name="DSPFPageNumberArea4"/>
      <w:bookmarkEnd w:id="129"/>
      <w:bookmarkEnd w:id="130"/>
      <w:r>
        <w:rPr>
          <w:b w:val="false"/>
          <w:i w:val="false"/>
          <w:caps w:val="false"/>
          <w:smallCaps w:val="false"/>
          <w:sz w:val="16"/>
        </w:rPr>
        <w:t>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1" w:name="DSPFPageBreak6"/>
      <w:bookmarkStart w:id="132" w:name="DSPFPageBreak6"/>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33" w:name="DSPFPageHeader4"/>
        <w:bookmarkEnd w:id="133"/>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Other Considerations</w:t>
      </w:r>
    </w:p>
    <w:p>
      <w:pPr>
        <w:pStyle w:val="TextBody"/>
        <w:spacing w:before="0" w:after="0"/>
        <w:rPr/>
      </w:pPr>
      <w:r>
        <w:rPr/>
      </w:r>
    </w:p>
    <w:p>
      <w:pPr>
        <w:pStyle w:val="TextBody"/>
        <w:spacing w:before="0" w:after="0"/>
        <w:jc w:val="both"/>
        <w:rPr>
          <w:color w:val="000000"/>
        </w:rPr>
      </w:pPr>
      <w:r>
        <w:rPr>
          <w:color w:val="000000"/>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or an independent valuation or accounting firm that such initial business combination or transaction is fair to our company from a financial point of view. We are not required to obtain such an opinion in any other context.</w:t>
      </w:r>
    </w:p>
    <w:p>
      <w:pPr>
        <w:pStyle w:val="TextBody"/>
        <w:spacing w:before="0" w:after="0"/>
        <w:rPr/>
      </w:pPr>
      <w:r>
        <w:rPr/>
      </w:r>
    </w:p>
    <w:p>
      <w:pPr>
        <w:pStyle w:val="TextBody"/>
        <w:spacing w:before="0" w:after="0"/>
        <w:jc w:val="both"/>
        <w:rPr>
          <w:color w:val="000000"/>
        </w:rPr>
      </w:pPr>
      <w:r>
        <w:rPr>
          <w:color w:val="000000"/>
        </w:rPr>
        <w:t>Affiliates of Perceptive Advisors and members of our board of directors will directly or indirectly own founder shares and private placement shares following our Initial Public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or directors were to be included by a target business as a condition to any agreement with respect to our initial business combination.</w:t>
      </w:r>
    </w:p>
    <w:p>
      <w:pPr>
        <w:pStyle w:val="TextBody"/>
        <w:spacing w:before="0" w:after="0"/>
        <w:rPr/>
      </w:pPr>
      <w:r>
        <w:rPr/>
      </w:r>
    </w:p>
    <w:p>
      <w:pPr>
        <w:pStyle w:val="TextBody"/>
        <w:spacing w:before="0" w:after="0"/>
        <w:jc w:val="both"/>
        <w:rPr>
          <w:color w:val="000000"/>
        </w:rPr>
      </w:pPr>
      <w:r>
        <w:rPr>
          <w:color w:val="000000"/>
        </w:rPr>
        <w:t>Perceptive Advisors may manage multiple investment vehicles and raise additional funds and/or successor funds in the future, which may be during the period in which we are seeking our initial business combination. These Perceptive Advisors investment entities may be seeking acquisition opportunities and related financing at any time. We may compete with any one or more of them on any given acquisition opportunity.</w:t>
      </w:r>
    </w:p>
    <w:p>
      <w:pPr>
        <w:pStyle w:val="TextBody"/>
        <w:spacing w:before="0" w:after="0"/>
        <w:rPr/>
      </w:pPr>
      <w:r>
        <w:rPr/>
      </w:r>
    </w:p>
    <w:p>
      <w:pPr>
        <w:pStyle w:val="TextBody"/>
        <w:spacing w:before="0" w:after="0"/>
        <w:jc w:val="both"/>
        <w:rPr>
          <w:color w:val="000000"/>
        </w:rPr>
      </w:pPr>
      <w:r>
        <w:rPr>
          <w:color w:val="000000"/>
        </w:rPr>
        <w:t>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pStyle w:val="TextBody"/>
        <w:spacing w:before="0" w:after="0"/>
        <w:rPr/>
      </w:pPr>
      <w:r>
        <w:rPr/>
      </w:r>
    </w:p>
    <w:p>
      <w:pPr>
        <w:pStyle w:val="TextBody"/>
        <w:spacing w:before="0" w:after="0"/>
        <w:jc w:val="both"/>
        <w:rPr>
          <w:color w:val="000000"/>
        </w:rPr>
      </w:pPr>
      <w:r>
        <w:rPr>
          <w:color w:val="000000"/>
        </w:rPr>
        <w:t>In addition, certain of our founders, officers and directors presently have, and any of them in the future may have additional, fiduciary and contractual duties to other entities, including without limitation, ARYA Sciences Acquisition Corp IV and any future special purpose acquisition companies we expect they may be involved in, and investment funds, accounts, co-investment vehicles and other entities managed by affiliates of Perceptive Advisors and certain companies in which Perceptive Advisors or such entities have invested. As a result, if any of our founders, officers or directors becomes aware of a business combination opportunity which is suitable for an entity to which he, she or it has then-current fiduciary or contractual obligations (including, without limitation, ARYA Sciences Acquisition Corp IV and any future special purpose acquisition companies we expect they may be involved in and any Perceptive Advisors funds or other investment vehicles), then, subject to their fiduciary duties under Cayman Islands law, he or she will need to honor such fiduciary or contractual obligations to present such business combination opportunity to such entity, before we can pursue such opportunity. If these funds or investment entities decide to pursue any such opportunity, we may be precluded from pursuing the same. In addition, investment ideas generated within or presented to Perceptive Advisors or our founders may be suitable for both us and a current or future Perceptive Advisors fund, portfolio company or other investment entity and, subject to applicable fiduciary duties, will first be directed to such fund, portfolio company or other entity before being directed, if at all, to us. None of Perceptive Advisors, our founders or any members of our board of directors who are also employed by Perceptive Advisors or its affiliates have any obligation to present us with any opportunity for a potential business combination of which they become aware solely in their capacities as officers or executives of Perceptive Advisors.</w:t>
      </w:r>
    </w:p>
    <w:p>
      <w:pPr>
        <w:pStyle w:val="TextBody"/>
        <w:spacing w:before="0" w:after="0"/>
        <w:rPr/>
      </w:pPr>
      <w:r>
        <w:rPr/>
      </w:r>
    </w:p>
    <w:p>
      <w:pPr>
        <w:pStyle w:val="TextBody"/>
        <w:spacing w:before="0" w:after="0"/>
        <w:jc w:val="both"/>
        <w:rPr>
          <w:color w:val="000000"/>
        </w:rPr>
      </w:pPr>
      <w:r>
        <w:rPr>
          <w:color w:val="000000"/>
        </w:rPr>
        <w:t>However, we do not expect these duties to materially affect our ability to complete our initial business combination.  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 In particular, certain of our officers and directors serve as an officer and/or director of ARYA Sciences Acquisition Corp IV, which is a blank check company sponsored by an affiliate of Perceptive Advisors, and in the future we expect they may be officers and/or directors of other future special purpose acquisition companies. Moreover, our founders, officers and directors have, and will have in the future, time and attention requirements for current and future investment funds, accounts, co-investment vehicles and other entities managed by Perceptive Advisors. To the extent any conflict of interest arises between, on the one hand, us and, on the other hand, investments funds, accounts, co-investment vehicles and other entities managed by Perceptive Advisors (including, without limitation, arising as a result of certain of our founders, officers and directors being required to offer acquisition opportunities to such investment funds, accounts, co-investment vehicles and other entities), Perceptive Advisors and its affiliates will resolve such conflicts of interest in their sole discretion in accordance with their then-existing fiduciary, contractual and other duties and there can be no assurance that such conflict of interest will be resolved in our favor.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34" w:name="DSPFPageBreakArea7"/>
      <w:bookmarkStart w:id="135" w:name="DSPFPageBreakArea7"/>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136" w:name="DSPFPageNumber6"/>
      <w:bookmarkStart w:id="137" w:name="DSPFPageNumberArea5"/>
      <w:bookmarkEnd w:id="136"/>
      <w:bookmarkEnd w:id="137"/>
      <w:r>
        <w:rPr>
          <w:b w:val="false"/>
          <w:i w:val="false"/>
          <w:caps w:val="false"/>
          <w:smallCaps w:val="false"/>
          <w:sz w:val="16"/>
        </w:rPr>
        <w:t>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38" w:name="DSPFPageBreak7"/>
      <w:bookmarkStart w:id="139" w:name="DSPFPageBreak7"/>
      <w:bookmarkEnd w:id="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40" w:name="DSPFPageHeader5"/>
        <w:bookmarkEnd w:id="140"/>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Unlike other initial public offerings of special purpose acquisition companies, investors in our Initial Public Offering will not receive warrants that would become exercisable following completion of our initial business combination.</w:t>
      </w:r>
    </w:p>
    <w:p>
      <w:pPr>
        <w:pStyle w:val="TextBody"/>
        <w:spacing w:before="0" w:after="0"/>
        <w:rPr/>
      </w:pPr>
      <w:r>
        <w:rPr/>
      </w:r>
    </w:p>
    <w:p>
      <w:pPr>
        <w:pStyle w:val="TextBody"/>
        <w:spacing w:before="0" w:after="0"/>
        <w:rPr>
          <w:b/>
          <w:color w:val="000000"/>
        </w:rPr>
      </w:pPr>
      <w:r>
        <w:rPr>
          <w:b/>
          <w:color w:val="000000"/>
        </w:rPr>
        <w:t>Status as a Public Company</w:t>
      </w:r>
    </w:p>
    <w:p>
      <w:pPr>
        <w:pStyle w:val="TextBody"/>
        <w:spacing w:before="0" w:after="0"/>
        <w:rPr/>
      </w:pPr>
      <w:r>
        <w:rPr/>
        <w:t> </w:t>
      </w:r>
    </w:p>
    <w:p>
      <w:pPr>
        <w:pStyle w:val="TextBody"/>
        <w:spacing w:before="0" w:after="0"/>
        <w:jc w:val="both"/>
        <w:rPr>
          <w:color w:val="000000"/>
        </w:rPr>
      </w:pPr>
      <w:r>
        <w:rPr>
          <w:color w:val="000000"/>
        </w:rPr>
        <w:t>We believe our structure makes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shares or other equity interests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pStyle w:val="TextBody"/>
        <w:spacing w:before="0" w:after="0"/>
        <w:rPr/>
      </w:pPr>
      <w:r>
        <w:rPr/>
        <w:t> </w:t>
      </w:r>
    </w:p>
    <w:p>
      <w:pPr>
        <w:pStyle w:val="TextBody"/>
        <w:spacing w:before="0" w:after="0"/>
        <w:jc w:val="both"/>
        <w:rPr>
          <w:color w:val="000000"/>
        </w:rPr>
      </w:pPr>
      <w:r>
        <w:rPr>
          <w:color w:val="000000"/>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 the ability to use its shares as currency for acquisitions. Being a public company can offer further benefits by augmenting a company’s profile among potential new customers and vendors and aid in attracting talented employees.</w:t>
      </w:r>
    </w:p>
    <w:p>
      <w:pPr>
        <w:pStyle w:val="TextBody"/>
        <w:spacing w:before="0" w:after="0"/>
        <w:rPr/>
      </w:pPr>
      <w:r>
        <w:rPr/>
        <w:t> </w:t>
      </w:r>
    </w:p>
    <w:p>
      <w:pPr>
        <w:pStyle w:val="TextBody"/>
        <w:spacing w:before="0" w:after="0"/>
        <w:jc w:val="both"/>
        <w:rPr>
          <w:color w:val="000000"/>
        </w:rPr>
      </w:pPr>
      <w:r>
        <w:rPr>
          <w:color w:val="000000"/>
        </w:rPr>
        <w:t>While we believe that our structure and our management team’s backgrounds make us an attractive business partner, some potential target businesses may view our status as a blank check company, such as our lack of an operating history and our ability to seek shareholder approval of any proposed initial business combination, negatively.</w:t>
      </w:r>
    </w:p>
    <w:p>
      <w:pPr>
        <w:pStyle w:val="TextBody"/>
        <w:spacing w:before="0" w:after="0"/>
        <w:rPr/>
      </w:pPr>
      <w:r>
        <w:rPr/>
        <w:t> </w:t>
      </w:r>
    </w:p>
    <w:p>
      <w:pPr>
        <w:pStyle w:val="TextBody"/>
        <w:spacing w:before="0" w:after="0"/>
        <w:jc w:val="both"/>
        <w:rPr>
          <w:color w:val="000000"/>
        </w:rPr>
      </w:pPr>
      <w:r>
        <w:rPr>
          <w:color w:val="000000"/>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spacing w:before="0" w:after="0"/>
        <w:rPr/>
      </w:pPr>
      <w:r>
        <w:rPr/>
        <w:t> </w:t>
      </w:r>
    </w:p>
    <w:p>
      <w:pPr>
        <w:pStyle w:val="TextBody"/>
        <w:spacing w:before="0" w:after="0"/>
        <w:jc w:val="both"/>
        <w:rPr>
          <w:color w:val="000000"/>
        </w:rPr>
      </w:pPr>
      <w:r>
        <w:rPr>
          <w:color w:val="00000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spacing w:before="0" w:after="0"/>
        <w:rPr/>
      </w:pPr>
      <w:r>
        <w:rPr/>
        <w:t> </w:t>
      </w:r>
    </w:p>
    <w:p>
      <w:pPr>
        <w:pStyle w:val="TextBody"/>
        <w:spacing w:before="0" w:after="0"/>
        <w:jc w:val="both"/>
        <w:rPr>
          <w:color w:val="000000"/>
        </w:rPr>
      </w:pPr>
      <w:r>
        <w:rPr>
          <w:color w:val="000000"/>
        </w:rPr>
        <w:t>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during the prior three-year period. References herein to “emerging growth company” have the meaning associated with it in the JOBS Act.</w:t>
      </w:r>
    </w:p>
    <w:p>
      <w:pPr>
        <w:pStyle w:val="TextBody"/>
        <w:spacing w:before="0" w:after="0"/>
        <w:rPr/>
      </w:pPr>
      <w:r>
        <w:rPr/>
        <w:t> </w:t>
      </w:r>
    </w:p>
    <w:p>
      <w:pPr>
        <w:pStyle w:val="TextBody"/>
        <w:spacing w:before="0" w:after="0"/>
        <w:jc w:val="both"/>
        <w:rPr>
          <w:color w:val="000000"/>
        </w:rPr>
      </w:pPr>
      <w:r>
        <w:rPr>
          <w:color w:val="00000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equals or exceeds $250 million as of the prior June 30, or (2) our annual revenues equaled or exceeded $100 million during such completed fiscal year and the market value of our ordinary shares held by non-affiliates equals or exceeds $700 million as of the prior June 30.</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1" w:name="DSPFPageBreakArea8"/>
      <w:bookmarkStart w:id="142" w:name="DSPFPageBreakArea8"/>
      <w:bookmarkEnd w:id="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143" w:name="DSPFPageNumber7"/>
      <w:bookmarkStart w:id="144" w:name="DSPFPageNumberArea6"/>
      <w:bookmarkEnd w:id="143"/>
      <w:bookmarkEnd w:id="144"/>
      <w:r>
        <w:rPr>
          <w:b w:val="false"/>
          <w:i w:val="false"/>
          <w:caps w:val="false"/>
          <w:smallCaps w:val="false"/>
          <w:sz w:val="16"/>
        </w:rPr>
        <w:t>10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45" w:name="DSPFPageBreak8"/>
      <w:bookmarkStart w:id="146" w:name="DSPFPageBreak8"/>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47" w:name="DSPFPageHeader6"/>
        <w:bookmarkEnd w:id="147"/>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b/>
          <w:color w:val="000000"/>
        </w:rPr>
      </w:pPr>
      <w:r>
        <w:rPr>
          <w:b/>
          <w:color w:val="000000"/>
        </w:rPr>
        <w:t>Financial Position</w:t>
      </w:r>
    </w:p>
    <w:p>
      <w:pPr>
        <w:pStyle w:val="TextBody"/>
        <w:spacing w:before="0" w:after="0"/>
        <w:rPr/>
      </w:pPr>
      <w:r>
        <w:rPr/>
        <w:t> </w:t>
      </w:r>
    </w:p>
    <w:p>
      <w:pPr>
        <w:pStyle w:val="TextBody"/>
        <w:spacing w:before="0" w:after="0"/>
        <w:jc w:val="both"/>
        <w:rPr>
          <w:color w:val="000000"/>
        </w:rPr>
      </w:pPr>
      <w:r>
        <w:rPr>
          <w:color w:val="000000"/>
        </w:rPr>
        <w:t>With funds available for a business combination initially in the amount of $144,267,500, after payment of the estimated expenses of our Initial Public Offering and $5,232,500 of deferred underwriting fees,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pStyle w:val="TextBody"/>
        <w:spacing w:before="0" w:after="0"/>
        <w:rPr/>
      </w:pPr>
      <w:r>
        <w:rPr/>
        <w:t> </w:t>
      </w:r>
    </w:p>
    <w:p>
      <w:pPr>
        <w:pStyle w:val="TextBody"/>
        <w:spacing w:before="0" w:after="0"/>
        <w:rPr>
          <w:b/>
          <w:color w:val="000000"/>
        </w:rPr>
      </w:pPr>
      <w:r>
        <w:rPr>
          <w:b/>
          <w:color w:val="000000"/>
        </w:rPr>
        <w:t>Effectuating Our Initial Business Combination</w:t>
      </w:r>
    </w:p>
    <w:p>
      <w:pPr>
        <w:pStyle w:val="TextBody"/>
        <w:spacing w:before="0" w:after="0"/>
        <w:rPr/>
      </w:pPr>
      <w:r>
        <w:rPr/>
        <w:t> </w:t>
      </w:r>
    </w:p>
    <w:p>
      <w:pPr>
        <w:pStyle w:val="TextBody"/>
        <w:spacing w:before="0" w:after="0"/>
        <w:rPr>
          <w:b/>
          <w:color w:val="000000"/>
        </w:rPr>
      </w:pPr>
      <w:r>
        <w:rPr>
          <w:b/>
          <w:color w:val="000000"/>
        </w:rPr>
        <w:t>General</w:t>
      </w:r>
    </w:p>
    <w:p>
      <w:pPr>
        <w:pStyle w:val="TextBody"/>
        <w:spacing w:before="0" w:after="0"/>
        <w:rPr/>
      </w:pPr>
      <w:r>
        <w:rPr/>
        <w:t> </w:t>
      </w:r>
    </w:p>
    <w:p>
      <w:pPr>
        <w:pStyle w:val="TextBody"/>
        <w:spacing w:before="0" w:after="0"/>
        <w:jc w:val="both"/>
        <w:rPr>
          <w:color w:val="000000"/>
        </w:rPr>
      </w:pPr>
      <w:r>
        <w:rPr>
          <w:color w:val="000000"/>
        </w:rPr>
        <w:t>We are not presently engaged in, and we will not engage in, any operations for an indefinite period of time following our Initial Public Offering. We intend to effectuate our initial business combination using cash from the proceeds of our Initial Public Offering, the sale of the private placements shares,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pStyle w:val="TextBody"/>
        <w:spacing w:before="0" w:after="0"/>
        <w:rPr/>
      </w:pPr>
      <w:r>
        <w:rPr/>
        <w:t> </w:t>
      </w:r>
    </w:p>
    <w:p>
      <w:pPr>
        <w:pStyle w:val="TextBody"/>
        <w:spacing w:before="0" w:after="0"/>
        <w:jc w:val="both"/>
        <w:rPr>
          <w:color w:val="000000"/>
        </w:rPr>
      </w:pPr>
      <w:r>
        <w:rPr>
          <w:color w:val="000000"/>
        </w:rPr>
        <w:t>If our initial business combination is paid for using equity or debt,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post-business combination company, the payment of principal or interest due on indebtedness incurred in completing our initial business combination, to fund the purchase of other companies or for working capital.</w:t>
      </w:r>
    </w:p>
    <w:p>
      <w:pPr>
        <w:pStyle w:val="TextBody"/>
        <w:spacing w:before="0" w:after="0"/>
        <w:rPr/>
      </w:pPr>
      <w:r>
        <w:rPr/>
        <w:t> </w:t>
      </w:r>
    </w:p>
    <w:p>
      <w:pPr>
        <w:pStyle w:val="TextBody"/>
        <w:spacing w:before="0" w:after="0"/>
        <w:jc w:val="both"/>
        <w:rPr>
          <w:color w:val="000000"/>
        </w:rPr>
      </w:pPr>
      <w:r>
        <w:rPr>
          <w:color w:val="000000"/>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pStyle w:val="TextBody"/>
        <w:spacing w:before="0" w:after="0"/>
        <w:rPr/>
      </w:pPr>
      <w:r>
        <w:rPr/>
        <w:t> </w:t>
      </w:r>
    </w:p>
    <w:p>
      <w:pPr>
        <w:pStyle w:val="TextBody"/>
        <w:spacing w:before="0" w:after="0"/>
        <w:rPr>
          <w:b/>
          <w:color w:val="000000"/>
        </w:rPr>
      </w:pPr>
      <w:r>
        <w:rPr>
          <w:b/>
          <w:color w:val="000000"/>
        </w:rPr>
        <w:t>Sources of Target Businesses</w:t>
      </w:r>
    </w:p>
    <w:p>
      <w:pPr>
        <w:pStyle w:val="TextBody"/>
        <w:spacing w:before="0" w:after="0"/>
        <w:rPr/>
      </w:pPr>
      <w:r>
        <w:rPr/>
        <w:t> </w:t>
      </w:r>
    </w:p>
    <w:p>
      <w:pPr>
        <w:pStyle w:val="TextBody"/>
        <w:spacing w:before="0" w:after="0"/>
        <w:jc w:val="both"/>
        <w:rPr>
          <w:color w:val="000000"/>
        </w:rPr>
      </w:pPr>
      <w:r>
        <w:rPr>
          <w:color w:val="000000"/>
        </w:rPr>
        <w:t>Our process of identifying acquisition targets leverages Perceptive Advisors’ and our management team’s unique industry experiences, proven deal sourcing capabilities and broad and deep network of relationships in numerous industries, including executives and management teams, private equity groups and other institutional investors, large business enterprises, lenders, investment bankers and other investment market participants, restructuring advisers, consultants, attorneys and accountants, which we believe should provide us with a number of business combination opportunities. The collective experience, capability and network of Perceptive Advisors, our founders, directors and officers, combined with their individual and collective reputations in the investment community, helps to create prospective business combination opportunities.</w:t>
      </w:r>
    </w:p>
    <w:p>
      <w:pPr>
        <w:pStyle w:val="TextBody"/>
        <w:spacing w:before="0" w:after="0"/>
        <w:rPr/>
      </w:pPr>
      <w:r>
        <w:rPr/>
        <w:t> </w:t>
      </w:r>
    </w:p>
    <w:p>
      <w:pPr>
        <w:pStyle w:val="TextBody"/>
        <w:spacing w:before="0" w:after="0"/>
        <w:jc w:val="both"/>
        <w:rPr>
          <w:color w:val="000000"/>
        </w:rPr>
      </w:pPr>
      <w:r>
        <w:rPr>
          <w:color w:val="000000"/>
        </w:rPr>
        <w:t>In addition, target business candidates may be brought to our attention from various unaffiliated sources, including investment bankers and private investment funds.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Report and know what types of businesses we are targeting. Our officers and directors, as well as their affiliates, may also bring to our attention target business candidates of which they become aware through their business contacts as a result of formal or informal inquiries or discussions they may have, as well as attending trade shows or conventions.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48" w:name="DSPFPageBreakArea9"/>
      <w:bookmarkStart w:id="149" w:name="DSPFPageBreakArea9"/>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150" w:name="DSPFPageNumber8"/>
      <w:bookmarkStart w:id="151" w:name="DSPFPageNumberArea7"/>
      <w:bookmarkEnd w:id="150"/>
      <w:bookmarkEnd w:id="151"/>
      <w:r>
        <w:rPr>
          <w:b w:val="false"/>
          <w:i w:val="false"/>
          <w:caps w:val="false"/>
          <w:smallCaps w:val="false"/>
          <w:sz w:val="16"/>
        </w:rPr>
        <w:t>11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2" w:name="DSPFPageBreak9"/>
      <w:bookmarkStart w:id="153" w:name="DSPFPageBreak9"/>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54" w:name="DSPFPageHeader7"/>
        <w:bookmarkEnd w:id="154"/>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None of our sponsor, executive officers or directors, or any of their respective affiliates, will be allowed to receive any compensation, finder’s fees or consulting fees from a prospective business combination target in connection with a contemplated acquisition of such target by us. We have agreed to pay our sponsor a total of $10,000 per month for office space,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post-business combination company following our initial business combination.</w:t>
      </w:r>
    </w:p>
    <w:p>
      <w:pPr>
        <w:pStyle w:val="TextBody"/>
        <w:spacing w:before="0" w:after="0"/>
        <w:rPr/>
      </w:pPr>
      <w:r>
        <w:rPr/>
        <w:t> </w:t>
      </w:r>
    </w:p>
    <w:p>
      <w:pPr>
        <w:pStyle w:val="TextBody"/>
        <w:spacing w:before="0" w:after="0"/>
        <w:jc w:val="both"/>
        <w:rPr>
          <w:color w:val="000000"/>
        </w:rPr>
      </w:pPr>
      <w:r>
        <w:rPr>
          <w:color w:val="000000"/>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or an independent valuation or accounting firm that such initial business combination or transaction is fair to our company from a financial point of view. We are not required to obtain such an opinion in any other context.</w:t>
      </w:r>
    </w:p>
    <w:p>
      <w:pPr>
        <w:pStyle w:val="TextBody"/>
        <w:spacing w:before="0" w:after="0"/>
        <w:rPr/>
      </w:pPr>
      <w:r>
        <w:rPr/>
        <w:t> </w:t>
      </w:r>
    </w:p>
    <w:p>
      <w:pPr>
        <w:pStyle w:val="TextBody"/>
        <w:spacing w:before="0" w:after="0"/>
        <w:jc w:val="both"/>
        <w:rPr>
          <w:color w:val="000000"/>
        </w:rPr>
      </w:pPr>
      <w:r>
        <w:rPr>
          <w:color w:val="000000"/>
        </w:rPr>
        <w:t>Each of our officers and directors presently has, and any of them in the future may have additional, fiduciary or contractual obligations to other entities, including any future special purpose acquisition companies we expect they may be involved in and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w:t>
      </w:r>
    </w:p>
    <w:p>
      <w:pPr>
        <w:pStyle w:val="TextBody"/>
        <w:spacing w:before="0" w:after="0"/>
        <w:rPr/>
      </w:pPr>
      <w:r>
        <w:rPr/>
        <w:t> </w:t>
      </w:r>
    </w:p>
    <w:p>
      <w:pPr>
        <w:pStyle w:val="TextBody"/>
        <w:spacing w:before="0" w:after="0"/>
        <w:rPr>
          <w:b/>
          <w:color w:val="000000"/>
        </w:rPr>
      </w:pPr>
      <w:r>
        <w:rPr>
          <w:b/>
          <w:color w:val="000000"/>
        </w:rPr>
        <w:t>Evaluation of a Target Business and Structuring of Our Initial Business Combination</w:t>
      </w:r>
    </w:p>
    <w:p>
      <w:pPr>
        <w:pStyle w:val="TextBody"/>
        <w:spacing w:before="0" w:after="0"/>
        <w:rPr/>
      </w:pPr>
      <w:r>
        <w:rPr/>
        <w:t> </w:t>
      </w:r>
    </w:p>
    <w:p>
      <w:pPr>
        <w:pStyle w:val="TextBody"/>
        <w:spacing w:before="0" w:after="0"/>
        <w:jc w:val="both"/>
        <w:rPr>
          <w:color w:val="000000"/>
        </w:rPr>
      </w:pPr>
      <w:r>
        <w:rPr>
          <w:color w:val="000000"/>
        </w:rPr>
        <w:t>In evaluating a prospective target business, we conduct a thorough due diligence review which may encompass, among other things, meetings with incumbent management and employees, document reviews, interviews of customers and suppliers, inspection of facilities, as well as a review of financial, operational, legal and other information which will be made available to us. If we determine to move forward with a particular target, we will proceed to structure and negotiate the terms of the business combination transaction.</w:t>
      </w:r>
    </w:p>
    <w:p>
      <w:pPr>
        <w:pStyle w:val="TextBody"/>
        <w:spacing w:before="0" w:after="0"/>
        <w:rPr/>
      </w:pPr>
      <w:r>
        <w:rPr/>
        <w:t> </w:t>
      </w:r>
    </w:p>
    <w:p>
      <w:pPr>
        <w:pStyle w:val="TextBody"/>
        <w:spacing w:before="0" w:after="0"/>
        <w:jc w:val="both"/>
        <w:rPr>
          <w:color w:val="000000"/>
        </w:rPr>
      </w:pPr>
      <w:r>
        <w:rPr>
          <w:color w:val="000000"/>
        </w:rPr>
        <w:t>The time required to identify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 In addition, we have agreed not to enter into a definitive agreement regarding an initial business combination without the prior consent of our sponsor.</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55" w:name="DSPFPageBreakArea10"/>
      <w:bookmarkStart w:id="156" w:name="DSPFPageBreakArea10"/>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157" w:name="DSPFPageNumber9"/>
      <w:bookmarkStart w:id="158" w:name="DSPFPageNumberArea8"/>
      <w:bookmarkEnd w:id="157"/>
      <w:bookmarkEnd w:id="158"/>
      <w:r>
        <w:rPr>
          <w:b w:val="false"/>
          <w:i w:val="false"/>
          <w:caps w:val="false"/>
          <w:smallCaps w:val="false"/>
          <w:sz w:val="16"/>
        </w:rPr>
        <w:t>12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59" w:name="DSPFPageBreak10"/>
      <w:bookmarkStart w:id="160" w:name="DSPFPageBreak10"/>
      <w:bookmarkEnd w:id="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61" w:name="DSPFPageHeader8"/>
        <w:bookmarkEnd w:id="161"/>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Lack of Business Diversification</w:t>
      </w:r>
    </w:p>
    <w:p>
      <w:pPr>
        <w:pStyle w:val="TextBody"/>
        <w:spacing w:before="0" w:after="0"/>
        <w:rPr/>
      </w:pPr>
      <w:r>
        <w:rPr/>
        <w:t> </w:t>
      </w:r>
    </w:p>
    <w:p>
      <w:pPr>
        <w:pStyle w:val="TextBody"/>
        <w:spacing w:before="0" w:after="0"/>
        <w:jc w:val="both"/>
        <w:rPr>
          <w:color w:val="000000"/>
        </w:rPr>
      </w:pPr>
      <w:r>
        <w:rPr>
          <w:color w:val="000000"/>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pStyle w:val="TextBody"/>
        <w:spacing w:before="0" w:after="0"/>
        <w:rPr/>
      </w:pPr>
      <w:r>
        <w:rPr/>
      </w:r>
    </w:p>
    <w:p>
      <w:pPr>
        <w:pStyle w:val="Normal"/>
        <w:spacing w:before="0" w:after="0"/>
        <w:rPr>
          <w:sz w:val="4"/>
          <w:szCs w:val="4"/>
        </w:rPr>
      </w:pPr>
      <w:r>
        <w:rPr>
          <w:sz w:val="4"/>
          <w:szCs w:val="4"/>
        </w:rPr>
      </w:r>
      <w:bookmarkStart w:id="162" w:name="z7fc64b6f0cbe4310a9d51c0a77b9b6d3"/>
      <w:bookmarkStart w:id="163" w:name="z7fc64b6f0cbe4310a9d51c0a77b9b6d3"/>
      <w:bookmarkEnd w:id="163"/>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subject us to negative economic, competitive and regulatory developments, any or all of which may have a substantial adverse impact on the particular industry in which we operate after our initial business combination; and</w:t>
            </w:r>
          </w:p>
        </w:tc>
      </w:tr>
    </w:tbl>
    <w:p>
      <w:pPr>
        <w:pStyle w:val="Normal"/>
        <w:spacing w:before="0" w:after="0"/>
        <w:rPr>
          <w:sz w:val="4"/>
          <w:szCs w:val="4"/>
        </w:rPr>
      </w:pPr>
      <w:r>
        <w:rPr>
          <w:sz w:val="4"/>
          <w:szCs w:val="4"/>
        </w:rPr>
      </w:r>
      <w:bookmarkStart w:id="164" w:name="zfb3803ab545c486b9be3cac186a4d687"/>
      <w:bookmarkStart w:id="165" w:name="zfb3803ab545c486b9be3cac186a4d687"/>
      <w:bookmarkEnd w:id="165"/>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cause us to depend on the marketing and sale of a single product or limited number of products or services.</w:t>
            </w:r>
          </w:p>
        </w:tc>
      </w:tr>
    </w:tbl>
    <w:p>
      <w:pPr>
        <w:pStyle w:val="TextBody"/>
        <w:spacing w:before="0" w:after="0"/>
        <w:rPr/>
      </w:pPr>
      <w:r>
        <w:rPr/>
      </w:r>
    </w:p>
    <w:p>
      <w:pPr>
        <w:pStyle w:val="TextBody"/>
        <w:spacing w:before="0" w:after="0"/>
        <w:rPr>
          <w:b/>
          <w:color w:val="000000"/>
        </w:rPr>
      </w:pPr>
      <w:r>
        <w:rPr>
          <w:b/>
          <w:color w:val="000000"/>
        </w:rPr>
        <w:t>Limited Ability to Evaluate the Target’s Management Team</w:t>
      </w:r>
    </w:p>
    <w:p>
      <w:pPr>
        <w:pStyle w:val="TextBody"/>
        <w:spacing w:before="0" w:after="0"/>
        <w:rPr/>
      </w:pPr>
      <w:r>
        <w:rPr/>
      </w:r>
    </w:p>
    <w:p>
      <w:pPr>
        <w:pStyle w:val="TextBody"/>
        <w:spacing w:before="0" w:after="0"/>
        <w:jc w:val="both"/>
        <w:rPr>
          <w:color w:val="000000"/>
        </w:rPr>
      </w:pPr>
      <w:r>
        <w:rPr>
          <w:color w:val="000000"/>
        </w:rPr>
        <w:t>Although we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pStyle w:val="TextBody"/>
        <w:spacing w:before="0" w:after="0"/>
        <w:rPr/>
      </w:pPr>
      <w:r>
        <w:rPr/>
      </w:r>
    </w:p>
    <w:p>
      <w:pPr>
        <w:pStyle w:val="TextBody"/>
        <w:spacing w:before="0" w:after="0"/>
        <w:jc w:val="both"/>
        <w:rPr>
          <w:color w:val="000000"/>
        </w:rPr>
      </w:pPr>
      <w:r>
        <w:rPr>
          <w:color w:val="000000"/>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pStyle w:val="TextBody"/>
        <w:spacing w:before="0" w:after="0"/>
        <w:rPr/>
      </w:pPr>
      <w:r>
        <w:rPr/>
      </w:r>
    </w:p>
    <w:p>
      <w:pPr>
        <w:pStyle w:val="TextBody"/>
        <w:spacing w:before="0" w:after="0"/>
        <w:jc w:val="both"/>
        <w:rPr>
          <w:color w:val="000000"/>
        </w:rPr>
      </w:pPr>
      <w:r>
        <w:rPr>
          <w:color w:val="000000"/>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pStyle w:val="TextBody"/>
        <w:spacing w:before="0" w:after="0"/>
        <w:rPr/>
      </w:pPr>
      <w:r>
        <w:rPr/>
        <w:t> </w:t>
      </w:r>
    </w:p>
    <w:p>
      <w:pPr>
        <w:pStyle w:val="TextBody"/>
        <w:spacing w:before="0" w:after="0"/>
        <w:jc w:val="both"/>
        <w:rPr>
          <w:b/>
          <w:color w:val="000000"/>
        </w:rPr>
      </w:pPr>
      <w:r>
        <w:rPr>
          <w:b/>
          <w:color w:val="000000"/>
        </w:rPr>
        <w:t>Shareholders May Not Have the Ability to Approve Our Initial Business Combination</w:t>
      </w:r>
    </w:p>
    <w:p>
      <w:pPr>
        <w:pStyle w:val="TextBody"/>
        <w:spacing w:before="0" w:after="0"/>
        <w:rPr/>
      </w:pPr>
      <w:r>
        <w:rPr/>
        <w:t> </w:t>
      </w:r>
    </w:p>
    <w:p>
      <w:pPr>
        <w:pStyle w:val="TextBody"/>
        <w:spacing w:before="0" w:after="0"/>
        <w:jc w:val="both"/>
        <w:rPr>
          <w:color w:val="000000"/>
        </w:rPr>
      </w:pPr>
      <w:r>
        <w:rPr>
          <w:color w:val="000000"/>
        </w:rPr>
        <w:t>We may conduct redemptions without a shareholder vote pursuant to the tender offer rules of the SEC subject to the provisions of our amended and restated memorandum and articles of association. However, we will seek shareholder approval if it is required by applicable law or stock exchange rule, or we may decide to seek shareholder approval for business or other reasons.</w:t>
      </w:r>
    </w:p>
    <w:p>
      <w:pPr>
        <w:pStyle w:val="TextBody"/>
        <w:spacing w:before="0" w:after="0"/>
        <w:rPr/>
      </w:pPr>
      <w:r>
        <w:rPr/>
        <w:t> </w:t>
      </w:r>
    </w:p>
    <w:p>
      <w:pPr>
        <w:pStyle w:val="TextBody"/>
        <w:spacing w:before="0" w:after="0"/>
        <w:jc w:val="both"/>
        <w:rPr>
          <w:color w:val="000000"/>
        </w:rPr>
      </w:pPr>
      <w:r>
        <w:rPr>
          <w:color w:val="000000"/>
        </w:rPr>
        <w:t>Under Nasdaq’s listing rules, shareholder approval would be required for our initial business combination if, for example:</w:t>
      </w:r>
    </w:p>
    <w:p>
      <w:pPr>
        <w:pStyle w:val="TextBody"/>
        <w:spacing w:before="0" w:after="0"/>
        <w:rPr/>
      </w:pPr>
      <w:r>
        <w:rPr/>
        <w:t> </w:t>
      </w:r>
    </w:p>
    <w:p>
      <w:pPr>
        <w:pStyle w:val="Normal"/>
        <w:spacing w:before="0" w:after="0"/>
        <w:rPr>
          <w:sz w:val="4"/>
          <w:szCs w:val="4"/>
        </w:rPr>
      </w:pPr>
      <w:r>
        <w:rPr>
          <w:sz w:val="4"/>
          <w:szCs w:val="4"/>
        </w:rPr>
      </w:r>
      <w:bookmarkStart w:id="166" w:name="z4e55a146e30c48c0a711e9bbc674a87e"/>
      <w:bookmarkStart w:id="167" w:name="z4e55a146e30c48c0a711e9bbc674a87e"/>
      <w:bookmarkEnd w:id="16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we issue (other than in a public offering for cash) ordinary shares that will either (a) be equal to or in excess of 20% of the number of ordinary shares then issued and outstanding (excluding the private placement shares) or (b) have voting power equal to or in excess of 20% of the voting power then issued and outstanding (excluding the private placement shares);</w:t>
            </w:r>
          </w:p>
        </w:tc>
      </w:tr>
    </w:tbl>
    <w:p>
      <w:pPr>
        <w:pStyle w:val="Normal"/>
        <w:spacing w:before="0" w:after="0"/>
        <w:rPr>
          <w:sz w:val="4"/>
          <w:szCs w:val="4"/>
        </w:rPr>
      </w:pPr>
      <w:r>
        <w:rPr>
          <w:sz w:val="4"/>
          <w:szCs w:val="4"/>
        </w:rPr>
      </w:r>
      <w:bookmarkStart w:id="168" w:name="z1df85370696f4e108db735ae049e2a73"/>
      <w:bookmarkStart w:id="169" w:name="z1df85370696f4e108db735ae049e2a73"/>
      <w:bookmarkEnd w:id="169"/>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any of our directors, officers or substantial shareholders (as defined by Nasdaq rules) has a 5% or greater interest (or such persons collectively have a 10% or greater interest), directly or indirectly, in the target business or assets to be acquired or otherwise and the present or potential issuance of ordinary shares could result in an increase in outstanding ordinary shares or voting power of 5% or more; or</w:t>
            </w:r>
          </w:p>
        </w:tc>
      </w:tr>
    </w:tbl>
    <w:p>
      <w:pPr>
        <w:pStyle w:val="Normal"/>
        <w:spacing w:before="0" w:after="0"/>
        <w:rPr>
          <w:sz w:val="4"/>
          <w:szCs w:val="4"/>
        </w:rPr>
      </w:pPr>
      <w:r>
        <w:rPr>
          <w:sz w:val="4"/>
          <w:szCs w:val="4"/>
        </w:rPr>
      </w:r>
      <w:bookmarkStart w:id="170" w:name="za0295943ab9646dea3d70f4d3bd62081"/>
      <w:bookmarkStart w:id="171" w:name="za0295943ab9646dea3d70f4d3bd62081"/>
      <w:bookmarkEnd w:id="171"/>
    </w:p>
    <w:tbl>
      <w:tblPr>
        <w:tblW w:w="9738" w:type="dxa"/>
        <w:jc w:val="left"/>
        <w:tblInd w:w="0" w:type="dxa"/>
        <w:tblCellMar>
          <w:top w:w="0" w:type="dxa"/>
          <w:left w:w="0" w:type="dxa"/>
          <w:bottom w:w="0" w:type="dxa"/>
          <w:right w:w="0" w:type="dxa"/>
        </w:tblCellMar>
      </w:tblPr>
      <w:tblGrid>
        <w:gridCol w:w="38"/>
        <w:gridCol w:w="110"/>
        <w:gridCol w:w="95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590" w:type="dxa"/>
            <w:tcBorders/>
            <w:shd w:fill="auto" w:val="clear"/>
            <w:vAlign w:val="center"/>
          </w:tcPr>
          <w:p>
            <w:pPr>
              <w:pStyle w:val="TableContents"/>
              <w:spacing w:before="0" w:after="0"/>
              <w:jc w:val="both"/>
              <w:rPr>
                <w:color w:val="000000"/>
              </w:rPr>
            </w:pPr>
            <w:r>
              <w:rPr>
                <w:color w:val="000000"/>
              </w:rPr>
              <w:t>the issuance or potential issuance of ordinary shares will result in our undergoing a change of control.</w:t>
            </w:r>
          </w:p>
        </w:tc>
      </w:tr>
    </w:tbl>
    <w:p>
      <w:pPr>
        <w:pStyle w:val="TextBody"/>
        <w:spacing w:before="0" w:after="0"/>
        <w:rPr/>
      </w:pPr>
      <w:r>
        <w:rPr/>
        <w:t> </w:t>
      </w:r>
    </w:p>
    <w:p>
      <w:pPr>
        <w:pStyle w:val="TextBody"/>
        <w:spacing w:before="0" w:after="0"/>
        <w:jc w:val="both"/>
        <w:rPr>
          <w:color w:val="000000"/>
        </w:rPr>
      </w:pPr>
      <w:r>
        <w:rPr>
          <w:color w:val="000000"/>
        </w:rPr>
        <w:t>The Companies Act and Cayman Islands law do not currently require, and we are not aware of any other applicable law that will require, shareholder approval of our initial business combination.</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72" w:name="DSPFPageBreakArea11"/>
      <w:bookmarkStart w:id="173" w:name="DSPFPageBreakArea11"/>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174" w:name="DSPFPageNumber10"/>
      <w:bookmarkStart w:id="175" w:name="DSPFPageNumberArea9"/>
      <w:bookmarkEnd w:id="174"/>
      <w:bookmarkEnd w:id="175"/>
      <w:r>
        <w:rPr>
          <w:b w:val="false"/>
          <w:i w:val="false"/>
          <w:caps w:val="false"/>
          <w:smallCaps w:val="false"/>
          <w:sz w:val="16"/>
        </w:rPr>
        <w:t>13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76" w:name="DSPFPageBreak11"/>
      <w:bookmarkStart w:id="177" w:name="DSPFPageBreak11"/>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78" w:name="DSPFPageHeader9"/>
        <w:bookmarkEnd w:id="178"/>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pStyle w:val="TextBody"/>
        <w:spacing w:before="0" w:after="0"/>
        <w:rPr/>
      </w:pPr>
      <w:r>
        <w:rPr/>
        <w:t> </w:t>
      </w:r>
    </w:p>
    <w:p>
      <w:pPr>
        <w:pStyle w:val="Normal"/>
        <w:spacing w:before="0" w:after="0"/>
        <w:rPr>
          <w:sz w:val="4"/>
          <w:szCs w:val="4"/>
        </w:rPr>
      </w:pPr>
      <w:r>
        <w:rPr>
          <w:sz w:val="4"/>
          <w:szCs w:val="4"/>
        </w:rPr>
      </w:r>
      <w:bookmarkStart w:id="179" w:name="zbb2e29520fbd462882076398ae3e1ab3"/>
      <w:bookmarkStart w:id="180" w:name="zbb2e29520fbd462882076398ae3e1ab3"/>
      <w:bookmarkEnd w:id="18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the timing of the transaction, including in the event we determine shareholder approval would require additional time and there is either not enough time to seek shareholder approval or doing so would place the company at a disadvantage in the transaction or result in other additional burdens on the company;</w:t>
            </w:r>
          </w:p>
        </w:tc>
      </w:tr>
    </w:tbl>
    <w:p>
      <w:pPr>
        <w:pStyle w:val="Normal"/>
        <w:spacing w:before="0" w:after="0"/>
        <w:rPr>
          <w:sz w:val="4"/>
          <w:szCs w:val="4"/>
        </w:rPr>
      </w:pPr>
      <w:r>
        <w:rPr>
          <w:sz w:val="4"/>
          <w:szCs w:val="4"/>
        </w:rPr>
      </w:r>
      <w:bookmarkStart w:id="181" w:name="ze382e1161add4784803e2227297a08d0"/>
      <w:bookmarkStart w:id="182" w:name="ze382e1161add4784803e2227297a08d0"/>
      <w:bookmarkEnd w:id="182"/>
    </w:p>
    <w:tbl>
      <w:tblPr>
        <w:tblW w:w="4683" w:type="dxa"/>
        <w:jc w:val="left"/>
        <w:tblInd w:w="0" w:type="dxa"/>
        <w:tblCellMar>
          <w:top w:w="0" w:type="dxa"/>
          <w:left w:w="0" w:type="dxa"/>
          <w:bottom w:w="0" w:type="dxa"/>
          <w:right w:w="0" w:type="dxa"/>
        </w:tblCellMar>
      </w:tblPr>
      <w:tblGrid>
        <w:gridCol w:w="38"/>
        <w:gridCol w:w="110"/>
        <w:gridCol w:w="453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535" w:type="dxa"/>
            <w:tcBorders/>
            <w:shd w:fill="auto" w:val="clear"/>
            <w:vAlign w:val="center"/>
          </w:tcPr>
          <w:p>
            <w:pPr>
              <w:pStyle w:val="TableContents"/>
              <w:spacing w:before="0" w:after="0"/>
              <w:jc w:val="both"/>
              <w:rPr>
                <w:color w:val="000000"/>
              </w:rPr>
            </w:pPr>
            <w:r>
              <w:rPr>
                <w:color w:val="000000"/>
              </w:rPr>
              <w:t>the expected cost of holding a shareholder vote;</w:t>
            </w:r>
          </w:p>
        </w:tc>
      </w:tr>
    </w:tbl>
    <w:p>
      <w:pPr>
        <w:pStyle w:val="Normal"/>
        <w:spacing w:before="0" w:after="0"/>
        <w:rPr>
          <w:sz w:val="4"/>
          <w:szCs w:val="4"/>
        </w:rPr>
      </w:pPr>
      <w:r>
        <w:rPr>
          <w:sz w:val="4"/>
          <w:szCs w:val="4"/>
        </w:rPr>
      </w:r>
      <w:bookmarkStart w:id="183" w:name="zb2b74f9dc420411c95bb25be9952028d"/>
      <w:bookmarkStart w:id="184" w:name="zb2b74f9dc420411c95bb25be9952028d"/>
      <w:bookmarkEnd w:id="184"/>
    </w:p>
    <w:tbl>
      <w:tblPr>
        <w:tblW w:w="8373" w:type="dxa"/>
        <w:jc w:val="left"/>
        <w:tblInd w:w="0" w:type="dxa"/>
        <w:tblCellMar>
          <w:top w:w="0" w:type="dxa"/>
          <w:left w:w="0" w:type="dxa"/>
          <w:bottom w:w="0" w:type="dxa"/>
          <w:right w:w="0" w:type="dxa"/>
        </w:tblCellMar>
      </w:tblPr>
      <w:tblGrid>
        <w:gridCol w:w="38"/>
        <w:gridCol w:w="110"/>
        <w:gridCol w:w="82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225" w:type="dxa"/>
            <w:tcBorders/>
            <w:shd w:fill="auto" w:val="clear"/>
            <w:vAlign w:val="center"/>
          </w:tcPr>
          <w:p>
            <w:pPr>
              <w:pStyle w:val="TableContents"/>
              <w:spacing w:before="0" w:after="0"/>
              <w:jc w:val="both"/>
              <w:rPr>
                <w:color w:val="000000"/>
              </w:rPr>
            </w:pPr>
            <w:r>
              <w:rPr>
                <w:color w:val="000000"/>
              </w:rPr>
              <w:t>the risk that the shareholders would fail to approve the proposed business combination;</w:t>
            </w:r>
          </w:p>
        </w:tc>
      </w:tr>
    </w:tbl>
    <w:p>
      <w:pPr>
        <w:pStyle w:val="Normal"/>
        <w:spacing w:before="0" w:after="0"/>
        <w:rPr>
          <w:sz w:val="4"/>
          <w:szCs w:val="4"/>
        </w:rPr>
      </w:pPr>
      <w:r>
        <w:rPr>
          <w:sz w:val="4"/>
          <w:szCs w:val="4"/>
        </w:rPr>
      </w:r>
      <w:bookmarkStart w:id="185" w:name="zcee58b4f172b42caa811d6e8fa37b45a"/>
      <w:bookmarkStart w:id="186" w:name="zcee58b4f172b42caa811d6e8fa37b45a"/>
      <w:bookmarkEnd w:id="186"/>
    </w:p>
    <w:tbl>
      <w:tblPr>
        <w:tblW w:w="5298" w:type="dxa"/>
        <w:jc w:val="left"/>
        <w:tblInd w:w="0" w:type="dxa"/>
        <w:tblCellMar>
          <w:top w:w="0" w:type="dxa"/>
          <w:left w:w="0" w:type="dxa"/>
          <w:bottom w:w="0" w:type="dxa"/>
          <w:right w:w="0" w:type="dxa"/>
        </w:tblCellMar>
      </w:tblPr>
      <w:tblGrid>
        <w:gridCol w:w="38"/>
        <w:gridCol w:w="110"/>
        <w:gridCol w:w="51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150" w:type="dxa"/>
            <w:tcBorders/>
            <w:shd w:fill="auto" w:val="clear"/>
            <w:vAlign w:val="center"/>
          </w:tcPr>
          <w:p>
            <w:pPr>
              <w:pStyle w:val="TableContents"/>
              <w:spacing w:before="0" w:after="0"/>
              <w:jc w:val="both"/>
              <w:rPr>
                <w:color w:val="000000"/>
              </w:rPr>
            </w:pPr>
            <w:r>
              <w:rPr>
                <w:color w:val="000000"/>
              </w:rPr>
              <w:t>other time and budget constraints of the company; and</w:t>
            </w:r>
          </w:p>
        </w:tc>
      </w:tr>
    </w:tbl>
    <w:p>
      <w:pPr>
        <w:pStyle w:val="Normal"/>
        <w:spacing w:before="0" w:after="0"/>
        <w:rPr>
          <w:sz w:val="4"/>
          <w:szCs w:val="4"/>
        </w:rPr>
      </w:pPr>
      <w:r>
        <w:rPr>
          <w:sz w:val="4"/>
          <w:szCs w:val="4"/>
        </w:rPr>
      </w:r>
      <w:bookmarkStart w:id="187" w:name="z8c9b1cc4fb694396b57aa5c531ac36e2"/>
      <w:bookmarkStart w:id="188" w:name="z8c9b1cc4fb694396b57aa5c531ac36e2"/>
      <w:bookmarkEnd w:id="18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additional legal complexities of a proposed business combination that would be time-consuming and burdensome to present to shareholders.</w:t>
            </w:r>
          </w:p>
        </w:tc>
      </w:tr>
    </w:tbl>
    <w:p>
      <w:pPr>
        <w:pStyle w:val="TextBody"/>
        <w:spacing w:before="0" w:after="0"/>
        <w:rPr/>
      </w:pPr>
      <w:r>
        <w:rPr/>
        <w:t> </w:t>
      </w:r>
    </w:p>
    <w:p>
      <w:pPr>
        <w:pStyle w:val="TextBody"/>
        <w:spacing w:before="0" w:after="0"/>
        <w:rPr>
          <w:b/>
          <w:color w:val="000000"/>
        </w:rPr>
      </w:pPr>
      <w:r>
        <w:rPr>
          <w:b/>
          <w:color w:val="000000"/>
        </w:rPr>
        <w:t>Permitted Purchases of Our Securities and Other Transactions with Respect to Our Securities</w:t>
      </w:r>
    </w:p>
    <w:p>
      <w:pPr>
        <w:pStyle w:val="TextBody"/>
        <w:spacing w:before="0" w:after="0"/>
        <w:rPr/>
      </w:pPr>
      <w:r>
        <w:rPr/>
        <w:t> </w:t>
      </w:r>
    </w:p>
    <w:p>
      <w:pPr>
        <w:pStyle w:val="TextBody"/>
        <w:spacing w:before="0" w:after="0"/>
        <w:jc w:val="both"/>
        <w:rPr>
          <w:color w:val="000000"/>
        </w:rPr>
      </w:pPr>
      <w:r>
        <w:rPr>
          <w:color w:val="000000"/>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Additionally, at any time at or prior to our initial business combination, subject to applicable securities laws (including with respect to material nonpublic information), our sponsor, directors, executive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in the trust account will be used to purchase public shares in such transactions. If they engage in such transactions, they will be restricted from making any such purchases when they are in possession of any material non-public information not disclosed to the seller or if such purchases are prohibited by Regulation M under the Securities Exchange Act of 1934, as amended (the “Exchange Act”).</w:t>
      </w:r>
    </w:p>
    <w:p>
      <w:pPr>
        <w:pStyle w:val="TextBody"/>
        <w:spacing w:before="0" w:after="0"/>
        <w:rPr/>
      </w:pPr>
      <w:r>
        <w:rPr/>
      </w:r>
    </w:p>
    <w:p>
      <w:pPr>
        <w:pStyle w:val="TextBody"/>
        <w:spacing w:before="0" w:after="0"/>
        <w:jc w:val="both"/>
        <w:rPr/>
      </w:pPr>
      <w:r>
        <w:rPr>
          <w:color w:val="000000"/>
        </w:rPr>
        <w:t>In the event that our sponsor, directors, officers, advisors or their affiliates purchase shares in privately negotiated transactions from public shareholders who have already elected to exercise their redemption rights or submitted a proxy</w:t>
      </w:r>
      <w:r>
        <w:rPr/>
        <w:t> </w:t>
      </w:r>
      <w:r>
        <w:rPr>
          <w:color w:val="000000"/>
        </w:rPr>
        <w:t>to vote against our initial business combination, such selling shareholders would be required to revoke their prior elections to redeem their shares and any proxy to vote against our initial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pStyle w:val="TextBody"/>
        <w:spacing w:before="0" w:after="0"/>
        <w:rPr/>
      </w:pPr>
      <w:r>
        <w:rPr/>
      </w:r>
    </w:p>
    <w:p>
      <w:pPr>
        <w:pStyle w:val="TextBody"/>
        <w:spacing w:before="0" w:after="0"/>
        <w:jc w:val="both"/>
        <w:rPr>
          <w:color w:val="000000"/>
        </w:rPr>
      </w:pPr>
      <w:r>
        <w:rPr>
          <w:color w:val="000000"/>
        </w:rPr>
        <w:t>The purpose of any such transactions could be to (i) vote such shares in favor of the business combination and thereby increase the likelihood of obtaining shareholder approval of the business combination or (ii)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w:t>
      </w:r>
    </w:p>
    <w:p>
      <w:pPr>
        <w:pStyle w:val="TextBody"/>
        <w:spacing w:before="0" w:after="0"/>
        <w:rPr/>
      </w:pPr>
      <w:r>
        <w:rPr/>
      </w:r>
    </w:p>
    <w:p>
      <w:pPr>
        <w:pStyle w:val="TextBody"/>
        <w:spacing w:before="0" w:after="0"/>
        <w:jc w:val="both"/>
        <w:rPr>
          <w:color w:val="000000"/>
        </w:rPr>
      </w:pPr>
      <w:r>
        <w:rPr>
          <w:color w:val="000000"/>
        </w:rPr>
        <w:t>In addition, if such purchases are made, the public “float” of our Class A ordinary shares may be reduced and the number of beneficial holders of our securities may be reduced, which may make it difficult to maintain or obtain the quotation, listing or trading of our securities on a national securities exchange.</w:t>
      </w:r>
    </w:p>
    <w:p>
      <w:pPr>
        <w:pStyle w:val="TextBody"/>
        <w:spacing w:before="0" w:after="0"/>
        <w:rPr/>
      </w:pPr>
      <w:r>
        <w:rPr/>
      </w:r>
    </w:p>
    <w:p>
      <w:pPr>
        <w:pStyle w:val="TextBody"/>
        <w:spacing w:before="0" w:after="0"/>
        <w:jc w:val="both"/>
        <w:rPr>
          <w:color w:val="000000"/>
        </w:rPr>
      </w:pPr>
      <w:r>
        <w:rPr>
          <w:color w:val="000000"/>
        </w:rPr>
        <w:t>Our sponsor, officers, directors and/or their affiliates may identify the shareholders with whom our sponsor, officers, directors or their affiliates may pursue privately negotiated transactions by either the shareholders contacting us directly or by our receipt of redemption requests submitted by shareholders (in the case of Class A ordinary shares) following our mailing of tender offer or proxy materials in connection with our initial business combination. To the extent that our sponsor, officers, directors, advisors or their affiliates enter into a private transaction, they would identify and contact only potential selling or redeeming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shareholder meeting related to our initial business combination. Our sponsor, executive officers, directors, advisors or their affiliates will select which shareholders to purchase shares from based on the negotiated price and number of shares and any other factors that they may deem relevant, and will be restricted from purchasing shares if such purchases do not comply with Regulation M under the Exchange Act and the other federal securities laws.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89" w:name="DSPFPageBreakArea12"/>
      <w:bookmarkStart w:id="190" w:name="DSPFPageBreakArea12"/>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191" w:name="DSPFPageNumber11"/>
      <w:bookmarkStart w:id="192" w:name="DSPFPageNumberArea10"/>
      <w:bookmarkEnd w:id="191"/>
      <w:bookmarkEnd w:id="192"/>
      <w:r>
        <w:rPr>
          <w:b w:val="false"/>
          <w:i w:val="false"/>
          <w:caps w:val="false"/>
          <w:smallCaps w:val="false"/>
          <w:sz w:val="16"/>
        </w:rPr>
        <w:t>14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93" w:name="DSPFPageBreak12"/>
      <w:bookmarkStart w:id="194" w:name="DSPFPageBreak12"/>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95" w:name="DSPFPageHeader10"/>
        <w:bookmarkEnd w:id="195"/>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Our sponsor, officers, directors and/or their affiliates will be restricted from making purchases of shares if the purchases would violate Section 9(a)(2) or Rule 10b-5 of the Exchange Act. We expect any such purchases to be reported by such person pursuant to Section 13 and Section 16 of the Exchange Act to the extent such purchasers are subject to such reporting requirements.</w:t>
      </w:r>
    </w:p>
    <w:p>
      <w:pPr>
        <w:pStyle w:val="TextBody"/>
        <w:spacing w:before="0" w:after="0"/>
        <w:rPr/>
      </w:pPr>
      <w:r>
        <w:rPr/>
      </w:r>
    </w:p>
    <w:p>
      <w:pPr>
        <w:pStyle w:val="TextBody"/>
        <w:spacing w:before="0" w:after="0"/>
        <w:jc w:val="both"/>
        <w:rPr>
          <w:b/>
          <w:color w:val="000000"/>
        </w:rPr>
      </w:pPr>
      <w:r>
        <w:rPr>
          <w:b/>
          <w:color w:val="000000"/>
        </w:rPr>
        <w:t>Redemption Rights for Public Shareholders upon Completion of Our Initial Business Combination</w:t>
      </w:r>
    </w:p>
    <w:p>
      <w:pPr>
        <w:pStyle w:val="TextBody"/>
        <w:spacing w:before="0" w:after="0"/>
        <w:rPr/>
      </w:pPr>
      <w:r>
        <w:rPr/>
      </w:r>
    </w:p>
    <w:p>
      <w:pPr>
        <w:pStyle w:val="TextBody"/>
        <w:spacing w:before="0" w:after="0"/>
        <w:jc w:val="both"/>
        <w:rPr>
          <w:color w:val="000000"/>
        </w:rPr>
      </w:pPr>
      <w:r>
        <w:rPr>
          <w:color w:val="000000"/>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per-share amount we will distribute to investors who properly redeem their shares will not be reduced by the deferred underwriting commissions we will pay to Goldman Sachs &amp; Co. LLC and Jefferies LLC (the “Underwriters”). The redemption rights may include the requirement that a beneficial holder must identify itself in order to validly redeem its shares. Further, we will not proceed with redeeming our public shares, even if a public shareholder has properly elected to redeem its shares, if a business combination does not close. Our sponsor and our management team have entered into an agreement with us, pursuant to which they have agreed to waive their redemption rights with respect to their founder shares, private placement shares and any public shares purchased during or after our Initial Public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(B) with respect to any other provision relating to the rights of holders of our Class A ordinary shares.</w:t>
      </w:r>
    </w:p>
    <w:p>
      <w:pPr>
        <w:pStyle w:val="TextBody"/>
        <w:spacing w:before="0" w:after="0"/>
        <w:rPr/>
      </w:pPr>
      <w:r>
        <w:rPr/>
      </w:r>
    </w:p>
    <w:p>
      <w:pPr>
        <w:pStyle w:val="TextBody"/>
        <w:spacing w:before="0" w:after="0"/>
        <w:rPr>
          <w:b/>
          <w:color w:val="000000"/>
        </w:rPr>
      </w:pPr>
      <w:r>
        <w:rPr>
          <w:b/>
          <w:color w:val="000000"/>
        </w:rPr>
        <w:t>Limitations on Redemptions</w:t>
      </w:r>
    </w:p>
    <w:p>
      <w:pPr>
        <w:pStyle w:val="TextBody"/>
        <w:spacing w:before="0" w:after="0"/>
        <w:rPr/>
      </w:pPr>
      <w:r>
        <w:rPr/>
      </w:r>
    </w:p>
    <w:p>
      <w:pPr>
        <w:pStyle w:val="TextBody"/>
        <w:spacing w:before="0" w:after="0"/>
        <w:jc w:val="both"/>
        <w:rPr>
          <w:color w:val="000000"/>
        </w:rPr>
      </w:pPr>
      <w:r>
        <w:rPr>
          <w:color w:val="000000"/>
        </w:rPr>
        <w:t>Our amended and restated memorandum and articles of association provide that in no event will we redeem our public shares in an amount that would cause our net tangible assets to be less than $5,000,001 (so that we do not then become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pStyle w:val="TextBody"/>
        <w:spacing w:before="0" w:after="0"/>
        <w:rPr/>
      </w:pPr>
      <w:r>
        <w:rPr/>
      </w:r>
    </w:p>
    <w:p>
      <w:pPr>
        <w:pStyle w:val="TextBody"/>
        <w:spacing w:before="0" w:after="0"/>
        <w:rPr>
          <w:b/>
          <w:color w:val="000000"/>
        </w:rPr>
      </w:pPr>
      <w:r>
        <w:rPr>
          <w:b/>
          <w:color w:val="000000"/>
        </w:rPr>
        <w:t>Manner of Conducting Redemptions</w:t>
      </w:r>
    </w:p>
    <w:p>
      <w:pPr>
        <w:pStyle w:val="TextBody"/>
        <w:spacing w:before="0" w:after="0"/>
        <w:rPr/>
      </w:pPr>
      <w:r>
        <w:rPr/>
      </w:r>
    </w:p>
    <w:p>
      <w:pPr>
        <w:pStyle w:val="TextBody"/>
        <w:spacing w:before="0" w:after="0"/>
        <w:jc w:val="both"/>
        <w:rPr>
          <w:color w:val="000000"/>
        </w:rPr>
      </w:pPr>
      <w:r>
        <w:rPr>
          <w:color w:val="000000"/>
        </w:rPr>
        <w:t>We will provide our public shareholders with the opportunity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(excluding the private placement shares) or seek to amend our amended and restated memorandum and articles of association would typically require shareholder approval. We currently intend to conduct redemptions in connection with a shareholder vote unless shareholder approval is not required by applicable law or stock exchange rule or we choose to conduct redemptions pursuant to the tender offer rules of the SEC for business or other reasons.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96" w:name="DSPFPageBreakArea13"/>
      <w:bookmarkStart w:id="197" w:name="DSPFPageBreakArea13"/>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198" w:name="DSPFPageNumber12"/>
      <w:bookmarkStart w:id="199" w:name="DSPFPageNumberArea11"/>
      <w:bookmarkEnd w:id="198"/>
      <w:bookmarkEnd w:id="199"/>
      <w:r>
        <w:rPr>
          <w:b w:val="false"/>
          <w:i w:val="false"/>
          <w:caps w:val="false"/>
          <w:smallCaps w:val="false"/>
          <w:sz w:val="16"/>
        </w:rPr>
        <w:t>15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00" w:name="DSPFPageBreak13"/>
      <w:bookmarkStart w:id="201" w:name="DSPFPageBreak13"/>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02" w:name="DSPFPageHeader11"/>
        <w:bookmarkEnd w:id="202"/>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If we hold a shareholder vote to approve our initial business combination, we will, pursuant to our amended and restated memorandum and articles of association:</w:t>
      </w:r>
    </w:p>
    <w:p>
      <w:pPr>
        <w:pStyle w:val="TextBody"/>
        <w:spacing w:before="0" w:after="0"/>
        <w:rPr/>
      </w:pPr>
      <w:r>
        <w:rPr/>
      </w:r>
    </w:p>
    <w:p>
      <w:pPr>
        <w:pStyle w:val="Normal"/>
        <w:spacing w:before="0" w:after="0"/>
        <w:rPr>
          <w:sz w:val="4"/>
          <w:szCs w:val="4"/>
        </w:rPr>
      </w:pPr>
      <w:r>
        <w:rPr>
          <w:sz w:val="4"/>
          <w:szCs w:val="4"/>
        </w:rPr>
      </w:r>
      <w:bookmarkStart w:id="203" w:name="zb74938a2894041b7944c05e43d0a00c7"/>
      <w:bookmarkStart w:id="204" w:name="zb74938a2894041b7944c05e43d0a00c7"/>
      <w:bookmarkEnd w:id="20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conduct the redemptions in conjunction with a proxy solicitation pursuant to Regulation 14A of the Exchange Act, which regulates the solicitation of proxies, and not pursuant to the tender offer rules; and</w:t>
            </w:r>
          </w:p>
        </w:tc>
      </w:tr>
    </w:tbl>
    <w:p>
      <w:pPr>
        <w:pStyle w:val="Normal"/>
        <w:spacing w:before="0" w:after="0"/>
        <w:rPr>
          <w:sz w:val="4"/>
          <w:szCs w:val="4"/>
        </w:rPr>
      </w:pPr>
      <w:r>
        <w:rPr>
          <w:sz w:val="4"/>
          <w:szCs w:val="4"/>
        </w:rPr>
      </w:r>
      <w:bookmarkStart w:id="205" w:name="z558d4262d66c4729bab6375f3d33f1c4"/>
      <w:bookmarkStart w:id="206" w:name="z558d4262d66c4729bab6375f3d33f1c4"/>
      <w:bookmarkEnd w:id="206"/>
    </w:p>
    <w:tbl>
      <w:tblPr>
        <w:tblW w:w="3393" w:type="dxa"/>
        <w:jc w:val="left"/>
        <w:tblInd w:w="0" w:type="dxa"/>
        <w:tblCellMar>
          <w:top w:w="0" w:type="dxa"/>
          <w:left w:w="0" w:type="dxa"/>
          <w:bottom w:w="0" w:type="dxa"/>
          <w:right w:w="0" w:type="dxa"/>
        </w:tblCellMar>
      </w:tblPr>
      <w:tblGrid>
        <w:gridCol w:w="38"/>
        <w:gridCol w:w="110"/>
        <w:gridCol w:w="324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245" w:type="dxa"/>
            <w:tcBorders/>
            <w:shd w:fill="auto" w:val="clear"/>
            <w:vAlign w:val="center"/>
          </w:tcPr>
          <w:p>
            <w:pPr>
              <w:pStyle w:val="TableContents"/>
              <w:spacing w:before="0" w:after="0"/>
              <w:jc w:val="both"/>
              <w:rPr>
                <w:color w:val="000000"/>
              </w:rPr>
            </w:pPr>
            <w:r>
              <w:rPr>
                <w:color w:val="000000"/>
              </w:rPr>
              <w:t>file proxy materials with the SEC.</w:t>
            </w:r>
          </w:p>
        </w:tc>
      </w:tr>
    </w:tbl>
    <w:p>
      <w:pPr>
        <w:pStyle w:val="TextBody"/>
        <w:spacing w:before="0" w:after="0"/>
        <w:rPr/>
      </w:pPr>
      <w:r>
        <w:rPr/>
      </w:r>
    </w:p>
    <w:p>
      <w:pPr>
        <w:pStyle w:val="TextBody"/>
        <w:spacing w:before="0" w:after="0"/>
        <w:jc w:val="both"/>
        <w:rPr>
          <w:color w:val="000000"/>
        </w:rPr>
      </w:pPr>
      <w:r>
        <w:rPr>
          <w:color w:val="000000"/>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pStyle w:val="TextBody"/>
        <w:spacing w:before="0" w:after="0"/>
        <w:rPr/>
      </w:pPr>
      <w:r>
        <w:rPr/>
      </w:r>
    </w:p>
    <w:p>
      <w:pPr>
        <w:pStyle w:val="TextBody"/>
        <w:spacing w:before="0" w:after="0"/>
        <w:jc w:val="both"/>
        <w:rPr>
          <w:color w:val="000000"/>
        </w:rPr>
      </w:pPr>
      <w:r>
        <w:rPr>
          <w:color w:val="000000"/>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our Initial Public Offering in favor of our initial business combination. As a result, in addition to our initial shareholders’ founder shares and private placement shares, we would need 5,356,751, or 35.83%, of the 14,950,000 public shares sold in our Initial Public Offering to be voted in favor of an initial business combination in order to have our initial business combination approved (assuming all issued and outstanding shares are voted and the private placement shares issued to our sponsor are voted in favor of the transaction). Each public shareholder may elect to redeem their public shares irrespective of whether they vote for or against the proposed transaction or vote at all. In addition, our sponsor and our management team have entered into an agreement with us, pursuant to which they have agreed to waive their redemption rights with respect to their founder shares, private placement shares and any public shares purchased during or after our Initial Public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(B) with respect to any other provision relating to the rights of holders of our Class A ordinary shares.</w:t>
      </w:r>
    </w:p>
    <w:p>
      <w:pPr>
        <w:pStyle w:val="TextBody"/>
        <w:spacing w:before="0" w:after="0"/>
        <w:rPr/>
      </w:pPr>
      <w:r>
        <w:rPr/>
      </w:r>
    </w:p>
    <w:p>
      <w:pPr>
        <w:pStyle w:val="TextBody"/>
        <w:spacing w:before="0" w:after="0"/>
        <w:jc w:val="both"/>
        <w:rPr>
          <w:color w:val="000000"/>
        </w:rPr>
      </w:pPr>
      <w:r>
        <w:rPr>
          <w:color w:val="000000"/>
        </w:rPr>
        <w:t>If we conduct redemptions pursuant to the tender offer rules of the SEC, we will, pursuant to our amended and restated memorandum and articles of association:</w:t>
      </w:r>
    </w:p>
    <w:p>
      <w:pPr>
        <w:pStyle w:val="TextBody"/>
        <w:spacing w:before="0" w:after="0"/>
        <w:rPr/>
      </w:pPr>
      <w:r>
        <w:rPr/>
      </w:r>
    </w:p>
    <w:p>
      <w:pPr>
        <w:pStyle w:val="Normal"/>
        <w:spacing w:before="0" w:after="0"/>
        <w:rPr>
          <w:sz w:val="4"/>
          <w:szCs w:val="4"/>
        </w:rPr>
      </w:pPr>
      <w:r>
        <w:rPr>
          <w:sz w:val="4"/>
          <w:szCs w:val="4"/>
        </w:rPr>
      </w:r>
      <w:bookmarkStart w:id="207" w:name="z387a678f054f4928b0d432b15a9a9555"/>
      <w:bookmarkStart w:id="208" w:name="z387a678f054f4928b0d432b15a9a9555"/>
      <w:bookmarkEnd w:id="20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conduct the redemptions pursuant to Rule 13e-4 and Regulation 14E of the Exchange Act, which regulate issuer tender offers; and</w:t>
            </w:r>
          </w:p>
        </w:tc>
      </w:tr>
    </w:tbl>
    <w:p>
      <w:pPr>
        <w:pStyle w:val="Normal"/>
        <w:spacing w:before="0" w:after="0"/>
        <w:rPr>
          <w:sz w:val="4"/>
          <w:szCs w:val="4"/>
        </w:rPr>
      </w:pPr>
      <w:r>
        <w:rPr>
          <w:sz w:val="4"/>
          <w:szCs w:val="4"/>
        </w:rPr>
      </w:r>
      <w:bookmarkStart w:id="209" w:name="z67faefcb9eaf43a1bdc831a8937594ba"/>
      <w:bookmarkStart w:id="210" w:name="z67faefcb9eaf43a1bdc831a8937594ba"/>
      <w:bookmarkEnd w:id="21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tc>
      </w:tr>
    </w:tbl>
    <w:p>
      <w:pPr>
        <w:pStyle w:val="TextBody"/>
        <w:spacing w:before="0" w:after="0"/>
        <w:rPr/>
      </w:pPr>
      <w:r>
        <w:rPr/>
      </w:r>
    </w:p>
    <w:p>
      <w:pPr>
        <w:pStyle w:val="TextBody"/>
        <w:spacing w:before="0" w:after="0"/>
        <w:jc w:val="both"/>
        <w:rPr>
          <w:color w:val="000000"/>
        </w:rPr>
      </w:pPr>
      <w:r>
        <w:rPr>
          <w:color w:val="000000"/>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pStyle w:val="TextBody"/>
        <w:spacing w:before="0" w:after="0"/>
        <w:rPr/>
      </w:pPr>
      <w:r>
        <w:rPr/>
      </w:r>
    </w:p>
    <w:p>
      <w:pPr>
        <w:pStyle w:val="TextBody"/>
        <w:spacing w:before="0" w:after="0"/>
        <w:jc w:val="both"/>
        <w:rPr>
          <w:color w:val="000000"/>
        </w:rPr>
      </w:pPr>
      <w:r>
        <w:rPr>
          <w:color w:val="000000"/>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pStyle w:val="TextBody"/>
        <w:spacing w:before="0" w:after="0"/>
        <w:rPr/>
      </w:pPr>
      <w:r>
        <w:rPr/>
      </w:r>
    </w:p>
    <w:p>
      <w:pPr>
        <w:pStyle w:val="TextBody"/>
        <w:spacing w:before="0" w:after="0"/>
        <w:rPr>
          <w:b/>
          <w:color w:val="000000"/>
        </w:rPr>
      </w:pPr>
      <w:r>
        <w:rPr>
          <w:b/>
          <w:color w:val="000000"/>
        </w:rPr>
        <w:t>Limitation on Redemption upon Completion of Our Initial Business Combination If We Seek Shareholder</w:t>
      </w:r>
    </w:p>
    <w:p>
      <w:pPr>
        <w:pStyle w:val="TextBody"/>
        <w:spacing w:before="0" w:after="0"/>
        <w:rPr>
          <w:b/>
          <w:color w:val="000000"/>
        </w:rPr>
      </w:pPr>
      <w:r>
        <w:rPr>
          <w:b/>
          <w:color w:val="000000"/>
        </w:rPr>
        <w:t>Approval</w:t>
      </w:r>
    </w:p>
    <w:p>
      <w:pPr>
        <w:pStyle w:val="TextBody"/>
        <w:spacing w:before="0" w:after="0"/>
        <w:rPr/>
      </w:pPr>
      <w:r>
        <w:rPr/>
      </w:r>
    </w:p>
    <w:p>
      <w:pPr>
        <w:pStyle w:val="TextBody"/>
        <w:spacing w:before="0" w:after="0"/>
        <w:jc w:val="both"/>
        <w:rPr>
          <w:color w:val="000000"/>
        </w:rPr>
      </w:pPr>
      <w:r>
        <w:rPr>
          <w:color w:val="000000"/>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seeking redemption rights with respect to Excess Shares, without our prior consent.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our Initial Public Offering could threaten to exercise its redemption rights if such holder’s shares are not purchased by us, our sponsor or our management team at a premium to the then-current market price or on other undesirable terms. By limiting our shareholders’ ability to redeem no more than 15% of the shares sold in our Initial Public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pStyle w:val="TextBody"/>
        <w:spacing w:before="0" w:after="0"/>
        <w:jc w:val="both"/>
        <w:rPr>
          <w:color w:val="000000"/>
        </w:rPr>
      </w:pPr>
      <w:r>
        <w:rPr>
          <w:color w:val="00000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1" w:name="DSPFPageBreakArea14"/>
      <w:bookmarkStart w:id="212" w:name="DSPFPageBreakArea14"/>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13" w:name="DSPFPageNumber13"/>
      <w:bookmarkStart w:id="214" w:name="DSPFPageNumberArea12"/>
      <w:bookmarkEnd w:id="213"/>
      <w:bookmarkEnd w:id="214"/>
      <w:r>
        <w:rPr>
          <w:b w:val="false"/>
          <w:i w:val="false"/>
          <w:caps w:val="false"/>
          <w:smallCaps w:val="false"/>
          <w:sz w:val="16"/>
        </w:rPr>
        <w:t>16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15" w:name="DSPFPageBreak14"/>
      <w:bookmarkStart w:id="216" w:name="DSPFPageBreak14"/>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17" w:name="DSPFPageHeader12"/>
        <w:bookmarkEnd w:id="217"/>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However, we would not be restricting our shareholders’ ability to vote all of their shares (including Excess Shares) for or against our initial business combination.</w:t>
      </w:r>
    </w:p>
    <w:p>
      <w:pPr>
        <w:pStyle w:val="TextBody"/>
        <w:spacing w:before="0" w:after="0"/>
        <w:rPr/>
      </w:pPr>
      <w:r>
        <w:rPr/>
        <w:t> </w:t>
      </w:r>
    </w:p>
    <w:p>
      <w:pPr>
        <w:pStyle w:val="TextBody"/>
        <w:spacing w:before="0" w:after="0"/>
        <w:rPr>
          <w:b/>
          <w:color w:val="000000"/>
        </w:rPr>
      </w:pPr>
      <w:r>
        <w:rPr>
          <w:b/>
          <w:color w:val="000000"/>
        </w:rPr>
        <w:t>Tendering Share Certificates in Connection with a Tender Offer or Redemption Rights</w:t>
      </w:r>
    </w:p>
    <w:p>
      <w:pPr>
        <w:pStyle w:val="TextBody"/>
        <w:spacing w:before="0" w:after="0"/>
        <w:rPr/>
      </w:pPr>
      <w:r>
        <w:rPr/>
        <w:t> </w:t>
      </w:r>
    </w:p>
    <w:p>
      <w:pPr>
        <w:pStyle w:val="TextBody"/>
        <w:spacing w:before="0" w:after="0"/>
        <w:jc w:val="both"/>
        <w:rPr>
          <w:color w:val="000000"/>
        </w:rPr>
      </w:pPr>
      <w:r>
        <w:rPr>
          <w:color w:val="000000"/>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 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may include the requirement that a beneficial holder must identify itself in order to validly redeem its shares. Accordingly, a public shareholder would have from the time we send out our tender offer materials until the close of the tender offer period, or up to two business days prior to the initially scheduled vote on the proposal to approve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pStyle w:val="TextBody"/>
        <w:spacing w:before="0" w:after="0"/>
        <w:rPr/>
      </w:pPr>
      <w:r>
        <w:rPr/>
        <w:t> </w:t>
      </w:r>
    </w:p>
    <w:p>
      <w:pPr>
        <w:pStyle w:val="TextBody"/>
        <w:spacing w:before="0" w:after="0"/>
        <w:jc w:val="both"/>
        <w:rPr>
          <w:color w:val="000000"/>
        </w:rPr>
      </w:pPr>
      <w:r>
        <w:rPr>
          <w:color w:val="000000"/>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pStyle w:val="TextBody"/>
        <w:spacing w:before="0" w:after="0"/>
        <w:rPr/>
      </w:pPr>
      <w:r>
        <w:rPr/>
        <w:t> </w:t>
      </w:r>
    </w:p>
    <w:p>
      <w:pPr>
        <w:pStyle w:val="TextBody"/>
        <w:spacing w:before="0" w:after="0"/>
        <w:jc w:val="both"/>
        <w:rPr>
          <w:color w:val="000000"/>
        </w:rPr>
      </w:pPr>
      <w:r>
        <w:rPr>
          <w:color w:val="000000"/>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pStyle w:val="TextBody"/>
        <w:spacing w:before="0" w:after="0"/>
        <w:rPr/>
      </w:pPr>
      <w:r>
        <w:rPr/>
        <w:t> </w:t>
      </w:r>
    </w:p>
    <w:p>
      <w:pPr>
        <w:pStyle w:val="TextBody"/>
        <w:spacing w:before="0" w:after="0"/>
        <w:jc w:val="both"/>
        <w:rPr>
          <w:color w:val="000000"/>
        </w:rPr>
      </w:pPr>
      <w:r>
        <w:rPr>
          <w:color w:val="000000"/>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pStyle w:val="TextBody"/>
        <w:spacing w:before="0" w:after="0"/>
        <w:rPr/>
      </w:pPr>
      <w:r>
        <w:rPr/>
        <w:t> </w:t>
      </w:r>
    </w:p>
    <w:p>
      <w:pPr>
        <w:pStyle w:val="TextBody"/>
        <w:spacing w:before="0" w:after="0"/>
        <w:jc w:val="both"/>
        <w:rPr>
          <w:color w:val="000000"/>
        </w:rPr>
      </w:pPr>
      <w:r>
        <w:rPr>
          <w:color w:val="000000"/>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18" w:name="DSPFPageBreakArea15"/>
      <w:bookmarkStart w:id="219" w:name="DSPFPageBreakArea15"/>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20" w:name="DSPFPageNumber14"/>
      <w:bookmarkStart w:id="221" w:name="DSPFPageNumberArea13"/>
      <w:bookmarkEnd w:id="220"/>
      <w:bookmarkEnd w:id="221"/>
      <w:r>
        <w:rPr>
          <w:b w:val="false"/>
          <w:i w:val="false"/>
          <w:caps w:val="false"/>
          <w:smallCaps w:val="false"/>
          <w:sz w:val="16"/>
        </w:rPr>
        <w:t>17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2" w:name="DSPFPageBreak15"/>
      <w:bookmarkStart w:id="223" w:name="DSPFPageBreak15"/>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24" w:name="DSPFPageHeader13"/>
        <w:bookmarkEnd w:id="224"/>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If our initial proposed business combination is not completed, we may continue to try to complete a business combination with a different target until 24 months from the closing of our Initial Public Offering.</w:t>
      </w:r>
    </w:p>
    <w:p>
      <w:pPr>
        <w:pStyle w:val="TextBody"/>
        <w:spacing w:before="0" w:after="0"/>
        <w:rPr/>
      </w:pPr>
      <w:r>
        <w:rPr/>
        <w:t> </w:t>
      </w:r>
    </w:p>
    <w:p>
      <w:pPr>
        <w:pStyle w:val="TextBody"/>
        <w:spacing w:before="0" w:after="0"/>
        <w:rPr>
          <w:b/>
          <w:color w:val="000000"/>
        </w:rPr>
      </w:pPr>
      <w:r>
        <w:rPr>
          <w:b/>
          <w:color w:val="000000"/>
        </w:rPr>
        <w:t>Redemption of Public Shares and Liquidation If No Initial Business Combination</w:t>
      </w:r>
    </w:p>
    <w:p>
      <w:pPr>
        <w:pStyle w:val="TextBody"/>
        <w:spacing w:before="0" w:after="0"/>
        <w:rPr/>
      </w:pPr>
      <w:r>
        <w:rPr/>
        <w:t> </w:t>
      </w:r>
    </w:p>
    <w:p>
      <w:pPr>
        <w:pStyle w:val="TextBody"/>
        <w:spacing w:before="0" w:after="0"/>
        <w:jc w:val="both"/>
        <w:rPr>
          <w:color w:val="000000"/>
        </w:rPr>
      </w:pPr>
      <w:r>
        <w:rPr>
          <w:color w:val="000000"/>
        </w:rPr>
        <w:t>Our amended and restated memorandum and articles of association provide that we have only 24 months from the closing of our Initial Public Offering to consummate an initial business combination. If we do not consummate an initial business combination within 24 months from the closing of our Initial Public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pStyle w:val="TextBody"/>
        <w:spacing w:before="0" w:after="0"/>
        <w:rPr/>
      </w:pPr>
      <w:r>
        <w:rPr/>
      </w:r>
    </w:p>
    <w:p>
      <w:pPr>
        <w:pStyle w:val="TextBody"/>
        <w:spacing w:before="0" w:after="0"/>
        <w:jc w:val="both"/>
        <w:rPr>
          <w:color w:val="000000"/>
        </w:rPr>
      </w:pPr>
      <w:r>
        <w:rPr>
          <w:color w:val="000000"/>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within 24 months from the closing of our Initial Public Offering (although they will be entitled to liquidating distributions from the trust account with respect to any public shares they hold if we fail to complete our initial business combination within 24 months from the closing of our Initial Public Offering).</w:t>
      </w:r>
    </w:p>
    <w:p>
      <w:pPr>
        <w:pStyle w:val="TextBody"/>
        <w:spacing w:before="0" w:after="0"/>
        <w:rPr/>
      </w:pPr>
      <w:r>
        <w:rPr/>
      </w:r>
    </w:p>
    <w:p>
      <w:pPr>
        <w:pStyle w:val="TextBody"/>
        <w:spacing w:before="0" w:after="0"/>
        <w:jc w:val="both"/>
        <w:rPr>
          <w:color w:val="000000"/>
        </w:rPr>
      </w:pPr>
      <w:r>
        <w:rPr>
          <w:color w:val="000000"/>
        </w:rPr>
        <w:t>Our sponsor, executive officers and directors have agreed, pursuant to a written agreement with us, that they will not propose any amendment to our amended and restated memorandum and articles of association (i)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(ii) with respect to any other provision relating to the rights of holders of our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or director, or any other person.</w:t>
      </w:r>
    </w:p>
    <w:p>
      <w:pPr>
        <w:pStyle w:val="TextBody"/>
        <w:spacing w:before="0" w:after="0"/>
        <w:rPr/>
      </w:pPr>
      <w:r>
        <w:rPr/>
      </w:r>
    </w:p>
    <w:p>
      <w:pPr>
        <w:pStyle w:val="TextBody"/>
        <w:spacing w:before="0" w:after="0"/>
        <w:jc w:val="both"/>
        <w:rPr>
          <w:color w:val="000000"/>
        </w:rPr>
      </w:pPr>
      <w:r>
        <w:rPr>
          <w:color w:val="000000"/>
        </w:rPr>
        <w:t>We expect that all costs and expenses associated with implementing our plan of dissolution, as well as payments to any creditors, will be funded from amounts remaining out of the $1.0 million of proceeds held outside the trust account (as of December 31, 2020) plus up to $100,000 of funds from the trust account available to us to pay dissolution expenses, although we cannot assure you that there will be sufficient funds for such purpose.</w:t>
      </w:r>
    </w:p>
    <w:p>
      <w:pPr>
        <w:pStyle w:val="TextBody"/>
        <w:spacing w:before="0" w:after="0"/>
        <w:rPr/>
      </w:pPr>
      <w:r>
        <w:rPr/>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25" w:name="DSPFPageBreakArea16"/>
      <w:bookmarkStart w:id="226" w:name="DSPFPageBreakArea16"/>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27" w:name="DSPFPageNumber15"/>
      <w:bookmarkStart w:id="228" w:name="DSPFPageNumberArea14"/>
      <w:bookmarkEnd w:id="227"/>
      <w:bookmarkEnd w:id="228"/>
      <w:r>
        <w:rPr>
          <w:b w:val="false"/>
          <w:i w:val="false"/>
          <w:caps w:val="false"/>
          <w:smallCaps w:val="false"/>
          <w:sz w:val="16"/>
        </w:rPr>
        <w:t>18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29" w:name="DSPFPageBreak16"/>
      <w:bookmarkStart w:id="230" w:name="DSPFPageBreak16"/>
      <w:bookmarkEnd w:id="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31" w:name="DSPFPageHeader14"/>
        <w:bookmarkEnd w:id="231"/>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If we were to expend all of the net proceeds of our Initial Public Offering and the sale of the private placement shares,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pStyle w:val="TextBody"/>
        <w:spacing w:before="0" w:after="0"/>
        <w:rPr/>
      </w:pPr>
      <w:r>
        <w:rPr/>
      </w:r>
    </w:p>
    <w:p>
      <w:pPr>
        <w:pStyle w:val="TextBody"/>
        <w:spacing w:before="0" w:after="0"/>
        <w:jc w:val="both"/>
        <w:rPr>
          <w:color w:val="000000"/>
        </w:rPr>
      </w:pPr>
      <w:r>
        <w:rPr>
          <w:color w:val="000000"/>
        </w:rPr>
        <w:t>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agreed that it will be liable to us if and to the extent any claims by a vendor for services rendered or products sold to us,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provided that such liability will not apply to any claims by a third party or prospective target business who executed a waiver of any and all rights to seek access to the trust account nor will it apply to any claims under our indemnity of the Underwriters of our Initial Public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pStyle w:val="TextBody"/>
        <w:spacing w:before="0" w:after="0"/>
        <w:rPr/>
      </w:pPr>
      <w:r>
        <w:rPr/>
      </w:r>
    </w:p>
    <w:p>
      <w:pPr>
        <w:pStyle w:val="TextBody"/>
        <w:spacing w:before="0" w:after="0"/>
        <w:jc w:val="both"/>
        <w:rPr>
          <w:color w:val="000000"/>
        </w:rPr>
      </w:pPr>
      <w:r>
        <w:rPr>
          <w:color w:val="000000"/>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pStyle w:val="TextBody"/>
        <w:spacing w:before="0" w:after="0"/>
        <w:rPr/>
      </w:pPr>
      <w:r>
        <w:rPr/>
      </w:r>
    </w:p>
    <w:p>
      <w:pPr>
        <w:pStyle w:val="TextBody"/>
        <w:spacing w:before="0" w:after="0"/>
        <w:jc w:val="both"/>
        <w:rPr>
          <w:color w:val="000000"/>
        </w:rPr>
      </w:pPr>
      <w:r>
        <w:rPr>
          <w:color w:val="000000"/>
        </w:rPr>
        <w:t>We will seek to reduce the possibility that our sponsor will have to indemnify the trust account due to claims of creditors by endeavoring to have all vendors, service providers (excluding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our Initial Public Offering against certain liabilities, including liabilities under the Securities Act. We will have access to up to $1.0 million from the proceeds held outside of the trust account (as of December 31, 2020)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w:t>
      </w:r>
    </w:p>
    <w:p>
      <w:pPr>
        <w:pStyle w:val="TextBody"/>
        <w:spacing w:before="0" w:after="0"/>
        <w:jc w:val="both"/>
        <w:rPr>
          <w:color w:val="000000"/>
        </w:rPr>
      </w:pPr>
      <w:r>
        <w:rPr>
          <w:color w:val="00000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2" w:name="DSPFPageBreakArea17"/>
      <w:bookmarkStart w:id="233" w:name="DSPFPageBreakArea17"/>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34" w:name="DSPFPageNumber16"/>
      <w:bookmarkStart w:id="235" w:name="DSPFPageNumberArea15"/>
      <w:bookmarkEnd w:id="234"/>
      <w:bookmarkEnd w:id="235"/>
      <w:r>
        <w:rPr>
          <w:b w:val="false"/>
          <w:i w:val="false"/>
          <w:caps w:val="false"/>
          <w:smallCaps w:val="false"/>
          <w:sz w:val="16"/>
        </w:rPr>
        <w:t>19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36" w:name="DSPFPageBreak17"/>
      <w:bookmarkStart w:id="237" w:name="DSPFPageBreak17"/>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38" w:name="DSPFPageHeader15"/>
        <w:bookmarkEnd w:id="238"/>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If we file a bankruptcy petition or winding up petition or an involuntary bankruptcy petition or winding up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public share to our public shareholders. Additionally, if we file a bankruptcy petition or winding up petition or an involuntary bankruptcy petition or winding up petition is filed against us that is not dismissed, any distributions received by shareholders could be viewed under applicable debtor/creditor and/or bankruptcy laws as either a “preferential transfer” or a “fraudulent conveyance.”</w:t>
      </w:r>
    </w:p>
    <w:p>
      <w:pPr>
        <w:pStyle w:val="TextBody"/>
        <w:spacing w:before="0" w:after="0"/>
        <w:rPr/>
      </w:pPr>
      <w:r>
        <w:rPr/>
      </w:r>
    </w:p>
    <w:p>
      <w:pPr>
        <w:pStyle w:val="TextBody"/>
        <w:spacing w:before="0" w:after="0"/>
        <w:jc w:val="both"/>
        <w:rPr>
          <w:color w:val="000000"/>
        </w:rPr>
      </w:pPr>
      <w:r>
        <w:rPr>
          <w:color w:val="000000"/>
        </w:rPr>
        <w:t>As a result, a bankruptcy or insolvency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pStyle w:val="TextBody"/>
        <w:spacing w:before="0" w:after="0"/>
        <w:rPr/>
      </w:pPr>
      <w:r>
        <w:rPr/>
      </w:r>
    </w:p>
    <w:p>
      <w:pPr>
        <w:pStyle w:val="TextBody"/>
        <w:spacing w:before="0" w:after="0"/>
        <w:jc w:val="both"/>
        <w:rPr>
          <w:color w:val="000000"/>
        </w:rPr>
      </w:pPr>
      <w:r>
        <w:rPr>
          <w:color w:val="000000"/>
        </w:rPr>
        <w:t>Our public shareholders are entitled to receive funds from the trust account only (i) in the event of the redemption of our public shares if we do not consummate an initial business combination within 24 months from the closing of our Initial Public Offering,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(B) with respect to any other provision relating to the rights of holders of our Class A ordinary shares, and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from the closing of our Initial Public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pStyle w:val="TextBody"/>
        <w:spacing w:before="0" w:after="0"/>
        <w:rPr/>
      </w:pPr>
      <w:r>
        <w:rPr/>
      </w:r>
    </w:p>
    <w:p>
      <w:pPr>
        <w:pStyle w:val="TextBody"/>
        <w:spacing w:before="0" w:after="0"/>
        <w:rPr>
          <w:b/>
          <w:color w:val="000000"/>
        </w:rPr>
      </w:pPr>
      <w:r>
        <w:rPr>
          <w:b/>
          <w:color w:val="000000"/>
        </w:rPr>
        <w:t>Competition</w:t>
      </w:r>
    </w:p>
    <w:p>
      <w:pPr>
        <w:pStyle w:val="TextBody"/>
        <w:spacing w:before="0" w:after="0"/>
        <w:rPr/>
      </w:pPr>
      <w:r>
        <w:rPr/>
      </w:r>
    </w:p>
    <w:p>
      <w:pPr>
        <w:pStyle w:val="TextBody"/>
        <w:spacing w:before="0" w:after="0"/>
        <w:jc w:val="both"/>
        <w:rPr>
          <w:color w:val="000000"/>
        </w:rPr>
      </w:pPr>
      <w:r>
        <w:rPr>
          <w:color w:val="000000"/>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properly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 in successfully negotiating an initial business combination.</w:t>
      </w:r>
    </w:p>
    <w:p>
      <w:pPr>
        <w:pStyle w:val="TextBody"/>
        <w:spacing w:before="0" w:after="0"/>
        <w:rPr/>
      </w:pPr>
      <w:r>
        <w:rPr/>
      </w:r>
    </w:p>
    <w:p>
      <w:pPr>
        <w:pStyle w:val="TextBody"/>
        <w:spacing w:before="0" w:after="0"/>
        <w:jc w:val="both"/>
        <w:rPr>
          <w:b/>
          <w:color w:val="000000"/>
        </w:rPr>
      </w:pPr>
      <w:r>
        <w:rPr>
          <w:b/>
          <w:color w:val="000000"/>
        </w:rPr>
        <w:t>Facilities</w:t>
      </w:r>
    </w:p>
    <w:p>
      <w:pPr>
        <w:pStyle w:val="TextBody"/>
        <w:spacing w:before="0" w:after="0"/>
        <w:rPr/>
      </w:pPr>
      <w:r>
        <w:rPr/>
      </w:r>
    </w:p>
    <w:p>
      <w:pPr>
        <w:pStyle w:val="TextBody"/>
        <w:spacing w:before="0" w:after="0"/>
        <w:jc w:val="both"/>
        <w:rPr>
          <w:color w:val="000000"/>
        </w:rPr>
      </w:pPr>
      <w:r>
        <w:rPr>
          <w:color w:val="000000"/>
        </w:rPr>
        <w:t>We currently maintain our executive offices at 51 Astor Place, 10th Floor, New York, New York 10003. The cost for our use of this space is included in the $10,000 per month fee we pay to our sponsor for office space, administrative and support services. We consider our current office space adequate for our current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39" w:name="DSPFPageBreakArea18"/>
      <w:bookmarkStart w:id="240" w:name="DSPFPageBreakArea18"/>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41" w:name="DSPFPageNumber17"/>
      <w:bookmarkStart w:id="242" w:name="DSPFPageNumberArea16"/>
      <w:bookmarkEnd w:id="241"/>
      <w:bookmarkEnd w:id="242"/>
      <w:r>
        <w:rPr>
          <w:b w:val="false"/>
          <w:i w:val="false"/>
          <w:caps w:val="false"/>
          <w:smallCaps w:val="false"/>
          <w:sz w:val="16"/>
        </w:rPr>
        <w:t>20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43" w:name="DSPFPageBreak18"/>
      <w:bookmarkStart w:id="244" w:name="DSPFPageBreak18"/>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45" w:name="DSPFPageHeader16"/>
        <w:bookmarkEnd w:id="245"/>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Employees</w:t>
      </w:r>
    </w:p>
    <w:p>
      <w:pPr>
        <w:pStyle w:val="TextBody"/>
        <w:spacing w:before="0" w:after="0"/>
        <w:rPr/>
      </w:pPr>
      <w:r>
        <w:rPr/>
      </w:r>
    </w:p>
    <w:p>
      <w:pPr>
        <w:pStyle w:val="TextBody"/>
        <w:spacing w:before="0" w:after="0"/>
        <w:jc w:val="both"/>
        <w:rPr>
          <w:color w:val="000000"/>
        </w:rPr>
      </w:pPr>
      <w:r>
        <w:rPr>
          <w:color w:val="000000"/>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pStyle w:val="TextBody"/>
        <w:spacing w:before="0" w:after="0"/>
        <w:rPr/>
      </w:pPr>
      <w:r>
        <w:rPr/>
      </w:r>
    </w:p>
    <w:p>
      <w:pPr>
        <w:pStyle w:val="TextBody"/>
        <w:spacing w:before="0" w:after="0"/>
        <w:rPr>
          <w:b/>
          <w:color w:val="000000"/>
        </w:rPr>
      </w:pPr>
      <w:r>
        <w:rPr>
          <w:b/>
          <w:color w:val="000000"/>
        </w:rPr>
        <w:t>Periodic Reporting and Financial Information</w:t>
      </w:r>
    </w:p>
    <w:p>
      <w:pPr>
        <w:pStyle w:val="TextBody"/>
        <w:spacing w:before="0" w:after="0"/>
        <w:rPr/>
      </w:pPr>
      <w:r>
        <w:rPr/>
      </w:r>
    </w:p>
    <w:p>
      <w:pPr>
        <w:pStyle w:val="TextBody"/>
        <w:spacing w:before="0" w:after="0"/>
        <w:jc w:val="both"/>
        <w:rPr>
          <w:color w:val="000000"/>
        </w:rPr>
      </w:pPr>
      <w:r>
        <w:rPr>
          <w:color w:val="000000"/>
        </w:rPr>
        <w:t>We registered our Class A ordinary shares under the Exchange Act and have reporting obligations, including the requirement that we file annual, quarterly and current reports with the SEC. In accordance with the requirements of the Exchange Act, our annual reports contain financial statements audited and reported on by our independent registered public accountants.</w:t>
      </w:r>
    </w:p>
    <w:p>
      <w:pPr>
        <w:pStyle w:val="TextBody"/>
        <w:spacing w:before="0" w:after="0"/>
        <w:rPr/>
      </w:pPr>
      <w:r>
        <w:rPr/>
      </w:r>
    </w:p>
    <w:p>
      <w:pPr>
        <w:pStyle w:val="TextBody"/>
        <w:spacing w:before="0" w:after="0"/>
        <w:jc w:val="both"/>
        <w:rPr>
          <w:color w:val="000000"/>
        </w:rPr>
      </w:pPr>
      <w:r>
        <w:rPr>
          <w:color w:val="000000"/>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24 months from the closing of our Initial Public Offering.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pStyle w:val="TextBody"/>
        <w:spacing w:before="0" w:after="0"/>
        <w:rPr/>
      </w:pPr>
      <w:r>
        <w:rPr/>
      </w:r>
    </w:p>
    <w:p>
      <w:pPr>
        <w:pStyle w:val="TextBody"/>
        <w:spacing w:before="0" w:after="0"/>
        <w:jc w:val="both"/>
        <w:rPr>
          <w:color w:val="000000"/>
        </w:rPr>
      </w:pPr>
      <w:r>
        <w:rPr>
          <w:color w:val="000000"/>
        </w:rPr>
        <w:t>We will be required to evaluate our internal control procedures for the fiscal year ending December 31, 2021 as required by the Sarbanes-Oxley Act.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pStyle w:val="TextBody"/>
        <w:spacing w:before="0" w:after="0"/>
        <w:rPr/>
      </w:pPr>
      <w:r>
        <w:rPr/>
      </w:r>
    </w:p>
    <w:p>
      <w:pPr>
        <w:pStyle w:val="TextBody"/>
        <w:spacing w:before="0" w:after="0"/>
        <w:jc w:val="both"/>
        <w:rPr>
          <w:color w:val="000000"/>
        </w:rPr>
      </w:pPr>
      <w:r>
        <w:rPr>
          <w:color w:val="000000"/>
        </w:rPr>
        <w:t>Prior to the date of this Report, we filed a Registration Statement on Form 8-A with the SEC to voluntarily register our securities under Section 12 of the Exchange Act. As a result, we are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pStyle w:val="TextBody"/>
        <w:spacing w:before="0" w:after="0"/>
        <w:rPr/>
      </w:pPr>
      <w:r>
        <w:rPr/>
      </w:r>
    </w:p>
    <w:p>
      <w:pPr>
        <w:pStyle w:val="TextBody"/>
        <w:spacing w:before="0" w:after="0"/>
        <w:jc w:val="both"/>
        <w:rPr>
          <w:color w:val="000000"/>
        </w:rPr>
      </w:pPr>
      <w:r>
        <w:rPr>
          <w:color w:val="000000"/>
        </w:rPr>
        <w:t>We are a Cayman Islands exempted company. Exempted companies are Cayman Islands companies conducting business mainly outside the Cayman Islands and, as such, are exempted from complying with certain provisions of the Companies Act. As an exempted company, we applied for and received a tax exemption undertaking from the Cayman Islands government that, in accordance with Section 6 of the Tax Concessions Act (2020 Revised)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pStyle w:val="TextBody"/>
        <w:spacing w:before="0" w:after="0"/>
        <w:rPr/>
      </w:pPr>
      <w:r>
        <w:rPr/>
      </w:r>
    </w:p>
    <w:p>
      <w:pPr>
        <w:pStyle w:val="TextBody"/>
        <w:spacing w:before="0" w:after="0"/>
        <w:jc w:val="both"/>
        <w:rPr>
          <w:color w:val="000000"/>
        </w:rPr>
      </w:pPr>
      <w:r>
        <w:rPr>
          <w:color w:val="00000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46" w:name="DSPFPageBreakArea19"/>
      <w:bookmarkStart w:id="247" w:name="DSPFPageBreakArea19"/>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48" w:name="DSPFPageNumber18"/>
      <w:bookmarkStart w:id="249" w:name="DSPFPageNumberArea17"/>
      <w:bookmarkEnd w:id="248"/>
      <w:bookmarkEnd w:id="249"/>
      <w:r>
        <w:rPr>
          <w:b w:val="false"/>
          <w:i w:val="false"/>
          <w:caps w:val="false"/>
          <w:smallCaps w:val="false"/>
          <w:sz w:val="16"/>
        </w:rPr>
        <w:t>21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50" w:name="DSPFPageBreak19"/>
      <w:bookmarkStart w:id="251" w:name="DSPFPageBreak19"/>
      <w:bookmarkEnd w:id="2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52" w:name="DSPFPageHeader17"/>
        <w:bookmarkEnd w:id="252"/>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spacing w:before="0" w:after="0"/>
        <w:rPr/>
      </w:pPr>
      <w:r>
        <w:rPr/>
      </w:r>
    </w:p>
    <w:p>
      <w:pPr>
        <w:pStyle w:val="TextBody"/>
        <w:spacing w:before="0" w:after="0"/>
        <w:jc w:val="both"/>
        <w:rPr>
          <w:color w:val="000000"/>
        </w:rPr>
      </w:pPr>
      <w:r>
        <w:rPr>
          <w:color w:val="000000"/>
        </w:rPr>
        <w:t>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Class A ordinary shares that are held by non-affiliates exceeds $700 million as of the prior June 30th, and (2) the date on which we have issued more than $1.0 billion in non-convertible debt during the prior three-year period.</w:t>
      </w:r>
    </w:p>
    <w:p>
      <w:pPr>
        <w:pStyle w:val="TextBody"/>
        <w:spacing w:before="0" w:after="0"/>
        <w:rPr/>
      </w:pPr>
      <w:r>
        <w:rPr/>
      </w:r>
    </w:p>
    <w:p>
      <w:pPr>
        <w:pStyle w:val="TextBody"/>
        <w:spacing w:before="0" w:after="0"/>
        <w:jc w:val="both"/>
        <w:rPr>
          <w:color w:val="000000"/>
        </w:rPr>
      </w:pPr>
      <w:r>
        <w:rPr>
          <w:color w:val="00000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equals or exceeds $250 million as of the prior June 30, or (2) our annual revenues equaled or exceeded $100 million during such completed fiscal year and the market value of our ordinary shares held by non-affiliates equals or exceeds $700 million as of the prior June 30.</w:t>
      </w:r>
    </w:p>
    <w:p>
      <w:pPr>
        <w:pStyle w:val="TextBody"/>
        <w:spacing w:before="0" w:after="0"/>
        <w:rPr/>
      </w:pPr>
      <w:r>
        <w:rPr/>
        <w:t> </w:t>
      </w:r>
    </w:p>
    <w:p>
      <w:pPr>
        <w:pStyle w:val="Normal"/>
        <w:spacing w:before="0" w:after="0"/>
        <w:rPr>
          <w:sz w:val="4"/>
          <w:szCs w:val="4"/>
        </w:rPr>
      </w:pPr>
      <w:r>
        <w:rPr>
          <w:sz w:val="4"/>
          <w:szCs w:val="4"/>
        </w:rPr>
      </w:r>
      <w:bookmarkStart w:id="253" w:name="z49c19530449d4e53b9f9e012176fc4da"/>
      <w:bookmarkStart w:id="254" w:name="z49c19530449d4e53b9f9e012176fc4da"/>
      <w:bookmarkEnd w:id="254"/>
    </w:p>
    <w:tbl>
      <w:tblPr>
        <w:tblW w:w="2245" w:type="dxa"/>
        <w:jc w:val="left"/>
        <w:tblInd w:w="0" w:type="dxa"/>
        <w:tblCellMar>
          <w:top w:w="0" w:type="dxa"/>
          <w:left w:w="0" w:type="dxa"/>
          <w:bottom w:w="0" w:type="dxa"/>
          <w:right w:w="0" w:type="dxa"/>
        </w:tblCellMar>
      </w:tblPr>
      <w:tblGrid>
        <w:gridCol w:w="920"/>
        <w:gridCol w:w="1325"/>
      </w:tblGrid>
      <w:tr>
        <w:trPr/>
        <w:tc>
          <w:tcPr>
            <w:tcW w:w="920" w:type="dxa"/>
            <w:tcBorders/>
            <w:shd w:fill="auto" w:val="clear"/>
            <w:vAlign w:val="center"/>
          </w:tcPr>
          <w:p>
            <w:pPr>
              <w:pStyle w:val="TableContents"/>
              <w:spacing w:before="0" w:after="0"/>
              <w:jc w:val="both"/>
              <w:rPr>
                <w:b/>
                <w:color w:val="000000"/>
              </w:rPr>
            </w:pPr>
            <w:bookmarkStart w:id="255" w:name="Item1A."/>
            <w:bookmarkEnd w:id="255"/>
            <w:r>
              <w:rPr>
                <w:b/>
                <w:color w:val="000000"/>
              </w:rPr>
              <w:t>Item 1A.</w:t>
            </w:r>
          </w:p>
        </w:tc>
        <w:tc>
          <w:tcPr>
            <w:tcW w:w="1325" w:type="dxa"/>
            <w:tcBorders/>
            <w:shd w:fill="auto" w:val="clear"/>
            <w:vAlign w:val="center"/>
          </w:tcPr>
          <w:p>
            <w:pPr>
              <w:pStyle w:val="TableContents"/>
              <w:spacing w:before="0" w:after="0"/>
              <w:jc w:val="both"/>
              <w:rPr>
                <w:b/>
                <w:color w:val="000000"/>
              </w:rPr>
            </w:pPr>
            <w:r>
              <w:rPr>
                <w:b/>
                <w:color w:val="000000"/>
              </w:rPr>
              <w:t>Risk Factors</w:t>
            </w:r>
          </w:p>
        </w:tc>
      </w:tr>
    </w:tbl>
    <w:p>
      <w:pPr>
        <w:pStyle w:val="TextBody"/>
        <w:spacing w:before="0" w:after="0"/>
        <w:rPr/>
      </w:pPr>
      <w:r>
        <w:rPr/>
        <w:t> </w:t>
      </w:r>
    </w:p>
    <w:p>
      <w:pPr>
        <w:pStyle w:val="TextBody"/>
        <w:spacing w:before="0" w:after="0"/>
        <w:jc w:val="both"/>
        <w:rPr>
          <w:i/>
          <w:color w:val="000000"/>
        </w:rPr>
      </w:pPr>
      <w:r>
        <w:rPr>
          <w:i/>
          <w:color w:val="000000"/>
        </w:rPr>
        <w:t>An investment in our securities involves a high degree of risk. You should consider carefully all of the risks described below, together with the other information contained in this Report, before making a decision to invest in our Class A ordinary shares. If any of the following events occur, our business, financial condition and operating results may be materially adversely affected. In that event, the trading price of our securities could decline, and you could lose all or part of your investment.</w:t>
      </w:r>
    </w:p>
    <w:p>
      <w:pPr>
        <w:pStyle w:val="TextBody"/>
        <w:spacing w:before="0" w:after="0"/>
        <w:rPr/>
      </w:pPr>
      <w:r>
        <w:rPr/>
      </w:r>
    </w:p>
    <w:p>
      <w:pPr>
        <w:pStyle w:val="TextBody"/>
        <w:spacing w:before="0" w:after="0"/>
        <w:jc w:val="both"/>
        <w:rPr>
          <w:b/>
          <w:color w:val="000000"/>
        </w:rPr>
      </w:pPr>
      <w:r>
        <w:rPr>
          <w:b/>
          <w:color w:val="000000"/>
        </w:rPr>
        <w:t>Risks Relating to Our Search for, and Consummation of or Inability to Consummate, a Business Combination</w:t>
      </w:r>
    </w:p>
    <w:p>
      <w:pPr>
        <w:pStyle w:val="TextBody"/>
        <w:spacing w:before="0" w:after="0"/>
        <w:rPr/>
      </w:pPr>
      <w:r>
        <w:rPr/>
      </w:r>
    </w:p>
    <w:p>
      <w:pPr>
        <w:pStyle w:val="TextBody"/>
        <w:spacing w:before="0" w:after="0"/>
        <w:jc w:val="both"/>
        <w:rPr>
          <w:b/>
          <w:color w:val="000000"/>
        </w:rPr>
      </w:pPr>
      <w:r>
        <w:rPr>
          <w:b/>
          <w:color w:val="000000"/>
        </w:rPr>
        <w:t>Our shareholders may not be afforded an opportunity to vote on our proposed initial business combination, which means we may complete our initial business combination even though a majority of our shareholders do not support such a combination.</w:t>
      </w:r>
    </w:p>
    <w:p>
      <w:pPr>
        <w:pStyle w:val="TextBody"/>
        <w:spacing w:before="0" w:after="0"/>
        <w:rPr/>
      </w:pPr>
      <w:r>
        <w:rPr/>
      </w:r>
    </w:p>
    <w:p>
      <w:pPr>
        <w:pStyle w:val="TextBody"/>
        <w:spacing w:before="0" w:after="0"/>
        <w:jc w:val="both"/>
        <w:rPr>
          <w:color w:val="000000"/>
        </w:rPr>
      </w:pPr>
      <w:r>
        <w:rPr>
          <w:color w:val="000000"/>
        </w:rPr>
        <w:t>We may not hold a shareholder vote to approve our initial business combination unless the business combination would require shareholder approval under applicable Cayman Islands law or stock exchange listing requirements or if we decide to hold a shareholder vote for business or other reasons. For instance, the Nasdaq rules currently allow us to engage in a tender offer in lieu of a shareholder meeting but would still require us to obtain shareholder approval if we were seeking to issue more than 20% of our issued and outstanding shares (excluding any private placement shares to be issued in connection with an initial business combination) to a target business as consideration in any business combination. Therefore, if we were structuring a business combination that required us to issue more than 20% of our issued and outstanding ordinary shares (excluding the private placement shares), we would seek shareholder approval of such business combination. However, except as required by applicable law or stock exchange rule,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consummate our initial business combination even if holders of a majority of the outstanding ordinary shares do not approve of the business combination we consummate.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56" w:name="DSPFPageBreakArea20"/>
      <w:bookmarkStart w:id="257" w:name="DSPFPageBreakArea20"/>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58" w:name="DSPFPageNumber19"/>
      <w:bookmarkStart w:id="259" w:name="DSPFPageNumberArea18"/>
      <w:bookmarkEnd w:id="258"/>
      <w:bookmarkEnd w:id="259"/>
      <w:r>
        <w:rPr>
          <w:b w:val="false"/>
          <w:i w:val="false"/>
          <w:caps w:val="false"/>
          <w:smallCaps w:val="false"/>
          <w:sz w:val="16"/>
        </w:rPr>
        <w:t>22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0" w:name="DSPFPageBreak20"/>
      <w:bookmarkStart w:id="261" w:name="DSPFPageBreak20"/>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62" w:name="DSPFPageHeader18"/>
        <w:bookmarkEnd w:id="262"/>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Your only opportunity to affect the investment decision regarding a potential business combination may be limited to the exercise of your right to redeem your shares from us for cash.</w:t>
      </w:r>
    </w:p>
    <w:p>
      <w:pPr>
        <w:pStyle w:val="TextBody"/>
        <w:spacing w:before="0" w:after="0"/>
        <w:rPr/>
      </w:pPr>
      <w:r>
        <w:rPr/>
      </w:r>
    </w:p>
    <w:p>
      <w:pPr>
        <w:pStyle w:val="TextBody"/>
        <w:spacing w:before="0" w:after="0"/>
        <w:jc w:val="both"/>
        <w:rPr>
          <w:color w:val="000000"/>
        </w:rPr>
      </w:pPr>
      <w:r>
        <w:rPr>
          <w:color w:val="000000"/>
        </w:rPr>
        <w:t>At the time of your investment in us, you will not be provided with an opportunity to evaluate the specific merits or risks of any target businesses. Since our board of directors may complete a business combination without seeking shareholder approval, public shareholders may not have the right or opportunity to vote on the business combination, unless we seek such shareholder approval. Accordingly,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pStyle w:val="TextBody"/>
        <w:spacing w:before="0" w:after="0"/>
        <w:rPr/>
      </w:pPr>
      <w:r>
        <w:rPr/>
      </w:r>
    </w:p>
    <w:p>
      <w:pPr>
        <w:pStyle w:val="TextBody"/>
        <w:spacing w:before="0" w:after="0"/>
        <w:jc w:val="both"/>
        <w:rPr>
          <w:b/>
          <w:color w:val="000000"/>
        </w:rPr>
      </w:pPr>
      <w:r>
        <w:rPr>
          <w:b/>
          <w:color w:val="000000"/>
        </w:rPr>
        <w:t>If we seek shareholder approval of our initial business combination, our sponsor and members of our management team agreed to vote in favor of such initial business combination, regardless of how our public shareholders vote.</w:t>
      </w:r>
    </w:p>
    <w:p>
      <w:pPr>
        <w:pStyle w:val="TextBody"/>
        <w:spacing w:before="0" w:after="0"/>
        <w:rPr/>
      </w:pPr>
      <w:r>
        <w:rPr/>
      </w:r>
    </w:p>
    <w:p>
      <w:pPr>
        <w:pStyle w:val="TextBody"/>
        <w:spacing w:before="0" w:after="0"/>
        <w:jc w:val="both"/>
        <w:rPr>
          <w:color w:val="000000"/>
        </w:rPr>
      </w:pPr>
      <w:r>
        <w:rPr>
          <w:color w:val="000000"/>
        </w:rPr>
        <w:t>Our sponsor owns, on an as-converted basis, 20% of our outstanding ordinary shares (excluding the private placement shares). Our sponsor and members of our management team also may from time to time purchase Class A ordinary shares prior to the completion of our initial business combination. Our amended and restated memorandum and articles of association provide that, if we seek shareholder approval, we will complete our initial business combination only if a majority of the ordinary shares, represented in person or by proxy and entitled to vote thereon, voted at a shareholder meeting are voted in favor of the business combination. As a result, in addition to our initial shareholders’ founder shares and private placement shares, we would need 5,356,751, or 35.83%, of the 14,950,000 public shares sold in our Initial Public Offering to be voted in favor of an initial business combination in order to have our initial business combination approved (assuming all issued and outstanding shares are voted and the private placement shares issued to our sponsor are voted in favor of the transaction). Accordingly, if we seek shareholder approval of our initial business combination, the agreement by our sponsor and our management team to vote in favor of our initial business combination will increase the likelihood that we will receive the requisite shareholder approval for such initial business combination.</w:t>
      </w:r>
    </w:p>
    <w:p>
      <w:pPr>
        <w:pStyle w:val="TextBody"/>
        <w:spacing w:before="0" w:after="0"/>
        <w:rPr/>
      </w:pPr>
      <w:r>
        <w:rPr/>
      </w:r>
    </w:p>
    <w:p>
      <w:pPr>
        <w:pStyle w:val="TextBody"/>
        <w:spacing w:before="0" w:after="0"/>
        <w:jc w:val="both"/>
        <w:rPr>
          <w:b/>
          <w:color w:val="000000"/>
        </w:rPr>
      </w:pPr>
      <w:r>
        <w:rPr>
          <w:b/>
          <w:color w:val="000000"/>
        </w:rPr>
        <w:t>You will not have any rights or interests in funds from the trust account, except under certain limited circumstances. Therefore, to liquidate your investment, you may be forced to sell your public shares, potentially at a loss.</w:t>
      </w:r>
    </w:p>
    <w:p>
      <w:pPr>
        <w:pStyle w:val="TextBody"/>
        <w:spacing w:before="0" w:after="0"/>
        <w:rPr/>
      </w:pPr>
      <w:r>
        <w:rPr/>
      </w:r>
    </w:p>
    <w:p>
      <w:pPr>
        <w:pStyle w:val="TextBody"/>
        <w:spacing w:before="0" w:after="0"/>
        <w:jc w:val="both"/>
        <w:rPr>
          <w:color w:val="000000"/>
        </w:rPr>
      </w:pPr>
      <w:r>
        <w:rPr>
          <w:color w:val="000000"/>
        </w:rPr>
        <w:t>Our public shareholders are entitled to receive funds from the trust account only upon the earlier to occur of (i) our completion of an initial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(B) with respect to any other provision relating to the rights of holders of our Class A ordinary shares, and (iii) the redemption of our public shares if we have not consummated an initial business within 24 months from the closing of our Initial Public Offering, subject to applicable law and as further described herein.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have not consummated an initial business combination within 24 months from the closing of our Initial Public Offering, with respect to such Class A ordinary shares so redeemed. In no other circumstances will a shareholder have any right or interest of any kind to or in the trust account. Accordingly, to liquidate your investment, you may be forced to sell your public shares, potentially at a loss.</w:t>
      </w:r>
    </w:p>
    <w:p>
      <w:pPr>
        <w:pStyle w:val="TextBody"/>
        <w:spacing w:before="0" w:after="0"/>
        <w:rPr/>
      </w:pPr>
      <w:r>
        <w:rPr/>
      </w:r>
    </w:p>
    <w:p>
      <w:pPr>
        <w:pStyle w:val="TextBody"/>
        <w:spacing w:before="0" w:after="0"/>
        <w:jc w:val="both"/>
        <w:rPr>
          <w:b/>
          <w:color w:val="000000"/>
        </w:rPr>
      </w:pPr>
      <w:r>
        <w:rPr>
          <w:b/>
          <w:color w:val="000000"/>
        </w:rPr>
        <w:t>The ability of our public shareholders to redeem their shares for cash may make our financial condition unattractive to potential business combination targets, which may make it difficult for us to enter into a business combination with a target.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63" w:name="DSPFPageBreakArea21"/>
      <w:bookmarkStart w:id="264" w:name="DSPFPageBreakArea21"/>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65" w:name="DSPFPageNumber20"/>
      <w:bookmarkStart w:id="266" w:name="DSPFPageNumberArea19"/>
      <w:bookmarkEnd w:id="265"/>
      <w:bookmarkEnd w:id="266"/>
      <w:r>
        <w:rPr>
          <w:b w:val="false"/>
          <w:i w:val="false"/>
          <w:caps w:val="false"/>
          <w:smallCaps w:val="false"/>
          <w:sz w:val="16"/>
        </w:rPr>
        <w:t>23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67" w:name="DSPFPageBreak21"/>
      <w:bookmarkStart w:id="268" w:name="DSPFPageBreak21"/>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69" w:name="DSPFPageHeader19"/>
        <w:bookmarkEnd w:id="269"/>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do not then become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pStyle w:val="TextBody"/>
        <w:spacing w:before="0" w:after="0"/>
        <w:rPr/>
      </w:pPr>
      <w:r>
        <w:rPr/>
      </w:r>
    </w:p>
    <w:p>
      <w:pPr>
        <w:pStyle w:val="TextBody"/>
        <w:spacing w:before="0" w:after="0"/>
        <w:jc w:val="both"/>
        <w:rPr>
          <w:b/>
          <w:color w:val="000000"/>
        </w:rPr>
      </w:pPr>
      <w:r>
        <w:rPr>
          <w:b/>
          <w:color w:val="000000"/>
        </w:rPr>
        <w:t>The ability of our public shareholders to exercise redemption rights with respect to a large number of our shares may not allow us to complete the most desirable business combination or optimize our capital structure.</w:t>
      </w:r>
    </w:p>
    <w:p>
      <w:pPr>
        <w:pStyle w:val="TextBody"/>
        <w:spacing w:before="0" w:after="0"/>
        <w:rPr/>
      </w:pPr>
      <w:r>
        <w:rPr/>
      </w:r>
    </w:p>
    <w:p>
      <w:pPr>
        <w:pStyle w:val="TextBody"/>
        <w:spacing w:before="0" w:after="0"/>
        <w:jc w:val="both"/>
        <w:rPr>
          <w:color w:val="000000"/>
        </w:rPr>
      </w:pPr>
      <w:r>
        <w:rPr>
          <w:color w:val="000000"/>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a large number of shares are submitted for redemption, we may need to restructure the transaction to reserve a greater portion of the cash in the trust account or arrange for additional third party financing. Raising additional third 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Underwriters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pStyle w:val="TextBody"/>
        <w:spacing w:before="0" w:after="0"/>
        <w:rPr/>
      </w:pPr>
      <w:r>
        <w:rPr/>
      </w:r>
    </w:p>
    <w:p>
      <w:pPr>
        <w:pStyle w:val="TextBody"/>
        <w:spacing w:before="0" w:after="0"/>
        <w:jc w:val="both"/>
        <w:rPr>
          <w:b/>
          <w:color w:val="000000"/>
        </w:rPr>
      </w:pPr>
      <w:r>
        <w:rPr>
          <w:b/>
          <w:color w:val="000000"/>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pStyle w:val="TextBody"/>
        <w:spacing w:before="0" w:after="0"/>
        <w:rPr/>
      </w:pPr>
      <w:r>
        <w:rPr/>
      </w:r>
    </w:p>
    <w:p>
      <w:pPr>
        <w:pStyle w:val="TextBody"/>
        <w:spacing w:before="0" w:after="0"/>
        <w:jc w:val="both"/>
        <w:rPr>
          <w:color w:val="000000"/>
        </w:rPr>
      </w:pPr>
      <w:r>
        <w:rPr>
          <w:color w:val="000000"/>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funds in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pStyle w:val="TextBody"/>
        <w:spacing w:before="0" w:after="0"/>
        <w:rPr/>
      </w:pPr>
      <w:r>
        <w:rPr/>
      </w:r>
    </w:p>
    <w:p>
      <w:pPr>
        <w:pStyle w:val="TextBody"/>
        <w:spacing w:before="0" w:after="0"/>
        <w:jc w:val="both"/>
        <w:rPr>
          <w:b/>
          <w:color w:val="000000"/>
        </w:rPr>
      </w:pPr>
      <w:r>
        <w:rPr>
          <w:b/>
          <w:color w:val="000000"/>
        </w:rPr>
        <w:t>The requirement that we consummate an initial business combination within 24 months after the closing of our Initial Public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pStyle w:val="TextBody"/>
        <w:spacing w:before="0" w:after="0"/>
        <w:rPr/>
      </w:pPr>
      <w:r>
        <w:rPr/>
      </w:r>
    </w:p>
    <w:p>
      <w:pPr>
        <w:pStyle w:val="TextBody"/>
        <w:spacing w:before="0" w:after="0"/>
        <w:jc w:val="both"/>
        <w:rPr>
          <w:color w:val="000000"/>
        </w:rPr>
      </w:pPr>
      <w:r>
        <w:rPr>
          <w:color w:val="000000"/>
        </w:rPr>
        <w:t>Any potential target business with which we enter into negotiations concerning a business combination will be aware that we must consummate an initial business combination within 24 months from the closing of our Initial Public Offering. Consequently, such target business may obtain leverage over us in negotiating a business combination, knowing that if we do not complete our initial business combination within the required time period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pStyle w:val="TextBody"/>
        <w:spacing w:before="0" w:after="0"/>
        <w:rPr/>
      </w:pPr>
      <w:r>
        <w:rPr/>
      </w:r>
    </w:p>
    <w:p>
      <w:pPr>
        <w:pStyle w:val="TextBody"/>
        <w:spacing w:before="0" w:after="0"/>
        <w:jc w:val="both"/>
        <w:rPr>
          <w:b/>
          <w:color w:val="000000"/>
        </w:rPr>
      </w:pPr>
      <w:r>
        <w:rPr>
          <w:b/>
          <w:color w:val="000000"/>
        </w:rPr>
        <w:t>Our search for a business combination, and any target business with which we ultimately consummate a business combination, may be materially adversely affected by the recent coronavirus (COVID-19) outbreak and the status of debt and equity markets.</w:t>
      </w:r>
    </w:p>
    <w:p>
      <w:pPr>
        <w:pStyle w:val="TextBody"/>
        <w:spacing w:before="0" w:after="0"/>
        <w:jc w:val="both"/>
        <w:rPr>
          <w:b/>
          <w:color w:val="000000"/>
        </w:rPr>
      </w:pPr>
      <w:r>
        <w:rPr>
          <w:b/>
          <w:color w:val="00000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0" w:name="DSPFPageBreakArea22"/>
      <w:bookmarkStart w:id="271" w:name="DSPFPageBreakArea22"/>
      <w:bookmarkEnd w:id="2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72" w:name="DSPFPageNumber21"/>
      <w:bookmarkStart w:id="273" w:name="DSPFPageNumberArea20"/>
      <w:bookmarkEnd w:id="272"/>
      <w:bookmarkEnd w:id="273"/>
      <w:r>
        <w:rPr>
          <w:b w:val="false"/>
          <w:i w:val="false"/>
          <w:caps w:val="false"/>
          <w:smallCaps w:val="false"/>
          <w:sz w:val="16"/>
        </w:rPr>
        <w:t>24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74" w:name="DSPFPageBreak22"/>
      <w:bookmarkStart w:id="275" w:name="DSPFPageBreak22"/>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76" w:name="DSPFPageHeader20"/>
        <w:bookmarkEnd w:id="276"/>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In December 2019, a novel strain of coronavirus was reported to have surfaced in Wuhan, China, which has and is continuing to spread throughout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pStyle w:val="TextBody"/>
        <w:spacing w:before="0" w:after="0"/>
        <w:rPr/>
      </w:pPr>
      <w:r>
        <w:rPr/>
      </w:r>
    </w:p>
    <w:p>
      <w:pPr>
        <w:pStyle w:val="TextBody"/>
        <w:spacing w:before="0" w:after="0"/>
        <w:jc w:val="both"/>
        <w:rPr>
          <w:color w:val="000000"/>
        </w:rPr>
      </w:pPr>
      <w:r>
        <w:rPr>
          <w:color w:val="000000"/>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pStyle w:val="TextBody"/>
        <w:spacing w:before="0" w:after="0"/>
        <w:rPr/>
      </w:pPr>
      <w:r>
        <w:rPr/>
      </w:r>
    </w:p>
    <w:p>
      <w:pPr>
        <w:pStyle w:val="TextBody"/>
        <w:spacing w:before="0" w:after="0"/>
        <w:jc w:val="both"/>
        <w:rPr>
          <w:color w:val="000000"/>
        </w:rPr>
      </w:pPr>
      <w:r>
        <w:rPr>
          <w:color w:val="000000"/>
        </w:rPr>
        <w:t>Finally, the outbreak of COVID-19 may also have the effect of heightening many of the other risks described in this “Risk Factors” section, such as those related to the market for our securities and cross-border transactions.</w:t>
      </w:r>
    </w:p>
    <w:p>
      <w:pPr>
        <w:pStyle w:val="TextBody"/>
        <w:spacing w:before="0" w:after="0"/>
        <w:rPr/>
      </w:pPr>
      <w:r>
        <w:rPr/>
      </w:r>
    </w:p>
    <w:p>
      <w:pPr>
        <w:pStyle w:val="TextBody"/>
        <w:spacing w:before="0" w:after="0"/>
        <w:jc w:val="both"/>
        <w:rPr>
          <w:b/>
          <w:color w:val="000000"/>
        </w:rPr>
      </w:pPr>
      <w:r>
        <w:rPr>
          <w:b/>
          <w:color w:val="000000"/>
        </w:rPr>
        <w:t>We may not be able to consummate an initial business combination within 24 months after the closing of our Initial Public Offering, in which case we would cease all operations except for the purpose of winding up and we would redeem our public shares and liquidate.</w:t>
      </w:r>
    </w:p>
    <w:p>
      <w:pPr>
        <w:pStyle w:val="TextBody"/>
        <w:spacing w:before="0" w:after="0"/>
        <w:rPr/>
      </w:pPr>
      <w:r>
        <w:rPr/>
      </w:r>
    </w:p>
    <w:p>
      <w:pPr>
        <w:pStyle w:val="TextBody"/>
        <w:spacing w:before="0" w:after="0"/>
        <w:jc w:val="both"/>
        <w:rPr>
          <w:color w:val="000000"/>
        </w:rPr>
      </w:pPr>
      <w:r>
        <w:rPr>
          <w:color w:val="000000"/>
        </w:rPr>
        <w:t>We may not be able to find a suitable target business and consummate an initial business combination within 24 months after the closing of our Initial Public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COVID-19 outbreak may negatively impact businesses we may seek to acquire.</w:t>
      </w:r>
    </w:p>
    <w:p>
      <w:pPr>
        <w:pStyle w:val="TextBody"/>
        <w:spacing w:before="0" w:after="0"/>
        <w:rPr/>
      </w:pPr>
      <w:r>
        <w:rPr/>
      </w:r>
    </w:p>
    <w:p>
      <w:pPr>
        <w:pStyle w:val="TextBody"/>
        <w:spacing w:before="0" w:after="0"/>
        <w:jc w:val="both"/>
        <w:rPr>
          <w:color w:val="000000"/>
        </w:rPr>
      </w:pPr>
      <w:r>
        <w:rPr>
          <w:color w:val="000000"/>
        </w:rPr>
        <w:t>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 In either such case, our public shareholders may receive only $10.00 per public share, or less than $10.00 per public share, on the redemption of their shares. See “—If third parties bring claims against us, the proceeds held in the trust account could be reduced and the per-share redemption amount received by shareholders may be less than $10.00 per public share” and other risk factors herein.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77" w:name="DSPFPageBreakArea23"/>
      <w:bookmarkStart w:id="278" w:name="DSPFPageBreakArea23"/>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79" w:name="DSPFPageNumber22"/>
      <w:bookmarkStart w:id="280" w:name="DSPFPageNumberArea21"/>
      <w:bookmarkEnd w:id="279"/>
      <w:bookmarkEnd w:id="280"/>
      <w:r>
        <w:rPr>
          <w:b w:val="false"/>
          <w:i w:val="false"/>
          <w:caps w:val="false"/>
          <w:smallCaps w:val="false"/>
          <w:sz w:val="16"/>
        </w:rPr>
        <w:t>25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1" w:name="DSPFPageBreak23"/>
      <w:bookmarkStart w:id="282" w:name="DSPFPageBreak23"/>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83" w:name="DSPFPageHeader21"/>
        <w:bookmarkEnd w:id="283"/>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If we seek shareholder approval of our initial business combination, our sponsor, directors, executive officers, advisors and their affiliates may elect to purchase public shares, which may influence a vote on a proposed business combination and reduce the public “float” of our Class A ordinary shares.</w:t>
      </w:r>
    </w:p>
    <w:p>
      <w:pPr>
        <w:pStyle w:val="TextBody"/>
        <w:spacing w:before="0" w:after="0"/>
        <w:rPr/>
      </w:pPr>
      <w:r>
        <w:rPr/>
      </w:r>
    </w:p>
    <w:p>
      <w:pPr>
        <w:pStyle w:val="TextBody"/>
        <w:spacing w:before="0" w:after="0"/>
        <w:jc w:val="both"/>
        <w:rPr>
          <w:color w:val="000000"/>
        </w:rPr>
      </w:pPr>
      <w:r>
        <w:rPr>
          <w:color w:val="000000"/>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in such transactions.</w:t>
      </w:r>
    </w:p>
    <w:p>
      <w:pPr>
        <w:pStyle w:val="TextBody"/>
        <w:spacing w:before="0" w:after="0"/>
        <w:rPr/>
      </w:pPr>
      <w:r>
        <w:rPr/>
      </w:r>
    </w:p>
    <w:p>
      <w:pPr>
        <w:pStyle w:val="TextBody"/>
        <w:spacing w:before="0" w:after="0"/>
        <w:jc w:val="both"/>
        <w:rPr>
          <w:color w:val="000000"/>
        </w:rPr>
      </w:pPr>
      <w:r>
        <w:rPr>
          <w:color w:val="000000"/>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transaction could be to (1) vote in favor of the business combination and thereby increase the likelihood of obtaining shareholder approval of the business combination or (2) satisfy a closing condition in an agreement with a target that requires us to have a minimum net worth or a certain amount of cash at the closing of our initial business combination, where it appears that such requirement would otherwise not be met. Any such purchases of our securities may result in the completion of our initial business combination that may not otherwise have been possible. In addition, if such purchases are made, the public “float” of our Class A ordinary shares may be reduced and the number of beneficial holders of our securities may be reduced, which may make it difficult to maintain or obtain the quotation, listing or trading of our securities on a national securities exchange. Any such purchases will be reported pursuant to Section 13 and Section 16 of the Exchange Act to the extent such purchasers are subject to such reporting requirements. See “Item 1. Business—Permitted Purchases and Other Transactions with Respect to Our Securities” for a description of how our sponsor, directors, executive officers, advisors or their affiliates will select which shareholders to purchase securities from in any private transaction.</w:t>
      </w:r>
    </w:p>
    <w:p>
      <w:pPr>
        <w:pStyle w:val="TextBody"/>
        <w:spacing w:before="0" w:after="0"/>
        <w:rPr/>
      </w:pPr>
      <w:r>
        <w:rPr/>
      </w:r>
    </w:p>
    <w:p>
      <w:pPr>
        <w:pStyle w:val="TextBody"/>
        <w:spacing w:before="0" w:after="0"/>
        <w:jc w:val="both"/>
        <w:rPr>
          <w:b/>
          <w:color w:val="000000"/>
        </w:rPr>
      </w:pPr>
      <w:r>
        <w:rPr>
          <w:b/>
          <w:color w:val="000000"/>
        </w:rPr>
        <w:t>If a shareholder fails to receive notice of our offer to redeem our public shares in connection with our initial business combination, or fails to comply with the procedures for tendering its shares, such shares may not be redeemed.</w:t>
      </w:r>
    </w:p>
    <w:p>
      <w:pPr>
        <w:pStyle w:val="TextBody"/>
        <w:spacing w:before="0" w:after="0"/>
        <w:rPr/>
      </w:pPr>
      <w:r>
        <w:rPr/>
      </w:r>
    </w:p>
    <w:p>
      <w:pPr>
        <w:pStyle w:val="TextBody"/>
        <w:spacing w:before="0" w:after="0"/>
        <w:jc w:val="both"/>
        <w:rPr>
          <w:color w:val="000000"/>
        </w:rPr>
      </w:pPr>
      <w:r>
        <w:rPr>
          <w:color w:val="000000"/>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w:t>
      </w:r>
    </w:p>
    <w:p>
      <w:pPr>
        <w:pStyle w:val="TextBody"/>
        <w:spacing w:before="0" w:after="0"/>
        <w:rPr/>
      </w:pPr>
      <w:r>
        <w:rPr/>
      </w:r>
    </w:p>
    <w:p>
      <w:pPr>
        <w:pStyle w:val="TextBody"/>
        <w:spacing w:before="0" w:after="0"/>
        <w:jc w:val="both"/>
        <w:rPr>
          <w:b/>
          <w:color w:val="000000"/>
        </w:rPr>
      </w:pPr>
      <w:r>
        <w:rPr>
          <w:b/>
          <w:color w:val="000000"/>
        </w:rPr>
        <w:t>As the number of special purpose acquisition companies evaluating targets increases, attractive targets may become scarcer and there may be more competition for attractive targets. This could increase the cost of our initial business combination and could even result in our inability to find a target or to consummate an initial business combination.</w:t>
      </w:r>
    </w:p>
    <w:p>
      <w:pPr>
        <w:pStyle w:val="TextBody"/>
        <w:spacing w:before="0" w:after="0"/>
        <w:rPr/>
      </w:pPr>
      <w:r>
        <w:rPr/>
      </w:r>
    </w:p>
    <w:p>
      <w:pPr>
        <w:pStyle w:val="TextBody"/>
        <w:spacing w:before="0" w:after="0"/>
        <w:jc w:val="both"/>
        <w:rPr>
          <w:color w:val="000000"/>
        </w:rPr>
      </w:pPr>
      <w:r>
        <w:rPr>
          <w:color w:val="000000"/>
        </w:rPr>
        <w:t>In recent years, the number of special purpose acquisition companies that have been formed has increased substantially. Many potential targets for special purpose acquisition companies have already entered into an initial business combination, and there are still many special purpose acquisition companies seeking targets for their initial business combination, as well as many such companies currently in registration. As a result, at times, fewer attractive targets may be available, and it may require more time, more effort and more resources to identify a suitable target and to consummate an initial business combination. 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our investors altogether.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84" w:name="DSPFPageBreakArea24"/>
      <w:bookmarkStart w:id="285" w:name="DSPFPageBreakArea24"/>
      <w:bookmarkEnd w:id="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86" w:name="DSPFPageNumber23"/>
      <w:bookmarkStart w:id="287" w:name="DSPFPageNumberArea22"/>
      <w:bookmarkEnd w:id="286"/>
      <w:bookmarkEnd w:id="287"/>
      <w:r>
        <w:rPr>
          <w:b w:val="false"/>
          <w:i w:val="false"/>
          <w:caps w:val="false"/>
          <w:smallCaps w:val="false"/>
          <w:sz w:val="16"/>
        </w:rPr>
        <w:t>26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88" w:name="DSPFPageBreak24"/>
      <w:bookmarkStart w:id="289" w:name="DSPFPageBreak24"/>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90" w:name="DSPFPageHeader22"/>
        <w:bookmarkEnd w:id="290"/>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Because of our limited resources and the significant competition for business combination opportunities, it may be more difficult for us to complete our initial business combination. If we do not complete our initial business combination within the required time period, our public shareholders may receive only approximately $10.00 per public share, or less in certain circumstances, on the liquidation of our trust account.</w:t>
      </w:r>
    </w:p>
    <w:p>
      <w:pPr>
        <w:pStyle w:val="TextBody"/>
        <w:spacing w:before="0" w:after="0"/>
        <w:rPr/>
      </w:pPr>
      <w:r>
        <w:rPr/>
      </w:r>
    </w:p>
    <w:p>
      <w:pPr>
        <w:pStyle w:val="TextBody"/>
        <w:spacing w:before="0" w:after="0"/>
        <w:jc w:val="both"/>
        <w:rPr>
          <w:color w:val="000000"/>
        </w:rPr>
      </w:pPr>
      <w:r>
        <w:rPr>
          <w:color w:val="000000"/>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our Initial Public Offering and the sale of the private placement shares,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have not consummated our initial business combination within the required time period, our public shareholders may receive only approximately $10.00 per public share, or less in certain circumstances, on the liquidation of our trust account.</w:t>
      </w:r>
    </w:p>
    <w:p>
      <w:pPr>
        <w:pStyle w:val="TextBody"/>
        <w:spacing w:before="0" w:after="0"/>
        <w:rPr/>
      </w:pPr>
      <w:r>
        <w:rPr/>
      </w:r>
    </w:p>
    <w:p>
      <w:pPr>
        <w:pStyle w:val="TextBody"/>
        <w:spacing w:before="0" w:after="0"/>
        <w:jc w:val="both"/>
        <w:rPr>
          <w:b/>
          <w:color w:val="000000"/>
        </w:rPr>
      </w:pPr>
      <w:r>
        <w:rPr>
          <w:b/>
          <w:color w:val="000000"/>
        </w:rPr>
        <w:t>If the net proceeds of our Initial Public Offering and the sale of the private placement shares not being held in the trust account are insufficient to allow us to operate for the 24 months following the closing of our Initial Public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pStyle w:val="TextBody"/>
        <w:spacing w:before="0" w:after="0"/>
        <w:rPr/>
      </w:pPr>
      <w:r>
        <w:rPr/>
      </w:r>
    </w:p>
    <w:p>
      <w:pPr>
        <w:pStyle w:val="TextBody"/>
        <w:spacing w:before="0" w:after="0"/>
        <w:jc w:val="both"/>
        <w:rPr>
          <w:color w:val="000000"/>
        </w:rPr>
      </w:pPr>
      <w:r>
        <w:rPr>
          <w:color w:val="000000"/>
        </w:rPr>
        <w:t>As of December 31, 2020, we had approximately $1.0 million in cash held outside the trust account to fund our working capital requirements. We believe that, upon the closing of our Initial Public Offering, the funds available to us outside of the trust account, together with funds available from loans from our sponsor, members of our management team or any of their affiliates will be sufficient to allow us to operate for at least the 24 months following the closing of our Initial Public Offering; however, our estimate may not be accurate, and our sponsor, members of our management team or any of their affiliates are under no obligation to advance funds to us in such circumstances.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pStyle w:val="TextBody"/>
        <w:spacing w:before="0" w:after="0"/>
        <w:rPr/>
      </w:pPr>
      <w:r>
        <w:rPr/>
      </w:r>
    </w:p>
    <w:p>
      <w:pPr>
        <w:pStyle w:val="TextBody"/>
        <w:spacing w:before="0" w:after="0"/>
        <w:jc w:val="both"/>
        <w:rPr>
          <w:color w:val="000000"/>
        </w:rPr>
      </w:pPr>
      <w:r>
        <w:rPr>
          <w:color w:val="000000"/>
        </w:rPr>
        <w:t>If we are required to seek additional capital, we would need to borrow funds from our sponsor, members of our management team or any of their affiliates or other third parties to operate or may be forced to liquidate. Neither our sponsor, members of our management team nor any of their affiliates is under any obligation to advance funds to us in such circumstances. Any such advances may be repaid only from funds held outside the trust account or from funds released to us upon completion of our initial business combination. Up to $1,500,000 of such loans may be convertible into shares of the post-business combination entity at a price of $10.00 per share at the option of the lender. The shares would be identical to the private placement shares. Prior to the completion of our initial business combination,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 If we do not complete our initial business combination within the required time period because we do not have sufficient funds available to us, we will be forced to cease operations and liquidate the trust account. Consequently, our public shareholders may only receive an estimated $10.00 per public share, or possibly less, on our redemption of our public shares. See “—If third parties bring claims against us, the proceeds held in the trust account could be reduced and the per-share redemption amount received by shareholders may be less than $10.00 per public share” and other risk factors herein.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1" w:name="DSPFPageBreakArea25"/>
      <w:bookmarkStart w:id="292" w:name="DSPFPageBreakArea25"/>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293" w:name="DSPFPageNumber24"/>
      <w:bookmarkStart w:id="294" w:name="DSPFPageNumberArea23"/>
      <w:bookmarkEnd w:id="293"/>
      <w:bookmarkEnd w:id="294"/>
      <w:r>
        <w:rPr>
          <w:b w:val="false"/>
          <w:i w:val="false"/>
          <w:caps w:val="false"/>
          <w:smallCaps w:val="false"/>
          <w:sz w:val="16"/>
        </w:rPr>
        <w:t>27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295" w:name="DSPFPageBreak25"/>
      <w:bookmarkStart w:id="296" w:name="DSPFPageBreak25"/>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297" w:name="DSPFPageHeader23"/>
        <w:bookmarkEnd w:id="297"/>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rPr>
      </w:pPr>
      <w:r>
        <w:rPr>
          <w:b/>
        </w:rPr>
        <w:t>We may seek business combination opportunities with a high degree of complexity that require significant operational improvements, which could delay or prevent us from achieving our desired results.</w:t>
      </w:r>
    </w:p>
    <w:p>
      <w:pPr>
        <w:pStyle w:val="TextBody"/>
        <w:spacing w:before="0" w:after="0"/>
        <w:rPr/>
      </w:pPr>
      <w:r>
        <w:rPr/>
        <w:t> </w:t>
      </w:r>
    </w:p>
    <w:p>
      <w:pPr>
        <w:pStyle w:val="TextBody"/>
        <w:spacing w:before="0" w:after="0"/>
        <w:jc w:val="both"/>
        <w:rPr/>
      </w:pPr>
      <w:r>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pStyle w:val="TextBody"/>
        <w:spacing w:before="0" w:after="0"/>
        <w:rPr/>
      </w:pPr>
      <w:r>
        <w:rPr/>
        <w:t> </w:t>
      </w:r>
    </w:p>
    <w:p>
      <w:pPr>
        <w:pStyle w:val="TextBody"/>
        <w:spacing w:before="0" w:after="0"/>
        <w:jc w:val="both"/>
        <w:rPr/>
      </w:pPr>
      <w:r>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pStyle w:val="TextBody"/>
        <w:spacing w:before="0" w:after="0"/>
        <w:rPr/>
      </w:pPr>
      <w:r>
        <w:rPr/>
        <w:t> </w:t>
      </w:r>
    </w:p>
    <w:p>
      <w:pPr>
        <w:pStyle w:val="TextBody"/>
        <w:spacing w:before="0" w:after="0"/>
        <w:jc w:val="both"/>
        <w:rPr>
          <w:b/>
          <w:color w:val="000000"/>
        </w:rPr>
      </w:pPr>
      <w:r>
        <w:rPr>
          <w:b/>
          <w:color w:val="000000"/>
        </w:rPr>
        <w:t>Our shareholders may be held liable for claims by third parties against us to the extent of distributions received by them upon redemption of their shares.</w:t>
      </w:r>
    </w:p>
    <w:p>
      <w:pPr>
        <w:pStyle w:val="TextBody"/>
        <w:spacing w:before="0" w:after="0"/>
        <w:rPr/>
      </w:pPr>
      <w:r>
        <w:rPr/>
      </w:r>
    </w:p>
    <w:p>
      <w:pPr>
        <w:pStyle w:val="TextBody"/>
        <w:spacing w:before="0" w:after="0"/>
        <w:jc w:val="both"/>
        <w:rPr>
          <w:color w:val="000000"/>
        </w:rPr>
      </w:pPr>
      <w:r>
        <w:rPr>
          <w:color w:val="000000"/>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Claims may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$18,292.68 and imprisonment for five years in the Cayman Islands.</w:t>
      </w:r>
    </w:p>
    <w:p>
      <w:pPr>
        <w:pStyle w:val="TextBody"/>
        <w:spacing w:before="0" w:after="0"/>
        <w:rPr/>
      </w:pPr>
      <w:r>
        <w:rPr/>
      </w:r>
    </w:p>
    <w:p>
      <w:pPr>
        <w:pStyle w:val="TextBody"/>
        <w:spacing w:before="0" w:after="0"/>
        <w:jc w:val="both"/>
        <w:rPr>
          <w:b/>
          <w:color w:val="000000"/>
        </w:rPr>
      </w:pPr>
      <w:r>
        <w:rPr>
          <w:b/>
          <w:color w:val="000000"/>
        </w:rPr>
        <w:t>We may not hold an annual meeting of shareholders until after the consummation of our initial business combination.</w:t>
      </w:r>
    </w:p>
    <w:p>
      <w:pPr>
        <w:pStyle w:val="TextBody"/>
        <w:spacing w:before="0" w:after="0"/>
        <w:rPr/>
      </w:pPr>
      <w:r>
        <w:rPr/>
      </w:r>
    </w:p>
    <w:p>
      <w:pPr>
        <w:pStyle w:val="TextBody"/>
        <w:spacing w:before="0" w:after="0"/>
        <w:jc w:val="both"/>
        <w:rPr>
          <w:color w:val="000000"/>
        </w:rPr>
      </w:pPr>
      <w:r>
        <w:rPr>
          <w:color w:val="000000"/>
        </w:rPr>
        <w:t>In accordance with Nasdaq corporate governance requirements, we are not required to hold an annual meeting until no later than one year after our first fiscal year end following our listing on Nasdaq. As an exempted company, there is no requirement under the Companies Act for us to hold annual or shareholder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three-year term.</w:t>
      </w:r>
    </w:p>
    <w:p>
      <w:pPr>
        <w:pStyle w:val="TextBody"/>
        <w:spacing w:before="0" w:after="0"/>
        <w:rPr/>
      </w:pPr>
      <w:r>
        <w:rPr/>
      </w:r>
    </w:p>
    <w:p>
      <w:pPr>
        <w:pStyle w:val="TextBody"/>
        <w:spacing w:before="0" w:after="0"/>
        <w:jc w:val="both"/>
        <w:rPr>
          <w:b/>
          <w:color w:val="000000"/>
        </w:rPr>
      </w:pPr>
      <w:r>
        <w:rPr>
          <w:b/>
          <w:color w:val="000000"/>
        </w:rPr>
        <w:t>We may seek acquisition opportunities in industries or sectors which may or may not be outside of our management’s area of expertise.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298" w:name="DSPFPageBreakArea26"/>
      <w:bookmarkStart w:id="299" w:name="DSPFPageBreakArea26"/>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300" w:name="DSPFPageNumber25"/>
      <w:bookmarkStart w:id="301" w:name="DSPFPageNumberArea24"/>
      <w:bookmarkEnd w:id="300"/>
      <w:bookmarkEnd w:id="301"/>
      <w:r>
        <w:rPr>
          <w:b w:val="false"/>
          <w:i w:val="false"/>
          <w:caps w:val="false"/>
          <w:smallCaps w:val="false"/>
          <w:sz w:val="16"/>
        </w:rPr>
        <w:t>28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2" w:name="DSPFPageBreak26"/>
      <w:bookmarkStart w:id="303" w:name="DSPFPageBreak26"/>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304" w:name="DSPFPageHeader24"/>
        <w:bookmarkEnd w:id="304"/>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We will consider a business combination outside of our management’s area of expertise if a business combination target is presented to us and we determine that such candidate offers an attractive acquisition opportunity for our company. Although our management will endeavor to evaluate the risks inherent in any particular business combination target, we may not adequately ascertain or assess all of the significant risk factors. We also cannot assure you that an investment in our Class A ordinary shares will not ultimately prove to be less favorable to investors in our securities than a direct investment, if an opportunity were available, in a business combination target. In the event we elect to pursue an acquisition outside of the areas of our management’s expertise, our management’s expertise may not be directly applicable to its evaluation or operation, and the information contained in this Report regarding the areas of our management’s expertise would not be relevant to an understanding of the business that we elect to acquire. As a result, our management may not be able to adequately ascertain or assess all of the significant risk factors. Accordingly, any holders who choose to retain their securities following our initial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pStyle w:val="TextBody"/>
        <w:spacing w:before="0" w:after="0"/>
        <w:rPr/>
      </w:pPr>
      <w:r>
        <w:rPr/>
      </w:r>
    </w:p>
    <w:p>
      <w:pPr>
        <w:pStyle w:val="TextBody"/>
        <w:spacing w:before="0" w:after="0"/>
        <w:jc w:val="both"/>
        <w:rPr>
          <w:b/>
          <w:color w:val="000000"/>
        </w:rPr>
      </w:pPr>
      <w:r>
        <w:rPr>
          <w:b/>
          <w:color w:val="000000"/>
        </w:rPr>
        <w:t>Our initial shareholders may receive additional Class A ordinary shares if we issue shares to consummate an initial business combination.</w:t>
      </w:r>
    </w:p>
    <w:p>
      <w:pPr>
        <w:pStyle w:val="TextBody"/>
        <w:spacing w:before="0" w:after="0"/>
        <w:rPr/>
      </w:pPr>
      <w:r>
        <w:rPr/>
      </w:r>
    </w:p>
    <w:p>
      <w:pPr>
        <w:pStyle w:val="TextBody"/>
        <w:spacing w:before="0" w:after="0"/>
        <w:jc w:val="both"/>
        <w:rPr>
          <w:color w:val="000000"/>
        </w:rPr>
      </w:pPr>
      <w:r>
        <w:rPr>
          <w:color w:val="000000"/>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completion of our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our sponsor, members of our management team or any of their affiliates upon conversion of working capital loans (“Working Capital Loans”). In no event will the Class B ordinary shares convert into Class A ordinary shares at a rate of less than one to one.</w:t>
      </w:r>
    </w:p>
    <w:p>
      <w:pPr>
        <w:pStyle w:val="TextBody"/>
        <w:spacing w:before="0" w:after="0"/>
        <w:rPr/>
      </w:pPr>
      <w:r>
        <w:rPr/>
      </w:r>
    </w:p>
    <w:p>
      <w:pPr>
        <w:pStyle w:val="TextBody"/>
        <w:spacing w:before="0" w:after="0"/>
        <w:jc w:val="both"/>
        <w:rPr>
          <w:b/>
        </w:rPr>
      </w:pPr>
      <w:r>
        <w:rPr>
          <w:b/>
        </w:rPr>
        <w:t>We do not have a specified maximum redemption threshold. The absence of such a redemption threshold may make it possible for us to complete our initial business combination with which a substantial majority of our shareholders do not agree.</w:t>
      </w:r>
    </w:p>
    <w:p>
      <w:pPr>
        <w:pStyle w:val="TextBody"/>
        <w:spacing w:before="0" w:after="0"/>
        <w:rPr/>
      </w:pPr>
      <w:r>
        <w:rPr/>
        <w:t> </w:t>
      </w:r>
    </w:p>
    <w:p>
      <w:pPr>
        <w:pStyle w:val="TextBody"/>
        <w:spacing w:before="0" w:after="0"/>
        <w:jc w:val="both"/>
        <w:rPr/>
      </w:pPr>
      <w:r>
        <w:rPr/>
        <w:t>Our amended and restated memorandum and articles of association does not provide a specified maximum redemption threshold, except that in no event will we redeem our public shares in an amount that would cause our net tangible assets to be less than $5,000,001 (so that we do not then become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pStyle w:val="TextBody"/>
        <w:spacing w:before="0" w:after="0"/>
        <w:rPr/>
      </w:pPr>
      <w:r>
        <w:rPr/>
        <w:t> </w:t>
      </w:r>
    </w:p>
    <w:p>
      <w:pPr>
        <w:pStyle w:val="TextBody"/>
        <w:spacing w:before="0" w:after="0"/>
        <w:jc w:val="both"/>
        <w:rPr>
          <w:b/>
        </w:rPr>
      </w:pPr>
      <w:r>
        <w:rPr>
          <w:b/>
        </w:rPr>
        <w:t>In order to effectuate an initial business combination, blank check companies have, in the recent past, amended various provisions of their charters and other governing instruments. We may seek to amend our amended and restated memorandum and articles of association or governing instruments in a manner that will make it easier for us to complete our initial business combination that our shareholders may not support.</w:t>
      </w:r>
    </w:p>
    <w:p>
      <w:pPr>
        <w:pStyle w:val="TextBody"/>
        <w:spacing w:before="0" w:after="0"/>
        <w:rPr/>
      </w:pPr>
      <w:r>
        <w:rPr/>
        <w:t> </w:t>
      </w:r>
    </w:p>
    <w:p>
      <w:pPr>
        <w:pStyle w:val="TextBody"/>
        <w:spacing w:before="0" w:after="0"/>
        <w:jc w:val="both"/>
        <w:rPr/>
      </w:pPr>
      <w:r>
        <w:rPr/>
        <w:t>In order to effectuate a business combination, blank check companies have, in the recent past, amended various provisions of their charters and governing instruments. For example, blank check companies have amended the definition of business combination, increased redemption thresholds, and extended the time to consummate a business combination. Amending our amended and restated memorandum and articles of association require at least a special resolution of our shareholders as a matter of Cayman Islands law, meaning the approval of holders of at least two-thirds of our ordinary shares who attend and vote at a shareholder meeting of the company. In addition, our amended and restated memorandum and articles of association require us to provide our public shareholders with the opportunity to redeem their public shares for cash if we propose an amendment to our amended and restated memorandum and articles of association (i)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(ii) with respect to any other provision relating to the rights of holders of our Class A ordinary shares. To the extent any of such amendments would be deemed to fundamentally change the nature of the securities offered through our Initial Public Offering, we would register, or seek an exemption from registration for, the affected securities.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05" w:name="DSPFPageBreakArea27"/>
      <w:bookmarkStart w:id="306" w:name="DSPFPageBreakArea27"/>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307" w:name="DSPFPageNumber26"/>
      <w:bookmarkStart w:id="308" w:name="DSPFPageNumberArea25"/>
      <w:bookmarkEnd w:id="307"/>
      <w:bookmarkEnd w:id="308"/>
      <w:r>
        <w:rPr>
          <w:b w:val="false"/>
          <w:i w:val="false"/>
          <w:caps w:val="false"/>
          <w:smallCaps w:val="false"/>
          <w:sz w:val="16"/>
        </w:rPr>
        <w:t>29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09" w:name="DSPFPageBreak27"/>
      <w:bookmarkStart w:id="310" w:name="DSPFPageBreak27"/>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311" w:name="DSPFPageHeader25"/>
        <w:bookmarkEnd w:id="311"/>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rPr>
      </w:pPr>
      <w:r>
        <w:rPr>
          <w:b/>
        </w:rPr>
        <w:t>Our initial shareholders control a substantial interest in us and thus may exert a substantial influence on actions requiring a shareholder vote, potentially in a manner that you do not support.</w:t>
      </w:r>
    </w:p>
    <w:p>
      <w:pPr>
        <w:pStyle w:val="TextBody"/>
        <w:spacing w:before="0" w:after="0"/>
        <w:rPr/>
      </w:pPr>
      <w:r>
        <w:rPr/>
        <w:t> </w:t>
      </w:r>
    </w:p>
    <w:p>
      <w:pPr>
        <w:pStyle w:val="TextBody"/>
        <w:spacing w:before="0" w:after="0"/>
        <w:jc w:val="both"/>
        <w:rPr/>
      </w:pPr>
      <w:r>
        <w:rPr/>
        <w:t>Our initial shareholders own, on an as-converted basis, 20% of our issued and outstanding ordinary shares (excluding the private placement shares). Accordingly, they may exert a substantial influence on actions requiring a shareholder vote, potentially in a manner that you do not support, including amendments to our amended and restated memorandum and articles of association. If our initial shareholders purchase any shares in our Initial Public Offering or if our initial shareholders purchase any additional Class A ordinary shares in the aftermarket or in privately negotiated transactions, this would increase their control. Neither our sponsor nor, to our knowledge, any of our officers or directors, have any current intention to purchase additional securities, other than as disclosed in this Report. Factors that would be considered in making such additional purchases would include consideration of the current trading price of our Class A ordinary shares. In addition, our board of directors, whose members were elected by our sponsor, is divided into three classes, each of which will generally serve for a term of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sponsor, because of its ownership position, will control the outcome, as only holders of our Class B ordinary shares will have the right to vote on the election of directors and to remove directors prior to our initial business combination. Accordingly, our sponsor will continue to exert control at least until the completion of our initial business combination. In addition, we have agreed not to enter into a definitive agreement regarding an initial business combination without the prior consent of our sponsor.</w:t>
      </w:r>
    </w:p>
    <w:p>
      <w:pPr>
        <w:pStyle w:val="TextBody"/>
        <w:spacing w:before="0" w:after="0"/>
        <w:rPr/>
      </w:pPr>
      <w:r>
        <w:rPr/>
        <w:t> </w:t>
      </w:r>
    </w:p>
    <w:p>
      <w:pPr>
        <w:pStyle w:val="TextBody"/>
        <w:spacing w:before="0" w:after="0"/>
        <w:jc w:val="both"/>
        <w:rPr>
          <w:b/>
          <w:color w:val="000000"/>
        </w:rPr>
      </w:pPr>
      <w:r>
        <w:rPr>
          <w:b/>
          <w:color w:val="000000"/>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pStyle w:val="TextBody"/>
        <w:spacing w:before="0" w:after="0"/>
        <w:rPr/>
      </w:pPr>
      <w:r>
        <w:rPr/>
      </w:r>
    </w:p>
    <w:p>
      <w:pPr>
        <w:pStyle w:val="TextBody"/>
        <w:spacing w:before="0" w:after="0"/>
        <w:jc w:val="both"/>
        <w:rPr>
          <w:color w:val="000000"/>
        </w:rPr>
      </w:pPr>
      <w:r>
        <w:rPr>
          <w:color w:val="000000"/>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pStyle w:val="TextBody"/>
        <w:spacing w:before="0" w:after="0"/>
        <w:rPr/>
      </w:pPr>
      <w:r>
        <w:rPr/>
      </w:r>
    </w:p>
    <w:p>
      <w:pPr>
        <w:pStyle w:val="TextBody"/>
        <w:spacing w:before="0" w:after="0"/>
        <w:jc w:val="both"/>
        <w:rPr>
          <w:color w:val="000000"/>
        </w:rPr>
      </w:pPr>
      <w:r>
        <w:rPr>
          <w:color w:val="000000"/>
        </w:rPr>
        <w:t>In particular, there is uncertainty as to whether the courts of the Cayman Islands or any other applicable jurisdictions would recognize and enforce judgments of U.S. courts obtained against us or our directors or officers predicated upon the civil liability provisions of the securities laws of the United States or any state in the United States or entertain original actions brought in the Cayman Islands or any other applicable jurisdiction’s courts against us or our directors or officers predicated upon the securities laws of the United States or any state in the United States.</w:t>
      </w:r>
    </w:p>
    <w:p>
      <w:pPr>
        <w:pStyle w:val="TextBody"/>
        <w:spacing w:before="0" w:after="0"/>
        <w:rPr/>
      </w:pPr>
      <w:r>
        <w:rPr/>
      </w:r>
    </w:p>
    <w:p>
      <w:pPr>
        <w:pStyle w:val="TextBody"/>
        <w:spacing w:before="0" w:after="0"/>
        <w:jc w:val="both"/>
        <w:rPr>
          <w:b/>
          <w:color w:val="000000"/>
        </w:rPr>
      </w:pPr>
      <w:r>
        <w:rPr>
          <w:b/>
          <w:color w:val="000000"/>
        </w:rPr>
        <w:t>You will not be entitled to protections normally afforded to investors of many other blank check companies.</w:t>
      </w:r>
    </w:p>
    <w:p>
      <w:pPr>
        <w:pStyle w:val="TextBody"/>
        <w:spacing w:before="0" w:after="0"/>
        <w:rPr/>
      </w:pPr>
      <w:r>
        <w:rPr/>
      </w:r>
    </w:p>
    <w:p>
      <w:pPr>
        <w:pStyle w:val="TextBody"/>
        <w:spacing w:before="0" w:after="0"/>
        <w:jc w:val="both"/>
        <w:rPr>
          <w:color w:val="000000"/>
        </w:rPr>
      </w:pPr>
      <w:r>
        <w:rPr>
          <w:color w:val="000000"/>
        </w:rPr>
        <w:t>Since the net proceeds of our Initial Public Offering and the sale of the private placement shares are intended to be used to complete an initial business combination with a target business that has not been selected, we may be deemed to be a “blank check” company under the United States securities laws. However, because we have net tangible assets in excess of $5,000,000 upon the completion of our Initial Public Offering and the sale of the private placement shares and have filed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that since our shares were immediately tradable and we have a longer period of time to complete our initial business combination than do companies subject to Rule 419. Moreover, if our Initial Public Offering were subject to Rule 419, that rule would have prohibited the release of any interest earned on funds held in the trust account to us unless and until the funds in the trust account were released to us in connection with our completion of an initial business combination.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2" w:name="DSPFPageBreakArea28"/>
      <w:bookmarkStart w:id="313" w:name="DSPFPageBreakArea28"/>
      <w:bookmarkEnd w:id="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314" w:name="DSPFPageNumber27"/>
      <w:bookmarkStart w:id="315" w:name="DSPFPageNumberArea26"/>
      <w:bookmarkEnd w:id="314"/>
      <w:bookmarkEnd w:id="315"/>
      <w:r>
        <w:rPr>
          <w:b w:val="false"/>
          <w:i w:val="false"/>
          <w:caps w:val="false"/>
          <w:smallCaps w:val="false"/>
          <w:sz w:val="16"/>
        </w:rPr>
        <w:t>30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16" w:name="DSPFPageBreak28"/>
      <w:bookmarkStart w:id="317" w:name="DSPFPageBreak28"/>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318" w:name="DSPFPageHeader26"/>
        <w:bookmarkEnd w:id="318"/>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Subsequent to our completion of our initial business combination, we may be required to take write-downs or write-offs, restructuring and impairment or other charges that could have a significant negative effect on our financial condition, results of operations and the share price of our securities, which could cause you to lose some or all of your investment.</w:t>
      </w:r>
    </w:p>
    <w:p>
      <w:pPr>
        <w:pStyle w:val="TextBody"/>
        <w:spacing w:before="0" w:after="0"/>
        <w:rPr/>
      </w:pPr>
      <w:r>
        <w:rPr/>
      </w:r>
    </w:p>
    <w:p>
      <w:pPr>
        <w:pStyle w:val="TextBody"/>
        <w:spacing w:before="0" w:after="0"/>
        <w:jc w:val="both"/>
        <w:rPr>
          <w:color w:val="000000"/>
        </w:rPr>
      </w:pPr>
      <w:r>
        <w:rPr>
          <w:color w:val="000000"/>
        </w:rPr>
        <w:t>Even if we conduct due diligence on a target business with which we combine, this diligence may not surface all material issues with a particular target business. In addition, factors outside of the target business and outside of our control may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holders who choose to retain their securities following the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pStyle w:val="TextBody"/>
        <w:spacing w:before="0" w:after="0"/>
        <w:rPr/>
      </w:pPr>
      <w:r>
        <w:rPr/>
        <w:t> </w:t>
      </w:r>
    </w:p>
    <w:p>
      <w:pPr>
        <w:pStyle w:val="TextBody"/>
        <w:spacing w:before="0" w:after="0"/>
        <w:jc w:val="both"/>
        <w:rPr>
          <w:b/>
          <w:color w:val="000000"/>
        </w:rPr>
      </w:pPr>
      <w:r>
        <w:rPr>
          <w:b/>
          <w:color w:val="000000"/>
        </w:rPr>
        <w:t>If third parties bring claims against us, the proceeds held in the trust account could be reduced and the per-share redemption amount received by shareholders may be less than $10.00 per public share.</w:t>
      </w:r>
    </w:p>
    <w:p>
      <w:pPr>
        <w:pStyle w:val="TextBody"/>
        <w:spacing w:before="0" w:after="0"/>
        <w:rPr/>
      </w:pPr>
      <w:r>
        <w:rPr/>
      </w:r>
    </w:p>
    <w:p>
      <w:pPr>
        <w:pStyle w:val="TextBody"/>
        <w:spacing w:before="0" w:after="0"/>
        <w:jc w:val="both"/>
        <w:rPr>
          <w:color w:val="000000"/>
        </w:rPr>
      </w:pPr>
      <w:r>
        <w:rPr>
          <w:color w:val="000000"/>
        </w:rPr>
        <w:t>Our placing of funds in the trust account may not protect those funds from third party claims against us. 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w:t>
      </w:r>
    </w:p>
    <w:p>
      <w:pPr>
        <w:pStyle w:val="TextBody"/>
        <w:spacing w:before="0" w:after="0"/>
        <w:rPr/>
      </w:pPr>
      <w:r>
        <w:rPr/>
      </w:r>
    </w:p>
    <w:p>
      <w:pPr>
        <w:pStyle w:val="TextBody"/>
        <w:spacing w:before="0" w:after="0"/>
        <w:jc w:val="both"/>
        <w:rPr>
          <w:color w:val="000000"/>
        </w:rPr>
      </w:pPr>
      <w:r>
        <w:rPr>
          <w:color w:val="000000"/>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from the closing of our Initial Public Offering,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a letter agreement, our sponsor agreed that it will be liable to us if and to the extent any claims by a third party (excluding our independent registered public accounting firm) for services rendered or products sold to us, or a prospective target business with which we have discussed entering into a transaction agreement, reduce the amounts in the trust account to below the lesser of (i) $10.00 per public share and (ii) the actual amount per share held in the trust account as of the date of the liquidation of the trust account if less than $10.00 per public share due to reductions in the value of the trust assets, in each case net of the interest that may be withdrawn to pay our tax obligations, provided that such liability will not apply to any claims by a third party or prospective target business who executed a waiver of any and all rights to seek access to the trust account nor will it apply to any claims under our indemnity of the Underwriters of our Initial Public Offering against certain liabilities, including liabilities under the Securities Act. Moreover,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19" w:name="DSPFPageBreakArea29"/>
      <w:bookmarkStart w:id="320" w:name="DSPFPageBreakArea29"/>
      <w:bookmarkEnd w:id="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321" w:name="DSPFPageNumber28"/>
      <w:bookmarkStart w:id="322" w:name="DSPFPageNumberArea27"/>
      <w:bookmarkEnd w:id="321"/>
      <w:bookmarkEnd w:id="322"/>
      <w:r>
        <w:rPr>
          <w:b w:val="false"/>
          <w:i w:val="false"/>
          <w:caps w:val="false"/>
          <w:smallCaps w:val="false"/>
          <w:sz w:val="16"/>
        </w:rPr>
        <w:t>31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23" w:name="DSPFPageBreak29"/>
      <w:bookmarkStart w:id="324" w:name="DSPFPageBreak29"/>
      <w:bookmarkEnd w:id="3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325" w:name="DSPFPageHeader27"/>
        <w:bookmarkEnd w:id="325"/>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Our directors may decide not to enforce the indemnification obligations of our sponsor, resulting in a reduction in the amount of funds in the trust account available for distribution to our public shareholders.</w:t>
      </w:r>
    </w:p>
    <w:p>
      <w:pPr>
        <w:pStyle w:val="TextBody"/>
        <w:spacing w:before="0" w:after="0"/>
        <w:rPr/>
      </w:pPr>
      <w:r>
        <w:rPr/>
      </w:r>
    </w:p>
    <w:p>
      <w:pPr>
        <w:pStyle w:val="TextBody"/>
        <w:spacing w:before="0" w:after="0"/>
        <w:jc w:val="both"/>
        <w:rPr>
          <w:color w:val="000000"/>
        </w:rPr>
      </w:pPr>
      <w:r>
        <w:rPr>
          <w:color w:val="000000"/>
        </w:rPr>
        <w:t>In the event that the proceeds in the trust account are reduced below the lesser of (i) $10.00 per public share and (ii) the actual amount per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public share.</w:t>
      </w:r>
    </w:p>
    <w:p>
      <w:pPr>
        <w:pStyle w:val="TextBody"/>
        <w:spacing w:before="0" w:after="0"/>
        <w:rPr/>
      </w:pPr>
      <w:r>
        <w:rPr/>
      </w:r>
    </w:p>
    <w:p>
      <w:pPr>
        <w:pStyle w:val="TextBody"/>
        <w:spacing w:before="0" w:after="0"/>
        <w:jc w:val="both"/>
        <w:rPr>
          <w:b/>
          <w:color w:val="000000"/>
        </w:rPr>
      </w:pPr>
      <w:r>
        <w:rPr>
          <w:b/>
          <w:color w:val="000000"/>
        </w:rPr>
        <w:t>If, after we distribute the proceeds in the trust account to our public shareholders, we file a bankruptcy petition or winding up or an involuntary bankruptcy or winding up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pStyle w:val="TextBody"/>
        <w:spacing w:before="0" w:after="0"/>
        <w:rPr/>
      </w:pPr>
      <w:r>
        <w:rPr/>
      </w:r>
    </w:p>
    <w:p>
      <w:pPr>
        <w:pStyle w:val="TextBody"/>
        <w:spacing w:before="0" w:after="0"/>
        <w:jc w:val="both"/>
        <w:rPr>
          <w:color w:val="000000"/>
        </w:rPr>
      </w:pPr>
      <w:r>
        <w:rPr>
          <w:color w:val="000000"/>
        </w:rPr>
        <w:t>If, after we distribute the proceeds in the trust account to our public shareholders, we file a bankruptcy or winding up petition or an involuntary bankruptcy or winding up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w:t>
      </w:r>
    </w:p>
    <w:p>
      <w:pPr>
        <w:pStyle w:val="TextBody"/>
        <w:spacing w:before="0" w:after="0"/>
        <w:rPr/>
      </w:pPr>
      <w:r>
        <w:rPr/>
      </w:r>
    </w:p>
    <w:p>
      <w:pPr>
        <w:pStyle w:val="TextBody"/>
        <w:spacing w:before="0" w:after="0"/>
        <w:jc w:val="both"/>
        <w:rPr>
          <w:color w:val="000000"/>
        </w:rPr>
      </w:pPr>
      <w:r>
        <w:rPr>
          <w:color w:val="000000"/>
        </w:rPr>
        <w:t>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pStyle w:val="TextBody"/>
        <w:spacing w:before="0" w:after="0"/>
        <w:rPr/>
      </w:pPr>
      <w:r>
        <w:rPr/>
      </w:r>
    </w:p>
    <w:p>
      <w:pPr>
        <w:pStyle w:val="TextBody"/>
        <w:spacing w:before="0" w:after="0"/>
        <w:jc w:val="both"/>
        <w:rPr>
          <w:b/>
          <w:color w:val="000000"/>
        </w:rPr>
      </w:pPr>
      <w:r>
        <w:rPr>
          <w:b/>
          <w:color w:val="000000"/>
        </w:rPr>
        <w:t>If, before distributing the proceeds in the trust account to our public shareholders, we file a bankruptcy or winding up petition or an involuntary bankruptcy or winding up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pStyle w:val="TextBody"/>
        <w:spacing w:before="0" w:after="0"/>
        <w:rPr/>
      </w:pPr>
      <w:r>
        <w:rPr/>
      </w:r>
    </w:p>
    <w:p>
      <w:pPr>
        <w:pStyle w:val="TextBody"/>
        <w:spacing w:before="0" w:after="0"/>
        <w:jc w:val="both"/>
        <w:rPr>
          <w:color w:val="000000"/>
        </w:rPr>
      </w:pPr>
      <w:r>
        <w:rPr>
          <w:color w:val="000000"/>
        </w:rPr>
        <w:t>If, before distributing the proceeds in the trust account to our public shareholders, we file a bankruptcy or winding up petition or an involuntary bankruptcy or winding up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26" w:name="DSPFPageBreakArea30"/>
      <w:bookmarkStart w:id="327" w:name="DSPFPageBreakArea30"/>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328" w:name="DSPFPageNumber29"/>
      <w:bookmarkStart w:id="329" w:name="DSPFPageNumberArea28"/>
      <w:bookmarkEnd w:id="328"/>
      <w:bookmarkEnd w:id="329"/>
      <w:r>
        <w:rPr>
          <w:b w:val="false"/>
          <w:i w:val="false"/>
          <w:caps w:val="false"/>
          <w:smallCaps w:val="false"/>
          <w:sz w:val="16"/>
        </w:rPr>
        <w:t>32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30" w:name="DSPFPageBreak30"/>
      <w:bookmarkStart w:id="331" w:name="DSPFPageBreak30"/>
      <w:bookmarkEnd w:id="3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332" w:name="DSPFPageHeader28"/>
        <w:bookmarkEnd w:id="332"/>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Holders of Class A ordinary shares will not be entitled to vote on any election of directors we hold prior to the completion of our initial business combination.</w:t>
      </w:r>
    </w:p>
    <w:p>
      <w:pPr>
        <w:pStyle w:val="TextBody"/>
        <w:spacing w:before="0" w:after="0"/>
        <w:rPr/>
      </w:pPr>
      <w:r>
        <w:rPr/>
      </w:r>
    </w:p>
    <w:p>
      <w:pPr>
        <w:pStyle w:val="TextBody"/>
        <w:spacing w:before="0" w:after="0"/>
        <w:jc w:val="both"/>
        <w:rPr>
          <w:color w:val="000000"/>
        </w:rPr>
      </w:pPr>
      <w:r>
        <w:rPr>
          <w:color w:val="000000"/>
        </w:rPr>
        <w:t>Prior to the completion of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pStyle w:val="TextBody"/>
        <w:spacing w:before="0" w:after="0"/>
        <w:rPr/>
      </w:pPr>
      <w:r>
        <w:rPr/>
      </w:r>
    </w:p>
    <w:p>
      <w:pPr>
        <w:pStyle w:val="TextBody"/>
        <w:spacing w:before="0" w:after="0"/>
        <w:jc w:val="both"/>
        <w:rPr>
          <w:b/>
          <w:color w:val="000000"/>
        </w:rPr>
      </w:pPr>
      <w:r>
        <w:rPr>
          <w:b/>
          <w:color w:val="000000"/>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pStyle w:val="TextBody"/>
        <w:spacing w:before="0" w:after="0"/>
        <w:rPr/>
      </w:pPr>
      <w:r>
        <w:rPr/>
      </w:r>
    </w:p>
    <w:p>
      <w:pPr>
        <w:pStyle w:val="TextBody"/>
        <w:spacing w:before="0" w:after="0"/>
        <w:jc w:val="both"/>
        <w:rPr>
          <w:color w:val="000000"/>
        </w:rPr>
      </w:pPr>
      <w:r>
        <w:rPr>
          <w:color w:val="000000"/>
        </w:rPr>
        <w:t>We may pursue business combination opportunities in any sector, except that we are not, under our amended and restated memorandum and articles of association, permitted to effectuate our initial business combination with another blank check company or similar company with nominal operations.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may not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An investment in our Class A ordinary shares may not ultimately prove to be more favorable to investors than a direct investment, if such opportunity were available, in a business combination target. Accordingly, any holders who choose to retain their securities following our initial business combination could suffer a reduction in the value of their securities. Such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pStyle w:val="TextBody"/>
        <w:spacing w:before="0" w:after="0"/>
        <w:rPr/>
      </w:pPr>
      <w:r>
        <w:rPr/>
      </w:r>
    </w:p>
    <w:p>
      <w:pPr>
        <w:pStyle w:val="TextBody"/>
        <w:spacing w:before="0" w:after="0"/>
        <w:jc w:val="both"/>
        <w:rPr>
          <w:b/>
          <w:color w:val="000000"/>
        </w:rPr>
      </w:pPr>
      <w:r>
        <w:rPr>
          <w:b/>
          <w:color w:val="000000"/>
        </w:rPr>
        <w:t>Because we intend to seek a business combination with a target business in the healthcare industry, we expect our future operations to be subject to risks associated with this industry.</w:t>
      </w:r>
    </w:p>
    <w:p>
      <w:pPr>
        <w:pStyle w:val="TextBody"/>
        <w:spacing w:before="0" w:after="0"/>
        <w:rPr/>
      </w:pPr>
      <w:r>
        <w:rPr/>
      </w:r>
    </w:p>
    <w:p>
      <w:pPr>
        <w:pStyle w:val="TextBody"/>
        <w:spacing w:before="0" w:after="0"/>
        <w:jc w:val="both"/>
        <w:rPr>
          <w:color w:val="000000"/>
        </w:rPr>
      </w:pPr>
      <w:r>
        <w:rPr>
          <w:color w:val="000000"/>
        </w:rPr>
        <w:t>Because we intend to seek a business combination with a target business in the healthcare industry, we expect our future operations to be subject to risks associated with this industry.</w:t>
      </w:r>
    </w:p>
    <w:p>
      <w:pPr>
        <w:pStyle w:val="TextBody"/>
        <w:spacing w:before="0" w:after="0"/>
        <w:rPr/>
      </w:pPr>
      <w:r>
        <w:rPr/>
      </w:r>
    </w:p>
    <w:p>
      <w:pPr>
        <w:pStyle w:val="TextBody"/>
        <w:spacing w:before="0" w:after="0"/>
        <w:jc w:val="both"/>
        <w:rPr>
          <w:color w:val="000000"/>
        </w:rPr>
      </w:pPr>
      <w:r>
        <w:rPr>
          <w:color w:val="000000"/>
        </w:rPr>
        <w:t>Healthcare-related companies are generally subject to greater governmental regulation than most other industries at the U.S. state and federal levels, and internationally. In recent years, both local and national governmental budgets have come under pressure to reduce spending and control healthcare costs, which could both adversely affect regulatory processes and public funding available for healthcare products, services and facilities. In March 2010, comprehensive healthcare reform legislation was enacted in the United States. These laws are intended to increase health insurance coverage through individual and employer mandates, subsidies offered to lower income individuals, tax credits available to smaller employers and broadening of Medicaid eligibility.</w:t>
      </w:r>
    </w:p>
    <w:p>
      <w:pPr>
        <w:pStyle w:val="TextBody"/>
        <w:spacing w:before="0" w:after="0"/>
        <w:rPr/>
      </w:pPr>
      <w:r>
        <w:rPr/>
      </w:r>
    </w:p>
    <w:p>
      <w:pPr>
        <w:pStyle w:val="TextBody"/>
        <w:spacing w:before="0" w:after="0"/>
        <w:jc w:val="both"/>
        <w:rPr>
          <w:color w:val="000000"/>
        </w:rPr>
      </w:pPr>
      <w:r>
        <w:rPr>
          <w:color w:val="000000"/>
        </w:rPr>
        <w:t>While one intent of healthcare reform is to expand health insurance coverage to more individuals, it may also involve additional regulatory mandates and other measures designed to constrain medical costs, including coverage and reimbursement for healthcare services. Healthcare reform has had a significant impact on the healthcare sector in the United States and consequently has the ability to affect companies within the healthcare industry. The ultimate effects of federal healthcare reform or any future legislation or regulation, or healthcare initiatives, if any, on the healthcare sector, whether implemented at the federal or state level or internationally, cannot be predicted with certainty and such reform, legislation, regulation or initiatives may adversely affect the performance of a potential business combination.</w:t>
      </w:r>
    </w:p>
    <w:p>
      <w:pPr>
        <w:pStyle w:val="TextBody"/>
        <w:spacing w:before="0" w:after="0"/>
        <w:rPr/>
      </w:pPr>
      <w:r>
        <w:rPr/>
      </w:r>
    </w:p>
    <w:p>
      <w:pPr>
        <w:pStyle w:val="TextBody"/>
        <w:spacing w:before="0" w:after="0"/>
        <w:jc w:val="both"/>
        <w:rPr>
          <w:color w:val="000000"/>
        </w:rPr>
      </w:pPr>
      <w:r>
        <w:rPr>
          <w:color w:val="000000"/>
        </w:rPr>
        <w:t>Changes in governmental policies may have a material effect on the demand for or costs of certain products and services. A healthcare related company must receive government approval before introducing new drugs and medical devices or procedures. This process may delay the introduction of these products and services to the marketplace, resulting in increased development costs, delayed cost recovery and loss of competitive advantage to the extent that rival companies have developed competing products or procedures, adversely affecting the company’s revenues and profitability. Failure to obtain governmental approval of a key drug or device or other regulatory action could have a material adverse effect on the business of a target company. Additionally, expansion of facilities by healthcare related providers is subject to “determinations of need” by the appropriate government authorities. This process not only increases the time and cost involved in these expansions, but also makes expansion plans uncertain, limiting the revenue and profitability growth potential of healthcare related facilities operators.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33" w:name="DSPFPageBreakArea31"/>
      <w:bookmarkStart w:id="334" w:name="DSPFPageBreakArea31"/>
      <w:bookmarkEnd w:id="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335" w:name="DSPFPageNumber30"/>
      <w:bookmarkStart w:id="336" w:name="DSPFPageNumberArea29"/>
      <w:bookmarkEnd w:id="335"/>
      <w:bookmarkEnd w:id="336"/>
      <w:r>
        <w:rPr>
          <w:b w:val="false"/>
          <w:i w:val="false"/>
          <w:caps w:val="false"/>
          <w:smallCaps w:val="false"/>
          <w:sz w:val="16"/>
        </w:rPr>
        <w:t>33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37" w:name="DSPFPageBreak31"/>
      <w:bookmarkStart w:id="338" w:name="DSPFPageBreak31"/>
      <w:bookmarkEnd w:id="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339" w:name="DSPFPageHeader29"/>
        <w:bookmarkEnd w:id="339"/>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Certain healthcare-related companies depend on the exclusive rights or patents for the products they develop and distribute. Patents have a limited duration and, upon expiration, other companies may market substantially similar “generic” products that are typically sold at a lower price than the patented product, causing the original developer of the product to lose market share and/or reduce the price charged for the product, resulting in lower profits for the original developer. As a result, the expiration of patents may adversely affect the profitability of these companies. The profitability of healthcare-related companies may also be affected, among other factors, by restrictions on government reimbursement for medical expenses, rising or falling costs of medical products and services, pricing pressure, an increased emphasis on outpatient services, a limited product offering, industry innovation, changes in technologies and other market developments. Finally, because the products and services of healthcare-related companies affect the health and well-being of many individuals, these companies are especially susceptible to product liability lawsuits.</w:t>
      </w:r>
    </w:p>
    <w:p>
      <w:pPr>
        <w:pStyle w:val="TextBody"/>
        <w:spacing w:before="0" w:after="0"/>
        <w:rPr/>
      </w:pPr>
      <w:r>
        <w:rPr/>
      </w:r>
    </w:p>
    <w:p>
      <w:pPr>
        <w:pStyle w:val="TextBody"/>
        <w:spacing w:before="0" w:after="0"/>
        <w:jc w:val="both"/>
        <w:rPr>
          <w:color w:val="000000"/>
        </w:rPr>
      </w:pPr>
      <w:r>
        <w:rPr>
          <w:color w:val="000000"/>
        </w:rPr>
        <w:t>The healthcare industry spends heavily on research and development. Research findings (e.g., regarding side effects or comparative benefits of one or more particular treatments, services or products) and technological innovation (together with patent expirations) may make any particular treatment, service or product less attractive if previously unknown or underappreciated risks are revealed, or if a more effective, less costly or less risky solution is or becomes available. Any such development could have a material adverse effect on the companies that are target businesses for investment. In recent years, both local and national governmental budgets have come under pressure to reduce spending and control healthcare costs, which could both adversely affect regulatory processes and public funding available for healthcare products, services and facilities.</w:t>
      </w:r>
    </w:p>
    <w:p>
      <w:pPr>
        <w:pStyle w:val="TextBody"/>
        <w:spacing w:before="0" w:after="0"/>
        <w:rPr/>
      </w:pPr>
      <w:r>
        <w:rPr/>
      </w:r>
    </w:p>
    <w:p>
      <w:pPr>
        <w:pStyle w:val="TextBody"/>
        <w:spacing w:before="0" w:after="0"/>
        <w:jc w:val="both"/>
        <w:rPr>
          <w:b/>
          <w:color w:val="000000"/>
        </w:rPr>
      </w:pPr>
      <w:r>
        <w:rPr>
          <w:b/>
          <w:color w:val="000000"/>
        </w:rPr>
        <w:t>Although we have identified general criteria that we believe are important in evaluating prospective target businesses, we may enter into our initial business combination with a target that does not meet such criteria, and as a result, the target business with which we enter into our initial business combination may not have attributes entirely consistent with our general criteria.</w:t>
      </w:r>
    </w:p>
    <w:p>
      <w:pPr>
        <w:pStyle w:val="TextBody"/>
        <w:spacing w:before="0" w:after="0"/>
        <w:rPr/>
      </w:pPr>
      <w:r>
        <w:rPr/>
      </w:r>
    </w:p>
    <w:p>
      <w:pPr>
        <w:pStyle w:val="TextBody"/>
        <w:spacing w:before="0" w:after="0"/>
        <w:jc w:val="both"/>
        <w:rPr>
          <w:color w:val="000000"/>
        </w:rPr>
      </w:pPr>
      <w:r>
        <w:rPr>
          <w:color w:val="000000"/>
        </w:rPr>
        <w:t>Although we have identified general criteria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such combination may not be as successful as a combination with a business that does meet all of our general criteria. In addition, if we announce a prospective business combination with a target that does not meet our general criteria,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applicable law or stock exchange rule, or we decide to obtain shareholder approval for business or other reasons, it may be more difficult for us to attain shareholder approval of our initial business combination if the target business does not meet our general criteria. If we do not complete our initial business combination within the required time period, our public shareholders may receive only approximately $10.00 per public share, or less in certain circumstances, on the liquidation of our trust account.</w:t>
      </w:r>
    </w:p>
    <w:p>
      <w:pPr>
        <w:pStyle w:val="TextBody"/>
        <w:spacing w:before="0" w:after="0"/>
        <w:rPr/>
      </w:pPr>
      <w:r>
        <w:rPr/>
      </w:r>
    </w:p>
    <w:p>
      <w:pPr>
        <w:pStyle w:val="TextBody"/>
        <w:spacing w:before="0" w:after="0"/>
        <w:jc w:val="both"/>
        <w:rPr>
          <w:b/>
          <w:color w:val="000000"/>
        </w:rPr>
      </w:pPr>
      <w:r>
        <w:rPr>
          <w:b/>
          <w:color w:val="000000"/>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pStyle w:val="TextBody"/>
        <w:spacing w:before="0" w:after="0"/>
        <w:rPr/>
      </w:pPr>
      <w:r>
        <w:rPr/>
      </w:r>
    </w:p>
    <w:p>
      <w:pPr>
        <w:pStyle w:val="TextBody"/>
        <w:spacing w:before="0" w:after="0"/>
        <w:jc w:val="both"/>
        <w:rPr>
          <w:color w:val="000000"/>
        </w:rPr>
      </w:pPr>
      <w:r>
        <w:rPr>
          <w:color w:val="000000"/>
        </w:rPr>
        <w:t>Unless we complete our initial business combination with an affiliated entity, we are not required to obtain an opinion from an independent accounting firm or independent investment banking firm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pStyle w:val="TextBody"/>
        <w:spacing w:before="0" w:after="0"/>
        <w:rPr/>
      </w:pPr>
      <w:r>
        <w:rPr/>
      </w:r>
    </w:p>
    <w:p>
      <w:pPr>
        <w:pStyle w:val="TextBody"/>
        <w:spacing w:before="0" w:after="0"/>
        <w:jc w:val="both"/>
        <w:rPr>
          <w:b/>
          <w:color w:val="000000"/>
        </w:rPr>
      </w:pPr>
      <w:r>
        <w:rPr>
          <w:b/>
          <w:color w:val="000000"/>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in our amended and restated memorandum and articles of association. Any such issuances would dilute the interest of our shareholders and likely present other risks.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40" w:name="DSPFPageBreakArea32"/>
      <w:bookmarkStart w:id="341" w:name="DSPFPageBreakArea32"/>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342" w:name="DSPFPageNumber31"/>
      <w:bookmarkStart w:id="343" w:name="DSPFPageNumberArea30"/>
      <w:bookmarkEnd w:id="342"/>
      <w:bookmarkEnd w:id="343"/>
      <w:r>
        <w:rPr>
          <w:b w:val="false"/>
          <w:i w:val="false"/>
          <w:caps w:val="false"/>
          <w:smallCaps w:val="false"/>
          <w:sz w:val="16"/>
        </w:rPr>
        <w:t>34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44" w:name="DSPFPageBreak32"/>
      <w:bookmarkStart w:id="345" w:name="DSPFPageBreak32"/>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346" w:name="DSPFPageHeader30"/>
        <w:bookmarkEnd w:id="346"/>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Our amended and restated memorandum and articles of association authorize the issuance of up to 479,000,000 Class A ordinary shares, par value $0.0001 per share, 20,000,000 Class B ordinary shares, par value $0.0001 per share, and 1,000,000 preference shares, par value $0.0001 per share. There are 463,551,000 and 16,262,500 authorized but unissued Class A ordinary shares and Class B ordinary shares, respectively, available for issuance which amount does not take into account shares issuable upon conversion of the Class B ordinary shares, if any. The Class B ordinary shares are automatically convertible into Class A ordinary shares at the time of our initial business combination as described herein and in our amended and restated memorandum and articles of association. There are no preference shares issued and outstanding.</w:t>
      </w:r>
    </w:p>
    <w:p>
      <w:pPr>
        <w:pStyle w:val="TextBody"/>
        <w:spacing w:before="0" w:after="0"/>
        <w:rPr/>
      </w:pPr>
      <w:r>
        <w:rPr/>
      </w:r>
    </w:p>
    <w:p>
      <w:pPr>
        <w:pStyle w:val="TextBody"/>
        <w:spacing w:before="0" w:after="0"/>
        <w:jc w:val="both"/>
        <w:rPr>
          <w:color w:val="000000"/>
        </w:rPr>
      </w:pPr>
      <w:r>
        <w:rPr>
          <w:color w:val="000000"/>
        </w:rPr>
        <w:t>We may issue a substantial number of additional Class A ordinary shares or preference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described in the final prospectus relating to our Initial Public Offering. However, our amended and restated memorandum and articles of association provide, among other things, that prior to the completion of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pStyle w:val="TextBody"/>
        <w:spacing w:before="0" w:after="0"/>
        <w:rPr/>
      </w:pPr>
      <w:r>
        <w:rPr/>
      </w:r>
    </w:p>
    <w:p>
      <w:pPr>
        <w:pStyle w:val="Normal"/>
        <w:spacing w:before="0" w:after="0"/>
        <w:rPr>
          <w:sz w:val="4"/>
          <w:szCs w:val="4"/>
        </w:rPr>
      </w:pPr>
      <w:r>
        <w:rPr>
          <w:sz w:val="4"/>
          <w:szCs w:val="4"/>
        </w:rPr>
      </w:r>
      <w:bookmarkStart w:id="347" w:name="z240b9363e194488aa7d8dead05851516"/>
      <w:bookmarkStart w:id="348" w:name="z240b9363e194488aa7d8dead05851516"/>
      <w:bookmarkEnd w:id="34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may significantly dilute the equity interest of our investors, which dilution would increase if the anti-dilution provisions in the Class B ordinary shares resulted in the issuance of Class A ordinary shares on a greater than one-to-one basis upon conversion of the Class B ordinary shares;</w:t>
            </w:r>
          </w:p>
        </w:tc>
      </w:tr>
    </w:tbl>
    <w:p>
      <w:pPr>
        <w:pStyle w:val="Normal"/>
        <w:spacing w:before="0" w:after="0"/>
        <w:rPr>
          <w:sz w:val="4"/>
          <w:szCs w:val="4"/>
        </w:rPr>
      </w:pPr>
      <w:r>
        <w:rPr>
          <w:sz w:val="4"/>
          <w:szCs w:val="4"/>
        </w:rPr>
      </w:r>
      <w:bookmarkStart w:id="349" w:name="z6d36ee87d7834743912f18e769f4c486"/>
      <w:bookmarkStart w:id="350" w:name="z6d36ee87d7834743912f18e769f4c486"/>
      <w:bookmarkEnd w:id="35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may subordinate the rights of holders of Class A ordinary shares if preference shares are issued with rights senior to those afforded our Class A ordinary shares;</w:t>
            </w:r>
          </w:p>
        </w:tc>
      </w:tr>
    </w:tbl>
    <w:p>
      <w:pPr>
        <w:pStyle w:val="Normal"/>
        <w:spacing w:before="0" w:after="0"/>
        <w:rPr>
          <w:sz w:val="4"/>
          <w:szCs w:val="4"/>
        </w:rPr>
      </w:pPr>
      <w:r>
        <w:rPr>
          <w:sz w:val="4"/>
          <w:szCs w:val="4"/>
        </w:rPr>
      </w:r>
      <w:bookmarkStart w:id="351" w:name="zc84d5e07d8cc4762a90a4d4c88b3928e"/>
      <w:bookmarkStart w:id="352" w:name="zc84d5e07d8cc4762a90a4d4c88b3928e"/>
      <w:bookmarkEnd w:id="35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tc>
      </w:tr>
    </w:tbl>
    <w:p>
      <w:pPr>
        <w:pStyle w:val="Normal"/>
        <w:spacing w:before="0" w:after="0"/>
        <w:rPr>
          <w:sz w:val="4"/>
          <w:szCs w:val="4"/>
        </w:rPr>
      </w:pPr>
      <w:r>
        <w:rPr>
          <w:sz w:val="4"/>
          <w:szCs w:val="4"/>
        </w:rPr>
      </w:r>
      <w:bookmarkStart w:id="353" w:name="zee79b61a321f4d199355af55b9451690"/>
      <w:bookmarkStart w:id="354" w:name="zee79b61a321f4d199355af55b9451690"/>
      <w:bookmarkEnd w:id="35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may have the effect of delaying or preventing a change of control of us by diluting the share ownership or voting rights of a person seeking to obtain control of us; and</w:t>
            </w:r>
          </w:p>
        </w:tc>
      </w:tr>
    </w:tbl>
    <w:p>
      <w:pPr>
        <w:pStyle w:val="Normal"/>
        <w:spacing w:before="0" w:after="0"/>
        <w:rPr>
          <w:sz w:val="4"/>
          <w:szCs w:val="4"/>
        </w:rPr>
      </w:pPr>
      <w:r>
        <w:rPr>
          <w:sz w:val="4"/>
          <w:szCs w:val="4"/>
        </w:rPr>
      </w:r>
      <w:bookmarkStart w:id="355" w:name="zb1e0671ec4c44862a0a4e10c48a8b1d9"/>
      <w:bookmarkStart w:id="356" w:name="zb1e0671ec4c44862a0a4e10c48a8b1d9"/>
      <w:bookmarkEnd w:id="356"/>
    </w:p>
    <w:tbl>
      <w:tblPr>
        <w:tblW w:w="7533" w:type="dxa"/>
        <w:jc w:val="left"/>
        <w:tblInd w:w="0" w:type="dxa"/>
        <w:tblCellMar>
          <w:top w:w="0" w:type="dxa"/>
          <w:left w:w="0" w:type="dxa"/>
          <w:bottom w:w="0" w:type="dxa"/>
          <w:right w:w="0" w:type="dxa"/>
        </w:tblCellMar>
      </w:tblPr>
      <w:tblGrid>
        <w:gridCol w:w="38"/>
        <w:gridCol w:w="110"/>
        <w:gridCol w:w="73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385" w:type="dxa"/>
            <w:tcBorders/>
            <w:shd w:fill="auto" w:val="clear"/>
            <w:vAlign w:val="center"/>
          </w:tcPr>
          <w:p>
            <w:pPr>
              <w:pStyle w:val="TableContents"/>
              <w:spacing w:before="0" w:after="0"/>
              <w:jc w:val="both"/>
              <w:rPr>
                <w:color w:val="000000"/>
              </w:rPr>
            </w:pPr>
            <w:r>
              <w:rPr>
                <w:color w:val="000000"/>
              </w:rPr>
              <w:t>may adversely affect prevailing market prices for our Class A ordinary shares.</w:t>
            </w:r>
          </w:p>
        </w:tc>
      </w:tr>
    </w:tbl>
    <w:p>
      <w:pPr>
        <w:pStyle w:val="TextBody"/>
        <w:spacing w:before="0" w:after="0"/>
        <w:rPr/>
      </w:pPr>
      <w:r>
        <w:rPr/>
      </w:r>
    </w:p>
    <w:p>
      <w:pPr>
        <w:pStyle w:val="TextBody"/>
        <w:spacing w:before="0" w:after="0"/>
        <w:jc w:val="both"/>
        <w:rPr>
          <w:b/>
          <w:color w:val="000000"/>
        </w:rPr>
      </w:pPr>
      <w:r>
        <w:rPr>
          <w:b/>
          <w:color w:val="000000"/>
        </w:rPr>
        <w:t>Resources could be wasted in researching acquisitions that are not completed,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p>
    <w:p>
      <w:pPr>
        <w:pStyle w:val="TextBody"/>
        <w:spacing w:before="0" w:after="0"/>
        <w:rPr/>
      </w:pPr>
      <w:r>
        <w:rPr/>
      </w:r>
    </w:p>
    <w:p>
      <w:pPr>
        <w:pStyle w:val="TextBody"/>
        <w:spacing w:before="0" w:after="0"/>
        <w:jc w:val="both"/>
        <w:rPr>
          <w:color w:val="000000"/>
        </w:rPr>
      </w:pPr>
      <w:r>
        <w:rPr>
          <w:color w:val="000000"/>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do not complete our initial business combination within the required time period, our public shareholders may receive only approximately $10.00 per public share, or less in certain circumstances, on the liquidation of our trust account.</w:t>
      </w:r>
    </w:p>
    <w:p>
      <w:pPr>
        <w:pStyle w:val="TextBody"/>
        <w:spacing w:before="0" w:after="0"/>
        <w:rPr/>
      </w:pPr>
      <w:r>
        <w:rPr/>
      </w:r>
    </w:p>
    <w:p>
      <w:pPr>
        <w:pStyle w:val="TextBody"/>
        <w:spacing w:before="0" w:after="0"/>
        <w:jc w:val="both"/>
        <w:rPr>
          <w:b/>
        </w:rPr>
      </w:pPr>
      <w:r>
        <w:rPr>
          <w:b/>
        </w:rPr>
        <w:t>Compliance obligations under the Sarbanes-Oxley Act may make it more difficult for us to effectuate a business combination, require substantial financial and management resources, and increase the time and costs of completing an acquisition.</w:t>
      </w:r>
    </w:p>
    <w:p>
      <w:pPr>
        <w:pStyle w:val="TextBody"/>
        <w:spacing w:before="0" w:after="0"/>
        <w:rPr/>
      </w:pPr>
      <w:r>
        <w:rPr/>
        <w:t> </w:t>
      </w:r>
    </w:p>
    <w:p>
      <w:pPr>
        <w:pStyle w:val="TextBody"/>
        <w:spacing w:before="0" w:after="0"/>
        <w:jc w:val="both"/>
        <w:rPr/>
      </w:pPr>
      <w:r>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57" w:name="DSPFPageBreakArea33"/>
      <w:bookmarkStart w:id="358" w:name="DSPFPageBreakArea33"/>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359" w:name="DSPFPageNumber32"/>
      <w:bookmarkStart w:id="360" w:name="DSPFPageNumberArea31"/>
      <w:bookmarkEnd w:id="359"/>
      <w:bookmarkEnd w:id="360"/>
      <w:r>
        <w:rPr>
          <w:b w:val="false"/>
          <w:i w:val="false"/>
          <w:caps w:val="false"/>
          <w:smallCaps w:val="false"/>
          <w:sz w:val="16"/>
        </w:rPr>
        <w:t>35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61" w:name="DSPFPageBreak33"/>
      <w:bookmarkStart w:id="362" w:name="DSPFPageBreak33"/>
      <w:bookmarkEnd w:id="3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363" w:name="DSPFPageHeader31"/>
        <w:bookmarkEnd w:id="363"/>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pStyle w:val="TextBody"/>
        <w:spacing w:before="0" w:after="0"/>
        <w:rPr/>
      </w:pPr>
      <w:r>
        <w:rPr/>
      </w:r>
    </w:p>
    <w:p>
      <w:pPr>
        <w:pStyle w:val="TextBody"/>
        <w:spacing w:before="0" w:after="0"/>
        <w:jc w:val="both"/>
        <w:rPr>
          <w:color w:val="000000"/>
        </w:rPr>
      </w:pPr>
      <w:r>
        <w:rPr>
          <w:color w:val="000000"/>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holders who choose to retain their securities following our initial business combination could suffer a reduction in the value of their securities. Such holders are unlikely to have a remedy for such reduction in value.</w:t>
      </w:r>
    </w:p>
    <w:p>
      <w:pPr>
        <w:pStyle w:val="TextBody"/>
        <w:spacing w:before="0" w:after="0"/>
        <w:rPr/>
      </w:pPr>
      <w:r>
        <w:rPr/>
      </w:r>
    </w:p>
    <w:p>
      <w:pPr>
        <w:pStyle w:val="TextBody"/>
        <w:spacing w:before="0" w:after="0"/>
        <w:jc w:val="both"/>
        <w:rPr>
          <w:b/>
          <w:color w:val="000000"/>
        </w:rPr>
      </w:pPr>
      <w:r>
        <w:rPr>
          <w:b/>
          <w:color w:val="000000"/>
        </w:rPr>
        <w:t>We may issue notes or other debt, or otherwise incur substantial debt, to complete a business combination, which may adversely affect our leverage and financial condition and thus negatively impact the value of our shareholders’ investment in us.</w:t>
      </w:r>
    </w:p>
    <w:p>
      <w:pPr>
        <w:pStyle w:val="TextBody"/>
        <w:spacing w:before="0" w:after="0"/>
        <w:rPr/>
      </w:pPr>
      <w:r>
        <w:rPr/>
      </w:r>
    </w:p>
    <w:p>
      <w:pPr>
        <w:pStyle w:val="TextBody"/>
        <w:spacing w:before="0" w:after="0"/>
        <w:jc w:val="both"/>
        <w:rPr>
          <w:color w:val="000000"/>
        </w:rPr>
      </w:pPr>
      <w:r>
        <w:rPr>
          <w:color w:val="000000"/>
        </w:rPr>
        <w:t>Although we have no commitments as of the date of this Report to issue any notes or other debt, or to otherwise incur outstanding debt, we may choose to incur substantial debt to complete our initial business combination. We and our officers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pStyle w:val="TextBody"/>
        <w:spacing w:before="0" w:after="0"/>
        <w:rPr/>
      </w:pPr>
      <w:r>
        <w:rPr/>
      </w:r>
    </w:p>
    <w:p>
      <w:pPr>
        <w:pStyle w:val="Normal"/>
        <w:spacing w:before="0" w:after="0"/>
        <w:rPr>
          <w:sz w:val="4"/>
          <w:szCs w:val="4"/>
        </w:rPr>
      </w:pPr>
      <w:r>
        <w:rPr>
          <w:sz w:val="4"/>
          <w:szCs w:val="4"/>
        </w:rPr>
      </w:r>
      <w:bookmarkStart w:id="364" w:name="zd69a745ae89446f5a7f548729d6aba72"/>
      <w:bookmarkStart w:id="365" w:name="zd69a745ae89446f5a7f548729d6aba72"/>
      <w:bookmarkEnd w:id="365"/>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default and foreclosure on our assets if our operating revenues after an initial business combination are insufficient to repay our debt obligations;</w:t>
            </w:r>
          </w:p>
        </w:tc>
      </w:tr>
    </w:tbl>
    <w:p>
      <w:pPr>
        <w:pStyle w:val="Normal"/>
        <w:spacing w:before="0" w:after="0"/>
        <w:rPr>
          <w:sz w:val="4"/>
          <w:szCs w:val="4"/>
        </w:rPr>
      </w:pPr>
      <w:r>
        <w:rPr>
          <w:sz w:val="4"/>
          <w:szCs w:val="4"/>
        </w:rPr>
      </w:r>
      <w:bookmarkStart w:id="366" w:name="z8c91818b737141d09eb8ab456550d046"/>
      <w:bookmarkStart w:id="367" w:name="z8c91818b737141d09eb8ab456550d046"/>
      <w:bookmarkEnd w:id="36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tc>
      </w:tr>
    </w:tbl>
    <w:p>
      <w:pPr>
        <w:pStyle w:val="Normal"/>
        <w:spacing w:before="0" w:after="0"/>
        <w:rPr>
          <w:sz w:val="4"/>
          <w:szCs w:val="4"/>
        </w:rPr>
      </w:pPr>
      <w:r>
        <w:rPr>
          <w:sz w:val="4"/>
          <w:szCs w:val="4"/>
        </w:rPr>
      </w:r>
      <w:bookmarkStart w:id="368" w:name="z540a9bd5414445ce8051bf3ba941cceb"/>
      <w:bookmarkStart w:id="369" w:name="z540a9bd5414445ce8051bf3ba941cceb"/>
      <w:bookmarkEnd w:id="369"/>
    </w:p>
    <w:tbl>
      <w:tblPr>
        <w:tblW w:w="9663" w:type="dxa"/>
        <w:jc w:val="left"/>
        <w:tblInd w:w="0" w:type="dxa"/>
        <w:tblCellMar>
          <w:top w:w="0" w:type="dxa"/>
          <w:left w:w="0" w:type="dxa"/>
          <w:bottom w:w="0" w:type="dxa"/>
          <w:right w:w="0" w:type="dxa"/>
        </w:tblCellMar>
      </w:tblPr>
      <w:tblGrid>
        <w:gridCol w:w="38"/>
        <w:gridCol w:w="110"/>
        <w:gridCol w:w="95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515" w:type="dxa"/>
            <w:tcBorders/>
            <w:shd w:fill="auto" w:val="clear"/>
            <w:vAlign w:val="center"/>
          </w:tcPr>
          <w:p>
            <w:pPr>
              <w:pStyle w:val="TableContents"/>
              <w:spacing w:before="0" w:after="0"/>
              <w:jc w:val="both"/>
              <w:rPr>
                <w:color w:val="000000"/>
              </w:rPr>
            </w:pPr>
            <w:r>
              <w:rPr>
                <w:color w:val="000000"/>
              </w:rPr>
              <w:t>our immediate payment of all principal and accrued interest, if any, if the debt is payable on demand;</w:t>
            </w:r>
          </w:p>
        </w:tc>
      </w:tr>
    </w:tbl>
    <w:p>
      <w:pPr>
        <w:pStyle w:val="Normal"/>
        <w:spacing w:before="0" w:after="0"/>
        <w:rPr>
          <w:sz w:val="4"/>
          <w:szCs w:val="4"/>
        </w:rPr>
      </w:pPr>
      <w:r>
        <w:rPr>
          <w:sz w:val="4"/>
          <w:szCs w:val="4"/>
        </w:rPr>
      </w:r>
      <w:bookmarkStart w:id="370" w:name="z4b0cac6ea7fe47cbaffccd0081e4ae21"/>
      <w:bookmarkStart w:id="371" w:name="z4b0cac6ea7fe47cbaffccd0081e4ae21"/>
      <w:bookmarkEnd w:id="371"/>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our inability to obtain necessary additional financing if the debt contains covenants restricting our ability to obtain such financing while the debt is outstanding;</w:t>
            </w:r>
          </w:p>
        </w:tc>
      </w:tr>
    </w:tbl>
    <w:p>
      <w:pPr>
        <w:pStyle w:val="Normal"/>
        <w:spacing w:before="0" w:after="0"/>
        <w:rPr>
          <w:sz w:val="4"/>
          <w:szCs w:val="4"/>
        </w:rPr>
      </w:pPr>
      <w:r>
        <w:rPr>
          <w:sz w:val="4"/>
          <w:szCs w:val="4"/>
        </w:rPr>
      </w:r>
      <w:bookmarkStart w:id="372" w:name="zee3521a590814f14bf1765387a83aa3e"/>
      <w:bookmarkStart w:id="373" w:name="zee3521a590814f14bf1765387a83aa3e"/>
      <w:bookmarkEnd w:id="373"/>
    </w:p>
    <w:tbl>
      <w:tblPr>
        <w:tblW w:w="5988" w:type="dxa"/>
        <w:jc w:val="left"/>
        <w:tblInd w:w="0" w:type="dxa"/>
        <w:tblCellMar>
          <w:top w:w="0" w:type="dxa"/>
          <w:left w:w="0" w:type="dxa"/>
          <w:bottom w:w="0" w:type="dxa"/>
          <w:right w:w="0" w:type="dxa"/>
        </w:tblCellMar>
      </w:tblPr>
      <w:tblGrid>
        <w:gridCol w:w="38"/>
        <w:gridCol w:w="110"/>
        <w:gridCol w:w="58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840" w:type="dxa"/>
            <w:tcBorders/>
            <w:shd w:fill="auto" w:val="clear"/>
            <w:vAlign w:val="center"/>
          </w:tcPr>
          <w:p>
            <w:pPr>
              <w:pStyle w:val="TableContents"/>
              <w:spacing w:before="0" w:after="0"/>
              <w:jc w:val="both"/>
              <w:rPr>
                <w:color w:val="000000"/>
              </w:rPr>
            </w:pPr>
            <w:r>
              <w:rPr>
                <w:color w:val="000000"/>
              </w:rPr>
              <w:t>our inability to pay dividends on our Class A ordinary shares;</w:t>
            </w:r>
          </w:p>
        </w:tc>
      </w:tr>
    </w:tbl>
    <w:p>
      <w:pPr>
        <w:pStyle w:val="Normal"/>
        <w:spacing w:before="0" w:after="0"/>
        <w:rPr>
          <w:sz w:val="4"/>
          <w:szCs w:val="4"/>
        </w:rPr>
      </w:pPr>
      <w:r>
        <w:rPr>
          <w:sz w:val="4"/>
          <w:szCs w:val="4"/>
        </w:rPr>
      </w:r>
      <w:bookmarkStart w:id="374" w:name="z465bd3e6e2964128bb21975f7477f523"/>
      <w:bookmarkStart w:id="375" w:name="z465bd3e6e2964128bb21975f7477f523"/>
      <w:bookmarkEnd w:id="375"/>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using a substantial portion of our cash flow to pay principal and interest on our debt, which will reduce the funds available for dividends on our Class A ordinary shares if declared, expenses, capital expenditures, acquisitions and other general corporate purposes;</w:t>
            </w:r>
          </w:p>
        </w:tc>
      </w:tr>
    </w:tbl>
    <w:p>
      <w:pPr>
        <w:pStyle w:val="Normal"/>
        <w:spacing w:before="0" w:after="0"/>
        <w:rPr>
          <w:sz w:val="4"/>
          <w:szCs w:val="4"/>
        </w:rPr>
      </w:pPr>
      <w:r>
        <w:rPr>
          <w:sz w:val="4"/>
          <w:szCs w:val="4"/>
        </w:rPr>
      </w:r>
      <w:bookmarkStart w:id="376" w:name="zfb2a63becbcc46839655d877927ccb1d"/>
      <w:bookmarkStart w:id="377" w:name="zfb2a63becbcc46839655d877927ccb1d"/>
      <w:bookmarkEnd w:id="37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limitations on our flexibility in planning for and reacting to changes in our business and in the industry in which we operate;</w:t>
            </w:r>
          </w:p>
        </w:tc>
      </w:tr>
    </w:tbl>
    <w:p>
      <w:pPr>
        <w:pStyle w:val="Normal"/>
        <w:spacing w:before="0" w:after="0"/>
        <w:rPr>
          <w:sz w:val="4"/>
          <w:szCs w:val="4"/>
        </w:rPr>
      </w:pPr>
      <w:r>
        <w:rPr>
          <w:sz w:val="4"/>
          <w:szCs w:val="4"/>
        </w:rPr>
      </w:r>
      <w:bookmarkStart w:id="378" w:name="zda2954d378ef47479abbace708352107"/>
      <w:bookmarkStart w:id="379" w:name="zda2954d378ef47479abbace708352107"/>
      <w:bookmarkEnd w:id="379"/>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increased vulnerability to adverse changes in general economic, industry and competitive conditions and adverse changes in government regulation; and</w:t>
            </w:r>
          </w:p>
        </w:tc>
      </w:tr>
    </w:tbl>
    <w:p>
      <w:pPr>
        <w:pStyle w:val="Normal"/>
        <w:spacing w:before="0" w:after="0"/>
        <w:rPr>
          <w:sz w:val="4"/>
          <w:szCs w:val="4"/>
        </w:rPr>
      </w:pPr>
      <w:r>
        <w:rPr>
          <w:sz w:val="4"/>
          <w:szCs w:val="4"/>
        </w:rPr>
      </w:r>
      <w:bookmarkStart w:id="380" w:name="zfa2e0167a74e4b2d9a677d1dc5dc5c88"/>
      <w:bookmarkStart w:id="381" w:name="zfa2e0167a74e4b2d9a677d1dc5dc5c88"/>
      <w:bookmarkEnd w:id="381"/>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limitations on our ability to borrow additional amounts for expenses, capital expenditures, acquisitions, debt service requirements, execution of our strategy and other purposes and other disadvantages compared to our competitors who have less debt.</w:t>
            </w:r>
          </w:p>
        </w:tc>
      </w:tr>
    </w:tbl>
    <w:p>
      <w:pPr>
        <w:pStyle w:val="TextBody"/>
        <w:spacing w:before="0" w:after="0"/>
        <w:rPr/>
      </w:pPr>
      <w:r>
        <w:rPr/>
      </w:r>
    </w:p>
    <w:p>
      <w:pPr>
        <w:pStyle w:val="TextBody"/>
        <w:spacing w:before="0" w:after="0"/>
        <w:jc w:val="both"/>
        <w:rPr>
          <w:b/>
        </w:rPr>
      </w:pPr>
      <w:r>
        <w:rPr>
          <w:b/>
        </w:rPr>
        <w:t>We may only be able to complete one business combination with the proceeds of our Initial Public Offering and the sale of the private placement shares, which will cause us to be solely dependent on a single business which may have a limited number of products or services. This lack of diversification may negatively impact our operations and profitability.</w:t>
      </w:r>
    </w:p>
    <w:p>
      <w:pPr>
        <w:pStyle w:val="TextBody"/>
        <w:spacing w:before="0" w:after="0"/>
        <w:rPr/>
      </w:pPr>
      <w:r>
        <w:rPr/>
        <w:t> </w:t>
      </w:r>
    </w:p>
    <w:p>
      <w:pPr>
        <w:pStyle w:val="TextBody"/>
        <w:spacing w:before="0" w:after="0"/>
        <w:jc w:val="both"/>
        <w:rPr/>
      </w:pPr>
      <w:r>
        <w:rPr/>
        <w:t>As of December 31, 2020, we had approximately $1.0 million available to consummate an initial business combination after payment of the estimated expenses of our initial public offering and $5,232,550 of deferred underwriting fees.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82" w:name="DSPFPageBreakArea34"/>
      <w:bookmarkStart w:id="383" w:name="DSPFPageBreakArea34"/>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384" w:name="DSPFPageNumber33"/>
      <w:bookmarkStart w:id="385" w:name="DSPFPageNumberArea32"/>
      <w:bookmarkEnd w:id="384"/>
      <w:bookmarkEnd w:id="385"/>
      <w:r>
        <w:rPr>
          <w:b w:val="false"/>
          <w:i w:val="false"/>
          <w:caps w:val="false"/>
          <w:smallCaps w:val="false"/>
          <w:sz w:val="16"/>
        </w:rPr>
        <w:t>36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86" w:name="DSPFPageBreak34"/>
      <w:bookmarkStart w:id="387" w:name="DSPFPageBreak34"/>
      <w:bookmarkEnd w:id="3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388" w:name="DSPFPageHeader32"/>
        <w:bookmarkEnd w:id="388"/>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pStyle w:val="TextBody"/>
        <w:spacing w:before="0" w:after="0"/>
        <w:rPr/>
      </w:pPr>
      <w:r>
        <w:rPr/>
        <w:t> </w:t>
      </w:r>
    </w:p>
    <w:p>
      <w:pPr>
        <w:pStyle w:val="Normal"/>
        <w:spacing w:before="0" w:after="0"/>
        <w:rPr>
          <w:sz w:val="4"/>
          <w:szCs w:val="4"/>
        </w:rPr>
      </w:pPr>
      <w:r>
        <w:rPr>
          <w:sz w:val="4"/>
          <w:szCs w:val="4"/>
        </w:rPr>
      </w:r>
      <w:bookmarkStart w:id="389" w:name="z05ce1e243e6443f59e9659235e2c29b0"/>
      <w:bookmarkStart w:id="390" w:name="z05ce1e243e6443f59e9659235e2c29b0"/>
      <w:bookmarkEnd w:id="390"/>
    </w:p>
    <w:tbl>
      <w:tblPr>
        <w:tblW w:w="7788" w:type="dxa"/>
        <w:jc w:val="left"/>
        <w:tblInd w:w="0" w:type="dxa"/>
        <w:tblCellMar>
          <w:top w:w="0" w:type="dxa"/>
          <w:left w:w="0" w:type="dxa"/>
          <w:bottom w:w="0" w:type="dxa"/>
          <w:right w:w="0" w:type="dxa"/>
        </w:tblCellMar>
      </w:tblPr>
      <w:tblGrid>
        <w:gridCol w:w="38"/>
        <w:gridCol w:w="110"/>
        <w:gridCol w:w="76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640" w:type="dxa"/>
            <w:tcBorders/>
            <w:shd w:fill="auto" w:val="clear"/>
            <w:vAlign w:val="center"/>
          </w:tcPr>
          <w:p>
            <w:pPr>
              <w:pStyle w:val="TableContents"/>
              <w:spacing w:before="0" w:after="0"/>
              <w:jc w:val="both"/>
              <w:rPr/>
            </w:pPr>
            <w:r>
              <w:rPr/>
              <w:t>solely dependent upon the performance of a single business, property or asset; or</w:t>
            </w:r>
          </w:p>
        </w:tc>
      </w:tr>
    </w:tbl>
    <w:p>
      <w:pPr>
        <w:pStyle w:val="Normal"/>
        <w:spacing w:before="0" w:after="0"/>
        <w:rPr>
          <w:sz w:val="4"/>
          <w:szCs w:val="4"/>
        </w:rPr>
      </w:pPr>
      <w:r>
        <w:rPr>
          <w:sz w:val="4"/>
          <w:szCs w:val="4"/>
        </w:rPr>
      </w:r>
      <w:bookmarkStart w:id="391" w:name="z820ec456e4b3471d86585b07e680ab66"/>
      <w:bookmarkStart w:id="392" w:name="z820ec456e4b3471d86585b07e680ab66"/>
      <w:bookmarkEnd w:id="39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dependent upon the development or market acceptance of a single or limited number of products, processes or services.</w:t>
            </w:r>
          </w:p>
        </w:tc>
      </w:tr>
    </w:tbl>
    <w:p>
      <w:pPr>
        <w:pStyle w:val="TextBody"/>
        <w:spacing w:before="0" w:after="0"/>
        <w:rPr/>
      </w:pPr>
      <w:r>
        <w:rPr/>
      </w:r>
    </w:p>
    <w:p>
      <w:pPr>
        <w:pStyle w:val="TextBody"/>
        <w:spacing w:before="0" w:after="0"/>
        <w:jc w:val="both"/>
        <w:rPr/>
      </w:pPr>
      <w:r>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pStyle w:val="TextBody"/>
        <w:spacing w:before="0" w:after="0"/>
        <w:rPr/>
      </w:pPr>
      <w:r>
        <w:rPr/>
        <w:t> </w:t>
      </w:r>
    </w:p>
    <w:p>
      <w:pPr>
        <w:pStyle w:val="TextBody"/>
        <w:spacing w:before="0" w:after="0"/>
        <w:jc w:val="both"/>
        <w:rPr>
          <w:b/>
        </w:rPr>
      </w:pPr>
      <w:r>
        <w:rPr>
          <w:b/>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pStyle w:val="TextBody"/>
        <w:spacing w:before="0" w:after="0"/>
        <w:rPr/>
      </w:pPr>
      <w:r>
        <w:rPr/>
        <w:t> </w:t>
      </w:r>
    </w:p>
    <w:p>
      <w:pPr>
        <w:pStyle w:val="TextBody"/>
        <w:spacing w:before="0" w:after="0"/>
        <w:jc w:val="both"/>
        <w:rPr/>
      </w:pPr>
      <w:r>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pStyle w:val="TextBody"/>
        <w:spacing w:before="0" w:after="0"/>
        <w:rPr/>
      </w:pPr>
      <w:r>
        <w:rPr/>
        <w:t> </w:t>
      </w:r>
    </w:p>
    <w:p>
      <w:pPr>
        <w:pStyle w:val="TextBody"/>
        <w:spacing w:before="0" w:after="0"/>
        <w:jc w:val="both"/>
        <w:rPr>
          <w:b/>
        </w:rPr>
      </w:pPr>
      <w:r>
        <w:rPr>
          <w:b/>
        </w:rPr>
        <w:t>We may attempt to complete our initial business combination with a private company about which little information is available, which may result in a business combination with a company that is not as profitable as we suspected, if at all.</w:t>
      </w:r>
    </w:p>
    <w:p>
      <w:pPr>
        <w:pStyle w:val="TextBody"/>
        <w:spacing w:before="0" w:after="0"/>
        <w:rPr/>
      </w:pPr>
      <w:r>
        <w:rPr/>
        <w:t> </w:t>
      </w:r>
    </w:p>
    <w:p>
      <w:pPr>
        <w:pStyle w:val="TextBody"/>
        <w:spacing w:before="0" w:after="0"/>
        <w:jc w:val="both"/>
        <w:rPr/>
      </w:pPr>
      <w:r>
        <w:rPr/>
        <w:t>In pursuing our acquisition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pStyle w:val="TextBody"/>
        <w:spacing w:before="0" w:after="0"/>
        <w:rPr/>
      </w:pPr>
      <w:r>
        <w:rPr/>
        <w:t> </w:t>
      </w:r>
    </w:p>
    <w:p>
      <w:pPr>
        <w:pStyle w:val="TextBody"/>
        <w:spacing w:before="0" w:after="0"/>
        <w:jc w:val="both"/>
        <w:rPr>
          <w:b/>
        </w:rPr>
      </w:pPr>
      <w:r>
        <w:rPr>
          <w:b/>
        </w:rPr>
        <w:t>Because we must furnish our shareholders with target business financial statements, we may lose the ability to complete an otherwise advantageous initial business combination with some prospective target businesses.</w:t>
      </w:r>
    </w:p>
    <w:p>
      <w:pPr>
        <w:pStyle w:val="TextBody"/>
        <w:spacing w:before="0" w:after="0"/>
        <w:rPr/>
      </w:pPr>
      <w:r>
        <w:rPr/>
        <w:t> </w:t>
      </w:r>
    </w:p>
    <w:p>
      <w:pPr>
        <w:pStyle w:val="TextBody"/>
        <w:spacing w:before="0" w:after="0"/>
        <w:jc w:val="both"/>
        <w:rPr/>
      </w:pPr>
      <w:r>
        <w:rPr/>
        <w:t>The federal proxy rules require that a proxy statement with respect to a vote on our proposed business combination include historical and/or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24 months from the closing of our Initial Public Offering.</w:t>
      </w:r>
    </w:p>
    <w:p>
      <w:pPr>
        <w:pStyle w:val="TextBody"/>
        <w:spacing w:before="0" w:after="0"/>
        <w:rPr/>
      </w:pPr>
      <w:r>
        <w:rPr/>
        <w:t> </w:t>
      </w:r>
    </w:p>
    <w:p>
      <w:pPr>
        <w:pStyle w:val="TextBody"/>
        <w:spacing w:before="0" w:after="0"/>
        <w:jc w:val="both"/>
        <w:rPr>
          <w:b/>
          <w:color w:val="000000"/>
        </w:rPr>
      </w:pPr>
      <w:r>
        <w:rPr>
          <w:b/>
          <w:color w:val="000000"/>
        </w:rPr>
        <w:t>If we do not consummate an initial business combination within 24 months from the closing of our Initial Public Offering, our public shareholders may be forced to wait beyond such 24 months before redemption from our trust account.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393" w:name="DSPFPageBreakArea35"/>
      <w:bookmarkStart w:id="394" w:name="DSPFPageBreakArea35"/>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395" w:name="DSPFPageNumber34"/>
      <w:bookmarkStart w:id="396" w:name="DSPFPageNumberArea33"/>
      <w:bookmarkEnd w:id="395"/>
      <w:bookmarkEnd w:id="396"/>
      <w:r>
        <w:rPr>
          <w:b w:val="false"/>
          <w:i w:val="false"/>
          <w:caps w:val="false"/>
          <w:smallCaps w:val="false"/>
          <w:sz w:val="16"/>
        </w:rPr>
        <w:t>37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397" w:name="DSPFPageBreak35"/>
      <w:bookmarkStart w:id="398" w:name="DSPFPageBreak35"/>
      <w:bookmarkEnd w:id="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399" w:name="DSPFPageHeader33"/>
        <w:bookmarkEnd w:id="399"/>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If we do not consummate an initial business combination within 24 months from the closing of our Initial Public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 up, liquidate the trust account and distribute such amount therein, pro rata, to our public shareholders, as part of any liquidation process, such winding up, liquidation and distribution must comply with the applicable provisions of the Companies Act. In that case, investors may be forced to wait beyond 24 months from the closing of our Initial Public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prior thereto, we consummate our initial business combination or amend certain provisions of our amended and restated memorandum and articles of association, and only then in cases where investors have sought to redeem their Class A ordinary shares. Only upon our redemption or any liquidation will public shareholders be entitled to distributions if we do not complete our initial business combination and do not amend certain provisions of our amended and restated memorandum and articles of association. Our amended and restated memorandum and articles of association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pStyle w:val="TextBody"/>
        <w:spacing w:before="0" w:after="0"/>
        <w:rPr/>
      </w:pPr>
      <w:r>
        <w:rPr/>
      </w:r>
    </w:p>
    <w:p>
      <w:pPr>
        <w:pStyle w:val="TextBody"/>
        <w:spacing w:before="0" w:after="0"/>
        <w:jc w:val="both"/>
        <w:rPr>
          <w:b/>
          <w:color w:val="000000"/>
        </w:rPr>
      </w:pPr>
      <w:r>
        <w:rPr>
          <w:b/>
          <w:color w:val="000000"/>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pStyle w:val="TextBody"/>
        <w:spacing w:before="0" w:after="0"/>
        <w:rPr/>
      </w:pPr>
      <w:r>
        <w:rPr/>
      </w:r>
    </w:p>
    <w:p>
      <w:pPr>
        <w:pStyle w:val="TextBody"/>
        <w:spacing w:before="0" w:after="0"/>
        <w:jc w:val="both"/>
        <w:rPr>
          <w:color w:val="000000"/>
        </w:rPr>
      </w:pPr>
      <w:r>
        <w:rPr>
          <w:color w:val="000000"/>
        </w:rPr>
        <w:t>If we are deemed to be an investment company under the Investment Company Act, our activities may be restricted, including:</w:t>
      </w:r>
    </w:p>
    <w:p>
      <w:pPr>
        <w:pStyle w:val="TextBody"/>
        <w:spacing w:before="0" w:after="0"/>
        <w:rPr/>
      </w:pPr>
      <w:r>
        <w:rPr/>
      </w:r>
    </w:p>
    <w:p>
      <w:pPr>
        <w:pStyle w:val="Normal"/>
        <w:spacing w:before="0" w:after="0"/>
        <w:rPr>
          <w:sz w:val="4"/>
          <w:szCs w:val="4"/>
        </w:rPr>
      </w:pPr>
      <w:r>
        <w:rPr>
          <w:sz w:val="4"/>
          <w:szCs w:val="4"/>
        </w:rPr>
      </w:r>
      <w:bookmarkStart w:id="400" w:name="zf61e5f6e3a4b44ad944d7e512a221569"/>
      <w:bookmarkStart w:id="401" w:name="zf61e5f6e3a4b44ad944d7e512a221569"/>
      <w:bookmarkEnd w:id="401"/>
    </w:p>
    <w:tbl>
      <w:tblPr>
        <w:tblW w:w="4758" w:type="dxa"/>
        <w:jc w:val="left"/>
        <w:tblInd w:w="0" w:type="dxa"/>
        <w:tblCellMar>
          <w:top w:w="0" w:type="dxa"/>
          <w:left w:w="0" w:type="dxa"/>
          <w:bottom w:w="0" w:type="dxa"/>
          <w:right w:w="0" w:type="dxa"/>
        </w:tblCellMar>
      </w:tblPr>
      <w:tblGrid>
        <w:gridCol w:w="38"/>
        <w:gridCol w:w="110"/>
        <w:gridCol w:w="461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610" w:type="dxa"/>
            <w:tcBorders/>
            <w:shd w:fill="auto" w:val="clear"/>
            <w:vAlign w:val="center"/>
          </w:tcPr>
          <w:p>
            <w:pPr>
              <w:pStyle w:val="TableContents"/>
              <w:spacing w:before="0" w:after="0"/>
              <w:jc w:val="both"/>
              <w:rPr/>
            </w:pPr>
            <w:r>
              <w:rPr/>
              <w:t>restrictions on the nature of our investments; and</w:t>
            </w:r>
          </w:p>
        </w:tc>
      </w:tr>
    </w:tbl>
    <w:p>
      <w:pPr>
        <w:pStyle w:val="Normal"/>
        <w:spacing w:before="0" w:after="0"/>
        <w:rPr>
          <w:sz w:val="4"/>
          <w:szCs w:val="4"/>
        </w:rPr>
      </w:pPr>
      <w:r>
        <w:rPr>
          <w:sz w:val="4"/>
          <w:szCs w:val="4"/>
        </w:rPr>
      </w:r>
      <w:bookmarkStart w:id="402" w:name="z901d70014443477f9ff90b4289f20040"/>
      <w:bookmarkStart w:id="403" w:name="z901d70014443477f9ff90b4289f20040"/>
      <w:bookmarkEnd w:id="403"/>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restrictions on the issuance of securities, each of which may make it difficult for us to complete our initial business combination.</w:t>
            </w:r>
          </w:p>
        </w:tc>
      </w:tr>
    </w:tbl>
    <w:p>
      <w:pPr>
        <w:pStyle w:val="TextBody"/>
        <w:spacing w:before="0" w:after="0"/>
        <w:rPr/>
      </w:pPr>
      <w:r>
        <w:rPr/>
      </w:r>
    </w:p>
    <w:p>
      <w:pPr>
        <w:pStyle w:val="TextBody"/>
        <w:spacing w:before="0" w:after="0"/>
        <w:jc w:val="both"/>
        <w:rPr>
          <w:color w:val="000000"/>
        </w:rPr>
      </w:pPr>
      <w:r>
        <w:rPr>
          <w:color w:val="000000"/>
        </w:rPr>
        <w:t>In addition, we may have imposed upon us burdensome requirements, including:</w:t>
      </w:r>
    </w:p>
    <w:p>
      <w:pPr>
        <w:pStyle w:val="TextBody"/>
        <w:spacing w:before="0" w:after="0"/>
        <w:rPr/>
      </w:pPr>
      <w:r>
        <w:rPr/>
      </w:r>
    </w:p>
    <w:p>
      <w:pPr>
        <w:pStyle w:val="Normal"/>
        <w:spacing w:before="0" w:after="0"/>
        <w:rPr>
          <w:sz w:val="4"/>
          <w:szCs w:val="4"/>
        </w:rPr>
      </w:pPr>
      <w:r>
        <w:rPr>
          <w:sz w:val="4"/>
          <w:szCs w:val="4"/>
        </w:rPr>
      </w:r>
      <w:bookmarkStart w:id="404" w:name="z3e749b68d1f74ff0a46703df4fb2c92e"/>
      <w:bookmarkStart w:id="405" w:name="z3e749b68d1f74ff0a46703df4fb2c92e"/>
      <w:bookmarkEnd w:id="405"/>
    </w:p>
    <w:tbl>
      <w:tblPr>
        <w:tblW w:w="5178" w:type="dxa"/>
        <w:jc w:val="left"/>
        <w:tblInd w:w="0" w:type="dxa"/>
        <w:tblCellMar>
          <w:top w:w="0" w:type="dxa"/>
          <w:left w:w="0" w:type="dxa"/>
          <w:bottom w:w="0" w:type="dxa"/>
          <w:right w:w="0" w:type="dxa"/>
        </w:tblCellMar>
      </w:tblPr>
      <w:tblGrid>
        <w:gridCol w:w="38"/>
        <w:gridCol w:w="110"/>
        <w:gridCol w:w="50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030" w:type="dxa"/>
            <w:tcBorders/>
            <w:shd w:fill="auto" w:val="clear"/>
            <w:vAlign w:val="center"/>
          </w:tcPr>
          <w:p>
            <w:pPr>
              <w:pStyle w:val="TableContents"/>
              <w:spacing w:before="0" w:after="0"/>
              <w:jc w:val="both"/>
              <w:rPr/>
            </w:pPr>
            <w:r>
              <w:rPr/>
              <w:t>registration as an investment company with the SEC;</w:t>
            </w:r>
          </w:p>
        </w:tc>
      </w:tr>
    </w:tbl>
    <w:p>
      <w:pPr>
        <w:pStyle w:val="Normal"/>
        <w:spacing w:before="0" w:after="0"/>
        <w:rPr>
          <w:sz w:val="4"/>
          <w:szCs w:val="4"/>
        </w:rPr>
      </w:pPr>
      <w:r>
        <w:rPr>
          <w:sz w:val="4"/>
          <w:szCs w:val="4"/>
        </w:rPr>
      </w:r>
      <w:bookmarkStart w:id="406" w:name="z0bf5db32a7dc429d9a2e8893bbc2baf9"/>
      <w:bookmarkStart w:id="407" w:name="z0bf5db32a7dc429d9a2e8893bbc2baf9"/>
      <w:bookmarkEnd w:id="407"/>
    </w:p>
    <w:tbl>
      <w:tblPr>
        <w:tblW w:w="5253" w:type="dxa"/>
        <w:jc w:val="left"/>
        <w:tblInd w:w="0" w:type="dxa"/>
        <w:tblCellMar>
          <w:top w:w="0" w:type="dxa"/>
          <w:left w:w="0" w:type="dxa"/>
          <w:bottom w:w="0" w:type="dxa"/>
          <w:right w:w="0" w:type="dxa"/>
        </w:tblCellMar>
      </w:tblPr>
      <w:tblGrid>
        <w:gridCol w:w="38"/>
        <w:gridCol w:w="110"/>
        <w:gridCol w:w="510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105" w:type="dxa"/>
            <w:tcBorders/>
            <w:shd w:fill="auto" w:val="clear"/>
            <w:vAlign w:val="center"/>
          </w:tcPr>
          <w:p>
            <w:pPr>
              <w:pStyle w:val="TableContents"/>
              <w:spacing w:before="0" w:after="0"/>
              <w:jc w:val="both"/>
              <w:rPr>
                <w:color w:val="000000"/>
              </w:rPr>
            </w:pPr>
            <w:r>
              <w:rPr>
                <w:color w:val="000000"/>
              </w:rPr>
              <w:t>adoption of a specific form of corporate structure; and</w:t>
            </w:r>
          </w:p>
        </w:tc>
      </w:tr>
    </w:tbl>
    <w:p>
      <w:pPr>
        <w:pStyle w:val="Normal"/>
        <w:spacing w:before="0" w:after="0"/>
        <w:rPr>
          <w:sz w:val="4"/>
          <w:szCs w:val="4"/>
        </w:rPr>
      </w:pPr>
      <w:r>
        <w:rPr>
          <w:sz w:val="4"/>
          <w:szCs w:val="4"/>
        </w:rPr>
      </w:r>
      <w:bookmarkStart w:id="408" w:name="z2b97ffdebaba4212808b4690b5da68cb"/>
      <w:bookmarkStart w:id="409" w:name="z2b97ffdebaba4212808b4690b5da68cb"/>
      <w:bookmarkEnd w:id="409"/>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reporting, record keeping, voting, proxy and disclosure requirements and other rules and regulations that we are currently not subject to.</w:t>
            </w:r>
          </w:p>
        </w:tc>
      </w:tr>
    </w:tbl>
    <w:p>
      <w:pPr>
        <w:pStyle w:val="TextBody"/>
        <w:spacing w:before="0" w:after="0"/>
        <w:rPr/>
      </w:pPr>
      <w:r>
        <w:rPr/>
      </w:r>
    </w:p>
    <w:p>
      <w:pPr>
        <w:pStyle w:val="TextBody"/>
        <w:spacing w:before="0" w:after="0"/>
        <w:jc w:val="both"/>
        <w:rPr>
          <w:color w:val="000000"/>
        </w:rPr>
      </w:pPr>
      <w:r>
        <w:rPr>
          <w:color w:val="000000"/>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post-business combination business or assets for the long term. We do not plan to buy businesses or assets with a view to resale or profit from their resale. We do not plan to buy unrelated businesses or assets or to be a passive investor.</w:t>
      </w:r>
    </w:p>
    <w:p>
      <w:pPr>
        <w:pStyle w:val="TextBody"/>
        <w:spacing w:before="0" w:after="0"/>
        <w:rPr/>
      </w:pPr>
      <w:r>
        <w:rPr/>
      </w:r>
    </w:p>
    <w:p>
      <w:pPr>
        <w:pStyle w:val="TextBody"/>
        <w:spacing w:before="0" w:after="0"/>
        <w:jc w:val="both"/>
        <w:rPr>
          <w:color w:val="000000"/>
        </w:rPr>
      </w:pPr>
      <w:r>
        <w:rPr>
          <w:color w:val="000000"/>
        </w:rPr>
        <w:t>We do not believe that our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An investment in our securities is not intended for persons who are seeking a return on investments in government securities or investment securities. The trust account is intended as a holding place for funds pending the earliest to occur of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(B) with respect to any other provision relating to the rights of holders of our Class A ordinary shares, and (iii) the redemption of our public shares if we have not consummated an initial business within 24 months from the closing of our Initial Public Offering, subject to applicable law and as further described herein.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do not complete our initial business combination within the required time period, our public shareholders may receive only approximately $10.00 per public share, or less in certain circumstances, on the liquidation of our trust account.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10" w:name="DSPFPageBreakArea36"/>
      <w:bookmarkStart w:id="411" w:name="DSPFPageBreakArea36"/>
      <w:bookmarkEnd w:id="4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412" w:name="DSPFPageNumber35"/>
      <w:bookmarkStart w:id="413" w:name="DSPFPageNumberArea34"/>
      <w:bookmarkEnd w:id="412"/>
      <w:bookmarkEnd w:id="413"/>
      <w:r>
        <w:rPr>
          <w:b w:val="false"/>
          <w:i w:val="false"/>
          <w:caps w:val="false"/>
          <w:smallCaps w:val="false"/>
          <w:sz w:val="16"/>
        </w:rPr>
        <w:t>38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14" w:name="DSPFPageBreak36"/>
      <w:bookmarkStart w:id="415" w:name="DSPFPageBreak36"/>
      <w:bookmarkEnd w:id="4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416" w:name="DSPFPageHeader34"/>
        <w:bookmarkEnd w:id="416"/>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rPr>
      </w:pPr>
      <w:r>
        <w:rPr>
          <w:b/>
        </w:rPr>
        <w:t>The provisions of our amended and restated memorandum and articles of association that relate to our pre-business combination activity (and corresponding provisions of the agreement governing the release of funds from our trust account) may be amended with the approval of a special resolution which requires the approval of the holders of at least two-thirds of our ordinary shares who attend and vote at a shareholder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pStyle w:val="TextBody"/>
        <w:spacing w:before="0" w:after="0"/>
        <w:rPr/>
      </w:pPr>
      <w:r>
        <w:rPr/>
        <w:t> </w:t>
      </w:r>
    </w:p>
    <w:p>
      <w:pPr>
        <w:pStyle w:val="TextBody"/>
        <w:spacing w:before="0" w:after="0"/>
        <w:jc w:val="both"/>
        <w:rPr/>
      </w:pPr>
      <w:r>
        <w:rPr/>
        <w:t>Some other blank check companies have a provision in their charter which prohibits the amendment of certain of its provisions, including those which relate to a company’s pre-business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pre-business combination activity (including the requirement to deposit proceeds of our Initial Public Offering and the sale of the private placement shares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shareholder meeting of the company, and corresponding provisions of the trust agreement governing the release of funds from our trust account may be amended if approved by holders of at least 65% of our ordinary shares; provided that the provisions of our amended and restated memorandum and articles of association governing the appointment or removal of directors prior to our initial business combination may only be amended by a special resolution passed by holders representing at least two-thirds of our outstanding Class B ordinary shares. Our initial shareholders, and their permitted transferees, if any, who will collectively beneficially own, on an as-converted basis, 20% of our Class A ordinary shares upon the closing of our Initial Public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pStyle w:val="TextBody"/>
        <w:spacing w:before="0" w:after="0"/>
        <w:rPr/>
      </w:pPr>
      <w:r>
        <w:rPr/>
        <w:t> </w:t>
      </w:r>
    </w:p>
    <w:p>
      <w:pPr>
        <w:pStyle w:val="TextBody"/>
        <w:spacing w:before="0" w:after="0"/>
        <w:jc w:val="both"/>
        <w:rPr/>
      </w:pPr>
      <w:r>
        <w:rPr/>
        <w:t>Our sponsor, executive officers and directors agreed, pursuant to a written agreement with us, that they will not propose any amendment to our amended and restated memorandum and articles of association (i)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(ii) with respect to any other provision relating to the rights of holders of our Class A ordinary shares,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this agreement and, as a result, will not have the ability to pursue remedies against our sponsor, executive officers and directors for any breach of this agreement. As a result, in the event of a breach, our shareholders would need to pursue a shareholder derivative action, subject to applicable law.</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17" w:name="DSPFPageBreakArea37"/>
      <w:bookmarkStart w:id="418" w:name="DSPFPageBreakArea37"/>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419" w:name="DSPFPageNumber36"/>
      <w:bookmarkStart w:id="420" w:name="DSPFPageNumberArea35"/>
      <w:bookmarkEnd w:id="419"/>
      <w:bookmarkEnd w:id="420"/>
      <w:r>
        <w:rPr>
          <w:b w:val="false"/>
          <w:i w:val="false"/>
          <w:caps w:val="false"/>
          <w:smallCaps w:val="false"/>
          <w:sz w:val="16"/>
        </w:rPr>
        <w:t>39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21" w:name="DSPFPageBreak37"/>
      <w:bookmarkStart w:id="422" w:name="DSPFPageBreak37"/>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423" w:name="DSPFPageHeader35"/>
        <w:bookmarkEnd w:id="423"/>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rPr>
      </w:pPr>
      <w:r>
        <w:rPr>
          <w:b/>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receive only approximately $10.00 per public share, or less in certain circumstances, on the liquidation of our trust account.</w:t>
      </w:r>
    </w:p>
    <w:p>
      <w:pPr>
        <w:pStyle w:val="TextBody"/>
        <w:spacing w:before="0" w:after="0"/>
        <w:rPr/>
      </w:pPr>
      <w:r>
        <w:rPr/>
        <w:t> </w:t>
      </w:r>
    </w:p>
    <w:p>
      <w:pPr>
        <w:pStyle w:val="TextBody"/>
        <w:spacing w:before="0" w:after="0"/>
        <w:jc w:val="both"/>
        <w:rPr/>
      </w:pPr>
      <w:r>
        <w:rPr/>
        <w:t>Although we believe that the net proceeds of our Initial Public Offering and the sale of the private placement shares will be sufficient to allow us to complete our initial business combination, because we have not yet finalized the acquisition of a target business we cannot ascertain the capital requirements for any particular transaction. If the net proceeds of our initial public offering and the sale of the private placement shares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Such financing may not be available on acceptable terms, if at all. The current economic environment may make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do not complete our initial business combination within the required time period, our public shareholders may receive only approximately $10.00 per public share, or less in certain circumstances, on the liquidation of our trust account.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pStyle w:val="TextBody"/>
        <w:spacing w:before="0" w:after="0"/>
        <w:rPr/>
      </w:pPr>
      <w:r>
        <w:rPr/>
        <w:t> </w:t>
      </w:r>
    </w:p>
    <w:p>
      <w:pPr>
        <w:pStyle w:val="TextBody"/>
        <w:spacing w:before="0" w:after="0"/>
        <w:jc w:val="both"/>
        <w:rPr>
          <w:b/>
          <w:color w:val="000000"/>
        </w:rPr>
      </w:pPr>
      <w:r>
        <w:rPr>
          <w:b/>
          <w:color w:val="000000"/>
        </w:rPr>
        <w:t>Risks Relating to our Securities</w:t>
      </w:r>
    </w:p>
    <w:p>
      <w:pPr>
        <w:pStyle w:val="TextBody"/>
        <w:spacing w:before="0" w:after="0"/>
        <w:rPr/>
      </w:pPr>
      <w:r>
        <w:rPr/>
      </w:r>
    </w:p>
    <w:p>
      <w:pPr>
        <w:pStyle w:val="TextBody"/>
        <w:spacing w:before="0" w:after="0"/>
        <w:jc w:val="both"/>
        <w:rPr>
          <w:b/>
          <w:color w:val="000000"/>
        </w:rPr>
      </w:pPr>
      <w:r>
        <w:rPr>
          <w:b/>
          <w:color w:val="000000"/>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pStyle w:val="TextBody"/>
        <w:spacing w:before="0" w:after="0"/>
        <w:rPr/>
      </w:pPr>
      <w:r>
        <w:rPr/>
      </w:r>
    </w:p>
    <w:p>
      <w:pPr>
        <w:pStyle w:val="TextBody"/>
        <w:spacing w:before="0" w:after="0"/>
        <w:jc w:val="both"/>
        <w:rPr>
          <w:color w:val="000000"/>
        </w:rPr>
      </w:pPr>
      <w:r>
        <w:rPr>
          <w:color w:val="000000"/>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income taxes paid or payable (less, in the case we are unable to complete our initial business combination, $100,000 of interest to pay dissolution expenses). Negative interest rates could reduce the value of the assets held in trust such that the per-share redemption amount received by public shareholders may be less than $10.00 per share.</w:t>
      </w:r>
    </w:p>
    <w:p>
      <w:pPr>
        <w:pStyle w:val="TextBody"/>
        <w:spacing w:before="0" w:after="0"/>
        <w:rPr/>
      </w:pPr>
      <w:r>
        <w:rPr/>
      </w:r>
    </w:p>
    <w:p>
      <w:pPr>
        <w:pStyle w:val="TextBody"/>
        <w:spacing w:before="0" w:after="0"/>
        <w:jc w:val="both"/>
        <w:rPr>
          <w:b/>
          <w:color w:val="000000"/>
        </w:rPr>
      </w:pPr>
      <w:r>
        <w:rPr>
          <w:b/>
          <w:color w:val="000000"/>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pStyle w:val="TextBody"/>
        <w:spacing w:before="0" w:after="0"/>
        <w:rPr/>
      </w:pPr>
      <w:r>
        <w:rPr/>
      </w:r>
    </w:p>
    <w:p>
      <w:pPr>
        <w:pStyle w:val="TextBody"/>
        <w:spacing w:before="0" w:after="0"/>
        <w:jc w:val="both"/>
        <w:rPr>
          <w:color w:val="000000"/>
        </w:rPr>
      </w:pPr>
      <w:r>
        <w:rPr>
          <w:color w:val="000000"/>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our Initial Public Offering, which we refer to as the “Excess Shares,” without our prior consent.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24" w:name="DSPFPageBreakArea38"/>
      <w:bookmarkStart w:id="425" w:name="DSPFPageBreakArea38"/>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426" w:name="DSPFPageNumber37"/>
      <w:bookmarkStart w:id="427" w:name="DSPFPageNumberArea36"/>
      <w:bookmarkEnd w:id="426"/>
      <w:bookmarkEnd w:id="427"/>
      <w:r>
        <w:rPr>
          <w:b w:val="false"/>
          <w:i w:val="false"/>
          <w:caps w:val="false"/>
          <w:smallCaps w:val="false"/>
          <w:sz w:val="16"/>
        </w:rPr>
        <w:t>40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28" w:name="DSPFPageBreak38"/>
      <w:bookmarkStart w:id="429" w:name="DSPFPageBreak38"/>
      <w:bookmarkEnd w:id="4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430" w:name="DSPFPageHeader36"/>
        <w:bookmarkEnd w:id="430"/>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Nasdaq may delist our securities from trading on its exchange, which could limit investors’ ability to make transactions in our securities and subject us to additional trading restrictions.</w:t>
      </w:r>
    </w:p>
    <w:p>
      <w:pPr>
        <w:pStyle w:val="TextBody"/>
        <w:spacing w:before="0" w:after="0"/>
        <w:rPr/>
      </w:pPr>
      <w:r>
        <w:rPr/>
      </w:r>
    </w:p>
    <w:p>
      <w:pPr>
        <w:pStyle w:val="TextBody"/>
        <w:spacing w:before="0" w:after="0"/>
        <w:jc w:val="both"/>
        <w:rPr>
          <w:color w:val="000000"/>
        </w:rPr>
      </w:pPr>
      <w:r>
        <w:rPr>
          <w:color w:val="000000"/>
        </w:rPr>
        <w:t>Our Class A ordinary shares are listed on Nasdaq. Although after giving effect to our Initial Public Offering we expect to continue to meet, on a pro forma basis, the minimum initial listing standards set forth in Nasdaq’s listing standards, our securities may not be, or may not continue to be, listed on Nasdaq in the future or prior to the completion of our initial business combination. In order to continue listing our securities on Nasdaq prior to the completion of our initial business combination, we must maintain certain financial, distribution and share price levels. Generally, we must maintain a minimum amount in shareholders’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the share price of our securities would generally be required to be at least $4.00 per share and our shareholders’ equity would generally be required to be at least $5,000,000 and we would be required to have a minimum of 300 round-lot holders (with at least 50% of such round lot holders holding securities with a market value of at least $2,500). We may not be able to meet those initial listing requirements at that time.</w:t>
      </w:r>
    </w:p>
    <w:p>
      <w:pPr>
        <w:pStyle w:val="TextBody"/>
        <w:spacing w:before="0" w:after="0"/>
        <w:rPr/>
      </w:pPr>
      <w:r>
        <w:rPr/>
      </w:r>
    </w:p>
    <w:p>
      <w:pPr>
        <w:pStyle w:val="TextBody"/>
        <w:spacing w:before="0" w:after="0"/>
        <w:jc w:val="both"/>
        <w:rPr>
          <w:color w:val="000000"/>
        </w:rPr>
      </w:pPr>
      <w:r>
        <w:rPr>
          <w:color w:val="000000"/>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spacing w:before="0" w:after="0"/>
        <w:rPr/>
      </w:pPr>
      <w:r>
        <w:rPr/>
      </w:r>
    </w:p>
    <w:p>
      <w:pPr>
        <w:pStyle w:val="Normal"/>
        <w:spacing w:before="0" w:after="0"/>
        <w:rPr>
          <w:sz w:val="4"/>
          <w:szCs w:val="4"/>
        </w:rPr>
      </w:pPr>
      <w:r>
        <w:rPr>
          <w:sz w:val="4"/>
          <w:szCs w:val="4"/>
        </w:rPr>
      </w:r>
      <w:bookmarkStart w:id="431" w:name="z52d9f060b5074f979cf91f35389dff4d"/>
      <w:bookmarkStart w:id="432" w:name="z52d9f060b5074f979cf91f35389dff4d"/>
      <w:bookmarkEnd w:id="432"/>
    </w:p>
    <w:tbl>
      <w:tblPr>
        <w:tblW w:w="5778" w:type="dxa"/>
        <w:jc w:val="left"/>
        <w:tblInd w:w="0" w:type="dxa"/>
        <w:tblCellMar>
          <w:top w:w="0" w:type="dxa"/>
          <w:left w:w="0" w:type="dxa"/>
          <w:bottom w:w="0" w:type="dxa"/>
          <w:right w:w="0" w:type="dxa"/>
        </w:tblCellMar>
      </w:tblPr>
      <w:tblGrid>
        <w:gridCol w:w="38"/>
        <w:gridCol w:w="110"/>
        <w:gridCol w:w="56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630" w:type="dxa"/>
            <w:tcBorders/>
            <w:shd w:fill="auto" w:val="clear"/>
            <w:vAlign w:val="center"/>
          </w:tcPr>
          <w:p>
            <w:pPr>
              <w:pStyle w:val="TableContents"/>
              <w:spacing w:before="0" w:after="0"/>
              <w:jc w:val="both"/>
              <w:rPr>
                <w:color w:val="000000"/>
              </w:rPr>
            </w:pPr>
            <w:r>
              <w:rPr>
                <w:color w:val="000000"/>
              </w:rPr>
              <w:t>a limited availability of market quotations for our securities;</w:t>
            </w:r>
          </w:p>
        </w:tc>
      </w:tr>
    </w:tbl>
    <w:p>
      <w:pPr>
        <w:pStyle w:val="Normal"/>
        <w:spacing w:before="0" w:after="0"/>
        <w:rPr>
          <w:sz w:val="4"/>
          <w:szCs w:val="4"/>
        </w:rPr>
      </w:pPr>
      <w:r>
        <w:rPr>
          <w:sz w:val="4"/>
          <w:szCs w:val="4"/>
        </w:rPr>
      </w:r>
      <w:bookmarkStart w:id="433" w:name="zee688a816ba7478498cc8427d77ec529"/>
      <w:bookmarkStart w:id="434" w:name="zee688a816ba7478498cc8427d77ec529"/>
      <w:bookmarkEnd w:id="434"/>
    </w:p>
    <w:tbl>
      <w:tblPr>
        <w:tblW w:w="3468" w:type="dxa"/>
        <w:jc w:val="left"/>
        <w:tblInd w:w="0" w:type="dxa"/>
        <w:tblCellMar>
          <w:top w:w="0" w:type="dxa"/>
          <w:left w:w="0" w:type="dxa"/>
          <w:bottom w:w="0" w:type="dxa"/>
          <w:right w:w="0" w:type="dxa"/>
        </w:tblCellMar>
      </w:tblPr>
      <w:tblGrid>
        <w:gridCol w:w="38"/>
        <w:gridCol w:w="110"/>
        <w:gridCol w:w="33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320" w:type="dxa"/>
            <w:tcBorders/>
            <w:shd w:fill="auto" w:val="clear"/>
            <w:vAlign w:val="center"/>
          </w:tcPr>
          <w:p>
            <w:pPr>
              <w:pStyle w:val="TableContents"/>
              <w:spacing w:before="0" w:after="0"/>
              <w:jc w:val="both"/>
              <w:rPr>
                <w:color w:val="000000"/>
              </w:rPr>
            </w:pPr>
            <w:r>
              <w:rPr>
                <w:color w:val="000000"/>
              </w:rPr>
              <w:t>reduced liquidity for our securities;</w:t>
            </w:r>
          </w:p>
        </w:tc>
      </w:tr>
    </w:tbl>
    <w:p>
      <w:pPr>
        <w:pStyle w:val="Normal"/>
        <w:spacing w:before="0" w:after="0"/>
        <w:rPr>
          <w:sz w:val="4"/>
          <w:szCs w:val="4"/>
        </w:rPr>
      </w:pPr>
      <w:r>
        <w:rPr>
          <w:sz w:val="4"/>
          <w:szCs w:val="4"/>
        </w:rPr>
      </w:r>
      <w:bookmarkStart w:id="435" w:name="z86a46936a95b440399e1bc3110f22896"/>
      <w:bookmarkStart w:id="436" w:name="z86a46936a95b440399e1bc3110f22896"/>
      <w:bookmarkEnd w:id="43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tc>
      </w:tr>
    </w:tbl>
    <w:p>
      <w:pPr>
        <w:pStyle w:val="Normal"/>
        <w:spacing w:before="0" w:after="0"/>
        <w:rPr>
          <w:sz w:val="4"/>
          <w:szCs w:val="4"/>
        </w:rPr>
      </w:pPr>
      <w:r>
        <w:rPr>
          <w:sz w:val="4"/>
          <w:szCs w:val="4"/>
        </w:rPr>
      </w:r>
      <w:bookmarkStart w:id="437" w:name="z6cc9c4d1fd4f467b92df12eda03f853f"/>
      <w:bookmarkStart w:id="438" w:name="z6cc9c4d1fd4f467b92df12eda03f853f"/>
      <w:bookmarkEnd w:id="438"/>
    </w:p>
    <w:tbl>
      <w:tblPr>
        <w:tblW w:w="5073" w:type="dxa"/>
        <w:jc w:val="left"/>
        <w:tblInd w:w="0" w:type="dxa"/>
        <w:tblCellMar>
          <w:top w:w="0" w:type="dxa"/>
          <w:left w:w="0" w:type="dxa"/>
          <w:bottom w:w="0" w:type="dxa"/>
          <w:right w:w="0" w:type="dxa"/>
        </w:tblCellMar>
      </w:tblPr>
      <w:tblGrid>
        <w:gridCol w:w="38"/>
        <w:gridCol w:w="110"/>
        <w:gridCol w:w="49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925" w:type="dxa"/>
            <w:tcBorders/>
            <w:shd w:fill="auto" w:val="clear"/>
            <w:vAlign w:val="center"/>
          </w:tcPr>
          <w:p>
            <w:pPr>
              <w:pStyle w:val="TableContents"/>
              <w:spacing w:before="0" w:after="0"/>
              <w:jc w:val="both"/>
              <w:rPr>
                <w:color w:val="000000"/>
              </w:rPr>
            </w:pPr>
            <w:r>
              <w:rPr>
                <w:color w:val="000000"/>
              </w:rPr>
              <w:t>a limited amount of news and analyst coverage; and</w:t>
            </w:r>
          </w:p>
        </w:tc>
      </w:tr>
    </w:tbl>
    <w:p>
      <w:pPr>
        <w:pStyle w:val="Normal"/>
        <w:spacing w:before="0" w:after="0"/>
        <w:rPr>
          <w:sz w:val="4"/>
          <w:szCs w:val="4"/>
        </w:rPr>
      </w:pPr>
      <w:r>
        <w:rPr>
          <w:sz w:val="4"/>
          <w:szCs w:val="4"/>
        </w:rPr>
      </w:r>
      <w:bookmarkStart w:id="439" w:name="zfadf3c2090b147aea632525b02ca1248"/>
      <w:bookmarkStart w:id="440" w:name="zfadf3c2090b147aea632525b02ca1248"/>
      <w:bookmarkEnd w:id="440"/>
    </w:p>
    <w:tbl>
      <w:tblPr>
        <w:tblW w:w="8703" w:type="dxa"/>
        <w:jc w:val="left"/>
        <w:tblInd w:w="0" w:type="dxa"/>
        <w:tblCellMar>
          <w:top w:w="0" w:type="dxa"/>
          <w:left w:w="0" w:type="dxa"/>
          <w:bottom w:w="0" w:type="dxa"/>
          <w:right w:w="0" w:type="dxa"/>
        </w:tblCellMar>
      </w:tblPr>
      <w:tblGrid>
        <w:gridCol w:w="38"/>
        <w:gridCol w:w="110"/>
        <w:gridCol w:w="85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555" w:type="dxa"/>
            <w:tcBorders/>
            <w:shd w:fill="auto" w:val="clear"/>
            <w:vAlign w:val="center"/>
          </w:tcPr>
          <w:p>
            <w:pPr>
              <w:pStyle w:val="TableContents"/>
              <w:spacing w:before="0" w:after="0"/>
              <w:jc w:val="both"/>
              <w:rPr>
                <w:color w:val="000000"/>
              </w:rPr>
            </w:pPr>
            <w:r>
              <w:rPr>
                <w:color w:val="000000"/>
              </w:rPr>
              <w:t>a decreased ability to issue additional securities or obtain additional financing in the future.</w:t>
            </w:r>
          </w:p>
        </w:tc>
      </w:tr>
    </w:tbl>
    <w:p>
      <w:pPr>
        <w:pStyle w:val="TextBody"/>
        <w:spacing w:before="0" w:after="0"/>
        <w:rPr/>
      </w:pPr>
      <w:r>
        <w:rPr/>
      </w:r>
    </w:p>
    <w:p>
      <w:pPr>
        <w:pStyle w:val="TextBody"/>
        <w:spacing w:before="0" w:after="0"/>
        <w:jc w:val="both"/>
        <w:rPr>
          <w:color w:val="000000"/>
        </w:rPr>
      </w:pPr>
      <w:r>
        <w:rPr>
          <w:color w:val="000000"/>
        </w:rPr>
        <w:t>The National Securities Markets Improvement Act of 1996, which is a federal statute, prevents or preempts the states from regulating the sale of certain securities, which are referred to as “covered securities.” Because our Class A ordinary shares are listed on Nasdaq, our Class A ordinary shares qualify as covered securities under the statute.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shares would not qualify as covered securities under the statute and we would be subject to regulation in each state in which we offer our shares.</w:t>
      </w:r>
    </w:p>
    <w:p>
      <w:pPr>
        <w:pStyle w:val="TextBody"/>
        <w:spacing w:before="0" w:after="0"/>
        <w:rPr/>
      </w:pPr>
      <w:r>
        <w:rPr/>
      </w:r>
    </w:p>
    <w:p>
      <w:pPr>
        <w:pStyle w:val="TextBody"/>
        <w:spacing w:before="0" w:after="0"/>
        <w:rPr>
          <w:b/>
          <w:color w:val="000000"/>
        </w:rPr>
      </w:pPr>
      <w:r>
        <w:rPr>
          <w:b/>
          <w:color w:val="000000"/>
        </w:rPr>
        <w:t>A market for our securities may not develop, which would adversely affect the liquidity and price of our securities.</w:t>
      </w:r>
    </w:p>
    <w:p>
      <w:pPr>
        <w:pStyle w:val="TextBody"/>
        <w:spacing w:before="0" w:after="0"/>
        <w:rPr>
          <w:color w:val="000000"/>
        </w:rPr>
      </w:pPr>
      <w:r>
        <w:rPr>
          <w:color w:val="000000"/>
        </w:rPr>
      </w:r>
    </w:p>
    <w:p>
      <w:pPr>
        <w:pStyle w:val="TextBody"/>
        <w:spacing w:before="0" w:after="0"/>
        <w:rPr>
          <w:color w:val="000000"/>
        </w:rPr>
      </w:pPr>
      <w:r>
        <w:rPr>
          <w:color w:val="000000"/>
        </w:rPr>
        <w:t>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pStyle w:val="TextBody"/>
        <w:spacing w:before="0" w:after="0"/>
        <w:rPr/>
      </w:pPr>
      <w:r>
        <w:rPr/>
      </w:r>
    </w:p>
    <w:p>
      <w:pPr>
        <w:pStyle w:val="TextBody"/>
        <w:spacing w:before="0" w:after="0"/>
        <w:jc w:val="both"/>
        <w:rPr>
          <w:b/>
        </w:rPr>
      </w:pPr>
      <w:r>
        <w:rPr>
          <w:b/>
        </w:rPr>
        <w:t>Provisions in our amended and restated memorandum and articles of association may inhibit a takeover of us, which could limit the price investors might be willing to pay in the future for our Class A ordinary shares and could entrench management.</w:t>
      </w:r>
    </w:p>
    <w:p>
      <w:pPr>
        <w:pStyle w:val="TextBody"/>
        <w:spacing w:before="0" w:after="0"/>
        <w:rPr/>
      </w:pPr>
      <w:r>
        <w:rPr/>
        <w:t> </w:t>
      </w:r>
    </w:p>
    <w:p>
      <w:pPr>
        <w:pStyle w:val="TextBody"/>
        <w:spacing w:before="0" w:after="0"/>
        <w:jc w:val="both"/>
        <w:rPr/>
      </w:pPr>
      <w:r>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management and may discourage transactions that otherwise could involve payment of a premium over prevailing market prices for our securities.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41" w:name="DSPFPageBreakArea39"/>
      <w:bookmarkStart w:id="442" w:name="DSPFPageBreakArea39"/>
      <w:bookmarkEnd w:id="4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443" w:name="DSPFPageNumber38"/>
      <w:bookmarkStart w:id="444" w:name="DSPFPageNumberArea37"/>
      <w:bookmarkEnd w:id="443"/>
      <w:bookmarkEnd w:id="444"/>
      <w:r>
        <w:rPr>
          <w:b w:val="false"/>
          <w:i w:val="false"/>
          <w:caps w:val="false"/>
          <w:smallCaps w:val="false"/>
          <w:sz w:val="16"/>
        </w:rPr>
        <w:t>41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45" w:name="DSPFPageBreak39"/>
      <w:bookmarkStart w:id="446" w:name="DSPFPageBreak39"/>
      <w:bookmarkEnd w:id="4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447" w:name="DSPFPageHeader37"/>
        <w:bookmarkEnd w:id="447"/>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The grant of registration rights to our initial shareholders may make it more difficult to complete our initial business combination, and the future exercise of such rights may adversely affect the market price of our Class A ordinary shares.</w:t>
      </w:r>
    </w:p>
    <w:p>
      <w:pPr>
        <w:pStyle w:val="TextBody"/>
        <w:spacing w:before="0" w:after="0"/>
        <w:rPr/>
      </w:pPr>
      <w:r>
        <w:rPr/>
      </w:r>
    </w:p>
    <w:p>
      <w:pPr>
        <w:pStyle w:val="TextBody"/>
        <w:spacing w:before="0" w:after="0"/>
        <w:jc w:val="both"/>
        <w:rPr>
          <w:color w:val="000000"/>
        </w:rPr>
      </w:pPr>
      <w:r>
        <w:rPr>
          <w:color w:val="000000"/>
        </w:rPr>
        <w:t>Pursuant to a registration and shareholders rights agreement, our initial shareholders, and their permitted transferees can demand that we register the Class A ordinary shares into which founder shares are convertible and the private placement shares, including the private placement shares that may be issued upon conversion of Working Capital Loans.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securities that is expected when the securities owned by our initial shareholders or their permitted transferees are registered for resale.</w:t>
      </w:r>
    </w:p>
    <w:p>
      <w:pPr>
        <w:pStyle w:val="TextBody"/>
        <w:spacing w:before="0" w:after="0"/>
        <w:rPr/>
      </w:pPr>
      <w:r>
        <w:rPr/>
      </w:r>
    </w:p>
    <w:p>
      <w:pPr>
        <w:pStyle w:val="TextBody"/>
        <w:spacing w:before="0" w:after="0"/>
        <w:jc w:val="both"/>
        <w:rPr>
          <w:b/>
          <w:color w:val="000000"/>
        </w:rPr>
      </w:pPr>
      <w:r>
        <w:rPr>
          <w:b/>
          <w:color w:val="000000"/>
        </w:rPr>
        <w:t>Risks Relating to Our Sponsor and Management Team</w:t>
      </w:r>
    </w:p>
    <w:p>
      <w:pPr>
        <w:pStyle w:val="TextBody"/>
        <w:spacing w:before="0" w:after="0"/>
        <w:rPr/>
      </w:pPr>
      <w:r>
        <w:rPr/>
      </w:r>
    </w:p>
    <w:p>
      <w:pPr>
        <w:pStyle w:val="TextBody"/>
        <w:spacing w:before="0" w:after="0"/>
        <w:jc w:val="both"/>
        <w:rPr>
          <w:b/>
          <w:color w:val="000000"/>
        </w:rPr>
      </w:pPr>
      <w:r>
        <w:rPr>
          <w:b/>
          <w:color w:val="000000"/>
        </w:rPr>
        <w:t>We are dependent upon our executive officers and directors and their loss could adversely affect our ability to operate.</w:t>
      </w:r>
    </w:p>
    <w:p>
      <w:pPr>
        <w:pStyle w:val="TextBody"/>
        <w:spacing w:before="0" w:after="0"/>
        <w:rPr/>
      </w:pPr>
      <w:r>
        <w:rPr/>
      </w:r>
    </w:p>
    <w:p>
      <w:pPr>
        <w:pStyle w:val="TextBody"/>
        <w:spacing w:before="0" w:after="0"/>
        <w:jc w:val="both"/>
        <w:rPr>
          <w:color w:val="000000"/>
        </w:rPr>
      </w:pPr>
      <w:r>
        <w:rPr>
          <w:color w:val="000000"/>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In particular, certain of our officers and directors serve as an officer and/or director of ARYA Sciences Acquisition Corp IV, which is a blank check company sponsored by an affiliate of Perceptive Advisors. We do not have an employment agreement with, or key-man insurance on the life of, any of our directors or executive officers. The unexpected loss of the services of one or more of our directors or executive officers could have a detrimental effect on us.</w:t>
      </w:r>
    </w:p>
    <w:p>
      <w:pPr>
        <w:pStyle w:val="TextBody"/>
        <w:spacing w:before="0" w:after="0"/>
        <w:rPr/>
      </w:pPr>
      <w:r>
        <w:rPr/>
      </w:r>
    </w:p>
    <w:p>
      <w:pPr>
        <w:pStyle w:val="TextBody"/>
        <w:spacing w:before="0" w:after="0"/>
        <w:jc w:val="both"/>
        <w:rPr>
          <w:b/>
          <w:color w:val="000000"/>
        </w:rPr>
      </w:pPr>
      <w:r>
        <w:rPr>
          <w:b/>
          <w:color w:val="000000"/>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pStyle w:val="TextBody"/>
        <w:spacing w:before="0" w:after="0"/>
        <w:rPr/>
      </w:pPr>
      <w:r>
        <w:rPr/>
      </w:r>
    </w:p>
    <w:p>
      <w:pPr>
        <w:pStyle w:val="TextBody"/>
        <w:spacing w:before="0" w:after="0"/>
        <w:jc w:val="both"/>
        <w:rPr>
          <w:color w:val="000000"/>
        </w:rPr>
      </w:pPr>
      <w:r>
        <w:rPr>
          <w:color w:val="000000"/>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pStyle w:val="TextBody"/>
        <w:spacing w:before="0" w:after="0"/>
        <w:rPr/>
      </w:pPr>
      <w:r>
        <w:rPr/>
      </w:r>
    </w:p>
    <w:p>
      <w:pPr>
        <w:pStyle w:val="TextBody"/>
        <w:spacing w:before="0" w:after="0"/>
        <w:jc w:val="both"/>
        <w:rPr>
          <w:b/>
          <w:color w:val="000000"/>
        </w:rPr>
      </w:pPr>
      <w:r>
        <w:rPr>
          <w:b/>
          <w:color w:val="000000"/>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pStyle w:val="TextBody"/>
        <w:spacing w:before="0" w:after="0"/>
        <w:rPr/>
      </w:pPr>
      <w:r>
        <w:rPr/>
      </w:r>
    </w:p>
    <w:p>
      <w:pPr>
        <w:pStyle w:val="TextBody"/>
        <w:spacing w:before="0" w:after="0"/>
        <w:jc w:val="both"/>
        <w:rPr>
          <w:color w:val="000000"/>
        </w:rPr>
      </w:pPr>
      <w:r>
        <w:rPr>
          <w:color w:val="000000"/>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 registration and shareholder rights agreement entered into at closing of our Initial Public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48" w:name="DSPFPageBreakArea40"/>
      <w:bookmarkStart w:id="449" w:name="DSPFPageBreakArea40"/>
      <w:bookmarkEnd w:id="4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450" w:name="DSPFPageNumber39"/>
      <w:bookmarkStart w:id="451" w:name="DSPFPageNumberArea38"/>
      <w:bookmarkEnd w:id="450"/>
      <w:bookmarkEnd w:id="451"/>
      <w:r>
        <w:rPr>
          <w:b w:val="false"/>
          <w:i w:val="false"/>
          <w:caps w:val="false"/>
          <w:smallCaps w:val="false"/>
          <w:sz w:val="16"/>
        </w:rPr>
        <w:t>42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52" w:name="DSPFPageBreak40"/>
      <w:bookmarkStart w:id="453" w:name="DSPFPageBreak40"/>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454" w:name="DSPFPageHeader38"/>
        <w:bookmarkEnd w:id="454"/>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pStyle w:val="TextBody"/>
        <w:spacing w:before="0" w:after="0"/>
        <w:rPr/>
      </w:pPr>
      <w:r>
        <w:rPr/>
      </w:r>
    </w:p>
    <w:p>
      <w:pPr>
        <w:pStyle w:val="TextBody"/>
        <w:spacing w:before="0" w:after="0"/>
        <w:jc w:val="both"/>
        <w:rPr>
          <w:color w:val="000000"/>
        </w:rPr>
      </w:pPr>
      <w:r>
        <w:rPr>
          <w:color w:val="000000"/>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pStyle w:val="TextBody"/>
        <w:spacing w:before="0" w:after="0"/>
        <w:rPr/>
      </w:pPr>
      <w:r>
        <w:rPr/>
      </w:r>
    </w:p>
    <w:p>
      <w:pPr>
        <w:pStyle w:val="TextBody"/>
        <w:spacing w:before="0" w:after="0"/>
        <w:jc w:val="both"/>
        <w:rPr>
          <w:b/>
          <w:color w:val="000000"/>
        </w:rPr>
      </w:pPr>
      <w:r>
        <w:rPr>
          <w:b/>
          <w:color w:val="000000"/>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pStyle w:val="TextBody"/>
        <w:spacing w:before="0" w:after="0"/>
        <w:rPr/>
      </w:pPr>
      <w:r>
        <w:rPr/>
      </w:r>
    </w:p>
    <w:p>
      <w:pPr>
        <w:pStyle w:val="TextBody"/>
        <w:spacing w:before="0" w:after="0"/>
        <w:jc w:val="both"/>
        <w:rPr>
          <w:color w:val="000000"/>
        </w:rPr>
      </w:pPr>
      <w:r>
        <w:rPr>
          <w:color w:val="000000"/>
        </w:rPr>
        <w:t xml:space="preserve">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or she may be entitled to substantial compensation, and our executive officers are not obligated to contribute any specific number of hours per week to our affairs. In particular, certain of our officers and directors serve as an officer and/or director of ARYA Sciences Acquisition Corp IV, which is a blank check company sponsored by an affiliate of Perceptive Advisors.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w:t>
      </w:r>
    </w:p>
    <w:p>
      <w:pPr>
        <w:pStyle w:val="TextBody"/>
        <w:spacing w:before="0" w:after="0"/>
        <w:jc w:val="both"/>
        <w:rPr>
          <w:color w:val="000000"/>
        </w:rPr>
      </w:pPr>
      <w:r>
        <w:rPr>
          <w:color w:val="000000"/>
        </w:rPr>
      </w:r>
    </w:p>
    <w:p>
      <w:pPr>
        <w:pStyle w:val="TextBody"/>
        <w:spacing w:before="0" w:after="0"/>
        <w:jc w:val="both"/>
        <w:rPr>
          <w:b/>
          <w:color w:val="000000"/>
        </w:rPr>
      </w:pPr>
      <w:r>
        <w:rPr>
          <w:b/>
          <w:color w:val="000000"/>
        </w:rPr>
        <w:t>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pStyle w:val="TextBody"/>
        <w:spacing w:before="0" w:after="0"/>
        <w:rPr/>
      </w:pPr>
      <w:r>
        <w:rPr/>
      </w:r>
    </w:p>
    <w:p>
      <w:pPr>
        <w:pStyle w:val="TextBody"/>
        <w:spacing w:before="0" w:after="0"/>
        <w:jc w:val="both"/>
        <w:rPr>
          <w:color w:val="000000"/>
        </w:rPr>
      </w:pPr>
      <w:r>
        <w:rPr>
          <w:color w:val="000000"/>
        </w:rPr>
        <w:t>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including ARYA Sciences Acquisition Corp IV, subject to his or her fiduciary duties under Cayman Islands law.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w:t>
      </w:r>
    </w:p>
    <w:p>
      <w:pPr>
        <w:pStyle w:val="TextBody"/>
        <w:spacing w:before="0" w:after="0"/>
        <w:rPr/>
      </w:pPr>
      <w:r>
        <w:rPr/>
      </w:r>
    </w:p>
    <w:p>
      <w:pPr>
        <w:pStyle w:val="TextBody"/>
        <w:spacing w:before="0" w:after="0"/>
        <w:jc w:val="both"/>
        <w:rPr>
          <w:color w:val="000000"/>
        </w:rPr>
      </w:pPr>
      <w:r>
        <w:rPr>
          <w:color w:val="000000"/>
        </w:rPr>
        <w:t>In addition, our founders and our directors and officers, Perceptive Advisors, or its affiliates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including ARYA Sciences Acquisition Corp IV, prior to its presentation to us, subject to our officers’ and directors’ fiduciary duties under Cayman Islands law. Our amended and restated memorandum and articles of association will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pStyle w:val="TextBody"/>
        <w:spacing w:before="0" w:after="0"/>
        <w:rPr/>
      </w:pPr>
      <w:r>
        <w:rPr/>
      </w:r>
    </w:p>
    <w:p>
      <w:pPr>
        <w:pStyle w:val="TextBody"/>
        <w:spacing w:before="0" w:after="0"/>
        <w:jc w:val="both"/>
        <w:rPr>
          <w:b/>
          <w:color w:val="000000"/>
        </w:rPr>
      </w:pPr>
      <w:r>
        <w:rPr>
          <w:b/>
          <w:color w:val="000000"/>
        </w:rPr>
        <w:t>Our executive officers, directors, security holders and their respective affiliates may have competitive pecuniary interests that conflict with our interests.</w:t>
      </w:r>
    </w:p>
    <w:p>
      <w:pPr>
        <w:pStyle w:val="TextBody"/>
        <w:spacing w:before="0" w:after="0"/>
        <w:rPr/>
      </w:pPr>
      <w:r>
        <w:rPr/>
      </w:r>
    </w:p>
    <w:p>
      <w:pPr>
        <w:pStyle w:val="TextBody"/>
        <w:spacing w:before="0" w:after="0"/>
        <w:jc w:val="both"/>
        <w:rPr>
          <w:color w:val="000000"/>
        </w:rPr>
      </w:pPr>
      <w:r>
        <w:rPr>
          <w:color w:val="000000"/>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55" w:name="DSPFPageBreakArea41"/>
      <w:bookmarkStart w:id="456" w:name="DSPFPageBreakArea41"/>
      <w:bookmarkEnd w:id="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457" w:name="DSPFPageNumber40"/>
      <w:bookmarkStart w:id="458" w:name="DSPFPageNumberArea39"/>
      <w:bookmarkEnd w:id="457"/>
      <w:bookmarkEnd w:id="458"/>
      <w:r>
        <w:rPr>
          <w:b w:val="false"/>
          <w:i w:val="false"/>
          <w:caps w:val="false"/>
          <w:smallCaps w:val="false"/>
          <w:sz w:val="16"/>
        </w:rPr>
        <w:t>43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59" w:name="DSPFPageBreak41"/>
      <w:bookmarkStart w:id="460" w:name="DSPFPageBreak41"/>
      <w:bookmarkEnd w:id="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461" w:name="DSPFPageHeader39"/>
        <w:bookmarkEnd w:id="461"/>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However, we may not ultimately be successful in any claim we may make against them for such reason.</w:t>
      </w:r>
    </w:p>
    <w:p>
      <w:pPr>
        <w:pStyle w:val="TextBody"/>
        <w:spacing w:before="0" w:after="0"/>
        <w:rPr/>
      </w:pPr>
      <w:r>
        <w:rPr/>
      </w:r>
    </w:p>
    <w:p>
      <w:pPr>
        <w:pStyle w:val="TextBody"/>
        <w:spacing w:before="0" w:after="0"/>
        <w:jc w:val="both"/>
        <w:rPr>
          <w:b/>
          <w:color w:val="000000"/>
        </w:rPr>
      </w:pPr>
      <w:r>
        <w:rPr>
          <w:b/>
          <w:color w:val="000000"/>
        </w:rPr>
        <w:t>We may engage in a business combination with one or more target businesses that have relationships with entities that may be affiliated with our sponsor, executive officers, directors or initial shareholders which may raise potential conflicts of interest.</w:t>
      </w:r>
    </w:p>
    <w:p>
      <w:pPr>
        <w:pStyle w:val="TextBody"/>
        <w:spacing w:before="0" w:after="0"/>
        <w:rPr/>
      </w:pPr>
      <w:r>
        <w:rPr/>
      </w:r>
    </w:p>
    <w:p>
      <w:pPr>
        <w:pStyle w:val="TextBody"/>
        <w:spacing w:before="0" w:after="0"/>
        <w:jc w:val="both"/>
        <w:rPr>
          <w:color w:val="000000"/>
        </w:rPr>
      </w:pPr>
      <w:r>
        <w:rPr>
          <w:color w:val="000000"/>
        </w:rPr>
        <w:t>In light of the involvement of our sponsor, executive officers and directors with other entities, we may decide to acquire one or more businesses affiliated with our sponsor, executive officers, directors or initial shareholders. Our directors also serve as officers and board members for other entities. Our sponsor and our officers and directors may sponsor or form other special purpose acquisition companies similar to ours or may pursue other business or investment ventures during the period in which we are seeking an initial business combination.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and such transaction was approved by a majority of our independent and disinterested directors. Despite our agreement to obtain an opinion from an independent investment banking firm or an independent valuation or accounting firm regarding the fairness to our company from a financial point of view of a business combination with one or more domestic or international businesses affiliated with our sponsor, executive officers, directors or initial shareholders, potential conflicts of interest still may exist and, as a result, the terms of the business combination may not be as advantageous to our public shareholders as they would be absent any conflicts of interest.</w:t>
      </w:r>
    </w:p>
    <w:p>
      <w:pPr>
        <w:pStyle w:val="TextBody"/>
        <w:spacing w:before="0" w:after="0"/>
        <w:rPr/>
      </w:pPr>
      <w:r>
        <w:rPr/>
      </w:r>
    </w:p>
    <w:p>
      <w:pPr>
        <w:pStyle w:val="TextBody"/>
        <w:spacing w:before="0" w:after="0"/>
        <w:jc w:val="both"/>
        <w:rPr>
          <w:b/>
        </w:rPr>
      </w:pPr>
      <w:r>
        <w:rPr>
          <w:b/>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pStyle w:val="TextBody"/>
        <w:spacing w:before="0" w:after="0"/>
        <w:rPr/>
      </w:pPr>
      <w:r>
        <w:rPr/>
        <w:t> </w:t>
      </w:r>
    </w:p>
    <w:p>
      <w:pPr>
        <w:pStyle w:val="TextBody"/>
        <w:spacing w:before="0" w:after="0"/>
        <w:jc w:val="both"/>
        <w:rPr/>
      </w:pPr>
      <w:r>
        <w:rPr/>
        <w:t>We may structure our initial business combination so that the post-business combination company in which our public shareholders own shares will own less than 100% of the equity interests or assets of a target business, but we will only complete such business combination if the post-business combination company owns or acquires 50% or more of the outstanding voting securities of the target or otherwise acquires a controlling interest in the target business sufficient for us not to be required to register as an investment company under the Investment Company Act. We will not consider any transaction that does not meet such criteria. Even if the post-business combination company owns 50% or more of the voting securities of the target, our shareholders prior to the completion of our initial business combination may collectively own a minority interest in the post-business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pStyle w:val="TextBody"/>
        <w:spacing w:before="0" w:after="0"/>
        <w:rPr/>
      </w:pPr>
      <w:r>
        <w:rPr/>
        <w:t> </w:t>
      </w:r>
    </w:p>
    <w:p>
      <w:pPr>
        <w:pStyle w:val="TextBody"/>
        <w:spacing w:before="0" w:after="0"/>
        <w:jc w:val="both"/>
        <w:rPr>
          <w:b/>
          <w:color w:val="000000"/>
        </w:rPr>
      </w:pPr>
      <w:r>
        <w:rPr>
          <w:b/>
          <w:color w:val="000000"/>
        </w:rPr>
        <w:t>Since our sponsor, executive officers and directors will lose their entire investment in us if our initial business combination is not completed (other than with respect to public shares they may acquire during or after our Initial Public Offering), a conflict of interest may arise in determining whether a particular business combination target is appropriate for our initial business combination.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62" w:name="DSPFPageBreakArea42"/>
      <w:bookmarkStart w:id="463" w:name="DSPFPageBreakArea42"/>
      <w:bookmarkEnd w:id="4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464" w:name="DSPFPageNumber41"/>
      <w:bookmarkStart w:id="465" w:name="DSPFPageNumberArea40"/>
      <w:bookmarkEnd w:id="464"/>
      <w:bookmarkEnd w:id="465"/>
      <w:r>
        <w:rPr>
          <w:b w:val="false"/>
          <w:i w:val="false"/>
          <w:caps w:val="false"/>
          <w:smallCaps w:val="false"/>
          <w:sz w:val="16"/>
        </w:rPr>
        <w:t>44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66" w:name="DSPFPageBreak42"/>
      <w:bookmarkStart w:id="467" w:name="DSPFPageBreak42"/>
      <w:bookmarkEnd w:id="4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468" w:name="DSPFPageHeader40"/>
        <w:bookmarkEnd w:id="468"/>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On April 2, 2020, we issued to our sponsor 3,593,750 founder shares in exchange for a capital contribution of $25,000, or approximately $0.007 per share. In July 2020, our sponsor transferred 30,000 founder shares to each of Messrs. Campbell, Islam and Wider. On August 6, 2020, we effected share capitalizations resulting in our initial shareholders holding 3,737,500 Class B ordinary shares. Prior to the initial investment in the company of $25,000 by the sponsor, the company had no assets, tangible or intangible. Prior to the initial investment in the company of $25,000 by the sponsor, the company had no assets, tangible or intangible. The per share price of the founder shares was determined by dividing the amount contributed to the company by the number of founder shares issued. The founder shares and private placement shares will be worthless if we do not complete an initial business combination. In addition, our sponsor purchased 499,000 private placement shares at a price of $10.00 per share ($4,990,000 in the aggregate), in a private placement that closed simultaneously with the closing of our Initial Public Offering.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our Initial Public Offering nears, which is the deadline for our consummation of an initial business combination.</w:t>
      </w:r>
    </w:p>
    <w:p>
      <w:pPr>
        <w:pStyle w:val="TextBody"/>
        <w:spacing w:before="0" w:after="0"/>
        <w:rPr/>
      </w:pPr>
      <w:r>
        <w:rPr/>
      </w:r>
    </w:p>
    <w:p>
      <w:pPr>
        <w:pStyle w:val="TextBody"/>
        <w:spacing w:before="0" w:after="0"/>
        <w:jc w:val="both"/>
        <w:rPr>
          <w:b/>
          <w:color w:val="000000"/>
        </w:rPr>
      </w:pPr>
      <w:r>
        <w:rPr>
          <w:b/>
          <w:color w:val="000000"/>
        </w:rPr>
        <w:t>General Risk Factors</w:t>
      </w:r>
    </w:p>
    <w:p>
      <w:pPr>
        <w:pStyle w:val="TextBody"/>
        <w:spacing w:before="0" w:after="0"/>
        <w:rPr/>
      </w:pPr>
      <w:r>
        <w:rPr/>
      </w:r>
    </w:p>
    <w:p>
      <w:pPr>
        <w:pStyle w:val="TextBody"/>
        <w:spacing w:before="0" w:after="0"/>
        <w:jc w:val="both"/>
        <w:rPr>
          <w:b/>
          <w:color w:val="000000"/>
        </w:rPr>
      </w:pPr>
      <w:r>
        <w:rPr>
          <w:b/>
          <w:color w:val="000000"/>
        </w:rPr>
        <w:t>We are a recently incorporated company with no operating history and no revenues, and you have no basis on which to evaluate our ability to achieve our business objective.</w:t>
      </w:r>
    </w:p>
    <w:p>
      <w:pPr>
        <w:pStyle w:val="TextBody"/>
        <w:spacing w:before="0" w:after="0"/>
        <w:rPr/>
      </w:pPr>
      <w:r>
        <w:rPr/>
      </w:r>
    </w:p>
    <w:p>
      <w:pPr>
        <w:pStyle w:val="TextBody"/>
        <w:spacing w:before="0" w:after="0"/>
        <w:jc w:val="both"/>
        <w:rPr>
          <w:color w:val="000000"/>
        </w:rPr>
      </w:pPr>
      <w:r>
        <w:rPr>
          <w:color w:val="000000"/>
        </w:rPr>
        <w:t>We are a recently incorporated company established under the laws of the Cayman Islands with no operating results, and we will not commence operations until obtaining funding through our initial public offering. Because we lack an operating history, you have no basis upon which to evaluate our ability to achieve our business objective of completing our initial business combination with one or more target businesses. We may be unable to complete our initial business combination. If we fail to complete our initial business combination, we will never generate any operating revenues.</w:t>
      </w:r>
    </w:p>
    <w:p>
      <w:pPr>
        <w:pStyle w:val="TextBody"/>
        <w:spacing w:before="0" w:after="0"/>
        <w:rPr/>
      </w:pPr>
      <w:r>
        <w:rPr/>
      </w:r>
    </w:p>
    <w:p>
      <w:pPr>
        <w:pStyle w:val="TextBody"/>
        <w:spacing w:before="0" w:after="0"/>
        <w:jc w:val="both"/>
        <w:rPr>
          <w:b/>
          <w:color w:val="000000"/>
        </w:rPr>
      </w:pPr>
      <w:r>
        <w:rPr>
          <w:b/>
          <w:color w:val="000000"/>
        </w:rPr>
        <w:t>Past performance by our management team or their affiliates, including Perceptive Advisors, ARYA Sciences Acquisition Corp., ARYA Sciences Acquisition Corp II and ARYA Sciences Acquisition Corp IV, may not be indicative of future performance of an investment in us.</w:t>
      </w:r>
    </w:p>
    <w:p>
      <w:pPr>
        <w:pStyle w:val="TextBody"/>
        <w:spacing w:before="0" w:after="0"/>
        <w:rPr/>
      </w:pPr>
      <w:r>
        <w:rPr/>
      </w:r>
    </w:p>
    <w:p>
      <w:pPr>
        <w:pStyle w:val="TextBody"/>
        <w:spacing w:before="0" w:after="0"/>
        <w:jc w:val="both"/>
        <w:rPr>
          <w:color w:val="000000"/>
        </w:rPr>
      </w:pPr>
      <w:r>
        <w:rPr>
          <w:color w:val="000000"/>
        </w:rPr>
        <w:t>Information regarding performance by, or businesses associated with, our management team or their affiliates, including Perceptive Advisors, ARYA Sciences Acquisition Corp., ARYA Sciences Acquisition Corp II and ARYA Sciences Acquisition Corp IV, is presented for informational purposes only. Any past experience of and performance by our management team or their affiliates, including Perceptive Advisors, ARYA Sciences Acquisition Corp., ARYA Sciences Acquisition Corp II and ARYA Sciences Acquisition Corp IV, is not a guarantee either (i) that we will be able to successfully identify a suitable candidate for our initial business combination; or (ii) of any results with respect to any initial business combination we may consummate. You should not rely on the historical record of our management team, Perceptive Advisors or any of their affiliates’ or managed fund’s performance as indicative of the future performance of an investment in us or the returns we will, or are likely to, generate going forward. An investment in us is not an investment in Perceptive Advisors.</w:t>
      </w:r>
    </w:p>
    <w:p>
      <w:pPr>
        <w:pStyle w:val="TextBody"/>
        <w:spacing w:before="0" w:after="0"/>
        <w:rPr/>
      </w:pPr>
      <w:r>
        <w:rPr/>
      </w:r>
    </w:p>
    <w:p>
      <w:pPr>
        <w:pStyle w:val="TextBody"/>
        <w:spacing w:before="0" w:after="0"/>
        <w:jc w:val="both"/>
        <w:rPr>
          <w:b/>
        </w:rPr>
      </w:pPr>
      <w:r>
        <w:rPr>
          <w:b/>
        </w:rPr>
        <w:t>Cyber incidents or attacks directed at us could result in information theft, data corruption, operational disruption and/or financial loss.</w:t>
      </w:r>
    </w:p>
    <w:p>
      <w:pPr>
        <w:pStyle w:val="TextBody"/>
        <w:spacing w:before="0" w:after="0"/>
        <w:rPr/>
      </w:pPr>
      <w:r>
        <w:rPr/>
        <w:t> </w:t>
      </w:r>
    </w:p>
    <w:p>
      <w:pPr>
        <w:pStyle w:val="TextBody"/>
        <w:spacing w:before="0" w:after="0"/>
        <w:jc w:val="both"/>
        <w:rPr/>
      </w:pPr>
      <w:r>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pStyle w:val="TextBody"/>
        <w:spacing w:before="0" w:after="0"/>
        <w:rPr/>
      </w:pPr>
      <w:r>
        <w:rPr/>
        <w:t> </w:t>
      </w:r>
    </w:p>
    <w:p>
      <w:pPr>
        <w:pStyle w:val="TextBody"/>
        <w:spacing w:before="0" w:after="0"/>
        <w:jc w:val="both"/>
        <w:rPr>
          <w:b/>
          <w:color w:val="000000"/>
        </w:rPr>
      </w:pPr>
      <w:r>
        <w:rPr>
          <w:b/>
          <w:color w:val="000000"/>
        </w:rPr>
        <w:t>Changes in laws or regulations, or a failure to comply with any laws and regulations, may adversely affect our business, including our ability to negotiate and complete our initial business combination, and results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69" w:name="DSPFPageBreakArea43"/>
      <w:bookmarkStart w:id="470" w:name="DSPFPageBreakArea43"/>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471" w:name="DSPFPageNumber42"/>
      <w:bookmarkStart w:id="472" w:name="DSPFPageNumberArea41"/>
      <w:bookmarkEnd w:id="471"/>
      <w:bookmarkEnd w:id="472"/>
      <w:r>
        <w:rPr>
          <w:b w:val="false"/>
          <w:i w:val="false"/>
          <w:caps w:val="false"/>
          <w:smallCaps w:val="false"/>
          <w:sz w:val="16"/>
        </w:rPr>
        <w:t>45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73" w:name="DSPFPageBreak43"/>
      <w:bookmarkStart w:id="474" w:name="DSPFPageBreak43"/>
      <w:bookmarkEnd w:id="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475" w:name="DSPFPageHeader41"/>
        <w:bookmarkEnd w:id="475"/>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pStyle w:val="TextBody"/>
        <w:spacing w:before="0" w:after="0"/>
        <w:rPr/>
      </w:pPr>
      <w:r>
        <w:rPr/>
      </w:r>
    </w:p>
    <w:p>
      <w:pPr>
        <w:pStyle w:val="TextBody"/>
        <w:spacing w:before="0" w:after="0"/>
        <w:jc w:val="both"/>
        <w:rPr>
          <w:b/>
        </w:rPr>
      </w:pPr>
      <w:r>
        <w:rPr>
          <w:b/>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spacing w:before="0" w:after="0"/>
        <w:rPr/>
      </w:pPr>
      <w:r>
        <w:rPr/>
        <w:t> </w:t>
      </w:r>
    </w:p>
    <w:p>
      <w:pPr>
        <w:pStyle w:val="TextBody"/>
        <w:spacing w:before="0" w:after="0"/>
        <w:jc w:val="both"/>
        <w:rPr/>
      </w:pPr>
      <w:r>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spacing w:before="0" w:after="0"/>
        <w:rPr/>
      </w:pPr>
      <w:r>
        <w:rPr/>
        <w:t> </w:t>
      </w:r>
    </w:p>
    <w:p>
      <w:pPr>
        <w:pStyle w:val="TextBody"/>
        <w:spacing w:before="0" w:after="0"/>
        <w:jc w:val="both"/>
        <w:rPr/>
      </w:pPr>
      <w:r>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spacing w:before="0" w:after="0"/>
        <w:rPr/>
      </w:pPr>
      <w:r>
        <w:rPr/>
        <w:t> </w:t>
      </w:r>
    </w:p>
    <w:p>
      <w:pPr>
        <w:pStyle w:val="TextBody"/>
        <w:spacing w:before="0" w:after="0"/>
        <w:jc w:val="both"/>
        <w:rPr/>
      </w:pPr>
      <w:r>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pStyle w:val="TextBody"/>
        <w:spacing w:before="0" w:after="0"/>
        <w:rPr/>
      </w:pPr>
      <w:r>
        <w:rPr/>
        <w:t> </w:t>
      </w:r>
    </w:p>
    <w:p>
      <w:pPr>
        <w:pStyle w:val="TextBody"/>
        <w:spacing w:before="0" w:after="0"/>
        <w:jc w:val="both"/>
        <w:rPr>
          <w:b/>
        </w:rPr>
      </w:pPr>
      <w:r>
        <w:rPr>
          <w:b/>
        </w:rPr>
        <w:t>Because we are incorporated under the laws of the Cayman Islands, you may face difficulties in protecting your interests, and your ability to protect your rights through the U.S. federal courts may be limited.</w:t>
      </w:r>
    </w:p>
    <w:p>
      <w:pPr>
        <w:pStyle w:val="TextBody"/>
        <w:spacing w:before="0" w:after="0"/>
        <w:rPr/>
      </w:pPr>
      <w:r>
        <w:rPr/>
        <w:t> </w:t>
      </w:r>
    </w:p>
    <w:p>
      <w:pPr>
        <w:pStyle w:val="TextBody"/>
        <w:spacing w:before="0" w:after="0"/>
        <w:jc w:val="both"/>
        <w:rPr/>
      </w:pPr>
      <w:r>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76" w:name="DSPFPageBreakArea44"/>
      <w:bookmarkStart w:id="477" w:name="DSPFPageBreakArea44"/>
      <w:bookmarkEnd w:id="4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478" w:name="DSPFPageNumber43"/>
      <w:bookmarkStart w:id="479" w:name="DSPFPageNumberArea42"/>
      <w:bookmarkEnd w:id="478"/>
      <w:bookmarkEnd w:id="479"/>
      <w:r>
        <w:rPr>
          <w:b w:val="false"/>
          <w:i w:val="false"/>
          <w:caps w:val="false"/>
          <w:smallCaps w:val="false"/>
          <w:sz w:val="16"/>
        </w:rPr>
        <w:t>46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80" w:name="DSPFPageBreak44"/>
      <w:bookmarkStart w:id="481" w:name="DSPFPageBreak44"/>
      <w:bookmarkEnd w:id="4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482" w:name="DSPFPageHeader42"/>
        <w:bookmarkEnd w:id="482"/>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Our corporate affairs and the rights of shareholders are governed by our amended and restated memorandum and articles of association, the Companies Act (as the same may be supplemented or amended from time to time) and the common law of the Cayman Islands. We are also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pStyle w:val="TextBody"/>
        <w:spacing w:before="0" w:after="0"/>
        <w:rPr/>
      </w:pPr>
      <w:r>
        <w:rPr/>
        <w:t> </w:t>
      </w:r>
    </w:p>
    <w:p>
      <w:pPr>
        <w:pStyle w:val="TextBody"/>
        <w:spacing w:before="0" w:after="0"/>
        <w:jc w:val="both"/>
        <w:rPr/>
      </w:pPr>
      <w:r>
        <w:rPr/>
        <w:t>Shareholders of Cayman Islands exempted companies like the Company have no general rights under Cayman Islands law to inspect corporate records or to obtain copies of the register of members of these companies. Our directors have discretion under our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spacing w:before="0" w:after="0"/>
        <w:rPr/>
      </w:pPr>
      <w:r>
        <w:rPr/>
        <w:t> </w:t>
      </w:r>
    </w:p>
    <w:p>
      <w:pPr>
        <w:pStyle w:val="TextBody"/>
        <w:spacing w:before="0" w:after="0"/>
        <w:jc w:val="both"/>
        <w:rPr/>
      </w:pPr>
      <w:r>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spacing w:before="0" w:after="0"/>
        <w:rPr/>
      </w:pPr>
      <w:r>
        <w:rPr/>
        <w:t> </w:t>
      </w:r>
    </w:p>
    <w:p>
      <w:pPr>
        <w:pStyle w:val="TextBody"/>
        <w:spacing w:before="0" w:after="0"/>
        <w:jc w:val="both"/>
        <w:rPr/>
      </w:pPr>
      <w:r>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pStyle w:val="TextBody"/>
        <w:spacing w:before="0" w:after="0"/>
        <w:rPr/>
      </w:pPr>
      <w:r>
        <w:rPr/>
      </w:r>
    </w:p>
    <w:p>
      <w:pPr>
        <w:pStyle w:val="TextBody"/>
        <w:spacing w:before="0" w:after="0"/>
        <w:jc w:val="both"/>
        <w:rPr>
          <w:b/>
          <w:color w:val="000000"/>
        </w:rPr>
      </w:pPr>
      <w:r>
        <w:rPr>
          <w:b/>
          <w:color w:val="000000"/>
        </w:rPr>
        <w:t>Since only holders of our founder shares will have the right to vote on the election of directors prior to our initial business combination, Nasdaq may consider us to be a “controlled company” within the meaning of Nasdaq’s rules and, as a result, we may qualify for exemptions from certain corporate governance requirements that would otherwise provide protection to shareholders of other companies.</w:t>
      </w:r>
    </w:p>
    <w:p>
      <w:pPr>
        <w:pStyle w:val="TextBody"/>
        <w:spacing w:before="0" w:after="0"/>
        <w:rPr/>
      </w:pPr>
      <w:r>
        <w:rPr/>
      </w:r>
    </w:p>
    <w:p>
      <w:pPr>
        <w:pStyle w:val="TextBody"/>
        <w:spacing w:before="0" w:after="0"/>
        <w:jc w:val="both"/>
        <w:rPr>
          <w:color w:val="000000"/>
        </w:rPr>
      </w:pPr>
      <w:r>
        <w:rPr>
          <w:color w:val="000000"/>
        </w:rPr>
        <w:t>Only holders of our founder shares have the right to vote on the election of directors. As a result, Nasdaq may consider us to be a “controlled company” within the meaning of Nasdaq’s corporate governance standards. Under Nasdaq corporate governance standards, a company of which more than 50% of the voting power for the election of directors is held by an individual, a group or another company is a “controlled company” and may elect not to comply with certain corporate governance requirements, including the requirements that:</w:t>
      </w:r>
    </w:p>
    <w:p>
      <w:pPr>
        <w:pStyle w:val="TextBody"/>
        <w:spacing w:before="0" w:after="0"/>
        <w:rPr/>
      </w:pPr>
      <w:r>
        <w:rPr/>
      </w:r>
    </w:p>
    <w:p>
      <w:pPr>
        <w:pStyle w:val="Normal"/>
        <w:spacing w:before="0" w:after="0"/>
        <w:rPr>
          <w:sz w:val="4"/>
          <w:szCs w:val="4"/>
        </w:rPr>
      </w:pPr>
      <w:r>
        <w:rPr>
          <w:sz w:val="4"/>
          <w:szCs w:val="4"/>
        </w:rPr>
      </w:r>
      <w:bookmarkStart w:id="483" w:name="zb1950950d1ab4b20aed7b5ecf90c7d75"/>
      <w:bookmarkStart w:id="484" w:name="zb1950950d1ab4b20aed7b5ecf90c7d75"/>
      <w:bookmarkEnd w:id="484"/>
    </w:p>
    <w:tbl>
      <w:tblPr>
        <w:tblW w:w="9573" w:type="dxa"/>
        <w:jc w:val="left"/>
        <w:tblInd w:w="0" w:type="dxa"/>
        <w:tblCellMar>
          <w:top w:w="0" w:type="dxa"/>
          <w:left w:w="0" w:type="dxa"/>
          <w:bottom w:w="0" w:type="dxa"/>
          <w:right w:w="0" w:type="dxa"/>
        </w:tblCellMar>
      </w:tblPr>
      <w:tblGrid>
        <w:gridCol w:w="38"/>
        <w:gridCol w:w="110"/>
        <w:gridCol w:w="94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425" w:type="dxa"/>
            <w:tcBorders/>
            <w:shd w:fill="auto" w:val="clear"/>
            <w:vAlign w:val="center"/>
          </w:tcPr>
          <w:p>
            <w:pPr>
              <w:pStyle w:val="TableContents"/>
              <w:spacing w:before="0" w:after="0"/>
              <w:jc w:val="both"/>
              <w:rPr/>
            </w:pPr>
            <w:r>
              <w:rPr/>
              <w:t>we have a board that includes a majority of “independent directors,” as defined under Nasdaq rules;</w:t>
            </w:r>
          </w:p>
        </w:tc>
      </w:tr>
    </w:tbl>
    <w:p>
      <w:pPr>
        <w:pStyle w:val="Normal"/>
        <w:spacing w:before="0" w:after="0"/>
        <w:rPr>
          <w:sz w:val="4"/>
          <w:szCs w:val="4"/>
        </w:rPr>
      </w:pPr>
      <w:r>
        <w:rPr>
          <w:sz w:val="4"/>
          <w:szCs w:val="4"/>
        </w:rPr>
      </w:r>
      <w:bookmarkStart w:id="485" w:name="zae8b3dbb21e94958bc6c751688b5a725"/>
      <w:bookmarkStart w:id="486" w:name="zae8b3dbb21e94958bc6c751688b5a725"/>
      <w:bookmarkEnd w:id="48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we have a compensation committee of our board that is comprised entirely of independent directors with a written charter addressing the committee’s purpose and responsibilities; and</w:t>
            </w:r>
          </w:p>
        </w:tc>
      </w:tr>
    </w:tbl>
    <w:p>
      <w:pPr>
        <w:pStyle w:val="Normal"/>
        <w:spacing w:before="0" w:after="0"/>
        <w:rPr>
          <w:sz w:val="4"/>
          <w:szCs w:val="4"/>
        </w:rPr>
      </w:pPr>
      <w:r>
        <w:rPr>
          <w:sz w:val="4"/>
          <w:szCs w:val="4"/>
        </w:rPr>
      </w:r>
      <w:bookmarkStart w:id="487" w:name="z6843015d8af44ef98a1eb3ec00b46933"/>
      <w:bookmarkStart w:id="488" w:name="z6843015d8af44ef98a1eb3ec00b46933"/>
      <w:bookmarkEnd w:id="488"/>
    </w:p>
    <w:tbl>
      <w:tblPr>
        <w:tblW w:w="6588" w:type="dxa"/>
        <w:jc w:val="left"/>
        <w:tblInd w:w="0" w:type="dxa"/>
        <w:tblCellMar>
          <w:top w:w="0" w:type="dxa"/>
          <w:left w:w="0" w:type="dxa"/>
          <w:bottom w:w="0" w:type="dxa"/>
          <w:right w:w="0" w:type="dxa"/>
        </w:tblCellMar>
      </w:tblPr>
      <w:tblGrid>
        <w:gridCol w:w="38"/>
        <w:gridCol w:w="110"/>
        <w:gridCol w:w="64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440" w:type="dxa"/>
            <w:tcBorders/>
            <w:shd w:fill="auto" w:val="clear"/>
            <w:vAlign w:val="center"/>
          </w:tcPr>
          <w:p>
            <w:pPr>
              <w:pStyle w:val="TableContents"/>
              <w:spacing w:before="0" w:after="0"/>
              <w:jc w:val="both"/>
              <w:rPr>
                <w:color w:val="000000"/>
              </w:rPr>
            </w:pPr>
            <w:r>
              <w:rPr>
                <w:color w:val="000000"/>
              </w:rPr>
              <w:t>we have independent director oversight of our director nominations.</w:t>
            </w:r>
          </w:p>
        </w:tc>
      </w:tr>
    </w:tbl>
    <w:p>
      <w:pPr>
        <w:pStyle w:val="TextBody"/>
        <w:spacing w:before="0" w:after="0"/>
        <w:rPr/>
      </w:pPr>
      <w:r>
        <w:rPr/>
      </w:r>
    </w:p>
    <w:p>
      <w:pPr>
        <w:pStyle w:val="TextBody"/>
        <w:spacing w:before="0" w:after="0"/>
        <w:jc w:val="both"/>
        <w:rPr>
          <w:color w:val="000000"/>
        </w:rPr>
      </w:pPr>
      <w:r>
        <w:rPr>
          <w:color w:val="000000"/>
        </w:rPr>
        <w:t>We do not intend to utilize these exemptions and intend to comply with the corporate governance requirements of Nasdaq, subject to applicable phase-in rules. However, if we determine in the future to utilize some or all of these exemptions, you will not have the same protections afforded to shareholders of companies that are subject to all of Nasdaq’s corporate governance requirements.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489" w:name="DSPFPageBreakArea45"/>
      <w:bookmarkStart w:id="490" w:name="DSPFPageBreakArea45"/>
      <w:bookmarkEnd w:id="4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491" w:name="DSPFPageNumber44"/>
      <w:bookmarkStart w:id="492" w:name="DSPFPageNumberArea43"/>
      <w:bookmarkEnd w:id="491"/>
      <w:bookmarkEnd w:id="492"/>
      <w:r>
        <w:rPr>
          <w:b w:val="false"/>
          <w:i w:val="false"/>
          <w:caps w:val="false"/>
          <w:smallCaps w:val="false"/>
          <w:sz w:val="16"/>
        </w:rPr>
        <w:t>47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493" w:name="DSPFPageBreak45"/>
      <w:bookmarkStart w:id="494" w:name="DSPFPageBreak45"/>
      <w:bookmarkEnd w:id="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495" w:name="DSPFPageHeader43"/>
        <w:bookmarkEnd w:id="495"/>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color w:val="000000"/>
        </w:rPr>
      </w:pPr>
      <w:r>
        <w:rPr>
          <w:b/>
          <w:color w:val="000000"/>
        </w:rPr>
        <w:t>We may be a passive foreign investment company, or “PFIC,” which could result in adverse U.S. federal income tax consequences to U.S. investors.</w:t>
      </w:r>
    </w:p>
    <w:p>
      <w:pPr>
        <w:pStyle w:val="TextBody"/>
        <w:spacing w:before="0" w:after="0"/>
        <w:rPr/>
      </w:pPr>
      <w:r>
        <w:rPr/>
      </w:r>
    </w:p>
    <w:p>
      <w:pPr>
        <w:pStyle w:val="TextBody"/>
        <w:spacing w:before="0" w:after="0"/>
        <w:jc w:val="both"/>
        <w:rPr>
          <w:color w:val="000000"/>
        </w:rPr>
      </w:pPr>
      <w:r>
        <w:rPr>
          <w:color w:val="000000"/>
        </w:rPr>
        <w:t>If we are a PFIC for any taxable year (or portion thereof) that is included in the holding period of a beneficial owner of our Class A ordinary shares who or that is (i) an individual who is a citizen or resident of the United States as determined for U.S. federal income tax purposes, (ii) a corporation (or other entity taxable as a corporation for U.S. federal income tax purposes) organized in or under the laws of the United States, any state thereof or the District of Columbia, (iii) an estate whose income is subject to U.S. federal income tax regardless of its source, or (iv) a trust, if (a) a court within the United States is able to exercise primary supervision over the administration of the trust and one or more U.S. persons (as defined in the Code) have authority to control all substantial decisions of the trust or (b) it has a valid election in effect under Treasury Regulations to be treated as a U.S. person (a “U.S. Holder”), such U.S. holder may be subject to certain adverse U.S. federal income tax consequences and may be subject to additional reporting requirements. Our PFIC status for our current and subsequent taxable years may depend on whether we qualify for the PFIC start-up exception.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We urge U.S. investors to consult their tax advisors regarding the possible application of the PFIC rules.</w:t>
      </w:r>
    </w:p>
    <w:p>
      <w:pPr>
        <w:pStyle w:val="TextBody"/>
        <w:spacing w:before="0" w:after="0"/>
        <w:rPr/>
      </w:pPr>
      <w:r>
        <w:rPr/>
      </w:r>
    </w:p>
    <w:p>
      <w:pPr>
        <w:pStyle w:val="TextBody"/>
        <w:spacing w:before="0" w:after="0"/>
        <w:jc w:val="both"/>
        <w:rPr>
          <w:b/>
          <w:color w:val="000000"/>
        </w:rPr>
      </w:pPr>
      <w:r>
        <w:rPr>
          <w:b/>
          <w:color w:val="000000"/>
        </w:rPr>
        <w:t>We may reincorporate in another jurisdiction in connection with our initial business combination and such reincorporation may result in taxes imposed on shareholders.</w:t>
      </w:r>
    </w:p>
    <w:p>
      <w:pPr>
        <w:pStyle w:val="TextBody"/>
        <w:spacing w:before="0" w:after="0"/>
        <w:rPr/>
      </w:pPr>
      <w:r>
        <w:rPr/>
      </w:r>
    </w:p>
    <w:p>
      <w:pPr>
        <w:pStyle w:val="TextBody"/>
        <w:spacing w:before="0" w:after="0"/>
        <w:jc w:val="both"/>
        <w:rPr>
          <w:color w:val="000000"/>
        </w:rPr>
      </w:pPr>
      <w:r>
        <w:rPr>
          <w:color w:val="000000"/>
        </w:rPr>
        <w:t>We may, in connection with our initial business combination and subject to requisite shareholder approval under the Companies Act, reincorporate in the jurisdiction in which the target company or business is located or in another jurisdiction.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pStyle w:val="TextBody"/>
        <w:spacing w:before="0" w:after="0"/>
        <w:rPr/>
      </w:pPr>
      <w:r>
        <w:rPr/>
      </w:r>
    </w:p>
    <w:p>
      <w:pPr>
        <w:pStyle w:val="TextBody"/>
        <w:spacing w:before="0" w:after="0"/>
        <w:jc w:val="both"/>
        <w:rPr>
          <w:b/>
          <w:color w:val="000000"/>
        </w:rPr>
      </w:pPr>
      <w:r>
        <w:rPr>
          <w:b/>
          <w:color w:val="000000"/>
        </w:rPr>
        <w:t>Risks Associated with Acquiring and Operating a Business in Foreign Countries</w:t>
      </w:r>
    </w:p>
    <w:p>
      <w:pPr>
        <w:pStyle w:val="TextBody"/>
        <w:spacing w:before="0" w:after="0"/>
        <w:rPr/>
      </w:pPr>
      <w:r>
        <w:rPr/>
      </w:r>
    </w:p>
    <w:p>
      <w:pPr>
        <w:pStyle w:val="TextBody"/>
        <w:spacing w:before="0" w:after="0"/>
        <w:jc w:val="both"/>
        <w:rPr>
          <w:b/>
        </w:rPr>
      </w:pPr>
      <w:r>
        <w:rPr>
          <w:b/>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pStyle w:val="TextBody"/>
        <w:spacing w:before="0" w:after="0"/>
        <w:rPr/>
      </w:pPr>
      <w:r>
        <w:rPr/>
        <w:t> </w:t>
      </w:r>
    </w:p>
    <w:p>
      <w:pPr>
        <w:pStyle w:val="TextBody"/>
        <w:spacing w:before="0" w:after="0"/>
        <w:jc w:val="both"/>
        <w:rPr/>
      </w:pPr>
      <w:r>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pStyle w:val="TextBody"/>
        <w:spacing w:before="0" w:after="0"/>
        <w:rPr/>
      </w:pPr>
      <w:r>
        <w:rPr/>
        <w:t> </w:t>
      </w:r>
    </w:p>
    <w:p>
      <w:pPr>
        <w:pStyle w:val="TextBody"/>
        <w:spacing w:before="0" w:after="0"/>
        <w:jc w:val="both"/>
        <w:rPr/>
      </w:pPr>
      <w:r>
        <w:rPr/>
        <w:t>If we effect our initial business combination with such a company, we would be subject to any special considerations or risks associated with companies operating in an international setting, including any of the following:</w:t>
      </w:r>
    </w:p>
    <w:p>
      <w:pPr>
        <w:pStyle w:val="TextBody"/>
        <w:spacing w:before="0" w:after="0"/>
        <w:rPr/>
      </w:pPr>
      <w:r>
        <w:rPr/>
        <w:t> </w:t>
      </w:r>
    </w:p>
    <w:p>
      <w:pPr>
        <w:pStyle w:val="Normal"/>
        <w:spacing w:before="0" w:after="0"/>
        <w:rPr>
          <w:sz w:val="4"/>
          <w:szCs w:val="4"/>
        </w:rPr>
      </w:pPr>
      <w:r>
        <w:rPr>
          <w:sz w:val="4"/>
          <w:szCs w:val="4"/>
        </w:rPr>
      </w:r>
      <w:bookmarkStart w:id="496" w:name="z2909c8bf1a1b415abbde1dd7178f109c"/>
      <w:bookmarkStart w:id="497" w:name="z2909c8bf1a1b415abbde1dd7178f109c"/>
      <w:bookmarkEnd w:id="497"/>
    </w:p>
    <w:tbl>
      <w:tblPr>
        <w:tblW w:w="7338" w:type="dxa"/>
        <w:jc w:val="left"/>
        <w:tblInd w:w="0" w:type="dxa"/>
        <w:tblCellMar>
          <w:top w:w="0" w:type="dxa"/>
          <w:left w:w="0" w:type="dxa"/>
          <w:bottom w:w="0" w:type="dxa"/>
          <w:right w:w="0" w:type="dxa"/>
        </w:tblCellMar>
      </w:tblPr>
      <w:tblGrid>
        <w:gridCol w:w="38"/>
        <w:gridCol w:w="110"/>
        <w:gridCol w:w="71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190" w:type="dxa"/>
            <w:tcBorders/>
            <w:shd w:fill="auto" w:val="clear"/>
            <w:vAlign w:val="center"/>
          </w:tcPr>
          <w:p>
            <w:pPr>
              <w:pStyle w:val="TableContents"/>
              <w:spacing w:before="0" w:after="0"/>
              <w:jc w:val="both"/>
              <w:rPr/>
            </w:pPr>
            <w:r>
              <w:rPr/>
              <w:t>costs and difficulties inherent in managing cross-border business operations;</w:t>
            </w:r>
          </w:p>
        </w:tc>
      </w:tr>
    </w:tbl>
    <w:p>
      <w:pPr>
        <w:pStyle w:val="Normal"/>
        <w:spacing w:before="0" w:after="0"/>
        <w:rPr>
          <w:sz w:val="4"/>
          <w:szCs w:val="4"/>
        </w:rPr>
      </w:pPr>
      <w:r>
        <w:rPr>
          <w:sz w:val="4"/>
          <w:szCs w:val="4"/>
        </w:rPr>
      </w:r>
      <w:bookmarkStart w:id="498" w:name="zfecd01f1b0c6405492143ddb172a5c41"/>
      <w:bookmarkStart w:id="499" w:name="zfecd01f1b0c6405492143ddb172a5c41"/>
      <w:bookmarkEnd w:id="499"/>
    </w:p>
    <w:tbl>
      <w:tblPr>
        <w:tblW w:w="5163" w:type="dxa"/>
        <w:jc w:val="left"/>
        <w:tblInd w:w="0" w:type="dxa"/>
        <w:tblCellMar>
          <w:top w:w="0" w:type="dxa"/>
          <w:left w:w="0" w:type="dxa"/>
          <w:bottom w:w="0" w:type="dxa"/>
          <w:right w:w="0" w:type="dxa"/>
        </w:tblCellMar>
      </w:tblPr>
      <w:tblGrid>
        <w:gridCol w:w="38"/>
        <w:gridCol w:w="110"/>
        <w:gridCol w:w="50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015" w:type="dxa"/>
            <w:tcBorders/>
            <w:shd w:fill="auto" w:val="clear"/>
            <w:vAlign w:val="center"/>
          </w:tcPr>
          <w:p>
            <w:pPr>
              <w:pStyle w:val="TableContents"/>
              <w:spacing w:before="0" w:after="0"/>
              <w:jc w:val="both"/>
              <w:rPr/>
            </w:pPr>
            <w:r>
              <w:rPr/>
              <w:t>rules and regulations regarding currency redemption;</w:t>
            </w:r>
          </w:p>
        </w:tc>
      </w:tr>
    </w:tbl>
    <w:p>
      <w:pPr>
        <w:pStyle w:val="Normal"/>
        <w:spacing w:before="0" w:after="0"/>
        <w:rPr>
          <w:sz w:val="4"/>
          <w:szCs w:val="4"/>
        </w:rPr>
      </w:pPr>
      <w:r>
        <w:rPr>
          <w:sz w:val="4"/>
          <w:szCs w:val="4"/>
        </w:rPr>
      </w:r>
      <w:bookmarkStart w:id="500" w:name="z7bfbe81f17184c2598f1f36b99ac31d2"/>
      <w:bookmarkStart w:id="501" w:name="z7bfbe81f17184c2598f1f36b99ac31d2"/>
      <w:bookmarkEnd w:id="501"/>
    </w:p>
    <w:tbl>
      <w:tblPr>
        <w:tblW w:w="5133" w:type="dxa"/>
        <w:jc w:val="left"/>
        <w:tblInd w:w="0" w:type="dxa"/>
        <w:tblCellMar>
          <w:top w:w="0" w:type="dxa"/>
          <w:left w:w="0" w:type="dxa"/>
          <w:bottom w:w="0" w:type="dxa"/>
          <w:right w:w="0" w:type="dxa"/>
        </w:tblCellMar>
      </w:tblPr>
      <w:tblGrid>
        <w:gridCol w:w="38"/>
        <w:gridCol w:w="110"/>
        <w:gridCol w:w="49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985" w:type="dxa"/>
            <w:tcBorders/>
            <w:shd w:fill="auto" w:val="clear"/>
            <w:vAlign w:val="center"/>
          </w:tcPr>
          <w:p>
            <w:pPr>
              <w:pStyle w:val="TableContents"/>
              <w:spacing w:before="0" w:after="0"/>
              <w:jc w:val="both"/>
              <w:rPr/>
            </w:pPr>
            <w:r>
              <w:rPr/>
              <w:t>complex corporate withholding taxes on individuals;</w:t>
            </w:r>
          </w:p>
        </w:tc>
      </w:tr>
    </w:tbl>
    <w:p>
      <w:pPr>
        <w:pStyle w:val="Normal"/>
        <w:spacing w:before="0" w:after="0"/>
        <w:rPr>
          <w:sz w:val="4"/>
          <w:szCs w:val="4"/>
        </w:rPr>
      </w:pPr>
      <w:r>
        <w:rPr>
          <w:sz w:val="4"/>
          <w:szCs w:val="4"/>
        </w:rPr>
      </w:r>
      <w:bookmarkStart w:id="502" w:name="z9141e838f1dc4da5a2f013e00d10b73b"/>
      <w:bookmarkStart w:id="503" w:name="z9141e838f1dc4da5a2f013e00d10b73b"/>
      <w:bookmarkEnd w:id="503"/>
    </w:p>
    <w:tbl>
      <w:tblPr>
        <w:tblW w:w="8043" w:type="dxa"/>
        <w:jc w:val="left"/>
        <w:tblInd w:w="0" w:type="dxa"/>
        <w:tblCellMar>
          <w:top w:w="0" w:type="dxa"/>
          <w:left w:w="0" w:type="dxa"/>
          <w:bottom w:w="0" w:type="dxa"/>
          <w:right w:w="0" w:type="dxa"/>
        </w:tblCellMar>
      </w:tblPr>
      <w:tblGrid>
        <w:gridCol w:w="38"/>
        <w:gridCol w:w="110"/>
        <w:gridCol w:w="78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895" w:type="dxa"/>
            <w:tcBorders/>
            <w:shd w:fill="auto" w:val="clear"/>
            <w:vAlign w:val="center"/>
          </w:tcPr>
          <w:p>
            <w:pPr>
              <w:pStyle w:val="TableContents"/>
              <w:spacing w:before="0" w:after="0"/>
              <w:jc w:val="both"/>
              <w:rPr/>
            </w:pPr>
            <w:r>
              <w:rPr/>
              <w:t>laws governing the manner in which future business combinations may be effected;</w:t>
            </w:r>
          </w:p>
        </w:tc>
      </w:tr>
    </w:tbl>
    <w:p>
      <w:pPr>
        <w:pStyle w:val="Normal"/>
        <w:spacing w:before="0" w:after="0"/>
        <w:rPr>
          <w:sz w:val="4"/>
          <w:szCs w:val="4"/>
        </w:rPr>
      </w:pPr>
      <w:r>
        <w:rPr>
          <w:sz w:val="4"/>
          <w:szCs w:val="4"/>
        </w:rPr>
      </w:r>
      <w:bookmarkStart w:id="504" w:name="z499fac82382349cd8c18d08298cb46ca"/>
      <w:bookmarkStart w:id="505" w:name="z499fac82382349cd8c18d08298cb46ca"/>
      <w:bookmarkEnd w:id="505"/>
    </w:p>
    <w:tbl>
      <w:tblPr>
        <w:tblW w:w="4563" w:type="dxa"/>
        <w:jc w:val="left"/>
        <w:tblInd w:w="0" w:type="dxa"/>
        <w:tblCellMar>
          <w:top w:w="0" w:type="dxa"/>
          <w:left w:w="0" w:type="dxa"/>
          <w:bottom w:w="0" w:type="dxa"/>
          <w:right w:w="0" w:type="dxa"/>
        </w:tblCellMar>
      </w:tblPr>
      <w:tblGrid>
        <w:gridCol w:w="38"/>
        <w:gridCol w:w="110"/>
        <w:gridCol w:w="44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415" w:type="dxa"/>
            <w:tcBorders/>
            <w:shd w:fill="auto" w:val="clear"/>
            <w:vAlign w:val="center"/>
          </w:tcPr>
          <w:p>
            <w:pPr>
              <w:pStyle w:val="TableContents"/>
              <w:spacing w:before="0" w:after="0"/>
              <w:jc w:val="both"/>
              <w:rPr/>
            </w:pPr>
            <w:r>
              <w:rPr/>
              <w:t>exchange listing and/or delisting requirements;</w:t>
            </w:r>
          </w:p>
        </w:tc>
      </w:tr>
    </w:tbl>
    <w:p>
      <w:pPr>
        <w:pStyle w:val="Normal"/>
        <w:spacing w:before="0" w:after="0"/>
        <w:rPr>
          <w:sz w:val="4"/>
          <w:szCs w:val="4"/>
        </w:rPr>
      </w:pPr>
      <w:r>
        <w:rPr>
          <w:sz w:val="4"/>
          <w:szCs w:val="4"/>
        </w:rPr>
      </w:r>
      <w:bookmarkStart w:id="506" w:name="z932b3c4942c24eaca2bc3b2d1268d4af"/>
      <w:bookmarkStart w:id="507" w:name="z932b3c4942c24eaca2bc3b2d1268d4af"/>
      <w:bookmarkEnd w:id="507"/>
    </w:p>
    <w:tbl>
      <w:tblPr>
        <w:tblW w:w="2478" w:type="dxa"/>
        <w:jc w:val="left"/>
        <w:tblInd w:w="0" w:type="dxa"/>
        <w:tblCellMar>
          <w:top w:w="0" w:type="dxa"/>
          <w:left w:w="0" w:type="dxa"/>
          <w:bottom w:w="0" w:type="dxa"/>
          <w:right w:w="0" w:type="dxa"/>
        </w:tblCellMar>
      </w:tblPr>
      <w:tblGrid>
        <w:gridCol w:w="38"/>
        <w:gridCol w:w="110"/>
        <w:gridCol w:w="23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330" w:type="dxa"/>
            <w:tcBorders/>
            <w:shd w:fill="auto" w:val="clear"/>
            <w:vAlign w:val="center"/>
          </w:tcPr>
          <w:p>
            <w:pPr>
              <w:pStyle w:val="TableContents"/>
              <w:spacing w:before="0" w:after="0"/>
              <w:jc w:val="both"/>
              <w:rPr/>
            </w:pPr>
            <w:r>
              <w:rPr/>
              <w:t>tariffs and trade barriers;</w:t>
            </w:r>
          </w:p>
        </w:tc>
      </w:tr>
    </w:tbl>
    <w:p>
      <w:pPr>
        <w:pStyle w:val="Normal"/>
        <w:spacing w:before="0" w:after="0"/>
        <w:rPr>
          <w:sz w:val="4"/>
          <w:szCs w:val="4"/>
        </w:rPr>
      </w:pPr>
      <w:r>
        <w:rPr>
          <w:sz w:val="4"/>
          <w:szCs w:val="4"/>
        </w:rPr>
      </w:r>
      <w:bookmarkStart w:id="508" w:name="zbee5c5ec928e4d939f9ab8266bb65c30"/>
      <w:bookmarkStart w:id="509" w:name="zbee5c5ec928e4d939f9ab8266bb65c30"/>
      <w:bookmarkEnd w:id="509"/>
    </w:p>
    <w:tbl>
      <w:tblPr>
        <w:tblW w:w="5508" w:type="dxa"/>
        <w:jc w:val="left"/>
        <w:tblInd w:w="0" w:type="dxa"/>
        <w:tblCellMar>
          <w:top w:w="0" w:type="dxa"/>
          <w:left w:w="0" w:type="dxa"/>
          <w:bottom w:w="0" w:type="dxa"/>
          <w:right w:w="0" w:type="dxa"/>
        </w:tblCellMar>
      </w:tblPr>
      <w:tblGrid>
        <w:gridCol w:w="38"/>
        <w:gridCol w:w="110"/>
        <w:gridCol w:w="53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360" w:type="dxa"/>
            <w:tcBorders/>
            <w:shd w:fill="auto" w:val="clear"/>
            <w:vAlign w:val="center"/>
          </w:tcPr>
          <w:p>
            <w:pPr>
              <w:pStyle w:val="TableContents"/>
              <w:spacing w:before="0" w:after="0"/>
              <w:jc w:val="both"/>
              <w:rPr/>
            </w:pPr>
            <w:r>
              <w:rPr/>
              <w:t>regulations related to customs and import/export matters;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10" w:name="DSPFPageBreakArea46"/>
      <w:bookmarkStart w:id="511" w:name="DSPFPageBreakArea46"/>
      <w:bookmarkEnd w:id="5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512" w:name="DSPFPageNumber45"/>
      <w:bookmarkStart w:id="513" w:name="DSPFPageNumberArea44"/>
      <w:bookmarkEnd w:id="512"/>
      <w:bookmarkEnd w:id="513"/>
      <w:r>
        <w:rPr>
          <w:b w:val="false"/>
          <w:i w:val="false"/>
          <w:caps w:val="false"/>
          <w:smallCaps w:val="false"/>
          <w:sz w:val="16"/>
        </w:rPr>
        <w:t>48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14" w:name="DSPFPageBreak46"/>
      <w:bookmarkStart w:id="515" w:name="DSPFPageBreak46"/>
      <w:bookmarkEnd w:id="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516" w:name="DSPFPageHeader44"/>
        <w:bookmarkEnd w:id="516"/>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517" w:name="z63be1ab082ac4a4e97ecdba9b183c481"/>
      <w:bookmarkStart w:id="518" w:name="z63be1ab082ac4a4e97ecdba9b183c481"/>
      <w:bookmarkEnd w:id="518"/>
    </w:p>
    <w:tbl>
      <w:tblPr>
        <w:tblW w:w="5673" w:type="dxa"/>
        <w:jc w:val="left"/>
        <w:tblInd w:w="0" w:type="dxa"/>
        <w:tblCellMar>
          <w:top w:w="0" w:type="dxa"/>
          <w:left w:w="0" w:type="dxa"/>
          <w:bottom w:w="0" w:type="dxa"/>
          <w:right w:w="0" w:type="dxa"/>
        </w:tblCellMar>
      </w:tblPr>
      <w:tblGrid>
        <w:gridCol w:w="38"/>
        <w:gridCol w:w="110"/>
        <w:gridCol w:w="55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525" w:type="dxa"/>
            <w:tcBorders/>
            <w:shd w:fill="auto" w:val="clear"/>
            <w:vAlign w:val="center"/>
          </w:tcPr>
          <w:p>
            <w:pPr>
              <w:pStyle w:val="TableContents"/>
              <w:spacing w:before="0" w:after="0"/>
              <w:jc w:val="both"/>
              <w:rPr/>
            </w:pPr>
            <w:r>
              <w:rPr/>
              <w:t>local or regional economic policies and market conditions;</w:t>
            </w:r>
          </w:p>
        </w:tc>
      </w:tr>
    </w:tbl>
    <w:p>
      <w:pPr>
        <w:pStyle w:val="Normal"/>
        <w:spacing w:before="0" w:after="0"/>
        <w:rPr>
          <w:sz w:val="4"/>
          <w:szCs w:val="4"/>
        </w:rPr>
      </w:pPr>
      <w:r>
        <w:rPr>
          <w:sz w:val="4"/>
          <w:szCs w:val="4"/>
        </w:rPr>
      </w:r>
      <w:bookmarkStart w:id="519" w:name="zc9256f5718a24d578be79231612dc2b7"/>
      <w:bookmarkStart w:id="520" w:name="zc9256f5718a24d578be79231612dc2b7"/>
      <w:bookmarkEnd w:id="520"/>
    </w:p>
    <w:tbl>
      <w:tblPr>
        <w:tblW w:w="4683" w:type="dxa"/>
        <w:jc w:val="left"/>
        <w:tblInd w:w="0" w:type="dxa"/>
        <w:tblCellMar>
          <w:top w:w="0" w:type="dxa"/>
          <w:left w:w="0" w:type="dxa"/>
          <w:bottom w:w="0" w:type="dxa"/>
          <w:right w:w="0" w:type="dxa"/>
        </w:tblCellMar>
      </w:tblPr>
      <w:tblGrid>
        <w:gridCol w:w="38"/>
        <w:gridCol w:w="110"/>
        <w:gridCol w:w="453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535" w:type="dxa"/>
            <w:tcBorders/>
            <w:shd w:fill="auto" w:val="clear"/>
            <w:vAlign w:val="center"/>
          </w:tcPr>
          <w:p>
            <w:pPr>
              <w:pStyle w:val="TableContents"/>
              <w:spacing w:before="0" w:after="0"/>
              <w:jc w:val="both"/>
              <w:rPr/>
            </w:pPr>
            <w:r>
              <w:rPr/>
              <w:t>unexpected changes in regulatory requirements;</w:t>
            </w:r>
          </w:p>
        </w:tc>
      </w:tr>
    </w:tbl>
    <w:p>
      <w:pPr>
        <w:pStyle w:val="Normal"/>
        <w:spacing w:before="0" w:after="0"/>
        <w:rPr>
          <w:sz w:val="4"/>
          <w:szCs w:val="4"/>
        </w:rPr>
      </w:pPr>
      <w:r>
        <w:rPr>
          <w:sz w:val="4"/>
          <w:szCs w:val="4"/>
        </w:rPr>
      </w:r>
      <w:bookmarkStart w:id="521" w:name="z4786e8b7fcea4d48812159f7b82b19b4"/>
      <w:bookmarkStart w:id="522" w:name="z4786e8b7fcea4d48812159f7b82b19b4"/>
      <w:bookmarkEnd w:id="522"/>
    </w:p>
    <w:tbl>
      <w:tblPr>
        <w:tblW w:w="2358" w:type="dxa"/>
        <w:jc w:val="left"/>
        <w:tblInd w:w="0" w:type="dxa"/>
        <w:tblCellMar>
          <w:top w:w="0" w:type="dxa"/>
          <w:left w:w="0" w:type="dxa"/>
          <w:bottom w:w="0" w:type="dxa"/>
          <w:right w:w="0" w:type="dxa"/>
        </w:tblCellMar>
      </w:tblPr>
      <w:tblGrid>
        <w:gridCol w:w="38"/>
        <w:gridCol w:w="110"/>
        <w:gridCol w:w="221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210" w:type="dxa"/>
            <w:tcBorders/>
            <w:shd w:fill="auto" w:val="clear"/>
            <w:vAlign w:val="center"/>
          </w:tcPr>
          <w:p>
            <w:pPr>
              <w:pStyle w:val="TableContents"/>
              <w:spacing w:before="0" w:after="0"/>
              <w:jc w:val="both"/>
              <w:rPr/>
            </w:pPr>
            <w:r>
              <w:rPr/>
              <w:t>longer payment cycles;</w:t>
            </w:r>
          </w:p>
        </w:tc>
      </w:tr>
    </w:tbl>
    <w:p>
      <w:pPr>
        <w:pStyle w:val="Normal"/>
        <w:spacing w:before="0" w:after="0"/>
        <w:rPr>
          <w:sz w:val="4"/>
          <w:szCs w:val="4"/>
        </w:rPr>
      </w:pPr>
      <w:r>
        <w:rPr>
          <w:sz w:val="4"/>
          <w:szCs w:val="4"/>
        </w:rPr>
      </w:r>
      <w:bookmarkStart w:id="523" w:name="z29026faba6fc452a93b7cfb795d19f6a"/>
      <w:bookmarkStart w:id="524" w:name="z29026faba6fc452a93b7cfb795d19f6a"/>
      <w:bookmarkEnd w:id="524"/>
    </w:p>
    <w:tbl>
      <w:tblPr>
        <w:tblW w:w="9138" w:type="dxa"/>
        <w:jc w:val="left"/>
        <w:tblInd w:w="0" w:type="dxa"/>
        <w:tblCellMar>
          <w:top w:w="0" w:type="dxa"/>
          <w:left w:w="0" w:type="dxa"/>
          <w:bottom w:w="0" w:type="dxa"/>
          <w:right w:w="0" w:type="dxa"/>
        </w:tblCellMar>
      </w:tblPr>
      <w:tblGrid>
        <w:gridCol w:w="38"/>
        <w:gridCol w:w="110"/>
        <w:gridCol w:w="89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990" w:type="dxa"/>
            <w:tcBorders/>
            <w:shd w:fill="auto" w:val="clear"/>
            <w:vAlign w:val="center"/>
          </w:tcPr>
          <w:p>
            <w:pPr>
              <w:pStyle w:val="TableContents"/>
              <w:spacing w:before="0" w:after="0"/>
              <w:jc w:val="both"/>
              <w:rPr/>
            </w:pPr>
            <w:r>
              <w:rPr/>
              <w:t>tax issues, such as tax law changes and variations in tax laws as compared to the United States;</w:t>
            </w:r>
          </w:p>
        </w:tc>
      </w:tr>
    </w:tbl>
    <w:p>
      <w:pPr>
        <w:pStyle w:val="Normal"/>
        <w:spacing w:before="0" w:after="0"/>
        <w:rPr>
          <w:sz w:val="4"/>
          <w:szCs w:val="4"/>
        </w:rPr>
      </w:pPr>
      <w:r>
        <w:rPr>
          <w:sz w:val="4"/>
          <w:szCs w:val="4"/>
        </w:rPr>
      </w:r>
      <w:bookmarkStart w:id="525" w:name="zdb09f1b85d924867b8cb30c553c9981d"/>
      <w:bookmarkStart w:id="526" w:name="zdb09f1b85d924867b8cb30c553c9981d"/>
      <w:bookmarkEnd w:id="526"/>
    </w:p>
    <w:tbl>
      <w:tblPr>
        <w:tblW w:w="4398" w:type="dxa"/>
        <w:jc w:val="left"/>
        <w:tblInd w:w="0" w:type="dxa"/>
        <w:tblCellMar>
          <w:top w:w="0" w:type="dxa"/>
          <w:left w:w="0" w:type="dxa"/>
          <w:bottom w:w="0" w:type="dxa"/>
          <w:right w:w="0" w:type="dxa"/>
        </w:tblCellMar>
      </w:tblPr>
      <w:tblGrid>
        <w:gridCol w:w="38"/>
        <w:gridCol w:w="110"/>
        <w:gridCol w:w="42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250" w:type="dxa"/>
            <w:tcBorders/>
            <w:shd w:fill="auto" w:val="clear"/>
            <w:vAlign w:val="center"/>
          </w:tcPr>
          <w:p>
            <w:pPr>
              <w:pStyle w:val="TableContents"/>
              <w:spacing w:before="0" w:after="0"/>
              <w:jc w:val="both"/>
              <w:rPr/>
            </w:pPr>
            <w:r>
              <w:rPr/>
              <w:t>currency fluctuations and exchange controls;</w:t>
            </w:r>
          </w:p>
        </w:tc>
      </w:tr>
    </w:tbl>
    <w:p>
      <w:pPr>
        <w:pStyle w:val="Normal"/>
        <w:spacing w:before="0" w:after="0"/>
        <w:rPr>
          <w:sz w:val="4"/>
          <w:szCs w:val="4"/>
        </w:rPr>
      </w:pPr>
      <w:r>
        <w:rPr>
          <w:sz w:val="4"/>
          <w:szCs w:val="4"/>
        </w:rPr>
      </w:r>
      <w:bookmarkStart w:id="527" w:name="ze16ac4e082b54bfeb64540e3b2f5ec12"/>
      <w:bookmarkStart w:id="528" w:name="ze16ac4e082b54bfeb64540e3b2f5ec12"/>
      <w:bookmarkEnd w:id="528"/>
    </w:p>
    <w:tbl>
      <w:tblPr>
        <w:tblW w:w="1773" w:type="dxa"/>
        <w:jc w:val="left"/>
        <w:tblInd w:w="0" w:type="dxa"/>
        <w:tblCellMar>
          <w:top w:w="0" w:type="dxa"/>
          <w:left w:w="0" w:type="dxa"/>
          <w:bottom w:w="0" w:type="dxa"/>
          <w:right w:w="0" w:type="dxa"/>
        </w:tblCellMar>
      </w:tblPr>
      <w:tblGrid>
        <w:gridCol w:w="38"/>
        <w:gridCol w:w="110"/>
        <w:gridCol w:w="16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625" w:type="dxa"/>
            <w:tcBorders/>
            <w:shd w:fill="auto" w:val="clear"/>
            <w:vAlign w:val="center"/>
          </w:tcPr>
          <w:p>
            <w:pPr>
              <w:pStyle w:val="TableContents"/>
              <w:spacing w:before="0" w:after="0"/>
              <w:jc w:val="both"/>
              <w:rPr/>
            </w:pPr>
            <w:r>
              <w:rPr/>
              <w:t>rates of inflation;</w:t>
            </w:r>
          </w:p>
        </w:tc>
      </w:tr>
    </w:tbl>
    <w:p>
      <w:pPr>
        <w:pStyle w:val="Normal"/>
        <w:spacing w:before="0" w:after="0"/>
        <w:rPr>
          <w:sz w:val="4"/>
          <w:szCs w:val="4"/>
        </w:rPr>
      </w:pPr>
      <w:r>
        <w:rPr>
          <w:sz w:val="4"/>
          <w:szCs w:val="4"/>
        </w:rPr>
      </w:r>
      <w:bookmarkStart w:id="529" w:name="ze34d95abd5ae4365b0bdde491b104f72"/>
      <w:bookmarkStart w:id="530" w:name="ze34d95abd5ae4365b0bdde491b104f72"/>
      <w:bookmarkEnd w:id="530"/>
    </w:p>
    <w:tbl>
      <w:tblPr>
        <w:tblW w:w="4353" w:type="dxa"/>
        <w:jc w:val="left"/>
        <w:tblInd w:w="0" w:type="dxa"/>
        <w:tblCellMar>
          <w:top w:w="0" w:type="dxa"/>
          <w:left w:w="0" w:type="dxa"/>
          <w:bottom w:w="0" w:type="dxa"/>
          <w:right w:w="0" w:type="dxa"/>
        </w:tblCellMar>
      </w:tblPr>
      <w:tblGrid>
        <w:gridCol w:w="38"/>
        <w:gridCol w:w="110"/>
        <w:gridCol w:w="420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205" w:type="dxa"/>
            <w:tcBorders/>
            <w:shd w:fill="auto" w:val="clear"/>
            <w:vAlign w:val="center"/>
          </w:tcPr>
          <w:p>
            <w:pPr>
              <w:pStyle w:val="TableContents"/>
              <w:spacing w:before="0" w:after="0"/>
              <w:jc w:val="both"/>
              <w:rPr/>
            </w:pPr>
            <w:r>
              <w:rPr/>
              <w:t>challenges in collecting accounts receivable;</w:t>
            </w:r>
          </w:p>
        </w:tc>
      </w:tr>
    </w:tbl>
    <w:p>
      <w:pPr>
        <w:pStyle w:val="Normal"/>
        <w:spacing w:before="0" w:after="0"/>
        <w:rPr>
          <w:sz w:val="4"/>
          <w:szCs w:val="4"/>
        </w:rPr>
      </w:pPr>
      <w:r>
        <w:rPr>
          <w:sz w:val="4"/>
          <w:szCs w:val="4"/>
        </w:rPr>
      </w:r>
      <w:bookmarkStart w:id="531" w:name="zc6560f22f3b74d378ed198ba2d7925d9"/>
      <w:bookmarkStart w:id="532" w:name="zc6560f22f3b74d378ed198ba2d7925d9"/>
      <w:bookmarkEnd w:id="532"/>
    </w:p>
    <w:tbl>
      <w:tblPr>
        <w:tblW w:w="3363" w:type="dxa"/>
        <w:jc w:val="left"/>
        <w:tblInd w:w="0" w:type="dxa"/>
        <w:tblCellMar>
          <w:top w:w="0" w:type="dxa"/>
          <w:left w:w="0" w:type="dxa"/>
          <w:bottom w:w="0" w:type="dxa"/>
          <w:right w:w="0" w:type="dxa"/>
        </w:tblCellMar>
      </w:tblPr>
      <w:tblGrid>
        <w:gridCol w:w="38"/>
        <w:gridCol w:w="110"/>
        <w:gridCol w:w="32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215" w:type="dxa"/>
            <w:tcBorders/>
            <w:shd w:fill="auto" w:val="clear"/>
            <w:vAlign w:val="center"/>
          </w:tcPr>
          <w:p>
            <w:pPr>
              <w:pStyle w:val="TableContents"/>
              <w:spacing w:before="0" w:after="0"/>
              <w:jc w:val="both"/>
              <w:rPr/>
            </w:pPr>
            <w:r>
              <w:rPr/>
              <w:t>cultural and language differences;</w:t>
            </w:r>
          </w:p>
        </w:tc>
      </w:tr>
    </w:tbl>
    <w:p>
      <w:pPr>
        <w:pStyle w:val="Normal"/>
        <w:spacing w:before="0" w:after="0"/>
        <w:rPr>
          <w:sz w:val="4"/>
          <w:szCs w:val="4"/>
        </w:rPr>
      </w:pPr>
      <w:r>
        <w:rPr>
          <w:sz w:val="4"/>
          <w:szCs w:val="4"/>
        </w:rPr>
      </w:r>
      <w:bookmarkStart w:id="533" w:name="z4bde00a80c2a4134a772f8e172cef2c0"/>
      <w:bookmarkStart w:id="534" w:name="z4bde00a80c2a4134a772f8e172cef2c0"/>
      <w:bookmarkEnd w:id="534"/>
    </w:p>
    <w:tbl>
      <w:tblPr>
        <w:tblW w:w="2508" w:type="dxa"/>
        <w:jc w:val="left"/>
        <w:tblInd w:w="0" w:type="dxa"/>
        <w:tblCellMar>
          <w:top w:w="0" w:type="dxa"/>
          <w:left w:w="0" w:type="dxa"/>
          <w:bottom w:w="0" w:type="dxa"/>
          <w:right w:w="0" w:type="dxa"/>
        </w:tblCellMar>
      </w:tblPr>
      <w:tblGrid>
        <w:gridCol w:w="38"/>
        <w:gridCol w:w="110"/>
        <w:gridCol w:w="23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2360" w:type="dxa"/>
            <w:tcBorders/>
            <w:shd w:fill="auto" w:val="clear"/>
            <w:vAlign w:val="center"/>
          </w:tcPr>
          <w:p>
            <w:pPr>
              <w:pStyle w:val="TableContents"/>
              <w:spacing w:before="0" w:after="0"/>
              <w:jc w:val="both"/>
              <w:rPr/>
            </w:pPr>
            <w:r>
              <w:rPr/>
              <w:t>employment regulations;</w:t>
            </w:r>
          </w:p>
        </w:tc>
      </w:tr>
    </w:tbl>
    <w:p>
      <w:pPr>
        <w:pStyle w:val="Normal"/>
        <w:spacing w:before="0" w:after="0"/>
        <w:rPr>
          <w:sz w:val="4"/>
          <w:szCs w:val="4"/>
        </w:rPr>
      </w:pPr>
      <w:r>
        <w:rPr>
          <w:sz w:val="4"/>
          <w:szCs w:val="4"/>
        </w:rPr>
      </w:r>
      <w:bookmarkStart w:id="535" w:name="zbf835a8e097d4f22affcc8f9f36b7050"/>
      <w:bookmarkStart w:id="536" w:name="zbf835a8e097d4f22affcc8f9f36b7050"/>
      <w:bookmarkEnd w:id="536"/>
    </w:p>
    <w:tbl>
      <w:tblPr>
        <w:tblW w:w="5928" w:type="dxa"/>
        <w:jc w:val="left"/>
        <w:tblInd w:w="0" w:type="dxa"/>
        <w:tblCellMar>
          <w:top w:w="0" w:type="dxa"/>
          <w:left w:w="0" w:type="dxa"/>
          <w:bottom w:w="0" w:type="dxa"/>
          <w:right w:w="0" w:type="dxa"/>
        </w:tblCellMar>
      </w:tblPr>
      <w:tblGrid>
        <w:gridCol w:w="38"/>
        <w:gridCol w:w="110"/>
        <w:gridCol w:w="57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780" w:type="dxa"/>
            <w:tcBorders/>
            <w:shd w:fill="auto" w:val="clear"/>
            <w:vAlign w:val="center"/>
          </w:tcPr>
          <w:p>
            <w:pPr>
              <w:pStyle w:val="TableContents"/>
              <w:spacing w:before="0" w:after="0"/>
              <w:jc w:val="both"/>
              <w:rPr/>
            </w:pPr>
            <w:r>
              <w:rPr/>
              <w:t>underdeveloped or unpredictable legal or regulatory systems;</w:t>
            </w:r>
          </w:p>
        </w:tc>
      </w:tr>
    </w:tbl>
    <w:p>
      <w:pPr>
        <w:pStyle w:val="Normal"/>
        <w:spacing w:before="0" w:after="0"/>
        <w:rPr>
          <w:sz w:val="4"/>
          <w:szCs w:val="4"/>
        </w:rPr>
      </w:pPr>
      <w:r>
        <w:rPr>
          <w:sz w:val="4"/>
          <w:szCs w:val="4"/>
        </w:rPr>
      </w:r>
      <w:bookmarkStart w:id="537" w:name="zd2fd64aa538c40568ab2f2d13d0e1544"/>
      <w:bookmarkStart w:id="538" w:name="zd2fd64aa538c40568ab2f2d13d0e1544"/>
      <w:bookmarkEnd w:id="538"/>
    </w:p>
    <w:tbl>
      <w:tblPr>
        <w:tblW w:w="1218" w:type="dxa"/>
        <w:jc w:val="left"/>
        <w:tblInd w:w="0" w:type="dxa"/>
        <w:tblCellMar>
          <w:top w:w="0" w:type="dxa"/>
          <w:left w:w="0" w:type="dxa"/>
          <w:bottom w:w="0" w:type="dxa"/>
          <w:right w:w="0" w:type="dxa"/>
        </w:tblCellMar>
      </w:tblPr>
      <w:tblGrid>
        <w:gridCol w:w="38"/>
        <w:gridCol w:w="110"/>
        <w:gridCol w:w="107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70" w:type="dxa"/>
            <w:tcBorders/>
            <w:shd w:fill="auto" w:val="clear"/>
            <w:vAlign w:val="center"/>
          </w:tcPr>
          <w:p>
            <w:pPr>
              <w:pStyle w:val="TableContents"/>
              <w:spacing w:before="0" w:after="0"/>
              <w:jc w:val="both"/>
              <w:rPr/>
            </w:pPr>
            <w:r>
              <w:rPr/>
              <w:t>corruption;</w:t>
            </w:r>
          </w:p>
        </w:tc>
      </w:tr>
    </w:tbl>
    <w:p>
      <w:pPr>
        <w:pStyle w:val="Normal"/>
        <w:spacing w:before="0" w:after="0"/>
        <w:rPr>
          <w:sz w:val="4"/>
          <w:szCs w:val="4"/>
        </w:rPr>
      </w:pPr>
      <w:r>
        <w:rPr>
          <w:sz w:val="4"/>
          <w:szCs w:val="4"/>
        </w:rPr>
      </w:r>
      <w:bookmarkStart w:id="539" w:name="z008b2169e4e44d1da951fd67624dca4f"/>
      <w:bookmarkStart w:id="540" w:name="z008b2169e4e44d1da951fd67624dca4f"/>
      <w:bookmarkEnd w:id="540"/>
    </w:p>
    <w:tbl>
      <w:tblPr>
        <w:tblW w:w="3378" w:type="dxa"/>
        <w:jc w:val="left"/>
        <w:tblInd w:w="0" w:type="dxa"/>
        <w:tblCellMar>
          <w:top w:w="0" w:type="dxa"/>
          <w:left w:w="0" w:type="dxa"/>
          <w:bottom w:w="0" w:type="dxa"/>
          <w:right w:w="0" w:type="dxa"/>
        </w:tblCellMar>
      </w:tblPr>
      <w:tblGrid>
        <w:gridCol w:w="38"/>
        <w:gridCol w:w="110"/>
        <w:gridCol w:w="32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230" w:type="dxa"/>
            <w:tcBorders/>
            <w:shd w:fill="auto" w:val="clear"/>
            <w:vAlign w:val="center"/>
          </w:tcPr>
          <w:p>
            <w:pPr>
              <w:pStyle w:val="TableContents"/>
              <w:spacing w:before="0" w:after="0"/>
              <w:jc w:val="both"/>
              <w:rPr/>
            </w:pPr>
            <w:r>
              <w:rPr/>
              <w:t>protection of intellectual property;</w:t>
            </w:r>
          </w:p>
        </w:tc>
      </w:tr>
    </w:tbl>
    <w:p>
      <w:pPr>
        <w:pStyle w:val="Normal"/>
        <w:spacing w:before="0" w:after="0"/>
        <w:rPr>
          <w:sz w:val="4"/>
          <w:szCs w:val="4"/>
        </w:rPr>
      </w:pPr>
      <w:r>
        <w:rPr>
          <w:sz w:val="4"/>
          <w:szCs w:val="4"/>
        </w:rPr>
      </w:r>
      <w:bookmarkStart w:id="541" w:name="zbec502f81c85447596bc47bba049ae83"/>
      <w:bookmarkStart w:id="542" w:name="zbec502f81c85447596bc47bba049ae83"/>
      <w:bookmarkEnd w:id="542"/>
    </w:p>
    <w:tbl>
      <w:tblPr>
        <w:tblW w:w="5403" w:type="dxa"/>
        <w:jc w:val="left"/>
        <w:tblInd w:w="0" w:type="dxa"/>
        <w:tblCellMar>
          <w:top w:w="0" w:type="dxa"/>
          <w:left w:w="0" w:type="dxa"/>
          <w:bottom w:w="0" w:type="dxa"/>
          <w:right w:w="0" w:type="dxa"/>
        </w:tblCellMar>
      </w:tblPr>
      <w:tblGrid>
        <w:gridCol w:w="38"/>
        <w:gridCol w:w="110"/>
        <w:gridCol w:w="525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255" w:type="dxa"/>
            <w:tcBorders/>
            <w:shd w:fill="auto" w:val="clear"/>
            <w:vAlign w:val="center"/>
          </w:tcPr>
          <w:p>
            <w:pPr>
              <w:pStyle w:val="TableContents"/>
              <w:spacing w:before="0" w:after="0"/>
              <w:jc w:val="both"/>
              <w:rPr/>
            </w:pPr>
            <w:r>
              <w:rPr/>
              <w:t>social unrest, crime, strikes, riots and civil disturbances;</w:t>
            </w:r>
          </w:p>
        </w:tc>
      </w:tr>
    </w:tbl>
    <w:p>
      <w:pPr>
        <w:pStyle w:val="Normal"/>
        <w:spacing w:before="0" w:after="0"/>
        <w:rPr>
          <w:sz w:val="4"/>
          <w:szCs w:val="4"/>
        </w:rPr>
      </w:pPr>
      <w:r>
        <w:rPr>
          <w:sz w:val="4"/>
          <w:szCs w:val="4"/>
        </w:rPr>
      </w:r>
      <w:bookmarkStart w:id="543" w:name="z9f2590b3e4c946029bf439debb8799ac"/>
      <w:bookmarkStart w:id="544" w:name="z9f2590b3e4c946029bf439debb8799ac"/>
      <w:bookmarkEnd w:id="544"/>
    </w:p>
    <w:tbl>
      <w:tblPr>
        <w:tblW w:w="3843" w:type="dxa"/>
        <w:jc w:val="left"/>
        <w:tblInd w:w="0" w:type="dxa"/>
        <w:tblCellMar>
          <w:top w:w="0" w:type="dxa"/>
          <w:left w:w="0" w:type="dxa"/>
          <w:bottom w:w="0" w:type="dxa"/>
          <w:right w:w="0" w:type="dxa"/>
        </w:tblCellMar>
      </w:tblPr>
      <w:tblGrid>
        <w:gridCol w:w="38"/>
        <w:gridCol w:w="110"/>
        <w:gridCol w:w="369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695" w:type="dxa"/>
            <w:tcBorders/>
            <w:shd w:fill="auto" w:val="clear"/>
            <w:vAlign w:val="center"/>
          </w:tcPr>
          <w:p>
            <w:pPr>
              <w:pStyle w:val="TableContents"/>
              <w:spacing w:before="0" w:after="0"/>
              <w:jc w:val="both"/>
              <w:rPr/>
            </w:pPr>
            <w:r>
              <w:rPr/>
              <w:t>regime changes and political upheaval;</w:t>
            </w:r>
          </w:p>
        </w:tc>
      </w:tr>
    </w:tbl>
    <w:p>
      <w:pPr>
        <w:pStyle w:val="Normal"/>
        <w:spacing w:before="0" w:after="0"/>
        <w:rPr>
          <w:sz w:val="4"/>
          <w:szCs w:val="4"/>
        </w:rPr>
      </w:pPr>
      <w:r>
        <w:rPr>
          <w:sz w:val="4"/>
          <w:szCs w:val="4"/>
        </w:rPr>
      </w:r>
      <w:bookmarkStart w:id="545" w:name="zca464e40d3f4420bb8c9e053a3ffd55f"/>
      <w:bookmarkStart w:id="546" w:name="zca464e40d3f4420bb8c9e053a3ffd55f"/>
      <w:bookmarkEnd w:id="546"/>
    </w:p>
    <w:tbl>
      <w:tblPr>
        <w:tblW w:w="4608" w:type="dxa"/>
        <w:jc w:val="left"/>
        <w:tblInd w:w="0" w:type="dxa"/>
        <w:tblCellMar>
          <w:top w:w="0" w:type="dxa"/>
          <w:left w:w="0" w:type="dxa"/>
          <w:bottom w:w="0" w:type="dxa"/>
          <w:right w:w="0" w:type="dxa"/>
        </w:tblCellMar>
      </w:tblPr>
      <w:tblGrid>
        <w:gridCol w:w="38"/>
        <w:gridCol w:w="110"/>
        <w:gridCol w:w="44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460" w:type="dxa"/>
            <w:tcBorders/>
            <w:shd w:fill="auto" w:val="clear"/>
            <w:vAlign w:val="center"/>
          </w:tcPr>
          <w:p>
            <w:pPr>
              <w:pStyle w:val="TableContents"/>
              <w:spacing w:before="0" w:after="0"/>
              <w:jc w:val="both"/>
              <w:rPr/>
            </w:pPr>
            <w:r>
              <w:rPr/>
              <w:t>terrorist attacks, natural disasters and wars; and</w:t>
            </w:r>
          </w:p>
        </w:tc>
      </w:tr>
    </w:tbl>
    <w:p>
      <w:pPr>
        <w:pStyle w:val="Normal"/>
        <w:spacing w:before="0" w:after="0"/>
        <w:rPr>
          <w:sz w:val="4"/>
          <w:szCs w:val="4"/>
        </w:rPr>
      </w:pPr>
      <w:r>
        <w:rPr>
          <w:sz w:val="4"/>
          <w:szCs w:val="4"/>
        </w:rPr>
      </w:r>
      <w:bookmarkStart w:id="547" w:name="zd359ae46979f41e58507f8b991781fc6"/>
      <w:bookmarkStart w:id="548" w:name="zd359ae46979f41e58507f8b991781fc6"/>
      <w:bookmarkEnd w:id="548"/>
    </w:p>
    <w:tbl>
      <w:tblPr>
        <w:tblW w:w="5493" w:type="dxa"/>
        <w:jc w:val="left"/>
        <w:tblInd w:w="0" w:type="dxa"/>
        <w:tblCellMar>
          <w:top w:w="0" w:type="dxa"/>
          <w:left w:w="0" w:type="dxa"/>
          <w:bottom w:w="0" w:type="dxa"/>
          <w:right w:w="0" w:type="dxa"/>
        </w:tblCellMar>
      </w:tblPr>
      <w:tblGrid>
        <w:gridCol w:w="38"/>
        <w:gridCol w:w="110"/>
        <w:gridCol w:w="534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345" w:type="dxa"/>
            <w:tcBorders/>
            <w:shd w:fill="auto" w:val="clear"/>
            <w:vAlign w:val="center"/>
          </w:tcPr>
          <w:p>
            <w:pPr>
              <w:pStyle w:val="TableContents"/>
              <w:spacing w:before="0" w:after="0"/>
              <w:jc w:val="both"/>
              <w:rPr/>
            </w:pPr>
            <w:r>
              <w:rPr/>
              <w:t>deterioration of political relations with the United States.</w:t>
            </w:r>
          </w:p>
        </w:tc>
      </w:tr>
    </w:tbl>
    <w:p>
      <w:pPr>
        <w:pStyle w:val="TextBody"/>
        <w:spacing w:before="0" w:after="0"/>
        <w:rPr/>
      </w:pPr>
      <w:r>
        <w:rPr/>
      </w:r>
    </w:p>
    <w:p>
      <w:pPr>
        <w:pStyle w:val="TextBody"/>
        <w:spacing w:before="0" w:after="0"/>
        <w:jc w:val="both"/>
        <w:rPr>
          <w:color w:val="000000"/>
        </w:rPr>
      </w:pPr>
      <w:r>
        <w:rPr>
          <w:color w:val="000000"/>
        </w:rPr>
        <w:t>We may not be able to adequately address these additional risks. If we were unable to do so, we may be unable to complete such initial business combination, or, if we complete such combination, our operations might suffer, either of which may adversely impact our business, financial condition and results of operations.</w:t>
      </w:r>
    </w:p>
    <w:p>
      <w:pPr>
        <w:pStyle w:val="TextBody"/>
        <w:spacing w:before="0" w:after="0"/>
        <w:rPr/>
      </w:pPr>
      <w:r>
        <w:rPr/>
      </w:r>
    </w:p>
    <w:p>
      <w:pPr>
        <w:pStyle w:val="TextBody"/>
        <w:spacing w:before="0" w:after="0"/>
        <w:jc w:val="both"/>
        <w:rPr>
          <w:b/>
          <w:color w:val="000000"/>
        </w:rPr>
      </w:pPr>
      <w:r>
        <w:rPr>
          <w:b/>
          <w:color w:val="000000"/>
        </w:rPr>
        <w:t>If our management following our initial business combination is unfamiliar with United States securities laws, they may have to expend time and resources becoming familiar with such laws, which could lead to various regulatory issues.</w:t>
      </w:r>
    </w:p>
    <w:p>
      <w:pPr>
        <w:pStyle w:val="TextBody"/>
        <w:spacing w:before="0" w:after="0"/>
        <w:rPr/>
      </w:pPr>
      <w:r>
        <w:rPr/>
      </w:r>
    </w:p>
    <w:p>
      <w:pPr>
        <w:pStyle w:val="TextBody"/>
        <w:spacing w:before="0" w:after="0"/>
        <w:jc w:val="both"/>
        <w:rPr>
          <w:color w:val="000000"/>
        </w:rPr>
      </w:pPr>
      <w:r>
        <w:rPr>
          <w:color w:val="000000"/>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pStyle w:val="TextBody"/>
        <w:spacing w:before="0" w:after="0"/>
        <w:rPr/>
      </w:pPr>
      <w:r>
        <w:rPr/>
      </w:r>
    </w:p>
    <w:p>
      <w:pPr>
        <w:pStyle w:val="TextBody"/>
        <w:spacing w:before="0" w:after="0"/>
        <w:jc w:val="both"/>
        <w:rPr>
          <w:b/>
          <w:color w:val="000000"/>
        </w:rPr>
      </w:pPr>
      <w:r>
        <w:rPr>
          <w:b/>
          <w:color w:val="000000"/>
        </w:rPr>
        <w:t>After our initial business combination, substantially all of our assets may be located in a foreign country and substantially all of our revenue may be derived from our operations in such country. Accordingly, our results of operations and prospects will be subject, to a significant extent, to the economic, political and social conditions and government policies, developments and conditions in the country in which we operate.</w:t>
      </w:r>
    </w:p>
    <w:p>
      <w:pPr>
        <w:pStyle w:val="TextBody"/>
        <w:spacing w:before="0" w:after="0"/>
        <w:rPr/>
      </w:pPr>
      <w:r>
        <w:rPr/>
      </w:r>
    </w:p>
    <w:p>
      <w:pPr>
        <w:pStyle w:val="TextBody"/>
        <w:spacing w:before="0" w:after="0"/>
        <w:jc w:val="both"/>
        <w:rPr>
          <w:color w:val="000000"/>
        </w:rPr>
      </w:pPr>
      <w:r>
        <w:rPr>
          <w:color w:val="000000"/>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pStyle w:val="TextBody"/>
        <w:spacing w:before="0" w:after="0"/>
        <w:rPr/>
      </w:pPr>
      <w:r>
        <w:rPr/>
      </w:r>
    </w:p>
    <w:p>
      <w:pPr>
        <w:pStyle w:val="TextBody"/>
        <w:spacing w:before="0" w:after="0"/>
        <w:jc w:val="both"/>
        <w:rPr>
          <w:b/>
          <w:color w:val="000000"/>
        </w:rPr>
      </w:pPr>
      <w:r>
        <w:rPr>
          <w:b/>
          <w:color w:val="000000"/>
        </w:rPr>
        <w:t>Exchange rate fluctuations and currency policies may cause a target business’s ability to succeed in the international markets to be diminished.</w:t>
      </w:r>
    </w:p>
    <w:p>
      <w:pPr>
        <w:pStyle w:val="TextBody"/>
        <w:spacing w:before="0" w:after="0"/>
        <w:rPr/>
      </w:pPr>
      <w:r>
        <w:rPr/>
      </w:r>
    </w:p>
    <w:p>
      <w:pPr>
        <w:pStyle w:val="TextBody"/>
        <w:spacing w:before="0" w:after="0"/>
        <w:jc w:val="both"/>
        <w:rPr>
          <w:color w:val="000000"/>
        </w:rPr>
      </w:pPr>
      <w:r>
        <w:rPr>
          <w:color w:val="000000"/>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pStyle w:val="TextBody"/>
        <w:spacing w:before="0" w:after="0"/>
        <w:rPr/>
      </w:pPr>
      <w:r>
        <w:rPr/>
      </w:r>
    </w:p>
    <w:p>
      <w:pPr>
        <w:pStyle w:val="TextBody"/>
        <w:spacing w:before="0" w:after="0"/>
        <w:jc w:val="both"/>
        <w:rPr>
          <w:b/>
          <w:color w:val="000000"/>
        </w:rPr>
      </w:pPr>
      <w:r>
        <w:rPr>
          <w:b/>
          <w:color w:val="000000"/>
        </w:rPr>
        <w:t>We may reincorporate in another jurisdiction in connection with our initial business combination, and the laws of such jurisdiction may govern some or all of our future material agreements and we may not be able to enforce our legal rights.</w:t>
      </w:r>
    </w:p>
    <w:p>
      <w:pPr>
        <w:pStyle w:val="TextBody"/>
        <w:spacing w:before="0" w:after="0"/>
        <w:jc w:val="both"/>
        <w:rPr>
          <w:b/>
          <w:color w:val="000000"/>
        </w:rPr>
      </w:pPr>
      <w:r>
        <w:rPr>
          <w:b/>
          <w:color w:val="00000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49" w:name="DSPFPageBreakArea47"/>
      <w:bookmarkStart w:id="550" w:name="DSPFPageBreakArea47"/>
      <w:bookmarkEnd w:id="5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551" w:name="DSPFPageNumber46"/>
      <w:bookmarkStart w:id="552" w:name="DSPFPageNumberArea45"/>
      <w:bookmarkEnd w:id="551"/>
      <w:bookmarkEnd w:id="552"/>
      <w:r>
        <w:rPr>
          <w:b w:val="false"/>
          <w:i w:val="false"/>
          <w:caps w:val="false"/>
          <w:smallCaps w:val="false"/>
          <w:sz w:val="16"/>
        </w:rPr>
        <w:t>49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53" w:name="DSPFPageBreak47"/>
      <w:bookmarkStart w:id="554" w:name="DSPFPageBreak47"/>
      <w:bookmarkEnd w:id="5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555" w:name="DSPFPageHeader45"/>
        <w:bookmarkEnd w:id="555"/>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pStyle w:val="TextBody"/>
        <w:spacing w:before="0" w:after="0"/>
        <w:rPr/>
      </w:pPr>
      <w:r>
        <w:rPr/>
      </w:r>
    </w:p>
    <w:p>
      <w:pPr>
        <w:pStyle w:val="TextBody"/>
        <w:spacing w:before="0" w:after="0"/>
        <w:jc w:val="both"/>
        <w:rPr>
          <w:b/>
          <w:color w:val="000000"/>
        </w:rPr>
      </w:pPr>
      <w:r>
        <w:rPr>
          <w:b/>
          <w:color w:val="000000"/>
        </w:rPr>
        <w:t>We are subject to changing law and regulations regarding regulatory matters, corporate governance and public disclosure that have increased both our costs and the risk of non-compliance.</w:t>
      </w:r>
    </w:p>
    <w:p>
      <w:pPr>
        <w:pStyle w:val="TextBody"/>
        <w:spacing w:before="0" w:after="0"/>
        <w:rPr/>
      </w:pPr>
      <w:r>
        <w:rPr/>
      </w:r>
    </w:p>
    <w:p>
      <w:pPr>
        <w:pStyle w:val="TextBody"/>
        <w:spacing w:before="0" w:after="0"/>
        <w:jc w:val="both"/>
        <w:rPr>
          <w:color w:val="000000"/>
        </w:rPr>
      </w:pPr>
      <w:r>
        <w:rPr>
          <w:color w:val="000000"/>
        </w:rPr>
        <w:t>We are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seeking a business combination target.</w:t>
      </w:r>
    </w:p>
    <w:p>
      <w:pPr>
        <w:pStyle w:val="TextBody"/>
        <w:spacing w:before="0" w:after="0"/>
        <w:rPr/>
      </w:pPr>
      <w:r>
        <w:rPr/>
      </w:r>
    </w:p>
    <w:p>
      <w:pPr>
        <w:pStyle w:val="TextBody"/>
        <w:spacing w:before="0" w:after="0"/>
        <w:jc w:val="both"/>
        <w:rPr>
          <w:color w:val="000000"/>
        </w:rPr>
      </w:pPr>
      <w:r>
        <w:rPr>
          <w:color w:val="00000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pStyle w:val="TextBody"/>
        <w:spacing w:before="0" w:after="0"/>
        <w:rPr/>
      </w:pPr>
      <w:r>
        <w:rPr/>
      </w:r>
    </w:p>
    <w:p>
      <w:pPr>
        <w:pStyle w:val="Normal"/>
        <w:spacing w:before="0" w:after="0"/>
        <w:rPr>
          <w:sz w:val="4"/>
          <w:szCs w:val="4"/>
        </w:rPr>
      </w:pPr>
      <w:r>
        <w:rPr>
          <w:sz w:val="4"/>
          <w:szCs w:val="4"/>
        </w:rPr>
      </w:r>
      <w:bookmarkStart w:id="556" w:name="z0e3984490efc425c95e20146727ba56b"/>
      <w:bookmarkStart w:id="557" w:name="Item1B."/>
      <w:bookmarkStart w:id="558" w:name="z0e3984490efc425c95e20146727ba56b"/>
      <w:bookmarkStart w:id="559" w:name="Item1B."/>
      <w:bookmarkEnd w:id="558"/>
      <w:bookmarkEnd w:id="559"/>
    </w:p>
    <w:tbl>
      <w:tblPr>
        <w:tblW w:w="3790" w:type="dxa"/>
        <w:jc w:val="left"/>
        <w:tblInd w:w="0" w:type="dxa"/>
        <w:tblCellMar>
          <w:top w:w="0" w:type="dxa"/>
          <w:left w:w="0" w:type="dxa"/>
          <w:bottom w:w="0" w:type="dxa"/>
          <w:right w:w="0" w:type="dxa"/>
        </w:tblCellMar>
      </w:tblPr>
      <w:tblGrid>
        <w:gridCol w:w="905"/>
        <w:gridCol w:w="2885"/>
      </w:tblGrid>
      <w:tr>
        <w:trPr/>
        <w:tc>
          <w:tcPr>
            <w:tcW w:w="905" w:type="dxa"/>
            <w:tcBorders/>
            <w:shd w:fill="auto" w:val="clear"/>
            <w:vAlign w:val="center"/>
          </w:tcPr>
          <w:p>
            <w:pPr>
              <w:pStyle w:val="TableContents"/>
              <w:spacing w:before="0" w:after="283"/>
              <w:rPr>
                <w:b/>
                <w:color w:val="000000"/>
              </w:rPr>
            </w:pPr>
            <w:r>
              <w:rPr>
                <w:b/>
                <w:color w:val="000000"/>
              </w:rPr>
              <w:t>Item 1B.</w:t>
            </w:r>
          </w:p>
        </w:tc>
        <w:tc>
          <w:tcPr>
            <w:tcW w:w="2885" w:type="dxa"/>
            <w:tcBorders/>
            <w:shd w:fill="auto" w:val="clear"/>
            <w:vAlign w:val="center"/>
          </w:tcPr>
          <w:p>
            <w:pPr>
              <w:pStyle w:val="TableContents"/>
              <w:spacing w:before="0" w:after="0"/>
              <w:jc w:val="both"/>
              <w:rPr>
                <w:b/>
                <w:color w:val="000000"/>
              </w:rPr>
            </w:pPr>
            <w:r>
              <w:rPr>
                <w:b/>
                <w:color w:val="000000"/>
              </w:rPr>
              <w:t>Unresolved Staff Comments</w:t>
            </w:r>
          </w:p>
        </w:tc>
      </w:tr>
    </w:tbl>
    <w:p>
      <w:pPr>
        <w:pStyle w:val="TextBody"/>
        <w:spacing w:before="0" w:after="0"/>
        <w:rPr/>
      </w:pPr>
      <w:r>
        <w:rPr/>
      </w:r>
    </w:p>
    <w:p>
      <w:pPr>
        <w:pStyle w:val="TextBody"/>
        <w:spacing w:before="0" w:after="0"/>
        <w:jc w:val="both"/>
        <w:rPr>
          <w:color w:val="000000"/>
        </w:rPr>
      </w:pPr>
      <w:r>
        <w:rPr>
          <w:color w:val="000000"/>
        </w:rPr>
        <w:t>None.</w:t>
      </w:r>
    </w:p>
    <w:p>
      <w:pPr>
        <w:pStyle w:val="TextBody"/>
        <w:spacing w:before="0" w:after="0"/>
        <w:rPr/>
      </w:pPr>
      <w:r>
        <w:rPr/>
      </w:r>
    </w:p>
    <w:p>
      <w:pPr>
        <w:pStyle w:val="Normal"/>
        <w:spacing w:before="0" w:after="0"/>
        <w:rPr>
          <w:sz w:val="4"/>
          <w:szCs w:val="4"/>
        </w:rPr>
      </w:pPr>
      <w:r>
        <w:rPr>
          <w:sz w:val="4"/>
          <w:szCs w:val="4"/>
        </w:rPr>
      </w:r>
      <w:bookmarkStart w:id="560" w:name="ze8a02416be7b49d28e1c00063187d263"/>
      <w:bookmarkStart w:id="561" w:name="Item2."/>
      <w:bookmarkStart w:id="562" w:name="ze8a02416be7b49d28e1c00063187d263"/>
      <w:bookmarkStart w:id="563" w:name="Item2."/>
      <w:bookmarkEnd w:id="562"/>
      <w:bookmarkEnd w:id="563"/>
    </w:p>
    <w:tbl>
      <w:tblPr>
        <w:tblW w:w="1825" w:type="dxa"/>
        <w:jc w:val="left"/>
        <w:tblInd w:w="0" w:type="dxa"/>
        <w:tblCellMar>
          <w:top w:w="0" w:type="dxa"/>
          <w:left w:w="0" w:type="dxa"/>
          <w:bottom w:w="0" w:type="dxa"/>
          <w:right w:w="0" w:type="dxa"/>
        </w:tblCellMar>
      </w:tblPr>
      <w:tblGrid>
        <w:gridCol w:w="740"/>
        <w:gridCol w:w="1085"/>
      </w:tblGrid>
      <w:tr>
        <w:trPr/>
        <w:tc>
          <w:tcPr>
            <w:tcW w:w="740" w:type="dxa"/>
            <w:tcBorders/>
            <w:shd w:fill="auto" w:val="clear"/>
            <w:vAlign w:val="center"/>
          </w:tcPr>
          <w:p>
            <w:pPr>
              <w:pStyle w:val="TableContents"/>
              <w:spacing w:before="0" w:after="283"/>
              <w:rPr>
                <w:b/>
                <w:color w:val="000000"/>
              </w:rPr>
            </w:pPr>
            <w:r>
              <w:rPr>
                <w:b/>
                <w:color w:val="000000"/>
              </w:rPr>
              <w:t>Item 2.</w:t>
            </w:r>
          </w:p>
        </w:tc>
        <w:tc>
          <w:tcPr>
            <w:tcW w:w="1085" w:type="dxa"/>
            <w:tcBorders/>
            <w:shd w:fill="auto" w:val="clear"/>
            <w:vAlign w:val="center"/>
          </w:tcPr>
          <w:p>
            <w:pPr>
              <w:pStyle w:val="TableContents"/>
              <w:spacing w:before="0" w:after="0"/>
              <w:jc w:val="both"/>
              <w:rPr>
                <w:b/>
                <w:color w:val="000000"/>
              </w:rPr>
            </w:pPr>
            <w:r>
              <w:rPr>
                <w:b/>
                <w:color w:val="000000"/>
              </w:rPr>
              <w:t>Properties</w:t>
            </w:r>
          </w:p>
        </w:tc>
      </w:tr>
    </w:tbl>
    <w:p>
      <w:pPr>
        <w:pStyle w:val="TextBody"/>
        <w:spacing w:before="0" w:after="0"/>
        <w:rPr/>
      </w:pPr>
      <w:r>
        <w:rPr/>
      </w:r>
    </w:p>
    <w:p>
      <w:pPr>
        <w:pStyle w:val="TextBody"/>
        <w:spacing w:before="0" w:after="0"/>
        <w:jc w:val="both"/>
        <w:rPr>
          <w:color w:val="000000"/>
        </w:rPr>
      </w:pPr>
      <w:r>
        <w:rPr>
          <w:color w:val="000000"/>
        </w:rPr>
        <w:t>We currently maintain our executive offices at 51 Astor Place, 10th Floor, New York, New York 10003. The cost for our use of this space is included in the $10,000 per month fee we will pay to our sponsor for office space, administrative and support services. We consider our current office space adequate for our current operations.</w:t>
      </w:r>
    </w:p>
    <w:p>
      <w:pPr>
        <w:pStyle w:val="TextBody"/>
        <w:spacing w:before="0" w:after="0"/>
        <w:rPr/>
      </w:pPr>
      <w:r>
        <w:rPr/>
      </w:r>
    </w:p>
    <w:p>
      <w:pPr>
        <w:pStyle w:val="Normal"/>
        <w:spacing w:before="0" w:after="0"/>
        <w:rPr>
          <w:sz w:val="4"/>
          <w:szCs w:val="4"/>
        </w:rPr>
      </w:pPr>
      <w:r>
        <w:rPr>
          <w:sz w:val="4"/>
          <w:szCs w:val="4"/>
        </w:rPr>
      </w:r>
      <w:bookmarkStart w:id="564" w:name="zabf29454ea744aff9a33a8937c790886"/>
      <w:bookmarkStart w:id="565" w:name="Item3."/>
      <w:bookmarkStart w:id="566" w:name="zabf29454ea744aff9a33a8937c790886"/>
      <w:bookmarkStart w:id="567" w:name="Item3."/>
      <w:bookmarkEnd w:id="566"/>
      <w:bookmarkEnd w:id="567"/>
    </w:p>
    <w:tbl>
      <w:tblPr>
        <w:tblW w:w="2635" w:type="dxa"/>
        <w:jc w:val="left"/>
        <w:tblInd w:w="0" w:type="dxa"/>
        <w:tblCellMar>
          <w:top w:w="0" w:type="dxa"/>
          <w:left w:w="0" w:type="dxa"/>
          <w:bottom w:w="0" w:type="dxa"/>
          <w:right w:w="0" w:type="dxa"/>
        </w:tblCellMar>
      </w:tblPr>
      <w:tblGrid>
        <w:gridCol w:w="740"/>
        <w:gridCol w:w="1895"/>
      </w:tblGrid>
      <w:tr>
        <w:trPr/>
        <w:tc>
          <w:tcPr>
            <w:tcW w:w="740" w:type="dxa"/>
            <w:tcBorders/>
            <w:shd w:fill="auto" w:val="clear"/>
            <w:vAlign w:val="center"/>
          </w:tcPr>
          <w:p>
            <w:pPr>
              <w:pStyle w:val="TableContents"/>
              <w:spacing w:before="0" w:after="283"/>
              <w:rPr>
                <w:b/>
                <w:color w:val="000000"/>
              </w:rPr>
            </w:pPr>
            <w:r>
              <w:rPr>
                <w:b/>
                <w:color w:val="000000"/>
              </w:rPr>
              <w:t>Item 3.</w:t>
            </w:r>
          </w:p>
        </w:tc>
        <w:tc>
          <w:tcPr>
            <w:tcW w:w="1895" w:type="dxa"/>
            <w:tcBorders/>
            <w:shd w:fill="auto" w:val="clear"/>
            <w:vAlign w:val="center"/>
          </w:tcPr>
          <w:p>
            <w:pPr>
              <w:pStyle w:val="TableContents"/>
              <w:spacing w:before="0" w:after="0"/>
              <w:jc w:val="both"/>
              <w:rPr>
                <w:b/>
                <w:color w:val="000000"/>
              </w:rPr>
            </w:pPr>
            <w:r>
              <w:rPr>
                <w:b/>
                <w:color w:val="000000"/>
              </w:rPr>
              <w:t>Legal Proceedings</w:t>
            </w:r>
          </w:p>
        </w:tc>
      </w:tr>
    </w:tbl>
    <w:p>
      <w:pPr>
        <w:pStyle w:val="TextBody"/>
        <w:spacing w:before="0" w:after="0"/>
        <w:rPr/>
      </w:pPr>
      <w:r>
        <w:rPr/>
      </w:r>
    </w:p>
    <w:p>
      <w:pPr>
        <w:pStyle w:val="TextBody"/>
        <w:spacing w:before="0" w:after="0"/>
        <w:jc w:val="both"/>
        <w:rPr>
          <w:color w:val="000000"/>
        </w:rPr>
      </w:pPr>
      <w:r>
        <w:rPr>
          <w:color w:val="000000"/>
        </w:rPr>
        <w:t>To the knowledge of our management, there is no litigation currently pending or contemplated against us, any of our officers or directors in their capacity as such or against any of our property.</w:t>
      </w:r>
    </w:p>
    <w:p>
      <w:pPr>
        <w:pStyle w:val="TextBody"/>
        <w:spacing w:before="0" w:after="0"/>
        <w:rPr/>
      </w:pPr>
      <w:r>
        <w:rPr/>
      </w:r>
    </w:p>
    <w:p>
      <w:pPr>
        <w:pStyle w:val="Normal"/>
        <w:spacing w:before="0" w:after="0"/>
        <w:rPr>
          <w:sz w:val="4"/>
          <w:szCs w:val="4"/>
        </w:rPr>
      </w:pPr>
      <w:r>
        <w:rPr>
          <w:sz w:val="4"/>
          <w:szCs w:val="4"/>
        </w:rPr>
      </w:r>
      <w:bookmarkStart w:id="568" w:name="ze7f4a63abd0445709c3804890b90572b"/>
      <w:bookmarkStart w:id="569" w:name="Item4."/>
      <w:bookmarkStart w:id="570" w:name="ze7f4a63abd0445709c3804890b90572b"/>
      <w:bookmarkStart w:id="571" w:name="Item4."/>
      <w:bookmarkEnd w:id="570"/>
      <w:bookmarkEnd w:id="571"/>
    </w:p>
    <w:tbl>
      <w:tblPr>
        <w:tblW w:w="3190" w:type="dxa"/>
        <w:jc w:val="left"/>
        <w:tblInd w:w="0" w:type="dxa"/>
        <w:tblCellMar>
          <w:top w:w="0" w:type="dxa"/>
          <w:left w:w="0" w:type="dxa"/>
          <w:bottom w:w="0" w:type="dxa"/>
          <w:right w:w="0" w:type="dxa"/>
        </w:tblCellMar>
      </w:tblPr>
      <w:tblGrid>
        <w:gridCol w:w="740"/>
        <w:gridCol w:w="2450"/>
      </w:tblGrid>
      <w:tr>
        <w:trPr/>
        <w:tc>
          <w:tcPr>
            <w:tcW w:w="740" w:type="dxa"/>
            <w:tcBorders/>
            <w:shd w:fill="auto" w:val="clear"/>
            <w:vAlign w:val="center"/>
          </w:tcPr>
          <w:p>
            <w:pPr>
              <w:pStyle w:val="TableContents"/>
              <w:spacing w:before="0" w:after="283"/>
              <w:rPr>
                <w:b/>
                <w:color w:val="000000"/>
              </w:rPr>
            </w:pPr>
            <w:r>
              <w:rPr>
                <w:b/>
                <w:color w:val="000000"/>
              </w:rPr>
              <w:t>Item 4.</w:t>
            </w:r>
          </w:p>
        </w:tc>
        <w:tc>
          <w:tcPr>
            <w:tcW w:w="2450" w:type="dxa"/>
            <w:tcBorders/>
            <w:shd w:fill="auto" w:val="clear"/>
            <w:vAlign w:val="center"/>
          </w:tcPr>
          <w:p>
            <w:pPr>
              <w:pStyle w:val="TableContents"/>
              <w:spacing w:before="0" w:after="0"/>
              <w:jc w:val="both"/>
              <w:rPr>
                <w:b/>
                <w:color w:val="000000"/>
              </w:rPr>
            </w:pPr>
            <w:r>
              <w:rPr>
                <w:b/>
                <w:color w:val="000000"/>
              </w:rPr>
              <w:t>Mine Safety Disclosures</w:t>
            </w:r>
          </w:p>
        </w:tc>
      </w:tr>
    </w:tbl>
    <w:p>
      <w:pPr>
        <w:pStyle w:val="TextBody"/>
        <w:spacing w:before="0" w:after="0"/>
        <w:rPr/>
      </w:pPr>
      <w:r>
        <w:rPr/>
      </w:r>
    </w:p>
    <w:p>
      <w:pPr>
        <w:pStyle w:val="TextBody"/>
        <w:spacing w:before="0" w:after="0"/>
        <w:jc w:val="both"/>
        <w:rPr>
          <w:color w:val="000000"/>
        </w:rPr>
      </w:pPr>
      <w:r>
        <w:rPr>
          <w:color w:val="000000"/>
        </w:rPr>
        <w:t>Not applicable.</w:t>
      </w:r>
    </w:p>
    <w:p>
      <w:pPr>
        <w:pStyle w:val="TextBody"/>
        <w:spacing w:before="0" w:after="0"/>
        <w:jc w:val="both"/>
        <w:rPr>
          <w:color w:val="000000"/>
        </w:rPr>
      </w:pPr>
      <w:r>
        <w:rPr>
          <w:color w:val="00000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72" w:name="DSPFPageBreakArea48"/>
      <w:bookmarkStart w:id="573" w:name="DSPFPageBreakArea48"/>
      <w:bookmarkEnd w:id="5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sz w:val="16"/>
        </w:rPr>
      </w:pPr>
      <w:bookmarkStart w:id="574" w:name="DSPFPageNumber47"/>
      <w:bookmarkStart w:id="575" w:name="DSPFPageNumberArea46"/>
      <w:bookmarkEnd w:id="574"/>
      <w:bookmarkEnd w:id="575"/>
      <w:r>
        <w:rPr>
          <w:b w:val="false"/>
          <w:i w:val="false"/>
          <w:caps w:val="false"/>
          <w:smallCaps w:val="false"/>
          <w:sz w:val="16"/>
        </w:rPr>
        <w:t>50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76" w:name="DSPFPageBreak48"/>
      <w:bookmarkStart w:id="577" w:name="DSPFPageBreak48"/>
      <w:bookmarkEnd w:id="5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578" w:name="DSPFPageHeader46"/>
        <w:bookmarkEnd w:id="578"/>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color w:val="000000"/>
        </w:rPr>
      </w:pPr>
      <w:r>
        <w:rPr>
          <w:b/>
          <w:color w:val="000000"/>
        </w:rPr>
        <w:t>PART II</w:t>
      </w:r>
    </w:p>
    <w:p>
      <w:pPr>
        <w:pStyle w:val="TextBody"/>
        <w:spacing w:before="0" w:after="0"/>
        <w:jc w:val="center"/>
        <w:rPr>
          <w:b/>
          <w:color w:val="000000"/>
        </w:rPr>
      </w:pPr>
      <w:r>
        <w:rPr>
          <w:b/>
          <w:color w:val="000000"/>
        </w:rPr>
      </w:r>
    </w:p>
    <w:p>
      <w:pPr>
        <w:pStyle w:val="Normal"/>
        <w:spacing w:before="0" w:after="0"/>
        <w:rPr>
          <w:sz w:val="4"/>
          <w:szCs w:val="4"/>
        </w:rPr>
      </w:pPr>
      <w:r>
        <w:rPr>
          <w:sz w:val="4"/>
          <w:szCs w:val="4"/>
        </w:rPr>
      </w:r>
      <w:bookmarkStart w:id="579" w:name="z351db31c2598431aacc7448e5ae8b373"/>
      <w:bookmarkStart w:id="580" w:name="z351db31c2598431aacc7448e5ae8b373"/>
      <w:bookmarkEnd w:id="580"/>
    </w:p>
    <w:tbl>
      <w:tblPr>
        <w:tblW w:w="10205" w:type="dxa"/>
        <w:jc w:val="left"/>
        <w:tblInd w:w="0" w:type="dxa"/>
        <w:tblCellMar>
          <w:top w:w="0" w:type="dxa"/>
          <w:left w:w="0" w:type="dxa"/>
          <w:bottom w:w="0" w:type="dxa"/>
          <w:right w:w="0" w:type="dxa"/>
        </w:tblCellMar>
      </w:tblPr>
      <w:tblGrid>
        <w:gridCol w:w="692"/>
        <w:gridCol w:w="9513"/>
      </w:tblGrid>
      <w:tr>
        <w:trPr/>
        <w:tc>
          <w:tcPr>
            <w:tcW w:w="692" w:type="dxa"/>
            <w:tcBorders/>
            <w:shd w:fill="auto" w:val="clear"/>
            <w:vAlign w:val="center"/>
          </w:tcPr>
          <w:p>
            <w:pPr>
              <w:pStyle w:val="TableContents"/>
              <w:spacing w:before="0" w:after="0"/>
              <w:jc w:val="both"/>
              <w:rPr>
                <w:b/>
                <w:color w:val="000000"/>
              </w:rPr>
            </w:pPr>
            <w:bookmarkStart w:id="581" w:name="Item5"/>
            <w:bookmarkEnd w:id="581"/>
            <w:r>
              <w:rPr>
                <w:b/>
                <w:color w:val="000000"/>
              </w:rPr>
              <w:t>Item 5.</w:t>
            </w:r>
          </w:p>
        </w:tc>
        <w:tc>
          <w:tcPr>
            <w:tcW w:w="9513" w:type="dxa"/>
            <w:tcBorders/>
            <w:shd w:fill="auto" w:val="clear"/>
            <w:vAlign w:val="center"/>
          </w:tcPr>
          <w:p>
            <w:pPr>
              <w:pStyle w:val="TableContents"/>
              <w:spacing w:before="0" w:after="0"/>
              <w:jc w:val="both"/>
              <w:rPr>
                <w:b/>
                <w:color w:val="000000"/>
              </w:rPr>
            </w:pPr>
            <w:r>
              <w:rPr>
                <w:b/>
                <w:color w:val="000000"/>
              </w:rPr>
              <w:t>Market for Registrant’s Common Equity, Related Shareholder Matters and Issuer Purchases of Equity Securities</w:t>
            </w:r>
          </w:p>
        </w:tc>
      </w:tr>
    </w:tbl>
    <w:p>
      <w:pPr>
        <w:pStyle w:val="TextBody"/>
        <w:spacing w:before="0" w:after="0"/>
        <w:jc w:val="both"/>
        <w:rPr>
          <w:b/>
          <w:color w:val="000000"/>
        </w:rPr>
      </w:pPr>
      <w:r>
        <w:rPr>
          <w:b/>
          <w:color w:val="000000"/>
        </w:rPr>
      </w:r>
    </w:p>
    <w:p>
      <w:pPr>
        <w:pStyle w:val="TextBody"/>
        <w:spacing w:before="0" w:after="0"/>
        <w:jc w:val="both"/>
        <w:rPr>
          <w:b/>
          <w:color w:val="000000"/>
        </w:rPr>
      </w:pPr>
      <w:r>
        <w:rPr>
          <w:b/>
          <w:color w:val="000000"/>
        </w:rPr>
        <w:t>(a) Market Information</w:t>
      </w:r>
    </w:p>
    <w:p>
      <w:pPr>
        <w:pStyle w:val="TextBody"/>
        <w:spacing w:before="0" w:after="0"/>
        <w:jc w:val="both"/>
        <w:rPr>
          <w:b/>
          <w:color w:val="000000"/>
        </w:rPr>
      </w:pPr>
      <w:r>
        <w:rPr>
          <w:b/>
          <w:color w:val="000000"/>
        </w:rPr>
      </w:r>
    </w:p>
    <w:p>
      <w:pPr>
        <w:pStyle w:val="TextBody"/>
        <w:jc w:val="both"/>
        <w:rPr>
          <w:color w:val="000000"/>
        </w:rPr>
      </w:pPr>
      <w:r>
        <w:rPr>
          <w:color w:val="000000"/>
        </w:rPr>
        <w:t>Our Class A ordinary shares are traded on the Nasdaq under the symbol “ARYA.” Our Class A ordinary shares commenced public trading on August 7, 2020.</w:t>
      </w:r>
    </w:p>
    <w:p>
      <w:pPr>
        <w:pStyle w:val="TextBody"/>
        <w:spacing w:before="0" w:after="0"/>
        <w:jc w:val="both"/>
        <w:rPr>
          <w:b/>
          <w:color w:val="000000"/>
        </w:rPr>
      </w:pPr>
      <w:r>
        <w:rPr>
          <w:b/>
          <w:color w:val="000000"/>
        </w:rPr>
        <w:t>(b) Holders</w:t>
      </w:r>
    </w:p>
    <w:p>
      <w:pPr>
        <w:pStyle w:val="TextBody"/>
        <w:spacing w:before="0" w:after="0"/>
        <w:jc w:val="both"/>
        <w:rPr>
          <w:b/>
          <w:color w:val="000000"/>
        </w:rPr>
      </w:pPr>
      <w:r>
        <w:rPr>
          <w:b/>
          <w:color w:val="000000"/>
        </w:rPr>
      </w:r>
    </w:p>
    <w:p>
      <w:pPr>
        <w:pStyle w:val="TextBody"/>
        <w:spacing w:before="0" w:after="0"/>
        <w:jc w:val="both"/>
        <w:rPr>
          <w:color w:val="000000"/>
        </w:rPr>
      </w:pPr>
      <w:r>
        <w:rPr>
          <w:color w:val="000000"/>
        </w:rPr>
        <w:t>On December 31, 2020, there were two holders of record of our Class A ordinary shares and four holders of record of our Class B ordinary shares.</w:t>
      </w:r>
    </w:p>
    <w:p>
      <w:pPr>
        <w:pStyle w:val="TextBody"/>
        <w:spacing w:before="0" w:after="0"/>
        <w:jc w:val="both"/>
        <w:rPr>
          <w:color w:val="000000"/>
        </w:rPr>
      </w:pPr>
      <w:r>
        <w:rPr>
          <w:color w:val="000000"/>
        </w:rPr>
      </w:r>
    </w:p>
    <w:p>
      <w:pPr>
        <w:pStyle w:val="TextBody"/>
        <w:spacing w:before="0" w:after="0"/>
        <w:jc w:val="both"/>
        <w:rPr>
          <w:b/>
          <w:color w:val="000000"/>
        </w:rPr>
      </w:pPr>
      <w:r>
        <w:rPr>
          <w:b/>
          <w:color w:val="000000"/>
        </w:rPr>
        <w:t>(c) Dividends</w:t>
      </w:r>
    </w:p>
    <w:p>
      <w:pPr>
        <w:pStyle w:val="TextBody"/>
        <w:spacing w:before="0" w:after="0"/>
        <w:jc w:val="both"/>
        <w:rPr>
          <w:b/>
          <w:color w:val="000000"/>
        </w:rPr>
      </w:pPr>
      <w:r>
        <w:rPr>
          <w:b/>
          <w:color w:val="000000"/>
        </w:rPr>
      </w:r>
    </w:p>
    <w:p>
      <w:pPr>
        <w:pStyle w:val="TextBody"/>
        <w:spacing w:before="0" w:after="0"/>
        <w:jc w:val="both"/>
        <w:rPr>
          <w:color w:val="000000"/>
        </w:rPr>
      </w:pPr>
      <w:r>
        <w:rPr>
          <w:color w:val="000000"/>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we will only pay such dividend out of our profits or share premium (subject to solvency requirements) as permitted under Cayman Islands law. In addition, our board of directors is not currently contemplating and does not anticipate declaring any share dividends in the foreseeable future. Further, if we incur any indebtedness in connection with a business combination, our ability to declare dividends may be limited by restrictive covenants we may agree to in connection therewith.</w:t>
      </w:r>
    </w:p>
    <w:p>
      <w:pPr>
        <w:pStyle w:val="TextBody"/>
        <w:spacing w:before="0" w:after="0"/>
        <w:jc w:val="both"/>
        <w:rPr>
          <w:color w:val="000000"/>
        </w:rPr>
      </w:pPr>
      <w:r>
        <w:rPr>
          <w:color w:val="000000"/>
        </w:rPr>
      </w:r>
    </w:p>
    <w:p>
      <w:pPr>
        <w:pStyle w:val="TextBody"/>
        <w:spacing w:before="0" w:after="0"/>
        <w:jc w:val="both"/>
        <w:rPr>
          <w:b/>
          <w:color w:val="000000"/>
        </w:rPr>
      </w:pPr>
      <w:r>
        <w:rPr>
          <w:b/>
          <w:color w:val="000000"/>
        </w:rPr>
        <w:t>(d) Securities Authorized for Issuance under Equity Compensation Plans</w:t>
      </w:r>
    </w:p>
    <w:p>
      <w:pPr>
        <w:pStyle w:val="TextBody"/>
        <w:spacing w:before="0" w:after="0"/>
        <w:jc w:val="both"/>
        <w:rPr>
          <w:b/>
          <w:color w:val="000000"/>
        </w:rPr>
      </w:pPr>
      <w:r>
        <w:rPr>
          <w:b/>
          <w:color w:val="000000"/>
        </w:rPr>
      </w:r>
    </w:p>
    <w:p>
      <w:pPr>
        <w:pStyle w:val="TextBody"/>
        <w:spacing w:before="0" w:after="0"/>
        <w:jc w:val="both"/>
        <w:rPr>
          <w:color w:val="000000"/>
        </w:rPr>
      </w:pPr>
      <w:r>
        <w:rPr>
          <w:color w:val="000000"/>
        </w:rPr>
        <w:t>None</w:t>
      </w:r>
    </w:p>
    <w:p>
      <w:pPr>
        <w:pStyle w:val="TextBody"/>
        <w:spacing w:before="0" w:after="0"/>
        <w:jc w:val="both"/>
        <w:rPr>
          <w:color w:val="000000"/>
        </w:rPr>
      </w:pPr>
      <w:r>
        <w:rPr>
          <w:color w:val="000000"/>
        </w:rPr>
      </w:r>
    </w:p>
    <w:p>
      <w:pPr>
        <w:pStyle w:val="TextBody"/>
        <w:spacing w:before="0" w:after="0"/>
        <w:jc w:val="both"/>
        <w:rPr>
          <w:color w:val="000000"/>
        </w:rPr>
      </w:pPr>
      <w:r>
        <w:rPr>
          <w:b/>
          <w:color w:val="000000"/>
        </w:rPr>
        <w:t>(e)</w:t>
      </w:r>
      <w:r>
        <w:rPr>
          <w:color w:val="000000"/>
        </w:rPr>
        <w:t> </w:t>
      </w:r>
      <w:r>
        <w:rPr>
          <w:b/>
          <w:color w:val="000000"/>
        </w:rPr>
        <w:t>Performance Graph</w:t>
      </w:r>
    </w:p>
    <w:p>
      <w:pPr>
        <w:pStyle w:val="TextBody"/>
        <w:spacing w:before="0" w:after="0"/>
        <w:jc w:val="both"/>
        <w:rPr>
          <w:b/>
          <w:color w:val="000000"/>
        </w:rPr>
      </w:pPr>
      <w:r>
        <w:rPr>
          <w:b/>
          <w:color w:val="000000"/>
        </w:rPr>
      </w:r>
    </w:p>
    <w:p>
      <w:pPr>
        <w:pStyle w:val="TextBody"/>
        <w:spacing w:before="0" w:after="0"/>
        <w:jc w:val="both"/>
        <w:rPr>
          <w:color w:val="000000"/>
        </w:rPr>
      </w:pPr>
      <w:r>
        <w:rPr>
          <w:color w:val="000000"/>
        </w:rPr>
        <w:t>Not applicable.</w:t>
      </w:r>
    </w:p>
    <w:p>
      <w:pPr>
        <w:pStyle w:val="TextBody"/>
        <w:spacing w:before="0" w:after="0"/>
        <w:jc w:val="both"/>
        <w:rPr>
          <w:color w:val="000000"/>
        </w:rPr>
      </w:pPr>
      <w:r>
        <w:rPr>
          <w:color w:val="000000"/>
        </w:rPr>
      </w:r>
    </w:p>
    <w:p>
      <w:pPr>
        <w:pStyle w:val="TextBody"/>
        <w:spacing w:before="0" w:after="0"/>
        <w:jc w:val="both"/>
        <w:rPr>
          <w:b/>
          <w:color w:val="000000"/>
        </w:rPr>
      </w:pPr>
      <w:r>
        <w:rPr>
          <w:b/>
          <w:color w:val="000000"/>
        </w:rPr>
        <w:t>(f) Recent Sales of Unregistered Securities; Use of Proceeds from Registered Offerings</w:t>
      </w:r>
    </w:p>
    <w:p>
      <w:pPr>
        <w:pStyle w:val="TextBody"/>
        <w:spacing w:before="0" w:after="0"/>
        <w:jc w:val="both"/>
        <w:rPr>
          <w:b/>
          <w:color w:val="000000"/>
        </w:rPr>
      </w:pPr>
      <w:r>
        <w:rPr>
          <w:b/>
          <w:color w:val="000000"/>
        </w:rPr>
      </w:r>
    </w:p>
    <w:p>
      <w:pPr>
        <w:pStyle w:val="TextBody"/>
        <w:spacing w:before="0" w:after="0"/>
        <w:jc w:val="both"/>
        <w:rPr>
          <w:i/>
          <w:color w:val="000000"/>
        </w:rPr>
      </w:pPr>
      <w:r>
        <w:rPr>
          <w:i/>
          <w:color w:val="000000"/>
        </w:rPr>
        <w:t>Unregistered Sales</w:t>
      </w:r>
    </w:p>
    <w:p>
      <w:pPr>
        <w:pStyle w:val="TextBody"/>
        <w:spacing w:before="0" w:after="0"/>
        <w:rPr/>
      </w:pPr>
      <w:r>
        <w:rPr/>
      </w:r>
    </w:p>
    <w:p>
      <w:pPr>
        <w:pStyle w:val="TextBody"/>
        <w:spacing w:before="0" w:after="0"/>
        <w:jc w:val="both"/>
        <w:rPr>
          <w:color w:val="000000"/>
        </w:rPr>
      </w:pPr>
      <w:r>
        <w:rPr>
          <w:color w:val="000000"/>
        </w:rPr>
        <w:t>On April 2, 2020, we issued 3,593,750 of our Class B ordinary shares to our sponsor, in exchange for a capital contribution of $25,000, or approximately $0.007 per share. Such securities were issued in connection with our organization pursuant to the exemption from registration contained in Section 4(a)(2) of the Securities Act. Our sponsor is an accredited investor for purposes of Rule 501 of Regulation D.</w:t>
      </w:r>
    </w:p>
    <w:p>
      <w:pPr>
        <w:pStyle w:val="TextBody"/>
        <w:spacing w:before="0" w:after="0"/>
        <w:rPr/>
      </w:pPr>
      <w:r>
        <w:rPr/>
      </w:r>
    </w:p>
    <w:p>
      <w:pPr>
        <w:pStyle w:val="TextBody"/>
        <w:spacing w:before="0" w:after="0"/>
        <w:jc w:val="both"/>
        <w:rPr>
          <w:color w:val="000000"/>
        </w:rPr>
      </w:pPr>
      <w:r>
        <w:rPr>
          <w:color w:val="000000"/>
        </w:rPr>
        <w:t>Our sponsor purchased, pursuant to a written agreement, 499,000 private placement shares at a price of $10.00 per private placement share ($4,990,000 in the aggregate), in a private placement that closed simultaneously with the closing of our Initial Public Offering. These issuances were made pursuant to the exemption from registration contained in Section 4(a)(2) of the Securities Act. Our sponsor, as purchaser, is an accredited investor for purposes</w:t>
      </w:r>
    </w:p>
    <w:p>
      <w:pPr>
        <w:pStyle w:val="TextBody"/>
        <w:spacing w:before="0" w:after="0"/>
        <w:jc w:val="both"/>
        <w:rPr>
          <w:color w:val="000000"/>
        </w:rPr>
      </w:pPr>
      <w:r>
        <w:rPr>
          <w:color w:val="000000"/>
        </w:rPr>
        <w:t>of Rule 501 of Regulation D.</w:t>
      </w:r>
    </w:p>
    <w:p>
      <w:pPr>
        <w:pStyle w:val="TextBody"/>
        <w:spacing w:before="0" w:after="0"/>
        <w:rPr/>
      </w:pPr>
      <w:r>
        <w:rPr/>
      </w:r>
    </w:p>
    <w:p>
      <w:pPr>
        <w:pStyle w:val="TextBody"/>
        <w:spacing w:before="0" w:after="0"/>
        <w:jc w:val="both"/>
        <w:rPr>
          <w:color w:val="000000"/>
        </w:rPr>
      </w:pPr>
      <w:r>
        <w:rPr>
          <w:color w:val="000000"/>
        </w:rPr>
        <w:t>No underwriting discounts or commissions were paid with respect to such sales.</w:t>
      </w:r>
    </w:p>
    <w:p>
      <w:pPr>
        <w:pStyle w:val="TextBody"/>
        <w:spacing w:before="0" w:after="0"/>
        <w:rPr/>
      </w:pPr>
      <w:r>
        <w:rPr/>
      </w:r>
    </w:p>
    <w:p>
      <w:pPr>
        <w:pStyle w:val="TextBody"/>
        <w:spacing w:before="0" w:after="0"/>
        <w:jc w:val="both"/>
        <w:rPr>
          <w:i/>
        </w:rPr>
      </w:pPr>
      <w:r>
        <w:rPr>
          <w:i/>
        </w:rPr>
        <w:t>Use of Proceeds</w:t>
      </w:r>
    </w:p>
    <w:p>
      <w:pPr>
        <w:pStyle w:val="TextBody"/>
        <w:spacing w:before="0" w:after="0"/>
        <w:jc w:val="both"/>
        <w:rPr>
          <w:i/>
        </w:rPr>
      </w:pPr>
      <w:r>
        <w:rPr>
          <w:i/>
        </w:rPr>
      </w:r>
    </w:p>
    <w:p>
      <w:pPr>
        <w:pStyle w:val="TextBody"/>
        <w:spacing w:before="0" w:after="0"/>
        <w:jc w:val="both"/>
        <w:rPr>
          <w:color w:val="000000"/>
        </w:rPr>
      </w:pPr>
      <w:r>
        <w:rPr>
          <w:color w:val="000000"/>
        </w:rPr>
        <w:t>On August 11, 2020, we consummated the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The securities in the offering were registered under the Securities Act on registration statements on Form S-1 (File Nos. 333-239986 and 333-241828) that became effective on August 6, 2020.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82" w:name="DSPFPageBreakArea49"/>
      <w:bookmarkStart w:id="583" w:name="DSPFPageBreakArea49"/>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584" w:name="DSPFPageNumber48"/>
      <w:bookmarkStart w:id="585" w:name="DSPFPageNumberArea47"/>
      <w:bookmarkEnd w:id="584"/>
      <w:bookmarkEnd w:id="585"/>
      <w:r>
        <w:rPr>
          <w:b w:val="false"/>
          <w:i w:val="false"/>
          <w:caps w:val="false"/>
          <w:smallCaps w:val="false"/>
          <w:color w:val="000000"/>
          <w:sz w:val="16"/>
        </w:rPr>
        <w:t>51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86" w:name="DSPFPageBreak49"/>
      <w:bookmarkStart w:id="587" w:name="DSPFPageBreak49"/>
      <w:bookmarkEnd w:id="5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588" w:name="DSPFPageHeader47"/>
        <w:bookmarkEnd w:id="588"/>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In connection with the Initial Public Offering, we incurred offering costs of approximately $8.8 million, inclusive of approximately $5.2 million in deferred underwriting commissions. Other incurred offering costs consisted principally of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approximately $149.5 million of the net proceeds from our Initial Public Offering and certain of the proceeds from the private placement of the private placement shares (or $10.00 per share sold in the Initial Public Offering) was placed in the trust account. The net proceeds of the Initial Public Offering and certain proceeds from the sale of the private placement shares  are held in the trust account and invested as described elsewhere in this Report.</w:t>
      </w:r>
    </w:p>
    <w:p>
      <w:pPr>
        <w:pStyle w:val="TextBody"/>
        <w:spacing w:before="0" w:after="0"/>
        <w:jc w:val="both"/>
        <w:rPr>
          <w:color w:val="000000"/>
        </w:rPr>
      </w:pPr>
      <w:r>
        <w:rPr>
          <w:color w:val="000000"/>
        </w:rPr>
      </w:r>
    </w:p>
    <w:p>
      <w:pPr>
        <w:pStyle w:val="TextBody"/>
        <w:spacing w:before="0" w:after="0"/>
        <w:jc w:val="both"/>
        <w:rPr>
          <w:color w:val="000000"/>
        </w:rPr>
      </w:pPr>
      <w:r>
        <w:rPr>
          <w:color w:val="000000"/>
        </w:rPr>
        <w:t>There has been no material change in the planned use of the proceeds from the Initial Public Offering and private placement as is described in the Company’s final prospectus relating to the Initial Public Offering.</w:t>
      </w:r>
    </w:p>
    <w:p>
      <w:pPr>
        <w:pStyle w:val="TextBody"/>
        <w:spacing w:before="0" w:after="0"/>
        <w:jc w:val="both"/>
        <w:rPr>
          <w:color w:val="000000"/>
        </w:rPr>
      </w:pPr>
      <w:r>
        <w:rPr>
          <w:color w:val="000000"/>
        </w:rPr>
      </w:r>
    </w:p>
    <w:p>
      <w:pPr>
        <w:pStyle w:val="TextBody"/>
        <w:spacing w:before="0" w:after="0"/>
        <w:rPr>
          <w:b/>
          <w:color w:val="000000"/>
        </w:rPr>
      </w:pPr>
      <w:r>
        <w:rPr>
          <w:b/>
          <w:color w:val="000000"/>
        </w:rPr>
        <w:t>(g) Purchases of Equity Securities by the Issuer and Affiliated Purchasers</w:t>
      </w:r>
    </w:p>
    <w:p>
      <w:pPr>
        <w:pStyle w:val="TextBody"/>
        <w:spacing w:before="0" w:after="0"/>
        <w:rPr>
          <w:b/>
          <w:color w:val="000000"/>
        </w:rPr>
      </w:pPr>
      <w:r>
        <w:rPr>
          <w:b/>
          <w:color w:val="000000"/>
        </w:rPr>
      </w:r>
    </w:p>
    <w:p>
      <w:pPr>
        <w:pStyle w:val="TextBody"/>
        <w:spacing w:before="0" w:after="0"/>
        <w:rPr>
          <w:color w:val="000000"/>
        </w:rPr>
      </w:pPr>
      <w:r>
        <w:rPr>
          <w:color w:val="000000"/>
        </w:rPr>
        <w:t>None.</w:t>
      </w:r>
    </w:p>
    <w:p>
      <w:pPr>
        <w:pStyle w:val="TextBody"/>
        <w:spacing w:before="0" w:after="0"/>
        <w:rPr>
          <w:color w:val="000000"/>
        </w:rPr>
      </w:pPr>
      <w:r>
        <w:rPr>
          <w:color w:val="000000"/>
        </w:rPr>
      </w:r>
    </w:p>
    <w:p>
      <w:pPr>
        <w:pStyle w:val="Normal"/>
        <w:spacing w:before="0" w:after="0"/>
        <w:rPr>
          <w:sz w:val="4"/>
          <w:szCs w:val="4"/>
        </w:rPr>
      </w:pPr>
      <w:r>
        <w:rPr>
          <w:sz w:val="4"/>
          <w:szCs w:val="4"/>
        </w:rPr>
      </w:r>
      <w:bookmarkStart w:id="589" w:name="z86247a078f39461aae3eb7175592cf14"/>
      <w:bookmarkStart w:id="590" w:name="z86247a078f39461aae3eb7175592cf14"/>
      <w:bookmarkEnd w:id="590"/>
    </w:p>
    <w:tbl>
      <w:tblPr>
        <w:tblW w:w="3160" w:type="dxa"/>
        <w:jc w:val="left"/>
        <w:tblInd w:w="0" w:type="dxa"/>
        <w:tblCellMar>
          <w:top w:w="0" w:type="dxa"/>
          <w:left w:w="0" w:type="dxa"/>
          <w:bottom w:w="0" w:type="dxa"/>
          <w:right w:w="0" w:type="dxa"/>
        </w:tblCellMar>
      </w:tblPr>
      <w:tblGrid>
        <w:gridCol w:w="740"/>
        <w:gridCol w:w="2420"/>
      </w:tblGrid>
      <w:tr>
        <w:trPr/>
        <w:tc>
          <w:tcPr>
            <w:tcW w:w="740" w:type="dxa"/>
            <w:tcBorders/>
            <w:shd w:fill="auto" w:val="clear"/>
            <w:vAlign w:val="center"/>
          </w:tcPr>
          <w:p>
            <w:pPr>
              <w:pStyle w:val="TableContents"/>
              <w:spacing w:before="0" w:after="0"/>
              <w:rPr>
                <w:b/>
              </w:rPr>
            </w:pPr>
            <w:bookmarkStart w:id="591" w:name="Item6"/>
            <w:bookmarkEnd w:id="591"/>
            <w:r>
              <w:rPr>
                <w:b/>
              </w:rPr>
              <w:t>Item 6.</w:t>
            </w:r>
          </w:p>
        </w:tc>
        <w:tc>
          <w:tcPr>
            <w:tcW w:w="2420" w:type="dxa"/>
            <w:tcBorders/>
            <w:shd w:fill="auto" w:val="clear"/>
            <w:vAlign w:val="center"/>
          </w:tcPr>
          <w:p>
            <w:pPr>
              <w:pStyle w:val="TableContents"/>
              <w:spacing w:before="0" w:after="0"/>
              <w:rPr>
                <w:b/>
              </w:rPr>
            </w:pPr>
            <w:r>
              <w:rPr>
                <w:b/>
              </w:rPr>
              <w:t>Selected Financial Data</w:t>
            </w:r>
          </w:p>
        </w:tc>
      </w:tr>
    </w:tbl>
    <w:p>
      <w:pPr>
        <w:pStyle w:val="TextBody"/>
        <w:spacing w:before="0" w:after="0"/>
        <w:rPr/>
      </w:pPr>
      <w:r>
        <w:rPr/>
      </w:r>
    </w:p>
    <w:p>
      <w:pPr>
        <w:pStyle w:val="TextBody"/>
        <w:spacing w:before="0" w:after="0"/>
        <w:rPr/>
      </w:pPr>
      <w:r>
        <w:rPr/>
        <w:t>Not applicable.</w:t>
      </w:r>
    </w:p>
    <w:p>
      <w:pPr>
        <w:pStyle w:val="TextBody"/>
        <w:spacing w:before="0" w:after="0"/>
        <w:rPr/>
      </w:pPr>
      <w:r>
        <w:rPr/>
      </w:r>
    </w:p>
    <w:p>
      <w:pPr>
        <w:pStyle w:val="Normal"/>
        <w:spacing w:before="0" w:after="0"/>
        <w:rPr>
          <w:sz w:val="4"/>
          <w:szCs w:val="4"/>
        </w:rPr>
      </w:pPr>
      <w:r>
        <w:rPr>
          <w:sz w:val="4"/>
          <w:szCs w:val="4"/>
        </w:rPr>
      </w:r>
      <w:bookmarkStart w:id="592" w:name="z40bab6cf01854aff92bdb91c986158dd"/>
      <w:bookmarkStart w:id="593" w:name="z40bab6cf01854aff92bdb91c986158dd"/>
      <w:bookmarkEnd w:id="593"/>
    </w:p>
    <w:tbl>
      <w:tblPr>
        <w:tblW w:w="9790" w:type="dxa"/>
        <w:jc w:val="left"/>
        <w:tblInd w:w="0" w:type="dxa"/>
        <w:tblCellMar>
          <w:top w:w="0" w:type="dxa"/>
          <w:left w:w="0" w:type="dxa"/>
          <w:bottom w:w="0" w:type="dxa"/>
          <w:right w:w="0" w:type="dxa"/>
        </w:tblCellMar>
      </w:tblPr>
      <w:tblGrid>
        <w:gridCol w:w="740"/>
        <w:gridCol w:w="9050"/>
      </w:tblGrid>
      <w:tr>
        <w:trPr/>
        <w:tc>
          <w:tcPr>
            <w:tcW w:w="740" w:type="dxa"/>
            <w:tcBorders/>
            <w:shd w:fill="auto" w:val="clear"/>
            <w:vAlign w:val="center"/>
          </w:tcPr>
          <w:p>
            <w:pPr>
              <w:pStyle w:val="TableContents"/>
              <w:spacing w:before="0" w:after="0"/>
              <w:rPr>
                <w:b/>
              </w:rPr>
            </w:pPr>
            <w:bookmarkStart w:id="594" w:name="Item7."/>
            <w:bookmarkEnd w:id="594"/>
            <w:r>
              <w:rPr>
                <w:b/>
              </w:rPr>
              <w:t>Item 7.</w:t>
            </w:r>
          </w:p>
        </w:tc>
        <w:tc>
          <w:tcPr>
            <w:tcW w:w="9050" w:type="dxa"/>
            <w:tcBorders/>
            <w:shd w:fill="auto" w:val="clear"/>
            <w:vAlign w:val="center"/>
          </w:tcPr>
          <w:p>
            <w:pPr>
              <w:pStyle w:val="TableContents"/>
              <w:spacing w:before="0" w:after="0"/>
              <w:rPr>
                <w:b/>
              </w:rPr>
            </w:pPr>
            <w:r>
              <w:rPr>
                <w:b/>
              </w:rPr>
              <w:t>Management’s Discussion and Analysis of Financial Condition and Results of Operations</w:t>
            </w:r>
          </w:p>
        </w:tc>
      </w:tr>
    </w:tbl>
    <w:p>
      <w:pPr>
        <w:pStyle w:val="TextBody"/>
        <w:spacing w:before="0" w:after="0"/>
        <w:rPr/>
      </w:pPr>
      <w:r>
        <w:rPr/>
      </w:r>
    </w:p>
    <w:p>
      <w:pPr>
        <w:pStyle w:val="TextBody"/>
        <w:spacing w:before="0" w:after="0"/>
        <w:jc w:val="both"/>
        <w:rPr>
          <w:i/>
        </w:rPr>
      </w:pPr>
      <w:r>
        <w:rPr>
          <w:i/>
        </w:rPr>
        <w:t>References to the “company,” “ARYA Sciences Acquisition Corp III,” “our,” “us” or “we” refer to ARYA Sciences Acquisition Corp III. The following discussion and analysis of the company’s financial condition and results of operations should be read in conjunction with the financial statements and the notes thereto contained elsewhere in this Report. Certain information contained in the discussion and analysis set forth below includes forward-looking statements that involve risks and uncertainties.</w:t>
      </w:r>
    </w:p>
    <w:p>
      <w:pPr>
        <w:pStyle w:val="TextBody"/>
        <w:spacing w:before="0" w:after="0"/>
        <w:ind w:left="0" w:right="0" w:firstLine="360"/>
        <w:jc w:val="both"/>
        <w:rPr/>
      </w:pPr>
      <w:r>
        <w:rPr/>
      </w:r>
    </w:p>
    <w:p>
      <w:pPr>
        <w:pStyle w:val="TextBody"/>
        <w:spacing w:before="0" w:after="0"/>
        <w:jc w:val="both"/>
        <w:rPr>
          <w:b/>
        </w:rPr>
      </w:pPr>
      <w:r>
        <w:rPr>
          <w:b/>
        </w:rPr>
        <w:t>Overview</w:t>
      </w:r>
    </w:p>
    <w:p>
      <w:pPr>
        <w:pStyle w:val="TextBody"/>
        <w:spacing w:before="0" w:after="0"/>
        <w:rPr/>
      </w:pPr>
      <w:r>
        <w:rPr/>
      </w:r>
    </w:p>
    <w:p>
      <w:pPr>
        <w:pStyle w:val="TextBody"/>
        <w:spacing w:before="0" w:after="0"/>
        <w:jc w:val="both"/>
        <w:rPr>
          <w:color w:val="000000"/>
        </w:rPr>
      </w:pPr>
      <w:r>
        <w:rPr>
          <w:color w:val="000000"/>
        </w:rPr>
        <w:t>We are a blank check company incorporated on March 27, 2020 as a Cayman Islands exempted company for the purpose of effecting a merger, share exchange, asset acquisition, share purchase, reorganization or similar business combination with one or more businesses (the “Business Combination”). Our sponsor is ARYA Sciences Holdings III, a Cayman Islands exempted limited company.</w:t>
      </w:r>
    </w:p>
    <w:p>
      <w:pPr>
        <w:pStyle w:val="TextBody"/>
        <w:spacing w:before="0" w:after="0"/>
        <w:rPr/>
      </w:pPr>
      <w:r>
        <w:rPr/>
      </w:r>
    </w:p>
    <w:p>
      <w:pPr>
        <w:pStyle w:val="TextBody"/>
        <w:spacing w:before="0" w:after="0"/>
        <w:jc w:val="both"/>
        <w:rPr>
          <w:color w:val="000000"/>
        </w:rPr>
      </w:pPr>
      <w:r>
        <w:rPr>
          <w:color w:val="000000"/>
        </w:rPr>
        <w:t>Our registration statement for our Initial Public Offering was declared effective on August 6, 2020.  On August 11, 2020, we consummated the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595" w:name="DSPFPageBreakArea50"/>
      <w:bookmarkStart w:id="596" w:name="DSPFPageBreakArea50"/>
      <w:bookmarkEnd w:id="5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597" w:name="DSPFPageNumber49"/>
      <w:bookmarkStart w:id="598" w:name="DSPFPageNumberArea48"/>
      <w:bookmarkEnd w:id="597"/>
      <w:bookmarkEnd w:id="598"/>
      <w:r>
        <w:rPr>
          <w:b w:val="false"/>
          <w:i w:val="false"/>
          <w:caps w:val="false"/>
          <w:smallCaps w:val="false"/>
          <w:color w:val="000000"/>
          <w:sz w:val="16"/>
        </w:rPr>
        <w:t>52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599" w:name="DSPFPageBreak50"/>
      <w:bookmarkStart w:id="600" w:name="DSPFPageBreak50"/>
      <w:bookmarkEnd w:id="6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601" w:name="DSPFPageHeader48"/>
        <w:bookmarkEnd w:id="601"/>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Simultaneously with the closing of the Initial Public Offering, we consummated the private placement (the “private placement”) of 499,000 private placement shares, at a price of $10.00 per private placement share to our sponsor, generating gross proceeds of approximately $5.0 million.</w:t>
      </w:r>
    </w:p>
    <w:p>
      <w:pPr>
        <w:pStyle w:val="TextBody"/>
        <w:spacing w:before="0" w:after="0"/>
        <w:rPr/>
      </w:pPr>
      <w:r>
        <w:rPr/>
      </w:r>
    </w:p>
    <w:p>
      <w:pPr>
        <w:pStyle w:val="TextBody"/>
        <w:spacing w:before="0" w:after="0"/>
        <w:jc w:val="both"/>
        <w:rPr/>
      </w:pPr>
      <w:r>
        <w:rPr>
          <w:color w:val="000000"/>
        </w:rPr>
        <w:t>Upon the closing of the Initial Public Offering and the private placement, $149.5 million ($10.00 per Unit) of the net proceeds of the Initial Public Offering and certain of the proceeds of the private placement were placed in a trust account, located in the United States at J.P. Morgan Chase Bank, N.A., with Continental Stock Transfer &amp; Trust Company acting as trustee, and are invested only in U.S. government securities, within the meaning set forth in Section 2(a)(16) of the Investment Company Act, with a maturity of 185 days or less or in money market fund meeting the conditions of paragraphs (d)(1), (d)(2), (d)(3) and (d)(4) of Rule 2a-7 of the Investment Company Act, as determined by us, until the earlier of (i) the completion of a Business Combination and (ii) the distribution of the trust account as described below</w:t>
      </w:r>
      <w:r>
        <w:rPr/>
        <w:t>.</w:t>
      </w:r>
    </w:p>
    <w:p>
      <w:pPr>
        <w:pStyle w:val="TextBody"/>
        <w:spacing w:before="0" w:after="0"/>
        <w:rPr/>
      </w:pPr>
      <w:r>
        <w:rPr/>
      </w:r>
    </w:p>
    <w:p>
      <w:pPr>
        <w:pStyle w:val="TextBody"/>
        <w:spacing w:before="0" w:after="0"/>
        <w:jc w:val="both"/>
        <w:rPr/>
      </w:pPr>
      <w:r>
        <w:rPr>
          <w:color w:val="000000"/>
        </w:rPr>
        <w:t>If we have not completed a Business Combination within 24 months from the closing of the Initial Public Offering, or August 11, 2022 or with respect to any other provision relating to the rights of Public Shareholders, unless we provide the Public Shareholders with the opportunity to redeem their Class A ordinary shares in conjunction with any such amendment,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r>
        <w:rPr/>
        <w:t>.</w:t>
      </w:r>
    </w:p>
    <w:p>
      <w:pPr>
        <w:pStyle w:val="TextBody"/>
        <w:spacing w:before="0" w:after="0"/>
        <w:rPr/>
      </w:pPr>
      <w:r>
        <w:rPr/>
      </w:r>
    </w:p>
    <w:p>
      <w:pPr>
        <w:pStyle w:val="TextBody"/>
        <w:spacing w:before="0" w:after="0"/>
        <w:jc w:val="both"/>
        <w:rPr>
          <w:color w:val="000000"/>
        </w:rPr>
      </w:pPr>
      <w:r>
        <w:rPr>
          <w:color w:val="000000"/>
        </w:rPr>
        <w:t>We reviewed a number of opportunities to enter into a business combination with an operating business before entering on February 7, 2021 into the business combination agreement (“Business Combination Agreement”), by and among the company, Mako Merger Sub, Inc., a Delaware corporation (“Merger Sub”), and Nautilus Biotechnology, Inc., a Delaware corporation (“Nautilus”). We intend to finance the Business Combination through a combination of (i) shares of New Nautilus Common Stock (as defined below) issued to the equityholders of Nautilus, (ii) cash held in the trust account net of redemptions and deferred underwriting discounts and (iii) gross proceeds from the PIPE Financing (as defined below).</w:t>
      </w:r>
    </w:p>
    <w:p>
      <w:pPr>
        <w:pStyle w:val="TextBody"/>
        <w:spacing w:before="0" w:after="0"/>
        <w:jc w:val="both"/>
        <w:rPr>
          <w:color w:val="000000"/>
        </w:rPr>
      </w:pPr>
      <w:r>
        <w:rPr>
          <w:color w:val="000000"/>
        </w:rPr>
      </w:r>
    </w:p>
    <w:p>
      <w:pPr>
        <w:pStyle w:val="TextBody"/>
        <w:spacing w:before="0" w:after="0"/>
        <w:jc w:val="both"/>
        <w:rPr>
          <w:color w:val="000000"/>
        </w:rPr>
      </w:pPr>
      <w:r>
        <w:rPr>
          <w:color w:val="000000"/>
        </w:rPr>
        <w:t>The issuance of additional shares in a business combination:</w:t>
      </w:r>
    </w:p>
    <w:p>
      <w:pPr>
        <w:pStyle w:val="Normal"/>
        <w:spacing w:before="0" w:after="0"/>
        <w:jc w:val="both"/>
        <w:rPr>
          <w:sz w:val="4"/>
          <w:szCs w:val="4"/>
        </w:rPr>
      </w:pPr>
      <w:r>
        <w:rPr>
          <w:sz w:val="4"/>
          <w:szCs w:val="4"/>
        </w:rPr>
      </w:r>
      <w:bookmarkStart w:id="602" w:name="z2c00d05f0e29479987d75112c517b918"/>
      <w:bookmarkStart w:id="603" w:name="z2c00d05f0e29479987d75112c517b918"/>
      <w:bookmarkEnd w:id="603"/>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color w:val="000000"/>
              </w:rPr>
            </w:pPr>
            <w:r>
              <w:rPr>
                <w:color w:val="000000"/>
              </w:rPr>
              <w:t>may significantly dilute the equity interest of investors in our initial public offering, which dilution would increase if the anti-dilution provisions in the Class B ordinary shares resulted in the issuance of Class A ordinary shares on a greater than one-to-one basis upon conversion of the Class B ordinary shares;</w:t>
            </w:r>
          </w:p>
        </w:tc>
      </w:tr>
    </w:tbl>
    <w:p>
      <w:pPr>
        <w:pStyle w:val="Normal"/>
        <w:spacing w:before="0" w:after="0"/>
        <w:rPr>
          <w:sz w:val="4"/>
          <w:szCs w:val="4"/>
        </w:rPr>
      </w:pPr>
      <w:r>
        <w:rPr>
          <w:sz w:val="4"/>
          <w:szCs w:val="4"/>
        </w:rPr>
      </w:r>
      <w:bookmarkStart w:id="604" w:name="z4b7b4064e6ec454ea18eef6d5b1f65d4"/>
      <w:bookmarkStart w:id="605" w:name="z4b7b4064e6ec454ea18eef6d5b1f65d4"/>
      <w:bookmarkEnd w:id="605"/>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color w:val="000000"/>
              </w:rPr>
            </w:pPr>
            <w:r>
              <w:rPr>
                <w:color w:val="000000"/>
              </w:rPr>
              <w:t>may subordinate the rights of holders of Class A ordinary shares if preference shares are issued with rights senior to those afforded our Class A ordinary shares;</w:t>
            </w:r>
          </w:p>
        </w:tc>
      </w:tr>
    </w:tbl>
    <w:p>
      <w:pPr>
        <w:pStyle w:val="Normal"/>
        <w:spacing w:before="0" w:after="0"/>
        <w:rPr>
          <w:sz w:val="4"/>
          <w:szCs w:val="4"/>
        </w:rPr>
      </w:pPr>
      <w:r>
        <w:rPr>
          <w:sz w:val="4"/>
          <w:szCs w:val="4"/>
        </w:rPr>
      </w:r>
      <w:bookmarkStart w:id="606" w:name="z71c61910ef254dc087c533632a7dcc17"/>
      <w:bookmarkStart w:id="607" w:name="z71c61910ef254dc087c533632a7dcc17"/>
      <w:bookmarkEnd w:id="60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color w:val="000000"/>
              </w:rPr>
            </w:pPr>
            <w:r>
              <w:rPr>
                <w:color w:val="000000"/>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tc>
      </w:tr>
    </w:tbl>
    <w:p>
      <w:pPr>
        <w:pStyle w:val="Normal"/>
        <w:spacing w:before="0" w:after="0"/>
        <w:rPr>
          <w:sz w:val="4"/>
          <w:szCs w:val="4"/>
        </w:rPr>
      </w:pPr>
      <w:r>
        <w:rPr>
          <w:sz w:val="4"/>
          <w:szCs w:val="4"/>
        </w:rPr>
      </w:r>
      <w:bookmarkStart w:id="608" w:name="z6d46c4264ba34cbcb4a984c31eab9eb6"/>
      <w:bookmarkStart w:id="609" w:name="z6d46c4264ba34cbcb4a984c31eab9eb6"/>
      <w:bookmarkEnd w:id="609"/>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color w:val="000000"/>
              </w:rPr>
            </w:pPr>
            <w:r>
              <w:rPr>
                <w:color w:val="000000"/>
              </w:rPr>
              <w:t>may have the effect of delaying or preventing a change of control of us by diluting the share ownership or voting rights of a person seeking to obtain control of us; and</w:t>
            </w:r>
          </w:p>
        </w:tc>
      </w:tr>
    </w:tbl>
    <w:p>
      <w:pPr>
        <w:pStyle w:val="Normal"/>
        <w:spacing w:before="0" w:after="0"/>
        <w:rPr>
          <w:sz w:val="4"/>
          <w:szCs w:val="4"/>
        </w:rPr>
      </w:pPr>
      <w:r>
        <w:rPr>
          <w:sz w:val="4"/>
          <w:szCs w:val="4"/>
        </w:rPr>
      </w:r>
      <w:bookmarkStart w:id="610" w:name="z678906acb0dc445a8d4a1f69d5f7cb05"/>
      <w:bookmarkStart w:id="611" w:name="z678906acb0dc445a8d4a1f69d5f7cb05"/>
      <w:bookmarkEnd w:id="611"/>
    </w:p>
    <w:tbl>
      <w:tblPr>
        <w:tblW w:w="7533" w:type="dxa"/>
        <w:jc w:val="left"/>
        <w:tblInd w:w="0" w:type="dxa"/>
        <w:tblCellMar>
          <w:top w:w="0" w:type="dxa"/>
          <w:left w:w="0" w:type="dxa"/>
          <w:bottom w:w="0" w:type="dxa"/>
          <w:right w:w="0" w:type="dxa"/>
        </w:tblCellMar>
      </w:tblPr>
      <w:tblGrid>
        <w:gridCol w:w="38"/>
        <w:gridCol w:w="110"/>
        <w:gridCol w:w="738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7385" w:type="dxa"/>
            <w:tcBorders/>
            <w:shd w:fill="auto" w:val="clear"/>
            <w:vAlign w:val="center"/>
          </w:tcPr>
          <w:p>
            <w:pPr>
              <w:pStyle w:val="TableContents"/>
              <w:spacing w:before="0" w:after="0"/>
              <w:jc w:val="both"/>
              <w:rPr>
                <w:color w:val="000000"/>
              </w:rPr>
            </w:pPr>
            <w:r>
              <w:rPr>
                <w:color w:val="000000"/>
              </w:rPr>
              <w:t>may adversely affect prevailing market prices for our Class A ordinary shares.</w:t>
            </w:r>
          </w:p>
        </w:tc>
      </w:tr>
    </w:tbl>
    <w:p>
      <w:pPr>
        <w:pStyle w:val="TextBody"/>
        <w:spacing w:before="0" w:after="0"/>
        <w:jc w:val="both"/>
        <w:rPr/>
      </w:pPr>
      <w:r>
        <w:rPr/>
      </w:r>
    </w:p>
    <w:p>
      <w:pPr>
        <w:pStyle w:val="TextBody"/>
        <w:spacing w:before="0" w:after="0"/>
        <w:jc w:val="both"/>
        <w:rPr>
          <w:color w:val="000000"/>
        </w:rPr>
      </w:pPr>
      <w:r>
        <w:rPr>
          <w:color w:val="000000"/>
        </w:rPr>
        <w:t>Similarly, if we issue debt or otherwise incur significant debt, it could result in:</w:t>
      </w:r>
    </w:p>
    <w:p>
      <w:pPr>
        <w:pStyle w:val="Normal"/>
        <w:spacing w:before="0" w:after="0"/>
        <w:jc w:val="both"/>
        <w:rPr>
          <w:sz w:val="4"/>
          <w:szCs w:val="4"/>
        </w:rPr>
      </w:pPr>
      <w:r>
        <w:rPr>
          <w:sz w:val="4"/>
          <w:szCs w:val="4"/>
        </w:rPr>
      </w:r>
      <w:bookmarkStart w:id="612" w:name="zbf1d5d46e3204bbab323e47f1775a756"/>
      <w:bookmarkStart w:id="613" w:name="zbf1d5d46e3204bbab323e47f1775a756"/>
      <w:bookmarkEnd w:id="613"/>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color w:val="000000"/>
              </w:rPr>
            </w:pPr>
            <w:r>
              <w:rPr>
                <w:color w:val="000000"/>
              </w:rPr>
              <w:t>default and foreclosure on our assets if our operating revenues after an initial business combination are insufficient to repay our debt obligations;</w:t>
            </w:r>
          </w:p>
        </w:tc>
      </w:tr>
    </w:tbl>
    <w:p>
      <w:pPr>
        <w:pStyle w:val="Normal"/>
        <w:spacing w:before="0" w:after="0"/>
        <w:rPr>
          <w:sz w:val="4"/>
          <w:szCs w:val="4"/>
        </w:rPr>
      </w:pPr>
      <w:r>
        <w:rPr>
          <w:sz w:val="4"/>
          <w:szCs w:val="4"/>
        </w:rPr>
      </w:r>
      <w:bookmarkStart w:id="614" w:name="zd6bc47e5fb564620b2d2043765360180"/>
      <w:bookmarkStart w:id="615" w:name="zd6bc47e5fb564620b2d2043765360180"/>
      <w:bookmarkEnd w:id="615"/>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color w:val="000000"/>
              </w:rPr>
            </w:pPr>
            <w:r>
              <w:rPr>
                <w:color w:val="00000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tc>
      </w:tr>
    </w:tbl>
    <w:p>
      <w:pPr>
        <w:pStyle w:val="TextBody"/>
        <w:spacing w:before="0" w:after="0"/>
        <w:jc w:val="both"/>
        <w:rPr>
          <w:b/>
          <w:color w:val="000000"/>
        </w:rPr>
      </w:pPr>
      <w:r>
        <w:rPr>
          <w:b/>
          <w:color w:val="00000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16" w:name="DSPFPageBreakArea51"/>
      <w:bookmarkStart w:id="617" w:name="DSPFPageBreakArea51"/>
      <w:bookmarkEnd w:id="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618" w:name="DSPFPageNumber50"/>
      <w:bookmarkStart w:id="619" w:name="DSPFPageNumberArea49"/>
      <w:bookmarkEnd w:id="618"/>
      <w:bookmarkEnd w:id="619"/>
      <w:r>
        <w:rPr>
          <w:b w:val="false"/>
          <w:i w:val="false"/>
          <w:caps w:val="false"/>
          <w:smallCaps w:val="false"/>
          <w:color w:val="000000"/>
          <w:sz w:val="16"/>
        </w:rPr>
        <w:t>53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20" w:name="DSPFPageBreak51"/>
      <w:bookmarkStart w:id="621" w:name="DSPFPageBreak51"/>
      <w:bookmarkEnd w:id="6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622" w:name="DSPFPageHeader49"/>
        <w:bookmarkEnd w:id="622"/>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623" w:name="z7e17c96f05dc46c5aa986b4ba2ba7e75"/>
      <w:bookmarkStart w:id="624" w:name="z7e17c96f05dc46c5aa986b4ba2ba7e75"/>
      <w:bookmarkEnd w:id="624"/>
    </w:p>
    <w:tbl>
      <w:tblPr>
        <w:tblW w:w="9663" w:type="dxa"/>
        <w:jc w:val="left"/>
        <w:tblInd w:w="0" w:type="dxa"/>
        <w:tblCellMar>
          <w:top w:w="0" w:type="dxa"/>
          <w:left w:w="0" w:type="dxa"/>
          <w:bottom w:w="0" w:type="dxa"/>
          <w:right w:w="0" w:type="dxa"/>
        </w:tblCellMar>
      </w:tblPr>
      <w:tblGrid>
        <w:gridCol w:w="38"/>
        <w:gridCol w:w="110"/>
        <w:gridCol w:w="95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9515" w:type="dxa"/>
            <w:tcBorders/>
            <w:shd w:fill="auto" w:val="clear"/>
            <w:vAlign w:val="center"/>
          </w:tcPr>
          <w:p>
            <w:pPr>
              <w:pStyle w:val="TableContents"/>
              <w:spacing w:before="0" w:after="0"/>
              <w:jc w:val="both"/>
              <w:rPr>
                <w:color w:val="000000"/>
              </w:rPr>
            </w:pPr>
            <w:r>
              <w:rPr>
                <w:color w:val="000000"/>
              </w:rPr>
              <w:t>our immediate payment of all principal and accrued interest, if any, if the debt is payable on demand;</w:t>
            </w:r>
          </w:p>
        </w:tc>
      </w:tr>
    </w:tbl>
    <w:p>
      <w:pPr>
        <w:pStyle w:val="Normal"/>
        <w:spacing w:before="0" w:after="0"/>
        <w:rPr>
          <w:sz w:val="4"/>
          <w:szCs w:val="4"/>
        </w:rPr>
      </w:pPr>
      <w:r>
        <w:rPr>
          <w:sz w:val="4"/>
          <w:szCs w:val="4"/>
        </w:rPr>
      </w:r>
      <w:bookmarkStart w:id="625" w:name="zc079b2f2610b4a0e91cd8269956929c5"/>
      <w:bookmarkStart w:id="626" w:name="zc079b2f2610b4a0e91cd8269956929c5"/>
      <w:bookmarkEnd w:id="62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color w:val="000000"/>
              </w:rPr>
            </w:pPr>
            <w:r>
              <w:rPr>
                <w:color w:val="000000"/>
              </w:rPr>
              <w:t>our inability to obtain necessary additional financing if the debt contains covenants restricting our ability to obtain such financing while the debt security is outstanding;</w:t>
            </w:r>
          </w:p>
        </w:tc>
      </w:tr>
    </w:tbl>
    <w:p>
      <w:pPr>
        <w:pStyle w:val="Normal"/>
        <w:spacing w:before="0" w:after="0"/>
        <w:rPr>
          <w:sz w:val="4"/>
          <w:szCs w:val="4"/>
        </w:rPr>
      </w:pPr>
      <w:r>
        <w:rPr>
          <w:sz w:val="4"/>
          <w:szCs w:val="4"/>
        </w:rPr>
      </w:r>
      <w:bookmarkStart w:id="627" w:name="zf8cd56d11b984293bbb195b7aaf12b5c"/>
      <w:bookmarkStart w:id="628" w:name="zf8cd56d11b984293bbb195b7aaf12b5c"/>
      <w:bookmarkEnd w:id="628"/>
    </w:p>
    <w:tbl>
      <w:tblPr>
        <w:tblW w:w="5178" w:type="dxa"/>
        <w:jc w:val="left"/>
        <w:tblInd w:w="0" w:type="dxa"/>
        <w:tblCellMar>
          <w:top w:w="0" w:type="dxa"/>
          <w:left w:w="0" w:type="dxa"/>
          <w:bottom w:w="0" w:type="dxa"/>
          <w:right w:w="0" w:type="dxa"/>
        </w:tblCellMar>
      </w:tblPr>
      <w:tblGrid>
        <w:gridCol w:w="38"/>
        <w:gridCol w:w="110"/>
        <w:gridCol w:w="50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5030" w:type="dxa"/>
            <w:tcBorders/>
            <w:shd w:fill="auto" w:val="clear"/>
            <w:vAlign w:val="center"/>
          </w:tcPr>
          <w:p>
            <w:pPr>
              <w:pStyle w:val="TableContents"/>
              <w:spacing w:before="0" w:after="0"/>
              <w:jc w:val="both"/>
              <w:rPr>
                <w:color w:val="000000"/>
              </w:rPr>
            </w:pPr>
            <w:r>
              <w:rPr>
                <w:color w:val="000000"/>
              </w:rPr>
              <w:t>our inability to pay dividends on our ordinary shares;</w:t>
            </w:r>
          </w:p>
        </w:tc>
      </w:tr>
    </w:tbl>
    <w:p>
      <w:pPr>
        <w:pStyle w:val="Normal"/>
        <w:spacing w:before="0" w:after="0"/>
        <w:rPr>
          <w:sz w:val="4"/>
          <w:szCs w:val="4"/>
        </w:rPr>
      </w:pPr>
      <w:r>
        <w:rPr>
          <w:sz w:val="4"/>
          <w:szCs w:val="4"/>
        </w:rPr>
      </w:r>
      <w:bookmarkStart w:id="629" w:name="zc88efd49f87c4cc28cda0842bc7eb39f"/>
      <w:bookmarkStart w:id="630" w:name="zc88efd49f87c4cc28cda0842bc7eb39f"/>
      <w:bookmarkEnd w:id="63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color w:val="000000"/>
              </w:rPr>
            </w:pPr>
            <w:r>
              <w:rPr>
                <w:color w:val="000000"/>
              </w:rPr>
              <w:t>using a substantial portion of our cash flow to pay principal and interest on our debt, which will reduce the funds available for dividends on our ordinary shares, if declared, expenses, capital expenditures, acquisitions and other general corporate purposes;</w:t>
            </w:r>
          </w:p>
        </w:tc>
      </w:tr>
    </w:tbl>
    <w:p>
      <w:pPr>
        <w:pStyle w:val="Normal"/>
        <w:spacing w:before="0" w:after="0"/>
        <w:rPr>
          <w:sz w:val="4"/>
          <w:szCs w:val="4"/>
        </w:rPr>
      </w:pPr>
      <w:r>
        <w:rPr>
          <w:sz w:val="4"/>
          <w:szCs w:val="4"/>
        </w:rPr>
      </w:r>
      <w:bookmarkStart w:id="631" w:name="z185b6dea289d4d1c880bd197cf6db17c"/>
      <w:bookmarkStart w:id="632" w:name="z185b6dea289d4d1c880bd197cf6db17c"/>
      <w:bookmarkEnd w:id="63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color w:val="000000"/>
              </w:rPr>
            </w:pPr>
            <w:r>
              <w:rPr>
                <w:color w:val="000000"/>
              </w:rPr>
              <w:t>limitations on our flexibility in planning for and reacting to changes in our business and in the industry in which we operate;</w:t>
            </w:r>
          </w:p>
        </w:tc>
      </w:tr>
    </w:tbl>
    <w:p>
      <w:pPr>
        <w:pStyle w:val="Normal"/>
        <w:spacing w:before="0" w:after="0"/>
        <w:rPr>
          <w:sz w:val="4"/>
          <w:szCs w:val="4"/>
        </w:rPr>
      </w:pPr>
      <w:r>
        <w:rPr>
          <w:sz w:val="4"/>
          <w:szCs w:val="4"/>
        </w:rPr>
      </w:r>
      <w:bookmarkStart w:id="633" w:name="z7e625a4664d641e1afa4212fe1244948"/>
      <w:bookmarkStart w:id="634" w:name="z7e625a4664d641e1afa4212fe1244948"/>
      <w:bookmarkEnd w:id="63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color w:val="000000"/>
              </w:rPr>
            </w:pPr>
            <w:r>
              <w:rPr>
                <w:color w:val="000000"/>
              </w:rPr>
              <w:t>increased vulnerability to adverse changes in general economic, industry and competitive conditions and adverse changes in government regulation; and</w:t>
            </w:r>
          </w:p>
        </w:tc>
      </w:tr>
    </w:tbl>
    <w:p>
      <w:pPr>
        <w:pStyle w:val="Normal"/>
        <w:spacing w:before="0" w:after="0"/>
        <w:rPr>
          <w:sz w:val="4"/>
          <w:szCs w:val="4"/>
        </w:rPr>
      </w:pPr>
      <w:r>
        <w:rPr>
          <w:sz w:val="4"/>
          <w:szCs w:val="4"/>
        </w:rPr>
      </w:r>
      <w:bookmarkStart w:id="635" w:name="zd7174c47bc7a474aad0daf00637e6ada"/>
      <w:bookmarkStart w:id="636" w:name="zd7174c47bc7a474aad0daf00637e6ada"/>
      <w:bookmarkEnd w:id="63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color w:val="000000"/>
              </w:rPr>
            </w:pPr>
            <w:r>
              <w:rPr>
                <w:color w:val="000000"/>
              </w:rPr>
              <w:t>•</w:t>
            </w:r>
          </w:p>
        </w:tc>
        <w:tc>
          <w:tcPr>
            <w:tcW w:w="10057" w:type="dxa"/>
            <w:tcBorders/>
            <w:shd w:fill="auto" w:val="clear"/>
            <w:vAlign w:val="center"/>
          </w:tcPr>
          <w:p>
            <w:pPr>
              <w:pStyle w:val="TableContents"/>
              <w:spacing w:before="0" w:after="0"/>
              <w:jc w:val="both"/>
              <w:rPr>
                <w:color w:val="000000"/>
              </w:rPr>
            </w:pPr>
            <w:r>
              <w:rPr>
                <w:color w:val="000000"/>
              </w:rPr>
              <w:t>limitations on our ability to borrow additional amounts for expenses, capital expenditures, acquisitions, debt service requirements, execution of our strategy and other purposes and other disadvantages compared to our competitors who have less debt.</w:t>
            </w:r>
          </w:p>
        </w:tc>
      </w:tr>
    </w:tbl>
    <w:p>
      <w:pPr>
        <w:pStyle w:val="TextBody"/>
        <w:spacing w:before="0" w:after="0"/>
        <w:jc w:val="both"/>
        <w:rPr/>
      </w:pPr>
      <w:r>
        <w:rPr/>
      </w:r>
    </w:p>
    <w:p>
      <w:pPr>
        <w:pStyle w:val="TextBody"/>
        <w:spacing w:before="0" w:after="0"/>
        <w:jc w:val="both"/>
        <w:rPr>
          <w:b w:val="false"/>
          <w:color w:val="000000"/>
        </w:rPr>
      </w:pPr>
      <w:r>
        <w:rPr>
          <w:b w:val="false"/>
          <w:color w:val="000000"/>
        </w:rPr>
        <w:t>As of December 31, 2020, we had approximately $1.0 million in cash held outside of the trust account, approximately $149.5 million in cash held in the trust account. Further, we expect to continue to incur significant costs in the pursuit of our initial business combination. We cannot assure you that our plans to raise capital or to complete the Business Combination will be successful.</w:t>
      </w:r>
    </w:p>
    <w:p>
      <w:pPr>
        <w:pStyle w:val="TextBody"/>
        <w:spacing w:before="0" w:after="0"/>
        <w:jc w:val="both"/>
        <w:rPr>
          <w:b/>
          <w:color w:val="000000"/>
        </w:rPr>
      </w:pPr>
      <w:r>
        <w:rPr>
          <w:b/>
          <w:color w:val="000000"/>
        </w:rPr>
      </w:r>
    </w:p>
    <w:p>
      <w:pPr>
        <w:pStyle w:val="TextBody"/>
        <w:spacing w:before="0" w:after="0"/>
        <w:jc w:val="both"/>
        <w:rPr>
          <w:b/>
          <w:color w:val="000000"/>
        </w:rPr>
      </w:pPr>
      <w:r>
        <w:rPr>
          <w:b/>
          <w:color w:val="000000"/>
        </w:rPr>
        <w:t>Proposed Nautilus Business Combination and related Proposed Transactions</w:t>
      </w:r>
    </w:p>
    <w:p>
      <w:pPr>
        <w:pStyle w:val="TextBody"/>
        <w:spacing w:before="0" w:after="0"/>
        <w:rPr/>
      </w:pPr>
      <w:r>
        <w:rPr/>
      </w:r>
    </w:p>
    <w:p>
      <w:pPr>
        <w:pStyle w:val="TextBody"/>
        <w:spacing w:before="0" w:after="0"/>
        <w:jc w:val="both"/>
        <w:rPr>
          <w:color w:val="000000"/>
        </w:rPr>
      </w:pPr>
      <w:r>
        <w:rPr>
          <w:color w:val="000000"/>
        </w:rPr>
        <w:t>The Business Combination Agreement provides for, among other things, the following transactions: (i) Nautilus will changes its name to “Nautilus Subsidiary, Inc.” (or another name mutually agreed to by us and Nautilus); (ii) we will become a Delaware corporation (the “Domestication”) and, in connection with the Domestication, (A) our name will be changed to “Nautilus Biotechnology, Inc.” (“New Nautilus”) and (B) each of our outstanding Class A ordinary shares and outstanding Class B ordinary shares will become one share of common stock of New Nautilus (the “New Nautilus Common Stock”); and (iii) following the Domestication, Merger Sub will merge with and into Nautilus, with Nautilus as the surviving company in the merger and, after giving effect to such merger, continuing as a wholly-owned subsidiary of New Nautilus (the “Merger”). The Domestication, the Merger and the other transactions contemplated by the Business Combination Agreement are hereinafter referred to as the “Nautilus Business Combination.”</w:t>
      </w:r>
    </w:p>
    <w:p>
      <w:pPr>
        <w:pStyle w:val="TextBody"/>
        <w:spacing w:before="0" w:after="0"/>
        <w:rPr/>
      </w:pPr>
      <w:r>
        <w:rPr/>
      </w:r>
    </w:p>
    <w:p>
      <w:pPr>
        <w:pStyle w:val="TextBody"/>
        <w:spacing w:before="0" w:after="0"/>
        <w:jc w:val="both"/>
        <w:rPr>
          <w:color w:val="000000"/>
        </w:rPr>
      </w:pPr>
      <w:r>
        <w:rPr>
          <w:color w:val="000000"/>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before="0" w:after="0"/>
        <w:rPr/>
      </w:pPr>
      <w:r>
        <w:rPr/>
      </w:r>
    </w:p>
    <w:p>
      <w:pPr>
        <w:pStyle w:val="TextBody"/>
        <w:spacing w:before="0" w:after="0"/>
        <w:jc w:val="both"/>
        <w:rPr>
          <w:color w:val="000000"/>
        </w:rPr>
      </w:pPr>
      <w:r>
        <w:rPr>
          <w:color w:val="000000"/>
        </w:rPr>
        <w:t>The Nautilus Business Combination is expected to close in the second quarter of 2021, following the receipt of the required approval by our shareholders and the fulfillment of other customary closing conditions.</w:t>
      </w:r>
    </w:p>
    <w:p>
      <w:pPr>
        <w:pStyle w:val="TextBody"/>
        <w:spacing w:before="0" w:after="0"/>
        <w:rPr/>
      </w:pPr>
      <w:r>
        <w:rPr/>
      </w:r>
    </w:p>
    <w:p>
      <w:pPr>
        <w:pStyle w:val="TextBody"/>
        <w:spacing w:before="0" w:after="0"/>
        <w:jc w:val="both"/>
        <w:rPr>
          <w:color w:val="000000"/>
        </w:rPr>
      </w:pPr>
      <w:r>
        <w:rPr>
          <w:color w:val="000000"/>
        </w:rPr>
        <w:t>Concurrently with the execution of the Business Combination Agreement, the company, the sponsor, and each other holder of Class B ordinary shares of ARYA (the “</w:t>
      </w:r>
      <w:r>
        <w:rPr>
          <w:i/>
          <w:color w:val="000000"/>
        </w:rPr>
        <w:t>Other Class B Shareholders</w:t>
      </w:r>
      <w:r>
        <w:rPr>
          <w:color w:val="000000"/>
        </w:rPr>
        <w:t>”) and Nautilus entered into the Sponsor Letter Agreement (the “</w:t>
      </w:r>
      <w:r>
        <w:rPr>
          <w:i/>
          <w:color w:val="000000"/>
        </w:rPr>
        <w:t>Sponsor Letter Agreement</w:t>
      </w:r>
      <w:r>
        <w:rPr>
          <w:color w:val="000000"/>
        </w:rPr>
        <w: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and (iii) be bound by certain transfer restrictions with respect to his, her or its shares in the company prior to the closing of the Nautilus Business Combination, in each case, on the terms and subject to the conditions set forth in the Sponsor Letter Agreement.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37" w:name="DSPFPageBreakArea52"/>
      <w:bookmarkStart w:id="638" w:name="DSPFPageBreakArea52"/>
      <w:bookmarkEnd w:id="6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639" w:name="DSPFPageNumber51"/>
      <w:bookmarkStart w:id="640" w:name="DSPFPageNumberArea50"/>
      <w:bookmarkEnd w:id="639"/>
      <w:bookmarkEnd w:id="640"/>
      <w:r>
        <w:rPr>
          <w:b w:val="false"/>
          <w:i w:val="false"/>
          <w:caps w:val="false"/>
          <w:smallCaps w:val="false"/>
          <w:color w:val="000000"/>
          <w:sz w:val="16"/>
        </w:rPr>
        <w:t>54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41" w:name="DSPFPageBreak52"/>
      <w:bookmarkStart w:id="642" w:name="DSPFPageBreak52"/>
      <w:bookmarkEnd w:id="6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643" w:name="DSPFPageHeader50"/>
        <w:bookmarkEnd w:id="643"/>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Concurrently with the execution of the Business Combination Agreement, we entered into subscription agreements (the “Subscription Agreements”) with certain investors, including, among others, Perceptive Life Sciences Master Fund Ltd., a fund managed by Perceptive Advisors, an affiliate of the sponsor, as well as certain equity holders of Nautilus and additional third party investors. Pursuant to the Subscription Agreements, each investor agreed to subscribe for and purchase, and the Company agreed to issue and sell to such investors, on the Closing Date (as defined in the Business Combination Agreement) immediately prior to the Closing (as defined in the Business Combination Agreement), an aggregate of 20,000,000 shares of the New Nautilus Common Stock for a purchase price of $10.00 per share, for aggregate gross proceeds of $200,000,000.</w:t>
      </w:r>
    </w:p>
    <w:p>
      <w:pPr>
        <w:pStyle w:val="TextBody"/>
        <w:spacing w:before="0" w:after="0"/>
        <w:jc w:val="both"/>
        <w:rPr/>
      </w:pPr>
      <w:r>
        <w:rPr/>
      </w:r>
    </w:p>
    <w:p>
      <w:pPr>
        <w:pStyle w:val="TextBody"/>
        <w:spacing w:before="0" w:after="0"/>
        <w:jc w:val="both"/>
        <w:rPr>
          <w:color w:val="000000"/>
        </w:rPr>
      </w:pPr>
      <w:r>
        <w:rPr>
          <w:color w:val="000000"/>
        </w:rPr>
        <w:t>Within 24 hours of the signing of the Business Combination Agreement, certain directors, officers and stockholders of Nautilus entered into a Transaction Support Agreement with the company, pursuant to which such parties have agreed to, among other things, (i) support and vote in favor of the Business Combination Agreement and the transactions contemplated thereby (including the Merger), and (ii) be bound by certain other covenants and agreements related to the Nautilus Business Combination, including a restriction on transfers with respect to his, her or its shares in Nautilus prior to the closing of the Nautilus Business Combination.</w:t>
      </w:r>
    </w:p>
    <w:p>
      <w:pPr>
        <w:pStyle w:val="TextBody"/>
        <w:spacing w:before="0" w:after="0"/>
        <w:rPr/>
      </w:pPr>
      <w:r>
        <w:rPr/>
      </w:r>
    </w:p>
    <w:p>
      <w:pPr>
        <w:pStyle w:val="TextBody"/>
        <w:spacing w:before="0" w:after="0"/>
        <w:jc w:val="both"/>
        <w:rPr>
          <w:color w:val="000000"/>
        </w:rPr>
      </w:pPr>
      <w:r>
        <w:rPr>
          <w:color w:val="000000"/>
        </w:rPr>
        <w:t>The company, the Perceptive Shareholders (as defined in the Business Combination Agreement), the Other Class B Shareholders and certain Nautilus shareholders entered into an amended and restated registration rights and lock-up agreement, pursuant to which, among other things, the Perceptive Shareholders, the Other Class B Shareholders and the certain Nautilus shareholders agreed not to effect any sale or distribution of the company equity securities during the lock-up period described therein and will be granted certain customary registration rights, in each case subject to, and conditioned upon and effective as of, the effective time of the Merger.</w:t>
      </w:r>
    </w:p>
    <w:p>
      <w:pPr>
        <w:pStyle w:val="TextBody"/>
        <w:spacing w:before="0" w:after="0"/>
        <w:jc w:val="both"/>
        <w:rPr/>
      </w:pPr>
      <w:r>
        <w:rPr/>
      </w:r>
    </w:p>
    <w:p>
      <w:pPr>
        <w:pStyle w:val="TextBody"/>
        <w:spacing w:before="0" w:after="0"/>
        <w:jc w:val="both"/>
        <w:rPr>
          <w:color w:val="000000"/>
        </w:rPr>
      </w:pPr>
      <w:r>
        <w:rPr>
          <w:color w:val="000000"/>
        </w:rPr>
        <w:t>A copy of each of the above referenced agreements is filed as exhibits with a Current Report on Form 8-K, filed with the SEC on February 8, 2021.</w:t>
      </w:r>
    </w:p>
    <w:p>
      <w:pPr>
        <w:pStyle w:val="TextBody"/>
        <w:spacing w:before="0" w:after="0"/>
        <w:rPr/>
      </w:pPr>
      <w:r>
        <w:rPr/>
      </w:r>
    </w:p>
    <w:p>
      <w:pPr>
        <w:pStyle w:val="TextBody"/>
        <w:spacing w:before="0" w:after="0"/>
        <w:jc w:val="both"/>
        <w:rPr>
          <w:b/>
        </w:rPr>
      </w:pPr>
      <w:r>
        <w:rPr>
          <w:b/>
        </w:rPr>
        <w:t>Results of Operations</w:t>
      </w:r>
    </w:p>
    <w:p>
      <w:pPr>
        <w:pStyle w:val="TextBody"/>
        <w:spacing w:before="0" w:after="0"/>
        <w:rPr/>
      </w:pPr>
      <w:r>
        <w:rPr/>
      </w:r>
    </w:p>
    <w:p>
      <w:pPr>
        <w:pStyle w:val="TextBody"/>
        <w:spacing w:before="0" w:after="0"/>
        <w:jc w:val="both"/>
        <w:rPr>
          <w:color w:val="000000"/>
        </w:rPr>
      </w:pPr>
      <w:r>
        <w:rPr>
          <w:color w:val="000000"/>
        </w:rPr>
        <w:t>Our entire activity since inception through December 31, 2020 related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pStyle w:val="TextBody"/>
        <w:spacing w:before="0" w:after="0"/>
        <w:rPr/>
      </w:pPr>
      <w:r>
        <w:rPr/>
      </w:r>
    </w:p>
    <w:p>
      <w:pPr>
        <w:pStyle w:val="TextBody"/>
        <w:spacing w:before="0" w:after="0"/>
        <w:jc w:val="both"/>
        <w:rPr>
          <w:color w:val="000000"/>
        </w:rPr>
      </w:pPr>
      <w:r>
        <w:rPr>
          <w:color w:val="000000"/>
        </w:rPr>
        <w:t>For the year ended December 31, 2020, we had a net loss of approximately $523,000, which consisted of approximately $576,000 in general and administrative expenses partially offset by approximately $53,000 of net gains, dividends and interest on investments held in trust account.</w:t>
      </w:r>
    </w:p>
    <w:p>
      <w:pPr>
        <w:pStyle w:val="TextBody"/>
        <w:spacing w:before="0" w:after="0"/>
        <w:rPr/>
      </w:pPr>
      <w:r>
        <w:rPr/>
      </w:r>
    </w:p>
    <w:p>
      <w:pPr>
        <w:pStyle w:val="TextBody"/>
        <w:spacing w:before="0" w:after="0"/>
        <w:rPr>
          <w:b/>
        </w:rPr>
      </w:pPr>
      <w:r>
        <w:rPr>
          <w:b/>
        </w:rPr>
        <w:t>Going Concern Consideration</w:t>
      </w:r>
    </w:p>
    <w:p>
      <w:pPr>
        <w:pStyle w:val="TextBody"/>
        <w:spacing w:before="0" w:after="0"/>
        <w:rPr/>
      </w:pPr>
      <w:r>
        <w:rPr/>
      </w:r>
    </w:p>
    <w:p>
      <w:pPr>
        <w:pStyle w:val="TextBody"/>
        <w:spacing w:before="0" w:after="0"/>
        <w:jc w:val="both"/>
        <w:rPr/>
      </w:pPr>
      <w:r>
        <w:rPr/>
        <w:t>At December 31, 2020, we had approximately $1.0 million in our operating bank account, and working capital of approximately $916,000.</w:t>
      </w:r>
    </w:p>
    <w:p>
      <w:pPr>
        <w:pStyle w:val="TextBody"/>
        <w:spacing w:before="0" w:after="0"/>
        <w:rPr/>
      </w:pPr>
      <w:r>
        <w:rPr/>
      </w:r>
    </w:p>
    <w:p>
      <w:pPr>
        <w:pStyle w:val="TextBody"/>
        <w:spacing w:before="0" w:after="0"/>
        <w:jc w:val="both"/>
        <w:rPr>
          <w:color w:val="000000"/>
        </w:rPr>
      </w:pPr>
      <w:r>
        <w:rPr>
          <w:color w:val="000000"/>
        </w:rPr>
        <w:t>Our liquidity needs to date have been satisfied through a contribution of $25,000 from our sponsor to cover certain of our offering costs in exchange for the issuance of the founder shares, the loan proceeds of $200,000 from our sponsor pursuant to a note agreement (the “Note”), and the proceeds from the consummation of the private placement not held in the trust account. We repaid the Note in full on August 11, 2020.  In addition, in order to finance transaction costs in connection with a Business Combination, our sponsor or an affiliate of our sponsor, or certain of our officers and directors may, but are not obligated to, provide us Working Capital Loans. As of December 31, 2020, there were no amounts outstanding under any Working Capital Loan.</w:t>
      </w:r>
    </w:p>
    <w:p>
      <w:pPr>
        <w:pStyle w:val="TextBody"/>
        <w:spacing w:before="0" w:after="0"/>
        <w:rPr/>
      </w:pPr>
      <w:r>
        <w:rPr/>
      </w:r>
    </w:p>
    <w:p>
      <w:pPr>
        <w:pStyle w:val="TextBody"/>
        <w:spacing w:before="0" w:after="0"/>
        <w:jc w:val="both"/>
        <w:rPr>
          <w:color w:val="000000"/>
        </w:rPr>
      </w:pPr>
      <w:r>
        <w:rPr>
          <w:color w:val="000000"/>
        </w:rPr>
        <w:t>Based on the foregoing,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44" w:name="DSPFPageBreakArea53"/>
      <w:bookmarkStart w:id="645" w:name="DSPFPageBreakArea53"/>
      <w:bookmarkEnd w:id="6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646" w:name="DSPFPageNumber52"/>
      <w:bookmarkStart w:id="647" w:name="DSPFPageNumberArea51"/>
      <w:bookmarkEnd w:id="646"/>
      <w:bookmarkEnd w:id="647"/>
      <w:r>
        <w:rPr>
          <w:b w:val="false"/>
          <w:i w:val="false"/>
          <w:caps w:val="false"/>
          <w:smallCaps w:val="false"/>
          <w:color w:val="000000"/>
          <w:sz w:val="16"/>
        </w:rPr>
        <w:t>55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48" w:name="DSPFPageBreak53"/>
      <w:bookmarkStart w:id="649" w:name="DSPFPageBreak53"/>
      <w:bookmarkEnd w:id="6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650" w:name="DSPFPageHeader51"/>
        <w:bookmarkEnd w:id="650"/>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pStyle w:val="TextBody"/>
        <w:spacing w:before="0" w:after="0"/>
        <w:rPr/>
      </w:pPr>
      <w:r>
        <w:rPr/>
      </w:r>
    </w:p>
    <w:p>
      <w:pPr>
        <w:pStyle w:val="TextBody"/>
        <w:spacing w:before="0" w:after="0"/>
        <w:jc w:val="both"/>
        <w:rPr>
          <w:b/>
        </w:rPr>
      </w:pPr>
      <w:r>
        <w:rPr>
          <w:b/>
        </w:rPr>
        <w:t>Related Party Transactions</w:t>
      </w:r>
    </w:p>
    <w:p>
      <w:pPr>
        <w:pStyle w:val="TextBody"/>
        <w:spacing w:before="0" w:after="0"/>
        <w:jc w:val="both"/>
        <w:rPr/>
      </w:pPr>
      <w:r>
        <w:rPr/>
      </w:r>
    </w:p>
    <w:p>
      <w:pPr>
        <w:pStyle w:val="TextBody"/>
        <w:spacing w:before="0" w:after="0"/>
        <w:jc w:val="both"/>
        <w:rPr>
          <w:i/>
        </w:rPr>
      </w:pPr>
      <w:r>
        <w:rPr>
          <w:i/>
        </w:rPr>
        <w:t>Founder Shares</w:t>
      </w:r>
    </w:p>
    <w:p>
      <w:pPr>
        <w:pStyle w:val="TextBody"/>
        <w:spacing w:before="0" w:after="0"/>
        <w:rPr/>
      </w:pPr>
      <w:r>
        <w:rPr/>
      </w:r>
    </w:p>
    <w:p>
      <w:pPr>
        <w:pStyle w:val="TextBody"/>
        <w:spacing w:before="0" w:after="0"/>
        <w:jc w:val="both"/>
        <w:rPr/>
      </w:pPr>
      <w:r>
        <w:rPr>
          <w:color w:val="000000"/>
        </w:rPr>
        <w:t>On April 2, 2020</w:t>
      </w:r>
      <w:r>
        <w:rPr/>
        <w:t>, our sponsor paid $25,000 to cover certain expenses and offering costs on behalf of our company in consideration of 3,593,750 Class B ordinary shares, par value $0.0001 per share. In July 2020, the sponsor transferred an aggregate of 90,000 founder shares to our independent directors. On August 6, 2020, we effected a share capitalization r</w:t>
      </w:r>
      <w:r>
        <w:rPr>
          <w:color w:val="000000"/>
        </w:rPr>
        <w:t>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our issued and outstanding ordinary shares (excluding the private placement shares) after the Initial Public Offering.  The Underwriters fully exercised the over-allotment option on August 11, 2020; thus, these 487,500 founder shares were no longer subject to forfeiture.</w:t>
      </w:r>
    </w:p>
    <w:p>
      <w:pPr>
        <w:pStyle w:val="TextBody"/>
        <w:spacing w:before="0" w:after="0"/>
        <w:rPr/>
      </w:pPr>
      <w:r>
        <w:rPr/>
      </w:r>
    </w:p>
    <w:p>
      <w:pPr>
        <w:pStyle w:val="TextBody"/>
        <w:spacing w:before="0" w:after="0"/>
        <w:jc w:val="both"/>
        <w:rPr/>
      </w:pPr>
      <w:r>
        <w:rPr>
          <w:color w:val="000000"/>
        </w:rPr>
        <w:t>The initial shareholders agreed, subject to limited exceptions, not to transfer, assign or sell any of their founder shares until the earlier to occur of: (i) one year after the completion of the initial Business Combination and (ii) subsequent to the initial Business Combination, (A) if the closing price of our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(B) the date on which we complete a liquidation, merger, share exchange, reorganization or other similar transaction that results in all of the Public Shareholders having the right to exchange their ordinary shares for cash, securities or other property</w:t>
      </w:r>
      <w:r>
        <w:rPr/>
        <w:t>.</w:t>
      </w:r>
    </w:p>
    <w:p>
      <w:pPr>
        <w:pStyle w:val="TextBody"/>
        <w:spacing w:before="0" w:after="0"/>
        <w:rPr/>
      </w:pPr>
      <w:r>
        <w:rPr/>
      </w:r>
    </w:p>
    <w:p>
      <w:pPr>
        <w:pStyle w:val="TextBody"/>
        <w:spacing w:before="0" w:after="0"/>
        <w:jc w:val="both"/>
        <w:rPr>
          <w:i/>
          <w:color w:val="000000"/>
        </w:rPr>
      </w:pPr>
      <w:r>
        <w:rPr>
          <w:i/>
          <w:color w:val="000000"/>
        </w:rPr>
        <w:t>Private Placement Shares</w:t>
      </w:r>
    </w:p>
    <w:p>
      <w:pPr>
        <w:pStyle w:val="TextBody"/>
        <w:spacing w:before="0" w:after="0"/>
        <w:rPr/>
      </w:pPr>
      <w:r>
        <w:rPr/>
      </w:r>
    </w:p>
    <w:p>
      <w:pPr>
        <w:pStyle w:val="TextBody"/>
        <w:spacing w:before="0" w:after="0"/>
        <w:jc w:val="both"/>
        <w:rPr>
          <w:color w:val="000000"/>
        </w:rPr>
      </w:pPr>
      <w:r>
        <w:rPr>
          <w:color w:val="000000"/>
        </w:rPr>
        <w:t>Simultaneously with the closing of the Initial Public Offering, we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pStyle w:val="TextBody"/>
        <w:spacing w:before="0" w:after="0"/>
        <w:rPr/>
      </w:pPr>
      <w:r>
        <w:rPr/>
      </w:r>
    </w:p>
    <w:p>
      <w:pPr>
        <w:pStyle w:val="TextBody"/>
        <w:spacing w:before="0" w:after="0"/>
        <w:jc w:val="both"/>
        <w:rPr/>
      </w:pPr>
      <w:r>
        <w:rPr>
          <w:color w:val="000000"/>
        </w:rPr>
        <w:t>The sponsor and our officers and directors agreed, subject to limited exceptions, not to transfer, assign or sell any of their private placement shares until 30 days after the completion of the initial Business Combination</w:t>
      </w:r>
      <w:r>
        <w:rPr/>
        <w:t>.</w:t>
      </w:r>
    </w:p>
    <w:p>
      <w:pPr>
        <w:pStyle w:val="TextBody"/>
        <w:spacing w:before="0" w:after="0"/>
        <w:ind w:left="0" w:right="0" w:firstLine="360"/>
        <w:jc w:val="both"/>
        <w:rPr/>
      </w:pPr>
      <w:r>
        <w:rPr/>
      </w:r>
    </w:p>
    <w:p>
      <w:pPr>
        <w:pStyle w:val="TextBody"/>
        <w:spacing w:before="0" w:after="0"/>
        <w:jc w:val="both"/>
        <w:rPr>
          <w:i/>
        </w:rPr>
      </w:pPr>
      <w:r>
        <w:rPr>
          <w:i/>
        </w:rPr>
        <w:t>Related Party Loans</w:t>
      </w:r>
    </w:p>
    <w:p>
      <w:pPr>
        <w:pStyle w:val="TextBody"/>
        <w:spacing w:before="0" w:after="0"/>
        <w:rPr/>
      </w:pPr>
      <w:r>
        <w:rPr/>
      </w:r>
    </w:p>
    <w:p>
      <w:pPr>
        <w:pStyle w:val="TextBody"/>
        <w:spacing w:before="0" w:after="0"/>
        <w:jc w:val="both"/>
        <w:rPr/>
      </w:pPr>
      <w:r>
        <w:rPr>
          <w:color w:val="000000"/>
        </w:rPr>
        <w:t>On April 2, 2020, the sponsor agreed to loan us an aggregate of up to $300,000 to cover for expenses related to the Initial Public Offering pursuant to the Note. This loan was non-interest bearing and payable upon the completion of the Initial Public Offering. We borrowed $200,000 under the Note and fully repaid this Note on August 11, 2020</w:t>
      </w:r>
      <w:r>
        <w:rPr/>
        <w:t>.</w:t>
      </w:r>
    </w:p>
    <w:p>
      <w:pPr>
        <w:pStyle w:val="TextBody"/>
        <w:spacing w:before="0" w:after="0"/>
        <w:rPr/>
      </w:pPr>
      <w:r>
        <w:rPr/>
      </w:r>
    </w:p>
    <w:p>
      <w:pPr>
        <w:pStyle w:val="TextBody"/>
        <w:spacing w:before="0" w:after="0"/>
        <w:jc w:val="both"/>
        <w:rPr/>
      </w:pPr>
      <w:r>
        <w:rPr>
          <w:color w:val="000000"/>
        </w:rPr>
        <w:t>In addition, in order to finance transaction costs in connection with a Business Combination, the sponsor or an affiliate of the sponsor, or certain of our officers and directors may, but are not obligated to, loan us funds as may be required in the form of Working Capital Loans. If we complete a Business Combination, we may repay the Working Capital Loans out of the proceeds of the trust account released to us. Otherwise, the Working Capital Loans may be repaid only out of funds held outside the trust account. In the event that a Business Combination does not close, we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we have no outstanding borrowings under the Working Capital Loans</w:t>
      </w:r>
      <w:r>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51" w:name="DSPFPageBreakArea54"/>
      <w:bookmarkStart w:id="652" w:name="DSPFPageBreakArea54"/>
      <w:bookmarkEnd w:id="6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653" w:name="DSPFPageNumber53"/>
      <w:bookmarkStart w:id="654" w:name="DSPFPageNumberArea52"/>
      <w:bookmarkEnd w:id="653"/>
      <w:bookmarkEnd w:id="654"/>
      <w:r>
        <w:rPr>
          <w:b w:val="false"/>
          <w:i w:val="false"/>
          <w:caps w:val="false"/>
          <w:smallCaps w:val="false"/>
          <w:color w:val="000000"/>
          <w:sz w:val="16"/>
        </w:rPr>
        <w:t>56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55" w:name="DSPFPageBreak54"/>
      <w:bookmarkStart w:id="656" w:name="DSPFPageBreak54"/>
      <w:bookmarkEnd w:id="6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657" w:name="DSPFPageHeader52"/>
        <w:bookmarkEnd w:id="657"/>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i/>
        </w:rPr>
      </w:pPr>
      <w:r>
        <w:rPr>
          <w:i/>
        </w:rPr>
        <w:t>Administrative Support Agreement</w:t>
      </w:r>
    </w:p>
    <w:p>
      <w:pPr>
        <w:pStyle w:val="TextBody"/>
        <w:spacing w:before="0" w:after="0"/>
        <w:rPr/>
      </w:pPr>
      <w:r>
        <w:rPr/>
      </w:r>
    </w:p>
    <w:p>
      <w:pPr>
        <w:pStyle w:val="TextBody"/>
        <w:spacing w:before="0" w:after="0"/>
        <w:jc w:val="both"/>
        <w:rPr>
          <w:color w:val="000000"/>
        </w:rPr>
      </w:pPr>
      <w:r>
        <w:rPr>
          <w:color w:val="000000"/>
        </w:rPr>
        <w:t>Commencing on the date the registration statement relating to our Initial Public Offering became effective through the earlier of consummation of the initial Business Combination and our liquidation, we reimburse the sponsor for office space, secretarial and administrative services provided to us in the amount of $10,000 per month.  We incurred approximately $48,000 for these services and are included in general and administrative expenses in the accompanying statement of operations for the period from March 27, 2020 (inception) through December 31, 2020.</w:t>
      </w:r>
    </w:p>
    <w:p>
      <w:pPr>
        <w:pStyle w:val="TextBody"/>
        <w:spacing w:before="0" w:after="0"/>
        <w:rPr/>
      </w:pPr>
      <w:r>
        <w:rPr/>
      </w:r>
    </w:p>
    <w:p>
      <w:pPr>
        <w:pStyle w:val="TextBody"/>
        <w:spacing w:before="0" w:after="0"/>
        <w:jc w:val="both"/>
        <w:rPr>
          <w:b/>
        </w:rPr>
      </w:pPr>
      <w:r>
        <w:rPr>
          <w:b/>
        </w:rPr>
        <w:t>Other Contractual Obligations</w:t>
      </w:r>
    </w:p>
    <w:p>
      <w:pPr>
        <w:pStyle w:val="TextBody"/>
        <w:spacing w:before="0" w:after="0"/>
        <w:rPr/>
      </w:pPr>
      <w:r>
        <w:rPr/>
      </w:r>
    </w:p>
    <w:p>
      <w:pPr>
        <w:pStyle w:val="TextBody"/>
        <w:spacing w:before="0" w:after="0"/>
        <w:jc w:val="both"/>
        <w:rPr>
          <w:color w:val="000000"/>
        </w:rPr>
      </w:pPr>
      <w:r>
        <w:rPr>
          <w:color w:val="000000"/>
        </w:rPr>
        <w:t>We do not have any long-term debt obligations, capital lease obligations, operating lease obligations, purchase obligations or long-term liabilities, other than for an agreement to pay our sponsor fees of $10,000 per month for administrative support services and as described above.</w:t>
      </w:r>
    </w:p>
    <w:p>
      <w:pPr>
        <w:pStyle w:val="TextBody"/>
        <w:spacing w:before="0" w:after="0"/>
        <w:rPr/>
      </w:pPr>
      <w:r>
        <w:rPr/>
      </w:r>
    </w:p>
    <w:p>
      <w:pPr>
        <w:pStyle w:val="TextBody"/>
        <w:spacing w:before="0" w:after="0"/>
        <w:jc w:val="both"/>
        <w:rPr>
          <w:b/>
          <w:i/>
        </w:rPr>
      </w:pPr>
      <w:r>
        <w:rPr>
          <w:b/>
          <w:i/>
        </w:rPr>
        <w:t>Registration and Shareholder Rights</w:t>
      </w:r>
    </w:p>
    <w:p>
      <w:pPr>
        <w:pStyle w:val="TextBody"/>
        <w:spacing w:before="0" w:after="0"/>
        <w:rPr/>
      </w:pPr>
      <w:r>
        <w:rPr/>
      </w:r>
    </w:p>
    <w:p>
      <w:pPr>
        <w:pStyle w:val="TextBody"/>
        <w:spacing w:before="0" w:after="0"/>
        <w:jc w:val="both"/>
        <w:rPr>
          <w:color w:val="000000"/>
        </w:rPr>
      </w:pPr>
      <w:r>
        <w:rPr>
          <w:color w:val="000000"/>
        </w:rPr>
        <w:t>The holders of founder shares, private placement shares, and securities that may be issued upon conversion of Working Capital Loans, if any, are entitled to registration rights pursuant to a registration and shareholder rights agreement. The holders of these securities are entitled to make up to three demands, excluding short form demands, that we register such securities. In addition, the holders have certain “piggy-back” registration rights with respect to registration statements filed subsequent our completion of a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in accordance with the letter agreement our initial shareholders entered into and (ii) in the case of the private placement shares, 30 days after the completion of our business combination. The company will bear the expenses incurred in connection with the filing of any such registration statements.</w:t>
      </w:r>
    </w:p>
    <w:p>
      <w:pPr>
        <w:pStyle w:val="TextBody"/>
        <w:spacing w:before="0" w:after="0"/>
        <w:rPr/>
      </w:pPr>
      <w:r>
        <w:rPr/>
      </w:r>
    </w:p>
    <w:p>
      <w:pPr>
        <w:pStyle w:val="TextBody"/>
        <w:spacing w:before="0" w:after="0"/>
        <w:jc w:val="both"/>
        <w:rPr>
          <w:b/>
          <w:i/>
        </w:rPr>
      </w:pPr>
      <w:r>
        <w:rPr>
          <w:b/>
          <w:i/>
        </w:rPr>
        <w:t>Underwriting Agreement</w:t>
      </w:r>
    </w:p>
    <w:p>
      <w:pPr>
        <w:pStyle w:val="TextBody"/>
        <w:spacing w:before="0" w:after="0"/>
        <w:rPr/>
      </w:pPr>
      <w:r>
        <w:rPr/>
      </w:r>
    </w:p>
    <w:p>
      <w:pPr>
        <w:pStyle w:val="TextBody"/>
        <w:spacing w:before="0" w:after="0"/>
        <w:jc w:val="both"/>
        <w:rPr>
          <w:color w:val="000000"/>
        </w:rPr>
      </w:pPr>
      <w:r>
        <w:rPr>
          <w:color w:val="000000"/>
        </w:rPr>
        <w:t>We granted the Underwriters a 45-day option from the final prospectus relating to the Initial Public Offering to purchase up to 1,950,000 additional public shares to cover over-allotments at the initial public offering price less the underwriting discounts and commissions. The Underwriters fully exercised the over-allotment option on August 11, 2020.</w:t>
      </w:r>
    </w:p>
    <w:p>
      <w:pPr>
        <w:pStyle w:val="TextBody"/>
        <w:spacing w:before="0" w:after="0"/>
        <w:rPr/>
      </w:pPr>
      <w:r>
        <w:rPr/>
      </w:r>
    </w:p>
    <w:p>
      <w:pPr>
        <w:pStyle w:val="TextBody"/>
        <w:spacing w:before="0" w:after="0"/>
        <w:jc w:val="both"/>
        <w:rPr>
          <w:color w:val="000000"/>
        </w:rPr>
      </w:pPr>
      <w:r>
        <w:rPr>
          <w:color w:val="000000"/>
        </w:rPr>
        <w:t>The Underwriters were paid a cash underwriting discount of $0.20 per public share, or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pStyle w:val="TextBody"/>
        <w:spacing w:before="0" w:after="0"/>
        <w:rPr/>
      </w:pPr>
      <w:r>
        <w:rPr/>
      </w:r>
    </w:p>
    <w:p>
      <w:pPr>
        <w:pStyle w:val="TextBody"/>
        <w:spacing w:before="0" w:after="0"/>
        <w:jc w:val="both"/>
        <w:rPr>
          <w:b/>
        </w:rPr>
      </w:pPr>
      <w:r>
        <w:rPr>
          <w:b/>
        </w:rPr>
        <w:t>Critical Accounting Policy</w:t>
      </w:r>
    </w:p>
    <w:p>
      <w:pPr>
        <w:pStyle w:val="TextBody"/>
        <w:spacing w:before="0" w:after="0"/>
        <w:rPr/>
      </w:pPr>
      <w:r>
        <w:rPr/>
      </w:r>
    </w:p>
    <w:p>
      <w:pPr>
        <w:pStyle w:val="TextBody"/>
        <w:spacing w:before="0" w:after="0"/>
        <w:jc w:val="both"/>
        <w:rPr>
          <w:i/>
          <w:color w:val="000000"/>
        </w:rPr>
      </w:pPr>
      <w:r>
        <w:rPr>
          <w:i/>
          <w:color w:val="000000"/>
        </w:rPr>
        <w:t>Investment Securities Held in Trust Account</w:t>
      </w:r>
    </w:p>
    <w:p>
      <w:pPr>
        <w:pStyle w:val="TextBody"/>
        <w:spacing w:before="0" w:after="0"/>
        <w:rPr/>
      </w:pPr>
      <w:r>
        <w:rPr/>
      </w:r>
    </w:p>
    <w:p>
      <w:pPr>
        <w:pStyle w:val="TextBody"/>
        <w:spacing w:before="0" w:after="0"/>
        <w:jc w:val="both"/>
        <w:rPr>
          <w:color w:val="000000"/>
        </w:rPr>
      </w:pPr>
      <w:r>
        <w:rPr>
          <w:color w:val="000000"/>
        </w:rPr>
        <w:t>Upon the closing of the Initial Public Offering and the private placement, we were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until the earlier of: (i) the completion of a Business Combination and (ii) the distribution of the trust account. Investments held in trust account are classified as trading securities, which are presented on the balance sheet at fair value at the end of the reporting period. Gains and losses resulting from the change in fair value of trading securities is included in investment income on trust account in the accompanying statement of operations.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58" w:name="DSPFPageBreakArea55"/>
      <w:bookmarkStart w:id="659" w:name="DSPFPageBreakArea55"/>
      <w:bookmarkEnd w:id="6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660" w:name="DSPFPageNumber54"/>
      <w:bookmarkStart w:id="661" w:name="DSPFPageNumberArea53"/>
      <w:bookmarkEnd w:id="660"/>
      <w:bookmarkEnd w:id="661"/>
      <w:r>
        <w:rPr>
          <w:b w:val="false"/>
          <w:i w:val="false"/>
          <w:caps w:val="false"/>
          <w:smallCaps w:val="false"/>
          <w:color w:val="000000"/>
          <w:sz w:val="16"/>
        </w:rPr>
        <w:t>57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62" w:name="DSPFPageBreak55"/>
      <w:bookmarkStart w:id="663" w:name="DSPFPageBreak55"/>
      <w:bookmarkEnd w:id="6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664" w:name="DSPFPageHeader53"/>
        <w:bookmarkEnd w:id="664"/>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i/>
        </w:rPr>
      </w:pPr>
      <w:r>
        <w:rPr>
          <w:i/>
        </w:rPr>
        <w:t>Class A Ordinary Shares Subject to Possible Redemption</w:t>
      </w:r>
    </w:p>
    <w:p>
      <w:pPr>
        <w:pStyle w:val="TextBody"/>
        <w:spacing w:before="0" w:after="0"/>
        <w:rPr/>
      </w:pPr>
      <w:r>
        <w:rPr/>
      </w:r>
    </w:p>
    <w:p>
      <w:pPr>
        <w:pStyle w:val="TextBody"/>
        <w:spacing w:before="0" w:after="0"/>
        <w:jc w:val="both"/>
        <w:rPr>
          <w:color w:val="000000"/>
        </w:rPr>
      </w:pPr>
      <w:r>
        <w:rPr>
          <w:color w:val="000000"/>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at December 31, 2020, 14,023,673 Class A ordinary shares subject to possible redemption are presented as temporary equity, outside of the shareholders’ equity section of the Company’s balance sheet.</w:t>
      </w:r>
    </w:p>
    <w:p>
      <w:pPr>
        <w:pStyle w:val="TextBody"/>
        <w:spacing w:before="0" w:after="0"/>
        <w:rPr/>
      </w:pPr>
      <w:r>
        <w:rPr/>
      </w:r>
    </w:p>
    <w:p>
      <w:pPr>
        <w:pStyle w:val="TextBody"/>
        <w:spacing w:before="0" w:after="0"/>
        <w:jc w:val="both"/>
        <w:rPr>
          <w:i/>
        </w:rPr>
      </w:pPr>
      <w:r>
        <w:rPr>
          <w:i/>
        </w:rPr>
        <w:t>Net Income (Loss) Per Ordinary Share</w:t>
      </w:r>
    </w:p>
    <w:p>
      <w:pPr>
        <w:pStyle w:val="TextBody"/>
        <w:spacing w:before="0" w:after="0"/>
        <w:rPr/>
      </w:pPr>
      <w:r>
        <w:rPr/>
      </w:r>
    </w:p>
    <w:p>
      <w:pPr>
        <w:pStyle w:val="TextBody"/>
        <w:spacing w:before="0" w:after="0"/>
        <w:jc w:val="both"/>
        <w:rPr>
          <w:color w:val="000000"/>
        </w:rPr>
      </w:pPr>
      <w:r>
        <w:rPr>
          <w:color w:val="000000"/>
        </w:rPr>
        <w:t>Net income (loss) per share is computed by dividing net income by the weighted-average number of ordinary shares outstanding during the periods. Our statement of operations include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approximately $53,000 for the period from March 27, 2020 (inception) through December 31, 2020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periods.</w:t>
      </w:r>
    </w:p>
    <w:p>
      <w:pPr>
        <w:pStyle w:val="TextBody"/>
        <w:spacing w:before="0" w:after="0"/>
        <w:rPr/>
      </w:pPr>
      <w:r>
        <w:rPr/>
      </w:r>
    </w:p>
    <w:p>
      <w:pPr>
        <w:pStyle w:val="TextBody"/>
        <w:spacing w:before="0" w:after="0"/>
        <w:jc w:val="both"/>
        <w:rPr>
          <w:i/>
        </w:rPr>
      </w:pPr>
      <w:r>
        <w:rPr>
          <w:i/>
        </w:rPr>
        <w:t>Fair Value of Financial Instruments</w:t>
      </w:r>
    </w:p>
    <w:p>
      <w:pPr>
        <w:pStyle w:val="TextBody"/>
        <w:spacing w:before="0" w:after="0"/>
        <w:rPr/>
      </w:pPr>
      <w:r>
        <w:rPr/>
      </w:r>
    </w:p>
    <w:p>
      <w:pPr>
        <w:pStyle w:val="TextBody"/>
        <w:spacing w:before="0" w:after="0"/>
        <w:jc w:val="both"/>
        <w:rPr/>
      </w:pPr>
      <w:r>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pStyle w:val="TextBody"/>
        <w:spacing w:before="0" w:after="0"/>
        <w:rPr/>
      </w:pPr>
      <w:r>
        <w:rPr/>
      </w:r>
    </w:p>
    <w:p>
      <w:pPr>
        <w:pStyle w:val="Normal"/>
        <w:spacing w:before="0" w:after="0"/>
        <w:rPr>
          <w:sz w:val="4"/>
          <w:szCs w:val="4"/>
        </w:rPr>
      </w:pPr>
      <w:r>
        <w:rPr>
          <w:sz w:val="4"/>
          <w:szCs w:val="4"/>
        </w:rPr>
      </w:r>
      <w:bookmarkStart w:id="665" w:name="z0dcdee244b7b403197274ea46a9e4db8"/>
      <w:bookmarkStart w:id="666" w:name="z0dcdee244b7b403197274ea46a9e4db8"/>
      <w:bookmarkEnd w:id="66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Level 1, defined as observable inputs such as quoted prices (unadjusted) for identical instruments in active markets;</w:t>
            </w:r>
          </w:p>
        </w:tc>
      </w:tr>
    </w:tbl>
    <w:p>
      <w:pPr>
        <w:pStyle w:val="TextBody"/>
        <w:spacing w:before="0" w:after="0"/>
        <w:rPr/>
      </w:pPr>
      <w:r>
        <w:rPr/>
      </w:r>
    </w:p>
    <w:p>
      <w:pPr>
        <w:pStyle w:val="Normal"/>
        <w:spacing w:before="0" w:after="0"/>
        <w:rPr>
          <w:sz w:val="4"/>
          <w:szCs w:val="4"/>
        </w:rPr>
      </w:pPr>
      <w:r>
        <w:rPr>
          <w:sz w:val="4"/>
          <w:szCs w:val="4"/>
        </w:rPr>
      </w:r>
      <w:bookmarkStart w:id="667" w:name="z3e4c7034efed44f1961b9b939207889e"/>
      <w:bookmarkStart w:id="668" w:name="z3e4c7034efed44f1961b9b939207889e"/>
      <w:bookmarkEnd w:id="66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tc>
      </w:tr>
    </w:tbl>
    <w:p>
      <w:pPr>
        <w:pStyle w:val="TextBody"/>
        <w:spacing w:before="0" w:after="0"/>
        <w:rPr/>
      </w:pPr>
      <w:r>
        <w:rPr/>
      </w:r>
    </w:p>
    <w:p>
      <w:pPr>
        <w:pStyle w:val="Normal"/>
        <w:spacing w:before="0" w:after="0"/>
        <w:rPr>
          <w:sz w:val="4"/>
          <w:szCs w:val="4"/>
        </w:rPr>
      </w:pPr>
      <w:r>
        <w:rPr>
          <w:sz w:val="4"/>
          <w:szCs w:val="4"/>
        </w:rPr>
      </w:r>
      <w:bookmarkStart w:id="669" w:name="z1489f33b8a034f5dba2b6f380a7fa9d7"/>
      <w:bookmarkStart w:id="670" w:name="z1489f33b8a034f5dba2b6f380a7fa9d7"/>
      <w:bookmarkEnd w:id="67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tc>
      </w:tr>
    </w:tbl>
    <w:p>
      <w:pPr>
        <w:pStyle w:val="TextBody"/>
        <w:spacing w:before="0" w:after="0"/>
        <w:rPr/>
      </w:pPr>
      <w:r>
        <w:rPr/>
      </w:r>
    </w:p>
    <w:p>
      <w:pPr>
        <w:pStyle w:val="TextBody"/>
        <w:spacing w:before="0" w:after="0"/>
        <w:jc w:val="both"/>
        <w:rPr/>
      </w:pPr>
      <w:r>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spacing w:before="0" w:after="0"/>
        <w:rPr/>
      </w:pPr>
      <w:r>
        <w:rPr/>
      </w:r>
    </w:p>
    <w:p>
      <w:pPr>
        <w:pStyle w:val="TextBody"/>
        <w:spacing w:before="0" w:after="0"/>
        <w:jc w:val="both"/>
        <w:rPr/>
      </w:pPr>
      <w:r>
        <w:rPr/>
        <w:t>As of December 31, 2020,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71" w:name="DSPFPageBreakArea56"/>
      <w:bookmarkStart w:id="672" w:name="DSPFPageBreakArea56"/>
      <w:bookmarkEnd w:id="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673" w:name="DSPFPageNumber55"/>
      <w:bookmarkStart w:id="674" w:name="DSPFPageNumberArea54"/>
      <w:bookmarkEnd w:id="673"/>
      <w:bookmarkEnd w:id="674"/>
      <w:r>
        <w:rPr>
          <w:b w:val="false"/>
          <w:i w:val="false"/>
          <w:caps w:val="false"/>
          <w:smallCaps w:val="false"/>
          <w:color w:val="000000"/>
          <w:sz w:val="16"/>
        </w:rPr>
        <w:t>58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75" w:name="DSPFPageBreak56"/>
      <w:bookmarkStart w:id="676" w:name="DSPFPageBreak56"/>
      <w:bookmarkEnd w:id="6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677" w:name="DSPFPageHeader54"/>
        <w:bookmarkEnd w:id="677"/>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i/>
        </w:rPr>
      </w:pPr>
      <w:r>
        <w:rPr>
          <w:i/>
        </w:rPr>
        <w:t>Recent Accounting Pronouncements</w:t>
      </w:r>
    </w:p>
    <w:p>
      <w:pPr>
        <w:pStyle w:val="TextBody"/>
        <w:spacing w:before="0" w:after="0"/>
        <w:rPr/>
      </w:pPr>
      <w:r>
        <w:rPr/>
      </w:r>
    </w:p>
    <w:p>
      <w:pPr>
        <w:pStyle w:val="TextBody"/>
        <w:spacing w:before="0" w:after="0"/>
        <w:jc w:val="both"/>
        <w:rPr/>
      </w:pPr>
      <w:r>
        <w:rPr/>
        <w:t>We do not believe that any other recently issued, but not yet effective, accounting pronouncements, if currently adopted, would have a material impact on our financial statements.</w:t>
      </w:r>
    </w:p>
    <w:p>
      <w:pPr>
        <w:pStyle w:val="TextBody"/>
        <w:spacing w:before="0" w:after="0"/>
        <w:rPr/>
      </w:pPr>
      <w:r>
        <w:rPr/>
      </w:r>
    </w:p>
    <w:p>
      <w:pPr>
        <w:pStyle w:val="TextBody"/>
        <w:spacing w:before="0" w:after="0"/>
        <w:jc w:val="both"/>
        <w:rPr>
          <w:b/>
        </w:rPr>
      </w:pPr>
      <w:r>
        <w:rPr>
          <w:b/>
        </w:rPr>
        <w:t>Off-Balance Sheet Arrangements</w:t>
      </w:r>
    </w:p>
    <w:p>
      <w:pPr>
        <w:pStyle w:val="TextBody"/>
        <w:spacing w:before="0" w:after="0"/>
        <w:jc w:val="both"/>
        <w:rPr/>
      </w:pPr>
      <w:r>
        <w:rPr/>
      </w:r>
    </w:p>
    <w:p>
      <w:pPr>
        <w:pStyle w:val="TextBody"/>
        <w:spacing w:before="0" w:after="0"/>
        <w:jc w:val="both"/>
        <w:rPr/>
      </w:pPr>
      <w:r>
        <w:rPr/>
        <w:t>As of December 31, 2020, we did not have any off-balance sheet arrangements as defined in Item 303(a)(4)(ii) of Regulation S-K and did not have any commitments or contractual obligations.</w:t>
      </w:r>
    </w:p>
    <w:p>
      <w:pPr>
        <w:pStyle w:val="TextBody"/>
        <w:spacing w:before="0" w:after="0"/>
        <w:rPr/>
      </w:pPr>
      <w:r>
        <w:rPr/>
      </w:r>
    </w:p>
    <w:p>
      <w:pPr>
        <w:pStyle w:val="TextBody"/>
        <w:spacing w:before="0" w:after="0"/>
        <w:jc w:val="both"/>
        <w:rPr>
          <w:b/>
        </w:rPr>
      </w:pPr>
      <w:r>
        <w:rPr>
          <w:b/>
        </w:rPr>
        <w:t>JOBS Act</w:t>
      </w:r>
    </w:p>
    <w:p>
      <w:pPr>
        <w:pStyle w:val="TextBody"/>
        <w:spacing w:before="0" w:after="0"/>
        <w:jc w:val="both"/>
        <w:rPr/>
      </w:pPr>
      <w:r>
        <w:rPr/>
      </w:r>
    </w:p>
    <w:p>
      <w:pPr>
        <w:pStyle w:val="TextBody"/>
        <w:spacing w:before="0" w:after="0"/>
        <w:jc w:val="both"/>
        <w:rPr/>
      </w:pPr>
      <w:r>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pStyle w:val="TextBody"/>
        <w:spacing w:before="0" w:after="0"/>
        <w:rPr/>
      </w:pPr>
      <w:r>
        <w:rPr/>
      </w:r>
    </w:p>
    <w:p>
      <w:pPr>
        <w:pStyle w:val="TextBody"/>
        <w:spacing w:before="0" w:after="0"/>
        <w:jc w:val="both"/>
        <w:rPr/>
      </w:pPr>
      <w:r>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executive compensation to median employee compensation. These exemptions will apply for a period of five years following the completion of our initial public offering or until we are no longer an “emerging growth company,” whichever is earlier.</w:t>
      </w:r>
    </w:p>
    <w:p>
      <w:pPr>
        <w:pStyle w:val="TextBody"/>
        <w:spacing w:before="0" w:after="0"/>
        <w:rPr/>
      </w:pPr>
      <w:r>
        <w:rPr/>
      </w:r>
    </w:p>
    <w:p>
      <w:pPr>
        <w:pStyle w:val="Normal"/>
        <w:spacing w:before="0" w:after="0"/>
        <w:rPr>
          <w:sz w:val="4"/>
          <w:szCs w:val="4"/>
        </w:rPr>
      </w:pPr>
      <w:r>
        <w:rPr>
          <w:sz w:val="4"/>
          <w:szCs w:val="4"/>
        </w:rPr>
      </w:r>
      <w:bookmarkStart w:id="678" w:name="zc22f4dc7473f444298969ac5503d9382"/>
      <w:bookmarkStart w:id="679" w:name="zc22f4dc7473f444298969ac5503d9382"/>
      <w:bookmarkEnd w:id="679"/>
    </w:p>
    <w:tbl>
      <w:tblPr>
        <w:tblW w:w="7150" w:type="dxa"/>
        <w:jc w:val="left"/>
        <w:tblInd w:w="0" w:type="dxa"/>
        <w:tblCellMar>
          <w:top w:w="0" w:type="dxa"/>
          <w:left w:w="0" w:type="dxa"/>
          <w:bottom w:w="0" w:type="dxa"/>
          <w:right w:w="0" w:type="dxa"/>
        </w:tblCellMar>
      </w:tblPr>
      <w:tblGrid>
        <w:gridCol w:w="920"/>
        <w:gridCol w:w="6230"/>
      </w:tblGrid>
      <w:tr>
        <w:trPr/>
        <w:tc>
          <w:tcPr>
            <w:tcW w:w="920" w:type="dxa"/>
            <w:tcBorders/>
            <w:shd w:fill="auto" w:val="clear"/>
            <w:vAlign w:val="center"/>
          </w:tcPr>
          <w:p>
            <w:pPr>
              <w:pStyle w:val="TableContents"/>
              <w:spacing w:before="0" w:after="0"/>
              <w:jc w:val="both"/>
              <w:rPr>
                <w:b/>
              </w:rPr>
            </w:pPr>
            <w:bookmarkStart w:id="680" w:name="Item7A."/>
            <w:bookmarkEnd w:id="680"/>
            <w:r>
              <w:rPr>
                <w:b/>
              </w:rPr>
              <w:t>Item 7A.</w:t>
            </w:r>
          </w:p>
        </w:tc>
        <w:tc>
          <w:tcPr>
            <w:tcW w:w="6230" w:type="dxa"/>
            <w:tcBorders/>
            <w:shd w:fill="auto" w:val="clear"/>
            <w:vAlign w:val="center"/>
          </w:tcPr>
          <w:p>
            <w:pPr>
              <w:pStyle w:val="TableContents"/>
              <w:spacing w:before="0" w:after="0"/>
              <w:jc w:val="both"/>
              <w:rPr>
                <w:b/>
              </w:rPr>
            </w:pPr>
            <w:r>
              <w:rPr>
                <w:b/>
              </w:rPr>
              <w:t>Quantitative and Qualitative Disclosures About Market Risk.</w:t>
            </w:r>
          </w:p>
        </w:tc>
      </w:tr>
    </w:tbl>
    <w:p>
      <w:pPr>
        <w:pStyle w:val="TextBody"/>
        <w:spacing w:before="0" w:after="0"/>
        <w:jc w:val="both"/>
        <w:rPr/>
      </w:pPr>
      <w:r>
        <w:rPr/>
      </w:r>
    </w:p>
    <w:p>
      <w:pPr>
        <w:pStyle w:val="TextBody"/>
        <w:spacing w:before="0" w:after="0"/>
        <w:jc w:val="both"/>
        <w:rPr/>
      </w:pPr>
      <w:r>
        <w:rPr/>
        <w:t>We are a smaller reporting company as defined by Rule 12b-2 of the Exchange Act and are not required to provide the information otherwise required under this item.</w:t>
      </w:r>
    </w:p>
    <w:p>
      <w:pPr>
        <w:pStyle w:val="TextBody"/>
        <w:spacing w:before="0" w:after="0"/>
        <w:rPr/>
      </w:pPr>
      <w:r>
        <w:rPr/>
      </w:r>
    </w:p>
    <w:p>
      <w:pPr>
        <w:pStyle w:val="Normal"/>
        <w:spacing w:before="0" w:after="0"/>
        <w:rPr>
          <w:sz w:val="4"/>
          <w:szCs w:val="4"/>
        </w:rPr>
      </w:pPr>
      <w:r>
        <w:rPr>
          <w:sz w:val="4"/>
          <w:szCs w:val="4"/>
        </w:rPr>
      </w:r>
      <w:bookmarkStart w:id="681" w:name="z84147fe39d1b4c00baf8a2add1fd9bde"/>
      <w:bookmarkStart w:id="682" w:name="z84147fe39d1b4c00baf8a2add1fd9bde"/>
      <w:bookmarkEnd w:id="682"/>
    </w:p>
    <w:tbl>
      <w:tblPr>
        <w:tblW w:w="5575" w:type="dxa"/>
        <w:jc w:val="left"/>
        <w:tblInd w:w="0" w:type="dxa"/>
        <w:tblCellMar>
          <w:top w:w="0" w:type="dxa"/>
          <w:left w:w="0" w:type="dxa"/>
          <w:bottom w:w="0" w:type="dxa"/>
          <w:right w:w="0" w:type="dxa"/>
        </w:tblCellMar>
      </w:tblPr>
      <w:tblGrid>
        <w:gridCol w:w="740"/>
        <w:gridCol w:w="4835"/>
      </w:tblGrid>
      <w:tr>
        <w:trPr/>
        <w:tc>
          <w:tcPr>
            <w:tcW w:w="740" w:type="dxa"/>
            <w:tcBorders/>
            <w:shd w:fill="auto" w:val="clear"/>
            <w:vAlign w:val="center"/>
          </w:tcPr>
          <w:p>
            <w:pPr>
              <w:pStyle w:val="TableContents"/>
              <w:spacing w:before="0" w:after="0"/>
              <w:jc w:val="both"/>
              <w:rPr>
                <w:b/>
              </w:rPr>
            </w:pPr>
            <w:bookmarkStart w:id="683" w:name="Item8"/>
            <w:bookmarkEnd w:id="683"/>
            <w:r>
              <w:rPr>
                <w:b/>
              </w:rPr>
              <w:t>Item 8.</w:t>
            </w:r>
          </w:p>
        </w:tc>
        <w:tc>
          <w:tcPr>
            <w:tcW w:w="4835" w:type="dxa"/>
            <w:tcBorders/>
            <w:shd w:fill="auto" w:val="clear"/>
            <w:vAlign w:val="center"/>
          </w:tcPr>
          <w:p>
            <w:pPr>
              <w:pStyle w:val="TableContents"/>
              <w:spacing w:before="0" w:after="0"/>
              <w:jc w:val="both"/>
              <w:rPr>
                <w:b/>
              </w:rPr>
            </w:pPr>
            <w:r>
              <w:rPr>
                <w:b/>
              </w:rPr>
              <w:t>Financial Statements and Supplementary Data.</w:t>
            </w:r>
          </w:p>
        </w:tc>
      </w:tr>
    </w:tbl>
    <w:p>
      <w:pPr>
        <w:pStyle w:val="TextBody"/>
        <w:spacing w:before="0" w:after="0"/>
        <w:rPr/>
      </w:pPr>
      <w:r>
        <w:rPr/>
      </w:r>
    </w:p>
    <w:p>
      <w:pPr>
        <w:pStyle w:val="TextBody"/>
        <w:spacing w:before="0" w:after="0"/>
        <w:rPr/>
      </w:pPr>
      <w:r>
        <w:rPr/>
        <w:t>Reference is made to Pages F-1 through F-18 comprising a portion of this Report.</w:t>
      </w:r>
    </w:p>
    <w:p>
      <w:pPr>
        <w:pStyle w:val="TextBody"/>
        <w:spacing w:before="0" w:after="0"/>
        <w:rPr/>
      </w:pPr>
      <w:r>
        <w:rPr/>
      </w:r>
    </w:p>
    <w:p>
      <w:pPr>
        <w:pStyle w:val="Normal"/>
        <w:spacing w:before="0" w:after="0"/>
        <w:rPr>
          <w:sz w:val="4"/>
          <w:szCs w:val="4"/>
        </w:rPr>
      </w:pPr>
      <w:r>
        <w:rPr>
          <w:sz w:val="4"/>
          <w:szCs w:val="4"/>
        </w:rPr>
      </w:r>
      <w:bookmarkStart w:id="684" w:name="zab165c90408b4595bced6336bb20d11c"/>
      <w:bookmarkStart w:id="685" w:name="zab165c90408b4595bced6336bb20d11c"/>
      <w:bookmarkEnd w:id="685"/>
    </w:p>
    <w:tbl>
      <w:tblPr>
        <w:tblW w:w="9865" w:type="dxa"/>
        <w:jc w:val="left"/>
        <w:tblInd w:w="0" w:type="dxa"/>
        <w:tblCellMar>
          <w:top w:w="0" w:type="dxa"/>
          <w:left w:w="0" w:type="dxa"/>
          <w:bottom w:w="0" w:type="dxa"/>
          <w:right w:w="0" w:type="dxa"/>
        </w:tblCellMar>
      </w:tblPr>
      <w:tblGrid>
        <w:gridCol w:w="740"/>
        <w:gridCol w:w="9125"/>
      </w:tblGrid>
      <w:tr>
        <w:trPr/>
        <w:tc>
          <w:tcPr>
            <w:tcW w:w="740" w:type="dxa"/>
            <w:tcBorders/>
            <w:shd w:fill="auto" w:val="clear"/>
            <w:vAlign w:val="center"/>
          </w:tcPr>
          <w:p>
            <w:pPr>
              <w:pStyle w:val="TableContents"/>
              <w:spacing w:before="0" w:after="0"/>
              <w:rPr>
                <w:b/>
              </w:rPr>
            </w:pPr>
            <w:bookmarkStart w:id="686" w:name="Item9."/>
            <w:bookmarkEnd w:id="686"/>
            <w:r>
              <w:rPr>
                <w:b/>
              </w:rPr>
              <w:t>Item 9.</w:t>
            </w:r>
          </w:p>
        </w:tc>
        <w:tc>
          <w:tcPr>
            <w:tcW w:w="9125" w:type="dxa"/>
            <w:tcBorders/>
            <w:shd w:fill="auto" w:val="clear"/>
            <w:vAlign w:val="center"/>
          </w:tcPr>
          <w:p>
            <w:pPr>
              <w:pStyle w:val="TableContents"/>
              <w:spacing w:before="0" w:after="0"/>
              <w:rPr>
                <w:b/>
              </w:rPr>
            </w:pPr>
            <w:r>
              <w:rPr>
                <w:b/>
              </w:rPr>
              <w:t>Changes in and Disagreements with Accountants on Accounting and Financial Disclosure</w:t>
            </w:r>
          </w:p>
        </w:tc>
      </w:tr>
    </w:tbl>
    <w:p>
      <w:pPr>
        <w:pStyle w:val="TextBody"/>
        <w:spacing w:before="0" w:after="0"/>
        <w:rPr/>
      </w:pPr>
      <w:r>
        <w:rPr/>
      </w:r>
    </w:p>
    <w:p>
      <w:pPr>
        <w:pStyle w:val="TextBody"/>
        <w:spacing w:before="0" w:after="0"/>
        <w:rPr/>
      </w:pPr>
      <w:r>
        <w:rPr/>
        <w:t>None.</w:t>
      </w:r>
    </w:p>
    <w:p>
      <w:pPr>
        <w:pStyle w:val="TextBody"/>
        <w:spacing w:before="0" w:after="0"/>
        <w:rPr/>
      </w:pPr>
      <w:r>
        <w:rPr/>
      </w:r>
    </w:p>
    <w:p>
      <w:pPr>
        <w:pStyle w:val="Normal"/>
        <w:spacing w:before="0" w:after="0"/>
        <w:rPr>
          <w:sz w:val="4"/>
          <w:szCs w:val="4"/>
        </w:rPr>
      </w:pPr>
      <w:r>
        <w:rPr>
          <w:sz w:val="4"/>
          <w:szCs w:val="4"/>
        </w:rPr>
      </w:r>
      <w:bookmarkStart w:id="687" w:name="z51e9832ac1c14d1f9dcd3937e2f08031"/>
      <w:bookmarkStart w:id="688" w:name="z51e9832ac1c14d1f9dcd3937e2f08031"/>
      <w:bookmarkEnd w:id="688"/>
    </w:p>
    <w:tbl>
      <w:tblPr>
        <w:tblW w:w="3505" w:type="dxa"/>
        <w:jc w:val="left"/>
        <w:tblInd w:w="0" w:type="dxa"/>
        <w:tblCellMar>
          <w:top w:w="0" w:type="dxa"/>
          <w:left w:w="0" w:type="dxa"/>
          <w:bottom w:w="0" w:type="dxa"/>
          <w:right w:w="0" w:type="dxa"/>
        </w:tblCellMar>
      </w:tblPr>
      <w:tblGrid>
        <w:gridCol w:w="920"/>
        <w:gridCol w:w="2585"/>
      </w:tblGrid>
      <w:tr>
        <w:trPr/>
        <w:tc>
          <w:tcPr>
            <w:tcW w:w="920" w:type="dxa"/>
            <w:tcBorders/>
            <w:shd w:fill="auto" w:val="clear"/>
            <w:vAlign w:val="center"/>
          </w:tcPr>
          <w:p>
            <w:pPr>
              <w:pStyle w:val="TableContents"/>
              <w:spacing w:before="0" w:after="0"/>
              <w:rPr>
                <w:b/>
              </w:rPr>
            </w:pPr>
            <w:bookmarkStart w:id="689" w:name="Item9A."/>
            <w:bookmarkEnd w:id="689"/>
            <w:r>
              <w:rPr>
                <w:b/>
              </w:rPr>
              <w:t>Item 9A.</w:t>
            </w:r>
          </w:p>
        </w:tc>
        <w:tc>
          <w:tcPr>
            <w:tcW w:w="2585" w:type="dxa"/>
            <w:tcBorders/>
            <w:shd w:fill="auto" w:val="clear"/>
            <w:vAlign w:val="center"/>
          </w:tcPr>
          <w:p>
            <w:pPr>
              <w:pStyle w:val="TableContents"/>
              <w:spacing w:before="0" w:after="0"/>
              <w:rPr>
                <w:b/>
              </w:rPr>
            </w:pPr>
            <w:r>
              <w:rPr>
                <w:b/>
              </w:rPr>
              <w:t>Controls and Procedures</w:t>
            </w:r>
          </w:p>
        </w:tc>
      </w:tr>
    </w:tbl>
    <w:p>
      <w:pPr>
        <w:pStyle w:val="TextBody"/>
        <w:spacing w:before="0" w:after="0"/>
        <w:rPr/>
      </w:pPr>
      <w:r>
        <w:rPr/>
      </w:r>
    </w:p>
    <w:p>
      <w:pPr>
        <w:pStyle w:val="TextBody"/>
        <w:spacing w:before="0" w:after="0"/>
        <w:rPr>
          <w:b/>
        </w:rPr>
      </w:pPr>
      <w:r>
        <w:rPr>
          <w:b/>
        </w:rPr>
        <w:t>Evaluation of Disclosure Controls and Procedures</w:t>
      </w:r>
    </w:p>
    <w:p>
      <w:pPr>
        <w:pStyle w:val="TextBody"/>
        <w:spacing w:before="0" w:after="0"/>
        <w:rPr/>
      </w:pPr>
      <w:r>
        <w:rPr/>
      </w:r>
    </w:p>
    <w:p>
      <w:pPr>
        <w:pStyle w:val="TextBody"/>
        <w:spacing w:before="0" w:after="0"/>
        <w:rPr/>
      </w:pPr>
      <w:r>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principal executive officer and principal financial and accounting officer (our “Certifying Officers”), the effectiveness of our disclosure controls and procedures as of December 31, 2020, pursuant to Rule 13a-15(b) under the Exchange Act. Based upon that evaluation, our Certifying Officers concluded that, as of December 31, 2020, our disclosure controls and procedures were effective.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690" w:name="DSPFPageBreakArea57"/>
      <w:bookmarkStart w:id="691" w:name="DSPFPageBreakArea57"/>
      <w:bookmarkEnd w:id="6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692" w:name="DSPFPageNumber56"/>
      <w:bookmarkStart w:id="693" w:name="DSPFPageNumberArea55"/>
      <w:bookmarkEnd w:id="692"/>
      <w:bookmarkEnd w:id="693"/>
      <w:r>
        <w:rPr>
          <w:b w:val="false"/>
          <w:i w:val="false"/>
          <w:caps w:val="false"/>
          <w:smallCaps w:val="false"/>
          <w:color w:val="000000"/>
          <w:sz w:val="16"/>
        </w:rPr>
        <w:t>59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694" w:name="DSPFPageBreak57"/>
      <w:bookmarkStart w:id="695" w:name="DSPFPageBreak57"/>
      <w:bookmarkEnd w:id="6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696" w:name="DSPFPageHeader55"/>
        <w:bookmarkEnd w:id="696"/>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spacing w:before="0" w:after="0"/>
        <w:rPr/>
      </w:pPr>
      <w:r>
        <w:rPr/>
      </w:r>
    </w:p>
    <w:p>
      <w:pPr>
        <w:pStyle w:val="TextBody"/>
        <w:spacing w:before="0" w:after="0"/>
        <w:rPr>
          <w:b/>
        </w:rPr>
      </w:pPr>
      <w:r>
        <w:rPr>
          <w:b/>
        </w:rPr>
        <w:t>Management’s Report on Internal Controls Over Financial Reporting</w:t>
      </w:r>
    </w:p>
    <w:p>
      <w:pPr>
        <w:pStyle w:val="TextBody"/>
        <w:spacing w:before="0" w:after="0"/>
        <w:rPr/>
      </w:pPr>
      <w:r>
        <w:rPr/>
      </w:r>
    </w:p>
    <w:p>
      <w:pPr>
        <w:pStyle w:val="TextBody"/>
        <w:spacing w:before="0" w:after="0"/>
        <w:ind w:left="0" w:right="0" w:firstLine="490"/>
        <w:jc w:val="both"/>
        <w:rPr/>
      </w:pPr>
      <w:r>
        <w:rPr/>
        <w:t>This Report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pStyle w:val="TextBody"/>
        <w:spacing w:before="0" w:after="0"/>
        <w:ind w:left="0" w:right="0" w:firstLine="490"/>
        <w:jc w:val="both"/>
        <w:rPr/>
      </w:pPr>
      <w:r>
        <w:rPr/>
      </w:r>
    </w:p>
    <w:p>
      <w:pPr>
        <w:pStyle w:val="TextBody"/>
        <w:spacing w:before="0" w:after="0"/>
        <w:jc w:val="both"/>
        <w:rPr>
          <w:b/>
          <w:i/>
        </w:rPr>
      </w:pPr>
      <w:r>
        <w:rPr>
          <w:b/>
          <w:i/>
        </w:rPr>
        <w:t>Changes in Internal Control over Financial Reporting</w:t>
      </w:r>
    </w:p>
    <w:p>
      <w:pPr>
        <w:pStyle w:val="TextBody"/>
        <w:spacing w:before="0" w:after="0"/>
        <w:jc w:val="both"/>
        <w:rPr/>
      </w:pPr>
      <w:r>
        <w:rPr/>
      </w:r>
    </w:p>
    <w:p>
      <w:pPr>
        <w:pStyle w:val="TextBody"/>
        <w:spacing w:before="0" w:after="0"/>
        <w:jc w:val="both"/>
        <w:rPr/>
      </w:pPr>
      <w:r>
        <w:rPr/>
        <w:t>During the most recently completed fiscal quarter, there has been no change in our internal control over financial reporting that has materially affected, or is reasonably likely to materially affect, our internal control over financial reporting.</w:t>
      </w:r>
    </w:p>
    <w:p>
      <w:pPr>
        <w:pStyle w:val="TextBody"/>
        <w:spacing w:before="0" w:after="0"/>
        <w:ind w:left="0" w:right="0" w:firstLine="490"/>
        <w:jc w:val="both"/>
        <w:rPr/>
      </w:pPr>
      <w:r>
        <w:rPr/>
      </w:r>
    </w:p>
    <w:p>
      <w:pPr>
        <w:pStyle w:val="Normal"/>
        <w:spacing w:before="0" w:after="0"/>
        <w:rPr>
          <w:sz w:val="4"/>
          <w:szCs w:val="4"/>
        </w:rPr>
      </w:pPr>
      <w:r>
        <w:rPr>
          <w:sz w:val="4"/>
          <w:szCs w:val="4"/>
        </w:rPr>
      </w:r>
      <w:bookmarkStart w:id="697" w:name="z075d64865a41482faaafe8cc1f0dc445"/>
      <w:bookmarkStart w:id="698" w:name="z075d64865a41482faaafe8cc1f0dc445"/>
      <w:bookmarkEnd w:id="698"/>
    </w:p>
    <w:tbl>
      <w:tblPr>
        <w:tblW w:w="2830" w:type="dxa"/>
        <w:jc w:val="left"/>
        <w:tblInd w:w="0" w:type="dxa"/>
        <w:tblCellMar>
          <w:top w:w="0" w:type="dxa"/>
          <w:left w:w="0" w:type="dxa"/>
          <w:bottom w:w="0" w:type="dxa"/>
          <w:right w:w="0" w:type="dxa"/>
        </w:tblCellMar>
      </w:tblPr>
      <w:tblGrid>
        <w:gridCol w:w="905"/>
        <w:gridCol w:w="1925"/>
      </w:tblGrid>
      <w:tr>
        <w:trPr/>
        <w:tc>
          <w:tcPr>
            <w:tcW w:w="905" w:type="dxa"/>
            <w:tcBorders/>
            <w:shd w:fill="auto" w:val="clear"/>
            <w:vAlign w:val="center"/>
          </w:tcPr>
          <w:p>
            <w:pPr>
              <w:pStyle w:val="TableContents"/>
              <w:spacing w:before="0" w:after="0"/>
              <w:jc w:val="both"/>
              <w:rPr>
                <w:b/>
              </w:rPr>
            </w:pPr>
            <w:bookmarkStart w:id="699" w:name="Item9B."/>
            <w:bookmarkEnd w:id="699"/>
            <w:r>
              <w:rPr>
                <w:b/>
              </w:rPr>
              <w:t>Item 9B.</w:t>
            </w:r>
          </w:p>
        </w:tc>
        <w:tc>
          <w:tcPr>
            <w:tcW w:w="1925" w:type="dxa"/>
            <w:tcBorders/>
            <w:shd w:fill="auto" w:val="clear"/>
            <w:vAlign w:val="center"/>
          </w:tcPr>
          <w:p>
            <w:pPr>
              <w:pStyle w:val="TableContents"/>
              <w:spacing w:before="0" w:after="0"/>
              <w:jc w:val="both"/>
              <w:rPr>
                <w:b/>
              </w:rPr>
            </w:pPr>
            <w:r>
              <w:rPr>
                <w:b/>
              </w:rPr>
              <w:t>Other Information</w:t>
            </w:r>
          </w:p>
        </w:tc>
      </w:tr>
    </w:tbl>
    <w:p>
      <w:pPr>
        <w:pStyle w:val="TextBody"/>
        <w:spacing w:before="0" w:after="0"/>
        <w:jc w:val="both"/>
        <w:rPr/>
      </w:pPr>
      <w:r>
        <w:rPr/>
      </w:r>
    </w:p>
    <w:p>
      <w:pPr>
        <w:pStyle w:val="TextBody"/>
        <w:spacing w:before="0" w:after="0"/>
        <w:jc w:val="both"/>
        <w:rPr/>
      </w:pPr>
      <w:r>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00" w:name="DSPFPageBreakArea58"/>
      <w:bookmarkStart w:id="701" w:name="DSPFPageBreakArea58"/>
      <w:bookmarkEnd w:id="7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702" w:name="DSPFPageNumber57"/>
      <w:bookmarkStart w:id="703" w:name="DSPFPageNumberArea56"/>
      <w:bookmarkEnd w:id="702"/>
      <w:bookmarkEnd w:id="703"/>
      <w:r>
        <w:rPr>
          <w:b w:val="false"/>
          <w:i w:val="false"/>
          <w:caps w:val="false"/>
          <w:smallCaps w:val="false"/>
          <w:color w:val="000000"/>
          <w:sz w:val="16"/>
        </w:rPr>
        <w:t>60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04" w:name="DSPFPageBreak58"/>
      <w:bookmarkStart w:id="705" w:name="DSPFPageBreak58"/>
      <w:bookmarkEnd w:id="7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706" w:name="DSPFPageHeader56"/>
        <w:bookmarkEnd w:id="706"/>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rPr>
      </w:pPr>
      <w:r>
        <w:rPr>
          <w:b/>
        </w:rPr>
        <w:t>Part III</w:t>
      </w:r>
    </w:p>
    <w:p>
      <w:pPr>
        <w:pStyle w:val="TextBody"/>
        <w:spacing w:before="0" w:after="0"/>
        <w:rPr/>
      </w:pPr>
      <w:r>
        <w:rPr/>
      </w:r>
    </w:p>
    <w:p>
      <w:pPr>
        <w:pStyle w:val="Normal"/>
        <w:spacing w:before="0" w:after="0"/>
        <w:rPr>
          <w:sz w:val="4"/>
          <w:szCs w:val="4"/>
        </w:rPr>
      </w:pPr>
      <w:r>
        <w:rPr>
          <w:sz w:val="4"/>
          <w:szCs w:val="4"/>
        </w:rPr>
      </w:r>
      <w:bookmarkStart w:id="707" w:name="z1211df819a5743868ccda4d5d0e9e7e1"/>
      <w:bookmarkStart w:id="708" w:name="z1211df819a5743868ccda4d5d0e9e7e1"/>
      <w:bookmarkEnd w:id="708"/>
    </w:p>
    <w:tbl>
      <w:tblPr>
        <w:tblW w:w="6670" w:type="dxa"/>
        <w:jc w:val="left"/>
        <w:tblInd w:w="0" w:type="dxa"/>
        <w:tblCellMar>
          <w:top w:w="0" w:type="dxa"/>
          <w:left w:w="0" w:type="dxa"/>
          <w:bottom w:w="0" w:type="dxa"/>
          <w:right w:w="0" w:type="dxa"/>
        </w:tblCellMar>
      </w:tblPr>
      <w:tblGrid>
        <w:gridCol w:w="860"/>
        <w:gridCol w:w="5810"/>
      </w:tblGrid>
      <w:tr>
        <w:trPr/>
        <w:tc>
          <w:tcPr>
            <w:tcW w:w="860" w:type="dxa"/>
            <w:tcBorders/>
            <w:shd w:fill="auto" w:val="clear"/>
            <w:vAlign w:val="center"/>
          </w:tcPr>
          <w:p>
            <w:pPr>
              <w:pStyle w:val="TableContents"/>
              <w:spacing w:before="0" w:after="0"/>
              <w:rPr>
                <w:b/>
              </w:rPr>
            </w:pPr>
            <w:bookmarkStart w:id="709" w:name="Item10."/>
            <w:bookmarkEnd w:id="709"/>
            <w:r>
              <w:rPr>
                <w:b/>
              </w:rPr>
              <w:t>Item 10.</w:t>
            </w:r>
          </w:p>
        </w:tc>
        <w:tc>
          <w:tcPr>
            <w:tcW w:w="5810" w:type="dxa"/>
            <w:tcBorders/>
            <w:shd w:fill="auto" w:val="clear"/>
            <w:vAlign w:val="center"/>
          </w:tcPr>
          <w:p>
            <w:pPr>
              <w:pStyle w:val="TableContents"/>
              <w:spacing w:before="0" w:after="0"/>
              <w:rPr>
                <w:b/>
              </w:rPr>
            </w:pPr>
            <w:r>
              <w:rPr>
                <w:b/>
              </w:rPr>
              <w:t>Directors, Executive Officers and Corporate Governance</w:t>
            </w:r>
          </w:p>
        </w:tc>
      </w:tr>
    </w:tbl>
    <w:p>
      <w:pPr>
        <w:pStyle w:val="TextBody"/>
        <w:spacing w:before="0" w:after="0"/>
        <w:rPr/>
      </w:pPr>
      <w:r>
        <w:rPr/>
      </w:r>
    </w:p>
    <w:p>
      <w:pPr>
        <w:pStyle w:val="TextBody"/>
        <w:spacing w:before="0" w:after="0"/>
        <w:rPr>
          <w:b/>
        </w:rPr>
      </w:pPr>
      <w:r>
        <w:rPr>
          <w:b/>
        </w:rPr>
        <w:t>Directors and Executive Officers</w:t>
      </w:r>
    </w:p>
    <w:p>
      <w:pPr>
        <w:pStyle w:val="TextBody"/>
        <w:spacing w:before="0" w:after="0"/>
        <w:rPr/>
      </w:pPr>
      <w:r>
        <w:rPr/>
      </w:r>
    </w:p>
    <w:p>
      <w:pPr>
        <w:pStyle w:val="TextBody"/>
        <w:spacing w:before="0" w:after="0"/>
        <w:rPr/>
      </w:pPr>
      <w:r>
        <w:rPr/>
        <w:t>As of the date of this Report, our directors and officers are as follows:</w:t>
      </w:r>
    </w:p>
    <w:p>
      <w:pPr>
        <w:pStyle w:val="TextBody"/>
        <w:spacing w:before="0" w:after="0"/>
        <w:rPr/>
      </w:pPr>
      <w:r>
        <w:rPr/>
      </w:r>
    </w:p>
    <w:p>
      <w:pPr>
        <w:pStyle w:val="Normal"/>
        <w:spacing w:before="0" w:after="0"/>
        <w:rPr>
          <w:sz w:val="4"/>
          <w:szCs w:val="4"/>
        </w:rPr>
      </w:pPr>
      <w:r>
        <w:rPr>
          <w:sz w:val="4"/>
          <w:szCs w:val="4"/>
        </w:rPr>
      </w:r>
      <w:bookmarkStart w:id="710" w:name="z8fb63271fc104d8e980ffe8f79e0bc0e"/>
      <w:bookmarkStart w:id="711" w:name="z8fb63271fc104d8e980ffe8f79e0bc0e"/>
      <w:bookmarkEnd w:id="711"/>
    </w:p>
    <w:tbl>
      <w:tblPr>
        <w:tblW w:w="6030" w:type="dxa"/>
        <w:jc w:val="center"/>
        <w:tblInd w:w="0" w:type="dxa"/>
        <w:tblCellMar>
          <w:top w:w="0" w:type="dxa"/>
          <w:left w:w="0" w:type="dxa"/>
          <w:bottom w:w="28" w:type="dxa"/>
          <w:right w:w="0" w:type="dxa"/>
        </w:tblCellMar>
      </w:tblPr>
      <w:tblGrid>
        <w:gridCol w:w="2015"/>
        <w:gridCol w:w="425"/>
        <w:gridCol w:w="60"/>
        <w:gridCol w:w="3530"/>
      </w:tblGrid>
      <w:tr>
        <w:trPr/>
        <w:tc>
          <w:tcPr>
            <w:tcW w:w="2015" w:type="dxa"/>
            <w:tcBorders>
              <w:bottom w:val="single" w:sz="12" w:space="0" w:color="000000"/>
            </w:tcBorders>
            <w:shd w:fill="auto" w:val="clear"/>
            <w:vAlign w:val="center"/>
          </w:tcPr>
          <w:p>
            <w:pPr>
              <w:pStyle w:val="TableContents"/>
              <w:spacing w:before="0" w:after="0"/>
              <w:rPr>
                <w:b/>
                <w:color w:val="000000"/>
              </w:rPr>
            </w:pPr>
            <w:r>
              <w:rPr>
                <w:b/>
                <w:color w:val="000000"/>
              </w:rPr>
              <w:t>Name</w:t>
            </w:r>
          </w:p>
        </w:tc>
        <w:tc>
          <w:tcPr>
            <w:tcW w:w="425" w:type="dxa"/>
            <w:tcBorders>
              <w:bottom w:val="single" w:sz="12" w:space="0" w:color="000000"/>
            </w:tcBorders>
            <w:shd w:fill="auto" w:val="clear"/>
            <w:vAlign w:val="center"/>
          </w:tcPr>
          <w:p>
            <w:pPr>
              <w:pStyle w:val="TableContents"/>
              <w:spacing w:before="0" w:after="0"/>
              <w:jc w:val="center"/>
              <w:rPr>
                <w:b/>
                <w:color w:val="000000"/>
              </w:rPr>
            </w:pPr>
            <w:r>
              <w:rPr>
                <w:b/>
                <w:color w:val="000000"/>
              </w:rPr>
              <w:t>Age</w:t>
            </w:r>
          </w:p>
        </w:tc>
        <w:tc>
          <w:tcPr>
            <w:tcW w:w="60" w:type="dxa"/>
            <w:tcBorders>
              <w:bottom w:val="single" w:sz="12" w:space="0" w:color="000000"/>
            </w:tcBorders>
            <w:shd w:fill="auto" w:val="clear"/>
            <w:vAlign w:val="center"/>
          </w:tcPr>
          <w:p>
            <w:pPr>
              <w:pStyle w:val="TableContents"/>
              <w:spacing w:before="0" w:after="283"/>
              <w:rPr/>
            </w:pPr>
            <w:r>
              <w:rPr/>
              <w:t> </w:t>
            </w:r>
          </w:p>
        </w:tc>
        <w:tc>
          <w:tcPr>
            <w:tcW w:w="3530" w:type="dxa"/>
            <w:tcBorders>
              <w:bottom w:val="single" w:sz="12" w:space="0" w:color="000000"/>
            </w:tcBorders>
            <w:shd w:fill="auto" w:val="clear"/>
            <w:vAlign w:val="center"/>
          </w:tcPr>
          <w:p>
            <w:pPr>
              <w:pStyle w:val="TableContents"/>
              <w:spacing w:before="0" w:after="0"/>
              <w:rPr>
                <w:b/>
                <w:color w:val="000000"/>
              </w:rPr>
            </w:pPr>
            <w:r>
              <w:rPr>
                <w:b/>
                <w:color w:val="000000"/>
              </w:rPr>
              <w:t>Position</w:t>
            </w:r>
          </w:p>
        </w:tc>
      </w:tr>
      <w:tr>
        <w:trPr/>
        <w:tc>
          <w:tcPr>
            <w:tcW w:w="2015" w:type="dxa"/>
            <w:tcBorders>
              <w:top w:val="single" w:sz="12" w:space="0" w:color="000000"/>
            </w:tcBorders>
            <w:shd w:fill="CCEEFF" w:val="clear"/>
            <w:tcMar>
              <w:top w:w="28" w:type="dxa"/>
              <w:bottom w:w="0" w:type="dxa"/>
            </w:tcMar>
            <w:vAlign w:val="center"/>
          </w:tcPr>
          <w:p>
            <w:pPr>
              <w:pStyle w:val="TableContents"/>
              <w:spacing w:before="0" w:after="0"/>
              <w:ind w:left="220" w:right="0" w:hanging="220"/>
              <w:rPr>
                <w:color w:val="000000"/>
              </w:rPr>
            </w:pPr>
            <w:r>
              <w:rPr>
                <w:color w:val="000000"/>
              </w:rPr>
              <w:t>Joseph Edelman</w:t>
            </w:r>
          </w:p>
        </w:tc>
        <w:tc>
          <w:tcPr>
            <w:tcW w:w="425" w:type="dxa"/>
            <w:tcBorders>
              <w:top w:val="single" w:sz="12" w:space="0" w:color="000000"/>
            </w:tcBorders>
            <w:shd w:fill="CCEEFF" w:val="clear"/>
            <w:tcMar>
              <w:top w:w="28" w:type="dxa"/>
              <w:bottom w:w="0" w:type="dxa"/>
            </w:tcMar>
            <w:vAlign w:val="center"/>
          </w:tcPr>
          <w:p>
            <w:pPr>
              <w:pStyle w:val="TableContents"/>
              <w:spacing w:before="0" w:after="0"/>
              <w:jc w:val="center"/>
              <w:rPr>
                <w:color w:val="000000"/>
              </w:rPr>
            </w:pPr>
            <w:r>
              <w:rPr>
                <w:color w:val="000000"/>
              </w:rPr>
              <w:t>65</w:t>
            </w:r>
          </w:p>
        </w:tc>
        <w:tc>
          <w:tcPr>
            <w:tcW w:w="60" w:type="dxa"/>
            <w:tcBorders>
              <w:top w:val="single" w:sz="12" w:space="0" w:color="000000"/>
            </w:tcBorders>
            <w:shd w:fill="CCEEFF" w:val="clear"/>
            <w:tcMar>
              <w:top w:w="28" w:type="dxa"/>
              <w:bottom w:w="0" w:type="dxa"/>
            </w:tcMar>
            <w:vAlign w:val="center"/>
          </w:tcPr>
          <w:p>
            <w:pPr>
              <w:pStyle w:val="TableContents"/>
              <w:spacing w:before="0" w:after="283"/>
              <w:rPr/>
            </w:pPr>
            <w:r>
              <w:rPr/>
              <w:t> </w:t>
            </w:r>
          </w:p>
        </w:tc>
        <w:tc>
          <w:tcPr>
            <w:tcW w:w="3530" w:type="dxa"/>
            <w:tcBorders>
              <w:top w:val="single" w:sz="12" w:space="0" w:color="000000"/>
            </w:tcBorders>
            <w:shd w:fill="CCEEFF" w:val="clear"/>
            <w:tcMar>
              <w:top w:w="28" w:type="dxa"/>
              <w:bottom w:w="0" w:type="dxa"/>
            </w:tcMar>
            <w:vAlign w:val="center"/>
          </w:tcPr>
          <w:p>
            <w:pPr>
              <w:pStyle w:val="TableContents"/>
              <w:spacing w:before="0" w:after="0"/>
              <w:rPr>
                <w:color w:val="000000"/>
              </w:rPr>
            </w:pPr>
            <w:r>
              <w:rPr>
                <w:color w:val="000000"/>
              </w:rPr>
              <w:t>Chairman</w:t>
            </w:r>
          </w:p>
        </w:tc>
      </w:tr>
      <w:tr>
        <w:trPr/>
        <w:tc>
          <w:tcPr>
            <w:tcW w:w="2015" w:type="dxa"/>
            <w:tcBorders/>
            <w:shd w:fill="auto" w:val="clear"/>
            <w:tcMar>
              <w:bottom w:w="0" w:type="dxa"/>
            </w:tcMar>
            <w:vAlign w:val="center"/>
          </w:tcPr>
          <w:p>
            <w:pPr>
              <w:pStyle w:val="TableContents"/>
              <w:spacing w:before="0" w:after="0"/>
              <w:ind w:left="220" w:right="0" w:hanging="220"/>
              <w:rPr>
                <w:color w:val="000000"/>
              </w:rPr>
            </w:pPr>
            <w:r>
              <w:rPr>
                <w:color w:val="000000"/>
              </w:rPr>
              <w:t>Adam Stone</w:t>
            </w:r>
          </w:p>
        </w:tc>
        <w:tc>
          <w:tcPr>
            <w:tcW w:w="425" w:type="dxa"/>
            <w:tcBorders/>
            <w:shd w:fill="auto" w:val="clear"/>
            <w:tcMar>
              <w:bottom w:w="0" w:type="dxa"/>
            </w:tcMar>
            <w:vAlign w:val="center"/>
          </w:tcPr>
          <w:p>
            <w:pPr>
              <w:pStyle w:val="TableContents"/>
              <w:spacing w:before="0" w:after="0"/>
              <w:jc w:val="center"/>
              <w:rPr>
                <w:color w:val="000000"/>
              </w:rPr>
            </w:pPr>
            <w:r>
              <w:rPr>
                <w:color w:val="000000"/>
              </w:rPr>
              <w:t>41</w:t>
            </w:r>
          </w:p>
        </w:tc>
        <w:tc>
          <w:tcPr>
            <w:tcW w:w="60" w:type="dxa"/>
            <w:tcBorders/>
            <w:shd w:fill="auto" w:val="clear"/>
            <w:tcMar>
              <w:bottom w:w="0" w:type="dxa"/>
            </w:tcMar>
            <w:vAlign w:val="center"/>
          </w:tcPr>
          <w:p>
            <w:pPr>
              <w:pStyle w:val="TableContents"/>
              <w:spacing w:before="0" w:after="283"/>
              <w:rPr/>
            </w:pPr>
            <w:r>
              <w:rPr/>
              <w:t> </w:t>
            </w:r>
          </w:p>
        </w:tc>
        <w:tc>
          <w:tcPr>
            <w:tcW w:w="3530" w:type="dxa"/>
            <w:tcBorders/>
            <w:shd w:fill="auto" w:val="clear"/>
            <w:tcMar>
              <w:bottom w:w="0" w:type="dxa"/>
            </w:tcMar>
            <w:vAlign w:val="center"/>
          </w:tcPr>
          <w:p>
            <w:pPr>
              <w:pStyle w:val="TableContents"/>
              <w:spacing w:before="0" w:after="0"/>
              <w:rPr>
                <w:color w:val="000000"/>
              </w:rPr>
            </w:pPr>
            <w:r>
              <w:rPr>
                <w:color w:val="000000"/>
              </w:rPr>
              <w:t>Chief Executive Officer and Director</w:t>
            </w:r>
          </w:p>
        </w:tc>
      </w:tr>
      <w:tr>
        <w:trPr/>
        <w:tc>
          <w:tcPr>
            <w:tcW w:w="2015" w:type="dxa"/>
            <w:tcBorders/>
            <w:shd w:fill="CCEEFF" w:val="clear"/>
            <w:tcMar>
              <w:bottom w:w="0" w:type="dxa"/>
            </w:tcMar>
            <w:vAlign w:val="center"/>
          </w:tcPr>
          <w:p>
            <w:pPr>
              <w:pStyle w:val="TableContents"/>
              <w:spacing w:before="0" w:after="0"/>
              <w:ind w:left="220" w:right="0" w:hanging="220"/>
              <w:rPr>
                <w:color w:val="000000"/>
              </w:rPr>
            </w:pPr>
            <w:r>
              <w:rPr>
                <w:color w:val="000000"/>
              </w:rPr>
              <w:t>Michael Altman</w:t>
            </w:r>
          </w:p>
        </w:tc>
        <w:tc>
          <w:tcPr>
            <w:tcW w:w="425" w:type="dxa"/>
            <w:tcBorders/>
            <w:shd w:fill="CCEEFF" w:val="clear"/>
            <w:tcMar>
              <w:bottom w:w="0" w:type="dxa"/>
            </w:tcMar>
            <w:vAlign w:val="center"/>
          </w:tcPr>
          <w:p>
            <w:pPr>
              <w:pStyle w:val="TableContents"/>
              <w:spacing w:before="0" w:after="0"/>
              <w:jc w:val="center"/>
              <w:rPr>
                <w:color w:val="000000"/>
              </w:rPr>
            </w:pPr>
            <w:r>
              <w:rPr>
                <w:color w:val="000000"/>
              </w:rPr>
              <w:t>39</w:t>
            </w:r>
          </w:p>
        </w:tc>
        <w:tc>
          <w:tcPr>
            <w:tcW w:w="60" w:type="dxa"/>
            <w:tcBorders/>
            <w:shd w:fill="CCEEFF" w:val="clear"/>
            <w:tcMar>
              <w:bottom w:w="0" w:type="dxa"/>
            </w:tcMar>
            <w:vAlign w:val="center"/>
          </w:tcPr>
          <w:p>
            <w:pPr>
              <w:pStyle w:val="TableContents"/>
              <w:spacing w:before="0" w:after="283"/>
              <w:rPr/>
            </w:pPr>
            <w:r>
              <w:rPr/>
              <w:t> </w:t>
            </w:r>
          </w:p>
        </w:tc>
        <w:tc>
          <w:tcPr>
            <w:tcW w:w="3530" w:type="dxa"/>
            <w:tcBorders/>
            <w:shd w:fill="CCEEFF" w:val="clear"/>
            <w:tcMar>
              <w:bottom w:w="0" w:type="dxa"/>
            </w:tcMar>
            <w:vAlign w:val="center"/>
          </w:tcPr>
          <w:p>
            <w:pPr>
              <w:pStyle w:val="TableContents"/>
              <w:spacing w:before="0" w:after="0"/>
              <w:rPr/>
            </w:pPr>
            <w:r>
              <w:rPr/>
              <w:t>Chief Financial Officer and Director</w:t>
            </w:r>
          </w:p>
        </w:tc>
      </w:tr>
      <w:tr>
        <w:trPr/>
        <w:tc>
          <w:tcPr>
            <w:tcW w:w="2015" w:type="dxa"/>
            <w:tcBorders/>
            <w:shd w:fill="auto" w:val="clear"/>
            <w:tcMar>
              <w:bottom w:w="0" w:type="dxa"/>
            </w:tcMar>
            <w:vAlign w:val="center"/>
          </w:tcPr>
          <w:p>
            <w:pPr>
              <w:pStyle w:val="TableContents"/>
              <w:spacing w:before="0" w:after="0"/>
              <w:ind w:left="220" w:right="0" w:hanging="220"/>
              <w:rPr>
                <w:color w:val="000000"/>
              </w:rPr>
            </w:pPr>
            <w:r>
              <w:rPr>
                <w:color w:val="000000"/>
              </w:rPr>
              <w:t>Konstantin Poukalov</w:t>
            </w:r>
          </w:p>
        </w:tc>
        <w:tc>
          <w:tcPr>
            <w:tcW w:w="425" w:type="dxa"/>
            <w:tcBorders/>
            <w:shd w:fill="auto" w:val="clear"/>
            <w:tcMar>
              <w:bottom w:w="0" w:type="dxa"/>
            </w:tcMar>
            <w:vAlign w:val="center"/>
          </w:tcPr>
          <w:p>
            <w:pPr>
              <w:pStyle w:val="TableContents"/>
              <w:spacing w:before="0" w:after="0"/>
              <w:jc w:val="center"/>
              <w:rPr>
                <w:color w:val="000000"/>
              </w:rPr>
            </w:pPr>
            <w:r>
              <w:rPr>
                <w:color w:val="000000"/>
              </w:rPr>
              <w:t>37</w:t>
            </w:r>
          </w:p>
        </w:tc>
        <w:tc>
          <w:tcPr>
            <w:tcW w:w="60" w:type="dxa"/>
            <w:tcBorders/>
            <w:shd w:fill="auto" w:val="clear"/>
            <w:tcMar>
              <w:bottom w:w="0" w:type="dxa"/>
            </w:tcMar>
            <w:vAlign w:val="center"/>
          </w:tcPr>
          <w:p>
            <w:pPr>
              <w:pStyle w:val="TableContents"/>
              <w:spacing w:before="0" w:after="283"/>
              <w:rPr/>
            </w:pPr>
            <w:r>
              <w:rPr/>
              <w:t> </w:t>
            </w:r>
          </w:p>
        </w:tc>
        <w:tc>
          <w:tcPr>
            <w:tcW w:w="3530" w:type="dxa"/>
            <w:tcBorders/>
            <w:shd w:fill="auto" w:val="clear"/>
            <w:tcMar>
              <w:bottom w:w="0" w:type="dxa"/>
            </w:tcMar>
            <w:vAlign w:val="center"/>
          </w:tcPr>
          <w:p>
            <w:pPr>
              <w:pStyle w:val="TableContents"/>
              <w:spacing w:before="0" w:after="0"/>
              <w:rPr/>
            </w:pPr>
            <w:r>
              <w:rPr/>
              <w:t>Chief Business Officer</w:t>
            </w:r>
          </w:p>
        </w:tc>
      </w:tr>
      <w:tr>
        <w:trPr/>
        <w:tc>
          <w:tcPr>
            <w:tcW w:w="2015" w:type="dxa"/>
            <w:tcBorders/>
            <w:shd w:fill="CCEEFF" w:val="clear"/>
            <w:tcMar>
              <w:bottom w:w="0" w:type="dxa"/>
            </w:tcMar>
            <w:vAlign w:val="center"/>
          </w:tcPr>
          <w:p>
            <w:pPr>
              <w:pStyle w:val="TableContents"/>
              <w:spacing w:before="0" w:after="0"/>
              <w:ind w:left="220" w:right="0" w:hanging="220"/>
              <w:rPr>
                <w:color w:val="000000"/>
              </w:rPr>
            </w:pPr>
            <w:r>
              <w:rPr>
                <w:color w:val="000000"/>
              </w:rPr>
              <w:t>Todd Wider</w:t>
            </w:r>
          </w:p>
        </w:tc>
        <w:tc>
          <w:tcPr>
            <w:tcW w:w="425" w:type="dxa"/>
            <w:tcBorders/>
            <w:shd w:fill="CCEEFF" w:val="clear"/>
            <w:tcMar>
              <w:bottom w:w="0" w:type="dxa"/>
            </w:tcMar>
            <w:vAlign w:val="center"/>
          </w:tcPr>
          <w:p>
            <w:pPr>
              <w:pStyle w:val="TableContents"/>
              <w:spacing w:before="0" w:after="0"/>
              <w:jc w:val="center"/>
              <w:rPr>
                <w:color w:val="000000"/>
              </w:rPr>
            </w:pPr>
            <w:r>
              <w:rPr>
                <w:color w:val="000000"/>
              </w:rPr>
              <w:t>56</w:t>
            </w:r>
          </w:p>
        </w:tc>
        <w:tc>
          <w:tcPr>
            <w:tcW w:w="60" w:type="dxa"/>
            <w:tcBorders/>
            <w:shd w:fill="CCEEFF" w:val="clear"/>
            <w:tcMar>
              <w:bottom w:w="0" w:type="dxa"/>
            </w:tcMar>
            <w:vAlign w:val="center"/>
          </w:tcPr>
          <w:p>
            <w:pPr>
              <w:pStyle w:val="TableContents"/>
              <w:spacing w:before="0" w:after="283"/>
              <w:rPr/>
            </w:pPr>
            <w:r>
              <w:rPr/>
              <w:t> </w:t>
            </w:r>
          </w:p>
        </w:tc>
        <w:tc>
          <w:tcPr>
            <w:tcW w:w="3530" w:type="dxa"/>
            <w:tcBorders/>
            <w:shd w:fill="CCEEFF" w:val="clear"/>
            <w:tcMar>
              <w:bottom w:w="0" w:type="dxa"/>
            </w:tcMar>
            <w:vAlign w:val="center"/>
          </w:tcPr>
          <w:p>
            <w:pPr>
              <w:pStyle w:val="TableContents"/>
              <w:spacing w:before="0" w:after="0"/>
              <w:rPr/>
            </w:pPr>
            <w:r>
              <w:rPr/>
              <w:t>Director</w:t>
            </w:r>
          </w:p>
        </w:tc>
      </w:tr>
      <w:tr>
        <w:trPr/>
        <w:tc>
          <w:tcPr>
            <w:tcW w:w="2015" w:type="dxa"/>
            <w:tcBorders/>
            <w:shd w:fill="auto" w:val="clear"/>
            <w:tcMar>
              <w:bottom w:w="0" w:type="dxa"/>
            </w:tcMar>
            <w:vAlign w:val="center"/>
          </w:tcPr>
          <w:p>
            <w:pPr>
              <w:pStyle w:val="TableContents"/>
              <w:spacing w:before="0" w:after="0"/>
              <w:ind w:left="220" w:right="0" w:hanging="220"/>
              <w:rPr>
                <w:color w:val="000000"/>
              </w:rPr>
            </w:pPr>
            <w:r>
              <w:rPr>
                <w:color w:val="000000"/>
              </w:rPr>
              <w:t>Bradley L. Campbell</w:t>
            </w:r>
          </w:p>
        </w:tc>
        <w:tc>
          <w:tcPr>
            <w:tcW w:w="425" w:type="dxa"/>
            <w:tcBorders/>
            <w:shd w:fill="auto" w:val="clear"/>
            <w:tcMar>
              <w:bottom w:w="0" w:type="dxa"/>
            </w:tcMar>
            <w:vAlign w:val="center"/>
          </w:tcPr>
          <w:p>
            <w:pPr>
              <w:pStyle w:val="TableContents"/>
              <w:spacing w:before="0" w:after="0"/>
              <w:jc w:val="center"/>
              <w:rPr>
                <w:color w:val="000000"/>
              </w:rPr>
            </w:pPr>
            <w:r>
              <w:rPr>
                <w:color w:val="000000"/>
              </w:rPr>
              <w:t>46</w:t>
            </w:r>
          </w:p>
        </w:tc>
        <w:tc>
          <w:tcPr>
            <w:tcW w:w="60" w:type="dxa"/>
            <w:tcBorders/>
            <w:shd w:fill="auto" w:val="clear"/>
            <w:tcMar>
              <w:bottom w:w="0" w:type="dxa"/>
            </w:tcMar>
            <w:vAlign w:val="center"/>
          </w:tcPr>
          <w:p>
            <w:pPr>
              <w:pStyle w:val="TableContents"/>
              <w:spacing w:before="0" w:after="283"/>
              <w:rPr/>
            </w:pPr>
            <w:r>
              <w:rPr/>
              <w:t> </w:t>
            </w:r>
          </w:p>
        </w:tc>
        <w:tc>
          <w:tcPr>
            <w:tcW w:w="3530" w:type="dxa"/>
            <w:tcBorders/>
            <w:shd w:fill="auto" w:val="clear"/>
            <w:tcMar>
              <w:bottom w:w="0" w:type="dxa"/>
            </w:tcMar>
            <w:vAlign w:val="center"/>
          </w:tcPr>
          <w:p>
            <w:pPr>
              <w:pStyle w:val="TableContents"/>
              <w:spacing w:before="0" w:after="0"/>
              <w:rPr/>
            </w:pPr>
            <w:r>
              <w:rPr/>
              <w:t>Director</w:t>
            </w:r>
          </w:p>
        </w:tc>
      </w:tr>
      <w:tr>
        <w:trPr/>
        <w:tc>
          <w:tcPr>
            <w:tcW w:w="2015" w:type="dxa"/>
            <w:tcBorders/>
            <w:shd w:fill="CCEEFF" w:val="clear"/>
            <w:tcMar>
              <w:bottom w:w="0" w:type="dxa"/>
            </w:tcMar>
            <w:vAlign w:val="center"/>
          </w:tcPr>
          <w:p>
            <w:pPr>
              <w:pStyle w:val="TableContents"/>
              <w:spacing w:before="0" w:after="0"/>
              <w:ind w:left="220" w:right="0" w:hanging="220"/>
              <w:rPr>
                <w:color w:val="000000"/>
              </w:rPr>
            </w:pPr>
            <w:r>
              <w:rPr>
                <w:color w:val="000000"/>
              </w:rPr>
              <w:t>Saqib Islam</w:t>
            </w:r>
          </w:p>
        </w:tc>
        <w:tc>
          <w:tcPr>
            <w:tcW w:w="425" w:type="dxa"/>
            <w:tcBorders/>
            <w:shd w:fill="CCEEFF" w:val="clear"/>
            <w:tcMar>
              <w:bottom w:w="0" w:type="dxa"/>
            </w:tcMar>
            <w:vAlign w:val="center"/>
          </w:tcPr>
          <w:p>
            <w:pPr>
              <w:pStyle w:val="TableContents"/>
              <w:spacing w:before="0" w:after="0"/>
              <w:jc w:val="center"/>
              <w:rPr>
                <w:color w:val="000000"/>
              </w:rPr>
            </w:pPr>
            <w:r>
              <w:rPr>
                <w:color w:val="000000"/>
              </w:rPr>
              <w:t>52</w:t>
            </w:r>
          </w:p>
        </w:tc>
        <w:tc>
          <w:tcPr>
            <w:tcW w:w="60" w:type="dxa"/>
            <w:tcBorders/>
            <w:shd w:fill="CCEEFF" w:val="clear"/>
            <w:tcMar>
              <w:bottom w:w="0" w:type="dxa"/>
            </w:tcMar>
            <w:vAlign w:val="center"/>
          </w:tcPr>
          <w:p>
            <w:pPr>
              <w:pStyle w:val="TableContents"/>
              <w:spacing w:before="0" w:after="283"/>
              <w:rPr/>
            </w:pPr>
            <w:r>
              <w:rPr/>
              <w:t> </w:t>
            </w:r>
          </w:p>
        </w:tc>
        <w:tc>
          <w:tcPr>
            <w:tcW w:w="3530" w:type="dxa"/>
            <w:tcBorders/>
            <w:shd w:fill="CCEEFF" w:val="clear"/>
            <w:tcMar>
              <w:bottom w:w="0" w:type="dxa"/>
            </w:tcMar>
            <w:vAlign w:val="center"/>
          </w:tcPr>
          <w:p>
            <w:pPr>
              <w:pStyle w:val="TableContents"/>
              <w:spacing w:before="0" w:after="0"/>
              <w:rPr/>
            </w:pPr>
            <w:r>
              <w:rPr/>
              <w:t>Director</w:t>
            </w:r>
          </w:p>
        </w:tc>
      </w:tr>
    </w:tbl>
    <w:p>
      <w:pPr>
        <w:pStyle w:val="TextBody"/>
        <w:spacing w:before="0" w:after="0"/>
        <w:rPr/>
      </w:pPr>
      <w:r>
        <w:rPr/>
      </w:r>
    </w:p>
    <w:p>
      <w:pPr>
        <w:pStyle w:val="TextBody"/>
        <w:spacing w:before="0" w:after="0"/>
        <w:jc w:val="both"/>
        <w:rPr>
          <w:color w:val="000000"/>
        </w:rPr>
      </w:pPr>
      <w:r>
        <w:rPr>
          <w:b/>
          <w:color w:val="000000"/>
        </w:rPr>
        <w:t>Joseph Edelman</w:t>
      </w:r>
      <w:r>
        <w:rPr>
          <w:color w:val="000000"/>
        </w:rPr>
        <w:t xml:space="preserve"> serves as the Chairman of our board of directors since July 2020. Mr. Edelman is Founder, Chief Executive Officer and Portfolio Manager of Perceptive Advisors. He has also served as Chairman of the board of directors of ARYA Sciences Acquisition Corp IV (Nasdaq: ARYD) since January 2021.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pStyle w:val="TextBody"/>
        <w:spacing w:before="0" w:after="0"/>
        <w:jc w:val="both"/>
        <w:rPr>
          <w:color w:val="000000"/>
        </w:rPr>
      </w:pPr>
      <w:r>
        <w:rPr>
          <w:color w:val="000000"/>
        </w:rPr>
      </w:r>
    </w:p>
    <w:p>
      <w:pPr>
        <w:pStyle w:val="TextBody"/>
        <w:spacing w:before="0" w:after="0"/>
        <w:jc w:val="both"/>
        <w:rPr>
          <w:color w:val="000000"/>
        </w:rPr>
      </w:pPr>
      <w:r>
        <w:rPr>
          <w:color w:val="000000"/>
        </w:rPr>
        <w:t>We believe that Mr. Edelman’s broad operational and transactional experience make him well qualified to serve as the Chairman of our board of directors.</w:t>
      </w:r>
    </w:p>
    <w:p>
      <w:pPr>
        <w:pStyle w:val="TextBody"/>
        <w:spacing w:before="0" w:after="0"/>
        <w:jc w:val="both"/>
        <w:rPr>
          <w:color w:val="000000"/>
        </w:rPr>
      </w:pPr>
      <w:r>
        <w:rPr>
          <w:color w:val="000000"/>
        </w:rPr>
      </w:r>
    </w:p>
    <w:p>
      <w:pPr>
        <w:pStyle w:val="TextBody"/>
        <w:spacing w:before="0" w:after="0"/>
        <w:jc w:val="both"/>
        <w:rPr>
          <w:color w:val="000000"/>
        </w:rPr>
      </w:pPr>
      <w:r>
        <w:rPr>
          <w:b/>
          <w:color w:val="000000"/>
        </w:rPr>
        <w:t>Adam Stone</w:t>
      </w:r>
      <w:r>
        <w:rPr>
          <w:color w:val="000000"/>
        </w:rPr>
        <w:t xml:space="preserve"> serves as our Chief Executive Officer and is a member of our board of directors since July 2020. Mr. Stone joined Perceptive Advisors in 2006 and has acted as Chief Investment Officer since 2012 and is a member of the internal investment committees of Perceptive Advisors’ credit opportunities and venture funds. Mr. Stone currently also serves as the Chief Executive Officer and a member of the boards of directors of ARYA Sciences Acquisition Corp IV (Nasdaq: ARYD) as well as on the board of directors of Solid Biosciences (Nasdaq: SLDB), Renovia, and Xontogeny, which are portfolio companies of 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 pharmaceuticals. During Mr. Stone’s tenure at Ursus Capital, Mr. Stone focused on biotech and specialty pharmaceuticals. Mr. Stone graduated with honors from Princeton University with a BA in molecular biology.</w:t>
      </w:r>
    </w:p>
    <w:p>
      <w:pPr>
        <w:pStyle w:val="TextBody"/>
        <w:spacing w:before="0" w:after="0"/>
        <w:jc w:val="both"/>
        <w:rPr>
          <w:color w:val="000000"/>
        </w:rPr>
      </w:pPr>
      <w:r>
        <w:rPr>
          <w:color w:val="000000"/>
        </w:rPr>
      </w:r>
    </w:p>
    <w:p>
      <w:pPr>
        <w:pStyle w:val="TextBody"/>
        <w:spacing w:before="0" w:after="0"/>
        <w:jc w:val="both"/>
        <w:rPr>
          <w:color w:val="000000"/>
        </w:rPr>
      </w:pPr>
      <w:r>
        <w:rPr>
          <w:color w:val="000000"/>
        </w:rPr>
        <w:t>We believe that Mr. Stone’s broad operational and transactional experience, and his position as Chief Executive Officer, make him well qualified to serve on our board of directors.</w:t>
      </w:r>
    </w:p>
    <w:p>
      <w:pPr>
        <w:pStyle w:val="TextBody"/>
        <w:spacing w:before="0" w:after="0"/>
        <w:jc w:val="both"/>
        <w:rPr>
          <w:color w:val="000000"/>
        </w:rPr>
      </w:pPr>
      <w:r>
        <w:rPr>
          <w:color w:val="000000"/>
        </w:rPr>
      </w:r>
    </w:p>
    <w:p>
      <w:pPr>
        <w:pStyle w:val="TextBody"/>
        <w:spacing w:before="0" w:after="0"/>
        <w:jc w:val="both"/>
        <w:rPr>
          <w:color w:val="000000"/>
        </w:rPr>
      </w:pPr>
      <w:r>
        <w:rPr>
          <w:b/>
          <w:color w:val="000000"/>
        </w:rPr>
        <w:t>Michael Altman</w:t>
      </w:r>
      <w:r>
        <w:rPr>
          <w:color w:val="000000"/>
        </w:rPr>
        <w:t>, CFA, serves as our Chief Financial Officer and is a member of our board of directors since July 2020. Mr. Altman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graduated from the University of Vermont with a BS in Business Administration.</w:t>
      </w:r>
    </w:p>
    <w:p>
      <w:pPr>
        <w:pStyle w:val="TextBody"/>
        <w:spacing w:before="0" w:after="0"/>
        <w:jc w:val="both"/>
        <w:rPr>
          <w:color w:val="000000"/>
        </w:rPr>
      </w:pPr>
      <w:r>
        <w:rPr>
          <w:color w:val="000000"/>
        </w:rPr>
      </w:r>
    </w:p>
    <w:p>
      <w:pPr>
        <w:pStyle w:val="TextBody"/>
        <w:spacing w:before="0" w:after="0"/>
        <w:jc w:val="both"/>
        <w:rPr>
          <w:color w:val="000000"/>
        </w:rPr>
      </w:pPr>
      <w:r>
        <w:rPr>
          <w:color w:val="000000"/>
        </w:rPr>
        <w:t>We believe that Mr. Altman’s broad operational and transactional experience make him well qualified to serve on our board of directors.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12" w:name="DSPFPageBreakArea59"/>
      <w:bookmarkStart w:id="713" w:name="DSPFPageBreakArea59"/>
      <w:bookmarkEnd w:id="7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714" w:name="DSPFPageNumber58"/>
      <w:bookmarkStart w:id="715" w:name="DSPFPageNumberArea57"/>
      <w:bookmarkEnd w:id="714"/>
      <w:bookmarkEnd w:id="715"/>
      <w:r>
        <w:rPr>
          <w:b w:val="false"/>
          <w:i w:val="false"/>
          <w:caps w:val="false"/>
          <w:smallCaps w:val="false"/>
          <w:color w:val="000000"/>
          <w:sz w:val="16"/>
        </w:rPr>
        <w:t>61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16" w:name="DSPFPageBreak59"/>
      <w:bookmarkStart w:id="717" w:name="DSPFPageBreak59"/>
      <w:bookmarkEnd w:id="7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718" w:name="DSPFPageHeader57"/>
        <w:bookmarkEnd w:id="718"/>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b/>
          <w:color w:val="000000"/>
        </w:rPr>
        <w:t>Konstantin Poukalov</w:t>
      </w:r>
      <w:r>
        <w:rPr>
          <w:color w:val="000000"/>
        </w:rPr>
        <w:t>, our Chief Business Officer since July 2020, joined Perceptive Advisors in 2019 and is a Managing Director at Perceptive Advisors focused on various strategies across the Perceptive platforms. Mr. Poukalov also serves as the Chief Business Officer of ARYA Sciences Acquisition Corp IV (Nasdaq: ARYD)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pStyle w:val="TextBody"/>
        <w:spacing w:before="0" w:after="0"/>
        <w:jc w:val="both"/>
        <w:rPr>
          <w:b/>
          <w:color w:val="000000"/>
        </w:rPr>
      </w:pPr>
      <w:r>
        <w:rPr>
          <w:b/>
          <w:color w:val="000000"/>
        </w:rPr>
      </w:r>
    </w:p>
    <w:p>
      <w:pPr>
        <w:pStyle w:val="TextBody"/>
        <w:spacing w:before="0" w:after="0"/>
        <w:jc w:val="both"/>
        <w:rPr>
          <w:color w:val="000000"/>
        </w:rPr>
      </w:pPr>
      <w:r>
        <w:rPr>
          <w:b/>
          <w:color w:val="000000"/>
        </w:rPr>
        <w:t>Dr. Todd Wider</w:t>
      </w:r>
      <w:r>
        <w:rPr>
          <w:color w:val="000000"/>
        </w:rPr>
        <w:t xml:space="preserve"> has agreed to serve on our board of directors since August 2020. Dr. Wider is the Executive Chairman and Chief Medical Officer of Emendo Biotherapeutics, which focuses on highly specific and differentiated gene editing. Dr. Wider has served on the board of directors of ARYA Sciences Acquisition Corp IV (Nasdaq: ARYD) since January 2021 and Abeona Therapeutics Inc. (Nasdaq: ABEO) since May 2015. Dr. Wider previously consulted with a number of entities in the biotechnology space. Dr. Wider is an active, honorary member of the medical staff of Mount Sinai Hospital in New York, where he worked for over 20 years, and is a plastic and reconstructive surgeon who focused on cancer surgery.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pStyle w:val="TextBody"/>
        <w:spacing w:before="0" w:after="0"/>
        <w:rPr/>
      </w:pPr>
      <w:r>
        <w:rPr/>
      </w:r>
    </w:p>
    <w:p>
      <w:pPr>
        <w:pStyle w:val="TextBody"/>
        <w:spacing w:before="0" w:after="0"/>
        <w:jc w:val="both"/>
        <w:rPr>
          <w:color w:val="000000"/>
        </w:rPr>
      </w:pPr>
      <w:r>
        <w:rPr>
          <w:color w:val="000000"/>
        </w:rPr>
        <w:t>We believe that Dr. Wider’s experience in the healthcare and life sciences industries make him well qualified to serve on our board of directors.</w:t>
      </w:r>
    </w:p>
    <w:p>
      <w:pPr>
        <w:pStyle w:val="TextBody"/>
        <w:spacing w:before="0" w:after="0"/>
        <w:rPr/>
      </w:pPr>
      <w:r>
        <w:rPr/>
      </w:r>
    </w:p>
    <w:p>
      <w:pPr>
        <w:pStyle w:val="TextBody"/>
        <w:spacing w:before="0" w:after="0"/>
        <w:jc w:val="both"/>
        <w:rPr>
          <w:color w:val="000000"/>
        </w:rPr>
      </w:pPr>
      <w:r>
        <w:rPr>
          <w:b/>
          <w:color w:val="000000"/>
        </w:rPr>
        <w:t>Bradley L. Campbell</w:t>
      </w:r>
      <w:r>
        <w:rPr>
          <w:color w:val="000000"/>
        </w:rPr>
        <w:t xml:space="preserve"> has agreed to serve on our board of directors. He has nearly 20 years of experience in the orphan drug industry and has served on the board of directors of Amicus since June 2018 and as President and Chief Operating Officer of Amicus since January 2015. In this capacity, Mr. Campbell leads the global commercial organization responsible for the commercialization of GalafoldTM for the treatment of Fabry Disease. He also oversees the Technical Operations, Market Access, Program Management and Clinical Operations functions. Previously, Mr. Campbell served as Chief Operating Officer of Amicus from December 2013 to January 2015 and, prior thereto, as Chief Business Officer of Amicus from February 2012 to December 2013. From January 2010 to February 2012, Mr. Campbell served as Senior Vice President, Business Operations; from May 2007 to January 2010, as Vice President, Business Planning; and from April 2006 until May 2007, as Senior Director, Business Development of Amicus. Mr. Campbell also served as Senior Product Manager of Myozyme© for Pompe Disease and later as Business Director of Cardiovascular Gene Therapy at Genzyme Corporation from 2002 to 2006. Prior to joining Genzyme, Mr. Campbell worked in sales &amp; marketing for Bristol-Myers-Squibb and as a business strategy consultant for Marakon Associates. Currently, Mr. Campbell serves as a Director for the Alliance for Regenerative Medicine, and he previously served as a director of Progenics Pharmaceuticals, Inc. (Nasdaq: PGNX) from June 2016 to June 2020. Mr. Campbell holds a B.A. from Duke University and an MBA from Harvard Business School..</w:t>
      </w:r>
    </w:p>
    <w:p>
      <w:pPr>
        <w:pStyle w:val="TextBody"/>
        <w:spacing w:before="0" w:after="0"/>
        <w:rPr/>
      </w:pPr>
      <w:r>
        <w:rPr/>
      </w:r>
    </w:p>
    <w:p>
      <w:pPr>
        <w:pStyle w:val="TextBody"/>
        <w:spacing w:before="0" w:after="0"/>
        <w:jc w:val="both"/>
        <w:rPr>
          <w:color w:val="000000"/>
        </w:rPr>
      </w:pPr>
      <w:r>
        <w:rPr>
          <w:color w:val="000000"/>
        </w:rPr>
        <w:t>We believe that Mr. Campbell’s experience in the healthcare and life sciences industries make him well qualified to serve on our board of directors.</w:t>
      </w:r>
    </w:p>
    <w:p>
      <w:pPr>
        <w:pStyle w:val="TextBody"/>
        <w:spacing w:before="0" w:after="0"/>
        <w:rPr/>
      </w:pPr>
      <w:r>
        <w:rPr/>
      </w:r>
    </w:p>
    <w:p>
      <w:pPr>
        <w:pStyle w:val="TextBody"/>
        <w:spacing w:before="0" w:after="0"/>
        <w:jc w:val="both"/>
        <w:rPr>
          <w:color w:val="000000"/>
        </w:rPr>
      </w:pPr>
      <w:r>
        <w:rPr>
          <w:b/>
          <w:color w:val="000000"/>
        </w:rPr>
        <w:t>Saqib Islam</w:t>
      </w:r>
      <w:r>
        <w:rPr>
          <w:color w:val="000000"/>
        </w:rPr>
        <w:t xml:space="preserve"> has agreed to serve on our board of directors. Mr. Islam has also served as the Chief Executive Officer and director of SpringWorks since August 2018. Previously, Mr. Islam served as the Chief Financial Officer and Chief Business Officer of SpringWorks since its formation in August 2017. Prior to joining SpringWorks, Mr. Islam served as Chief Business Officer at Moderna Therapeutics, Inc. from February 2016 to August 2017. Prior to Moderna, Mr. Islam was Executive Vice President, Chief Strategy and Portfolio Officer at Alexion Pharmaceuticals, Inc. from February 2013 to February 2016, where he was responsible for executing the company’s corporate growth strategies and contributed to its assessment and management of global operations. Prior to joining Alexion, Mr. Islam worked for more than 25 years in international business management with a focus on business development, strategic decision-making and planning and capital markets, previously holding Managing Director positions at Morgan Stanley and Credit Suisse. Mr. Islam has also served on the board of directors of Passage Bio, Inc. since March 2019. Mr. Islam holds a JD from Columbia Law School, where he was a Harlan Fiske  Scholar, and a Bachelor’s degree from McGill University where he was a Faculty and University Scholar.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19" w:name="DSPFPageBreakArea60"/>
      <w:bookmarkStart w:id="720" w:name="DSPFPageBreakArea60"/>
      <w:bookmarkEnd w:id="7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721" w:name="DSPFPageNumber59"/>
      <w:bookmarkStart w:id="722" w:name="DSPFPageNumberArea58"/>
      <w:bookmarkEnd w:id="721"/>
      <w:bookmarkEnd w:id="722"/>
      <w:r>
        <w:rPr>
          <w:b w:val="false"/>
          <w:i w:val="false"/>
          <w:caps w:val="false"/>
          <w:smallCaps w:val="false"/>
          <w:color w:val="000000"/>
          <w:sz w:val="16"/>
        </w:rPr>
        <w:t>62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23" w:name="DSPFPageBreak60"/>
      <w:bookmarkStart w:id="724" w:name="DSPFPageBreak60"/>
      <w:bookmarkEnd w:id="7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725" w:name="DSPFPageHeader58"/>
        <w:bookmarkEnd w:id="725"/>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We believe that Mr. Islam’s experience in the healthcare and life sciences industries make him well qualified to serve on our board of directors.</w:t>
      </w:r>
    </w:p>
    <w:p>
      <w:pPr>
        <w:pStyle w:val="TextBody"/>
        <w:spacing w:before="0" w:after="0"/>
        <w:rPr/>
      </w:pPr>
      <w:r>
        <w:rPr/>
      </w:r>
    </w:p>
    <w:p>
      <w:pPr>
        <w:pStyle w:val="TextBody"/>
        <w:spacing w:before="0" w:after="0"/>
        <w:jc w:val="both"/>
        <w:rPr>
          <w:b/>
          <w:color w:val="000000"/>
        </w:rPr>
      </w:pPr>
      <w:r>
        <w:rPr>
          <w:b/>
          <w:color w:val="000000"/>
        </w:rPr>
        <w:t>Number and Terms of Office of Officers and Directors</w:t>
      </w:r>
    </w:p>
    <w:p>
      <w:pPr>
        <w:pStyle w:val="TextBody"/>
        <w:spacing w:before="0" w:after="0"/>
        <w:rPr/>
      </w:pPr>
      <w:r>
        <w:rPr/>
      </w:r>
    </w:p>
    <w:p>
      <w:pPr>
        <w:pStyle w:val="TextBody"/>
        <w:spacing w:before="0" w:after="0"/>
        <w:jc w:val="both"/>
        <w:rPr>
          <w:color w:val="000000"/>
        </w:rPr>
      </w:pPr>
      <w:r>
        <w:rPr>
          <w:color w:val="000000"/>
        </w:rPr>
        <w:t>Our board of directors is divided into three classes, with only one class of directors being elected in each year, and with each class (except for those directors appointed prior to our first annual meeting of shareholders) serving a three-year term. The term of office of the first class of directors, consisting of Bradley L. Campbell, will expire at our first annual meeting of shareholders. The term of office of the second class of directors, consisting of Saqib Islam and Todd Wider, will expire at our second annual meeting of shareholders. The term of office of the third class of directors, consisting of Joseph Edelman, Adam Stone and Michael Altman, will expire at our third annual meeting of shareholders.</w:t>
      </w:r>
    </w:p>
    <w:p>
      <w:pPr>
        <w:pStyle w:val="TextBody"/>
        <w:spacing w:before="0" w:after="0"/>
        <w:rPr/>
      </w:pPr>
      <w:r>
        <w:rPr/>
      </w:r>
    </w:p>
    <w:p>
      <w:pPr>
        <w:pStyle w:val="TextBody"/>
        <w:spacing w:before="0" w:after="0"/>
        <w:jc w:val="both"/>
        <w:rPr>
          <w:color w:val="000000"/>
        </w:rPr>
      </w:pPr>
      <w:r>
        <w:rPr>
          <w:color w:val="000000"/>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pStyle w:val="TextBody"/>
        <w:spacing w:before="0" w:after="0"/>
        <w:rPr/>
      </w:pPr>
      <w:r>
        <w:rPr/>
      </w:r>
    </w:p>
    <w:p>
      <w:pPr>
        <w:pStyle w:val="TextBody"/>
        <w:spacing w:before="0" w:after="0"/>
        <w:jc w:val="both"/>
        <w:rPr>
          <w:color w:val="000000"/>
        </w:rPr>
      </w:pPr>
      <w:r>
        <w:rPr>
          <w:color w:val="000000"/>
        </w:rPr>
        <w:t>Pursuant to a registration and shareholder rights agreement,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pStyle w:val="TextBody"/>
        <w:spacing w:before="0" w:after="0"/>
        <w:rPr/>
      </w:pPr>
      <w:r>
        <w:rPr/>
      </w:r>
    </w:p>
    <w:p>
      <w:pPr>
        <w:pStyle w:val="TextBody"/>
        <w:spacing w:before="0" w:after="0"/>
        <w:jc w:val="both"/>
        <w:rPr>
          <w:color w:val="000000"/>
        </w:rPr>
      </w:pPr>
      <w:r>
        <w:rPr>
          <w:color w:val="000000"/>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chief financial officer, chief business officer, president, vice presidents, secretary, treasurer and such other offices as may be determined by the board of directors.</w:t>
      </w:r>
    </w:p>
    <w:p>
      <w:pPr>
        <w:pStyle w:val="TextBody"/>
        <w:spacing w:before="0" w:after="0"/>
        <w:rPr/>
      </w:pPr>
      <w:r>
        <w:rPr/>
      </w:r>
    </w:p>
    <w:p>
      <w:pPr>
        <w:pStyle w:val="TextBody"/>
        <w:spacing w:before="0" w:after="0"/>
        <w:jc w:val="both"/>
        <w:rPr>
          <w:b/>
          <w:color w:val="000000"/>
        </w:rPr>
      </w:pPr>
      <w:r>
        <w:rPr>
          <w:b/>
          <w:color w:val="000000"/>
        </w:rPr>
        <w:t>Director Independence</w:t>
      </w:r>
    </w:p>
    <w:p>
      <w:pPr>
        <w:pStyle w:val="TextBody"/>
        <w:spacing w:before="0" w:after="0"/>
        <w:rPr/>
      </w:pPr>
      <w:r>
        <w:rPr/>
      </w:r>
    </w:p>
    <w:p>
      <w:pPr>
        <w:pStyle w:val="TextBody"/>
        <w:spacing w:before="0" w:after="0"/>
        <w:jc w:val="both"/>
        <w:rPr>
          <w:color w:val="000000"/>
        </w:rPr>
      </w:pPr>
      <w:r>
        <w:rPr>
          <w:color w:val="000000"/>
        </w:rPr>
        <w:t>Nasdaq listing standards require that a majority of our board of directors be independent. An “independent director” is defined generally as a person other than an officer or employee of the company or its subsidiaries or any other individual having a relationship with the company which in the opinion of the company’s board of directors, could interfere with the director’s exercise of independent judgment in carrying out the responsibilities of a director. Our board of directors has determined that Joseph Edelman, Todd Wider, Bradley L. Campbell and Saqib Islam are “independent directors” as defined in the Nasdaq listing standards and applicable SEC rules. Our independent directors will have regularly scheduled meetings at which only independent directors are present.</w:t>
      </w:r>
    </w:p>
    <w:p>
      <w:pPr>
        <w:pStyle w:val="TextBody"/>
        <w:spacing w:before="0" w:after="0"/>
        <w:rPr/>
      </w:pPr>
      <w:r>
        <w:rPr/>
      </w:r>
    </w:p>
    <w:p>
      <w:pPr>
        <w:pStyle w:val="TextBody"/>
        <w:spacing w:before="0" w:after="0"/>
        <w:jc w:val="both"/>
        <w:rPr>
          <w:b/>
          <w:color w:val="000000"/>
        </w:rPr>
      </w:pPr>
      <w:r>
        <w:rPr>
          <w:b/>
          <w:color w:val="000000"/>
        </w:rPr>
        <w:t>Committees of the Board of Directors</w:t>
      </w:r>
    </w:p>
    <w:p>
      <w:pPr>
        <w:pStyle w:val="TextBody"/>
        <w:spacing w:before="0" w:after="0"/>
        <w:rPr/>
      </w:pPr>
      <w:r>
        <w:rPr/>
      </w:r>
    </w:p>
    <w:p>
      <w:pPr>
        <w:pStyle w:val="TextBody"/>
        <w:spacing w:before="0" w:after="0"/>
        <w:jc w:val="both"/>
        <w:rPr>
          <w:color w:val="000000"/>
        </w:rPr>
      </w:pPr>
      <w:r>
        <w:rPr>
          <w:color w:val="000000"/>
        </w:rPr>
        <w:t>Our board of directors has three standing committees: an audit committee, a nominating committee and a compensation committee. Each committee operates under a charter that has been approved by our board and has the composition and responsibilities described below. The charter of each committee is available on our website.</w:t>
      </w:r>
    </w:p>
    <w:p>
      <w:pPr>
        <w:pStyle w:val="TextBody"/>
        <w:spacing w:before="0" w:after="0"/>
        <w:rPr/>
      </w:pPr>
      <w:r>
        <w:rPr/>
      </w:r>
    </w:p>
    <w:p>
      <w:pPr>
        <w:pStyle w:val="TextBody"/>
        <w:spacing w:before="0" w:after="0"/>
        <w:jc w:val="both"/>
        <w:rPr>
          <w:i/>
          <w:color w:val="000000"/>
        </w:rPr>
      </w:pPr>
      <w:r>
        <w:rPr>
          <w:i/>
          <w:color w:val="000000"/>
        </w:rPr>
        <w:t>Audit Committee</w:t>
      </w:r>
    </w:p>
    <w:p>
      <w:pPr>
        <w:pStyle w:val="TextBody"/>
        <w:spacing w:before="0" w:after="0"/>
        <w:rPr/>
      </w:pPr>
      <w:r>
        <w:rPr/>
      </w:r>
    </w:p>
    <w:p>
      <w:pPr>
        <w:pStyle w:val="TextBody"/>
        <w:spacing w:before="0" w:after="0"/>
        <w:jc w:val="both"/>
        <w:rPr>
          <w:color w:val="000000"/>
        </w:rPr>
      </w:pPr>
      <w:r>
        <w:rPr>
          <w:color w:val="000000"/>
        </w:rPr>
        <w:t>We established an audit committee of the board of directors. Bradley L. Campbell, Saqib Islam and Todd Wider serve as members of our audit committee. Our board of directors has determined that each of Bradley L. Campbell, Saqib Islam and Todd Wider are independent. Todd Wider serves as the Chairman of the audit committee. Each member of the audit committee meets the financial literacy requirements of Nasdaq and our board of directors has determined that Todd Wider qualifies as an “audit committee financial expert” as defined in applicable SEC rules and has accounting or related financial management expertise.</w:t>
      </w:r>
    </w:p>
    <w:p>
      <w:pPr>
        <w:pStyle w:val="TextBody"/>
        <w:spacing w:before="0" w:after="0"/>
        <w:rPr/>
      </w:pPr>
      <w:r>
        <w:rPr/>
      </w:r>
    </w:p>
    <w:p>
      <w:pPr>
        <w:pStyle w:val="TextBody"/>
        <w:spacing w:before="0" w:after="0"/>
        <w:jc w:val="both"/>
        <w:rPr>
          <w:color w:val="000000"/>
        </w:rPr>
      </w:pPr>
      <w:r>
        <w:rPr>
          <w:color w:val="000000"/>
        </w:rPr>
        <w:t>The audit committee is responsible for:</w:t>
      </w:r>
    </w:p>
    <w:p>
      <w:pPr>
        <w:pStyle w:val="TextBody"/>
        <w:spacing w:before="0" w:after="0"/>
        <w:rPr/>
      </w:pPr>
      <w:r>
        <w:rPr/>
      </w:r>
    </w:p>
    <w:p>
      <w:pPr>
        <w:pStyle w:val="Normal"/>
        <w:spacing w:before="0" w:after="0"/>
        <w:rPr>
          <w:sz w:val="4"/>
          <w:szCs w:val="4"/>
        </w:rPr>
      </w:pPr>
      <w:r>
        <w:rPr>
          <w:sz w:val="4"/>
          <w:szCs w:val="4"/>
        </w:rPr>
      </w:r>
      <w:bookmarkStart w:id="726" w:name="zfc9d7346cf07432bb4d1cfb7bb854929"/>
      <w:bookmarkStart w:id="727" w:name="zfc9d7346cf07432bb4d1cfb7bb854929"/>
      <w:bookmarkEnd w:id="72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meeting with our independent registered public accounting firm regarding, among other issues, audits, and adequacy of our accounting and control systems;</w:t>
            </w:r>
          </w:p>
        </w:tc>
      </w:tr>
    </w:tbl>
    <w:p>
      <w:pPr>
        <w:pStyle w:val="Normal"/>
        <w:spacing w:before="0" w:after="0"/>
        <w:rPr>
          <w:sz w:val="4"/>
          <w:szCs w:val="4"/>
        </w:rPr>
      </w:pPr>
      <w:r>
        <w:rPr>
          <w:sz w:val="4"/>
          <w:szCs w:val="4"/>
        </w:rPr>
      </w:r>
      <w:bookmarkStart w:id="728" w:name="z9ded3b9bec0c42939db4026d9f0c492d"/>
      <w:bookmarkStart w:id="729" w:name="z9ded3b9bec0c42939db4026d9f0c492d"/>
      <w:bookmarkEnd w:id="729"/>
    </w:p>
    <w:tbl>
      <w:tblPr>
        <w:tblW w:w="7968" w:type="dxa"/>
        <w:jc w:val="left"/>
        <w:tblInd w:w="0" w:type="dxa"/>
        <w:tblCellMar>
          <w:top w:w="0" w:type="dxa"/>
          <w:left w:w="0" w:type="dxa"/>
          <w:bottom w:w="0" w:type="dxa"/>
          <w:right w:w="0" w:type="dxa"/>
        </w:tblCellMar>
      </w:tblPr>
      <w:tblGrid>
        <w:gridCol w:w="38"/>
        <w:gridCol w:w="110"/>
        <w:gridCol w:w="78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820" w:type="dxa"/>
            <w:tcBorders/>
            <w:shd w:fill="auto" w:val="clear"/>
            <w:vAlign w:val="center"/>
          </w:tcPr>
          <w:p>
            <w:pPr>
              <w:pStyle w:val="TableContents"/>
              <w:spacing w:before="0" w:after="0"/>
              <w:jc w:val="both"/>
              <w:rPr/>
            </w:pPr>
            <w:r>
              <w:rPr/>
              <w:t>mon</w:t>
            </w:r>
            <w:r>
              <w:rPr>
                <w:color w:val="000000"/>
              </w:rPr>
              <w:t>itoring the independence of the independent registered public accounting firm;</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30" w:name="DSPFPageBreakArea61"/>
      <w:bookmarkStart w:id="731" w:name="DSPFPageBreakArea61"/>
      <w:bookmarkEnd w:id="7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732" w:name="DSPFPageNumber60"/>
      <w:bookmarkStart w:id="733" w:name="DSPFPageNumberArea59"/>
      <w:bookmarkEnd w:id="732"/>
      <w:bookmarkEnd w:id="733"/>
      <w:r>
        <w:rPr>
          <w:b w:val="false"/>
          <w:i w:val="false"/>
          <w:caps w:val="false"/>
          <w:smallCaps w:val="false"/>
          <w:color w:val="000000"/>
          <w:sz w:val="16"/>
        </w:rPr>
        <w:t>63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34" w:name="DSPFPageBreak61"/>
      <w:bookmarkStart w:id="735" w:name="DSPFPageBreak61"/>
      <w:bookmarkEnd w:id="7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736" w:name="DSPFPageHeader59"/>
        <w:bookmarkEnd w:id="736"/>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737" w:name="z0ff37c92ea7842dd86273fa2c2bfabbf"/>
      <w:bookmarkStart w:id="738" w:name="z0ff37c92ea7842dd86273fa2c2bfabbf"/>
      <w:bookmarkEnd w:id="73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verifying the rotation of the lead (or coordinating) audit partner having primary responsibility for the audit and the audit partner responsible for reviewing the audit as required by law;</w:t>
            </w:r>
          </w:p>
        </w:tc>
      </w:tr>
    </w:tbl>
    <w:p>
      <w:pPr>
        <w:pStyle w:val="Normal"/>
        <w:spacing w:before="0" w:after="0"/>
        <w:rPr>
          <w:sz w:val="4"/>
          <w:szCs w:val="4"/>
        </w:rPr>
      </w:pPr>
      <w:r>
        <w:rPr>
          <w:sz w:val="4"/>
          <w:szCs w:val="4"/>
        </w:rPr>
      </w:r>
      <w:bookmarkStart w:id="739" w:name="z76b0373e414b4e34920e5f369af025fa"/>
      <w:bookmarkStart w:id="740" w:name="z76b0373e414b4e34920e5f369af025fa"/>
      <w:bookmarkEnd w:id="740"/>
    </w:p>
    <w:tbl>
      <w:tblPr>
        <w:tblW w:w="9288" w:type="dxa"/>
        <w:jc w:val="left"/>
        <w:tblInd w:w="0" w:type="dxa"/>
        <w:tblCellMar>
          <w:top w:w="0" w:type="dxa"/>
          <w:left w:w="0" w:type="dxa"/>
          <w:bottom w:w="0" w:type="dxa"/>
          <w:right w:w="0" w:type="dxa"/>
        </w:tblCellMar>
      </w:tblPr>
      <w:tblGrid>
        <w:gridCol w:w="38"/>
        <w:gridCol w:w="110"/>
        <w:gridCol w:w="91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140" w:type="dxa"/>
            <w:tcBorders/>
            <w:shd w:fill="auto" w:val="clear"/>
            <w:vAlign w:val="center"/>
          </w:tcPr>
          <w:p>
            <w:pPr>
              <w:pStyle w:val="TableContents"/>
              <w:spacing w:before="0" w:after="0"/>
              <w:jc w:val="both"/>
              <w:rPr>
                <w:color w:val="000000"/>
              </w:rPr>
            </w:pPr>
            <w:r>
              <w:rPr>
                <w:color w:val="000000"/>
              </w:rPr>
              <w:t>inquiring and discussing with management our compliance with applicable laws and regulations;</w:t>
            </w:r>
          </w:p>
        </w:tc>
      </w:tr>
    </w:tbl>
    <w:p>
      <w:pPr>
        <w:pStyle w:val="Normal"/>
        <w:spacing w:before="0" w:after="0"/>
        <w:rPr>
          <w:sz w:val="4"/>
          <w:szCs w:val="4"/>
        </w:rPr>
      </w:pPr>
      <w:r>
        <w:rPr>
          <w:sz w:val="4"/>
          <w:szCs w:val="4"/>
        </w:rPr>
      </w:r>
      <w:bookmarkStart w:id="741" w:name="zec0ba94846164191a9c2c60659a36797"/>
      <w:bookmarkStart w:id="742" w:name="zec0ba94846164191a9c2c60659a36797"/>
      <w:bookmarkEnd w:id="74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pre-approving all audit services and permitted non-audit services to be performed by our independent registered public accounting firm, including the fees and terms of the services to be performed;</w:t>
            </w:r>
          </w:p>
        </w:tc>
      </w:tr>
    </w:tbl>
    <w:p>
      <w:pPr>
        <w:pStyle w:val="Normal"/>
        <w:spacing w:before="0" w:after="0"/>
        <w:rPr>
          <w:sz w:val="4"/>
          <w:szCs w:val="4"/>
        </w:rPr>
      </w:pPr>
      <w:r>
        <w:rPr>
          <w:sz w:val="4"/>
          <w:szCs w:val="4"/>
        </w:rPr>
      </w:r>
      <w:bookmarkStart w:id="743" w:name="zc00a2b41734441eea6130a7f36163824"/>
      <w:bookmarkStart w:id="744" w:name="zc00a2b41734441eea6130a7f36163824"/>
      <w:bookmarkEnd w:id="744"/>
    </w:p>
    <w:tbl>
      <w:tblPr>
        <w:tblW w:w="7158" w:type="dxa"/>
        <w:jc w:val="left"/>
        <w:tblInd w:w="0" w:type="dxa"/>
        <w:tblCellMar>
          <w:top w:w="0" w:type="dxa"/>
          <w:left w:w="0" w:type="dxa"/>
          <w:bottom w:w="0" w:type="dxa"/>
          <w:right w:w="0" w:type="dxa"/>
        </w:tblCellMar>
      </w:tblPr>
      <w:tblGrid>
        <w:gridCol w:w="38"/>
        <w:gridCol w:w="110"/>
        <w:gridCol w:w="701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010" w:type="dxa"/>
            <w:tcBorders/>
            <w:shd w:fill="auto" w:val="clear"/>
            <w:vAlign w:val="center"/>
          </w:tcPr>
          <w:p>
            <w:pPr>
              <w:pStyle w:val="TableContents"/>
              <w:spacing w:before="0" w:after="0"/>
              <w:jc w:val="both"/>
              <w:rPr>
                <w:color w:val="000000"/>
              </w:rPr>
            </w:pPr>
            <w:r>
              <w:rPr>
                <w:color w:val="000000"/>
              </w:rPr>
              <w:t>appointing or replacing the independent registered public accounting firm;</w:t>
            </w:r>
          </w:p>
        </w:tc>
      </w:tr>
    </w:tbl>
    <w:p>
      <w:pPr>
        <w:pStyle w:val="Normal"/>
        <w:spacing w:before="0" w:after="0"/>
        <w:rPr>
          <w:sz w:val="4"/>
          <w:szCs w:val="4"/>
        </w:rPr>
      </w:pPr>
      <w:r>
        <w:rPr>
          <w:sz w:val="4"/>
          <w:szCs w:val="4"/>
        </w:rPr>
      </w:r>
      <w:bookmarkStart w:id="745" w:name="z9a7565555ef94520a25afcd2c4435ddb"/>
      <w:bookmarkStart w:id="746" w:name="z9a7565555ef94520a25afcd2c4435ddb"/>
      <w:bookmarkEnd w:id="74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tc>
      </w:tr>
    </w:tbl>
    <w:p>
      <w:pPr>
        <w:pStyle w:val="Normal"/>
        <w:spacing w:before="0" w:after="0"/>
        <w:rPr>
          <w:sz w:val="4"/>
          <w:szCs w:val="4"/>
        </w:rPr>
      </w:pPr>
      <w:r>
        <w:rPr>
          <w:sz w:val="4"/>
          <w:szCs w:val="4"/>
        </w:rPr>
      </w:r>
      <w:bookmarkStart w:id="747" w:name="z3837375c379b41f893ad3e1e71e3986e"/>
      <w:bookmarkStart w:id="748" w:name="z3837375c379b41f893ad3e1e71e3986e"/>
      <w:bookmarkEnd w:id="74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establishing procedures for the receipt, retention and treatment of complaints received by us regarding accounting, internal accounting controls or reports which raise material issues regarding our financial statements or accounting policies;</w:t>
            </w:r>
          </w:p>
        </w:tc>
      </w:tr>
    </w:tbl>
    <w:p>
      <w:pPr>
        <w:pStyle w:val="Normal"/>
        <w:spacing w:before="0" w:after="0"/>
        <w:rPr>
          <w:sz w:val="4"/>
          <w:szCs w:val="4"/>
        </w:rPr>
      </w:pPr>
      <w:r>
        <w:rPr>
          <w:sz w:val="4"/>
          <w:szCs w:val="4"/>
        </w:rPr>
      </w:r>
      <w:bookmarkStart w:id="749" w:name="z63438027bd024d6f8a8dfdee8a323e03"/>
      <w:bookmarkStart w:id="750" w:name="z63438027bd024d6f8a8dfdee8a323e03"/>
      <w:bookmarkEnd w:id="75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monitoring compliance on a quarterly basis with the terms of our Initial Public Offering and, if any noncompliance is identified, immediately taking all action necessary to rectify such noncompliance or otherwise causing compliance with the terms of our Initial Public Offering; and</w:t>
            </w:r>
          </w:p>
        </w:tc>
      </w:tr>
    </w:tbl>
    <w:p>
      <w:pPr>
        <w:pStyle w:val="Normal"/>
        <w:spacing w:before="0" w:after="0"/>
        <w:rPr>
          <w:sz w:val="4"/>
          <w:szCs w:val="4"/>
        </w:rPr>
      </w:pPr>
      <w:r>
        <w:rPr>
          <w:sz w:val="4"/>
          <w:szCs w:val="4"/>
        </w:rPr>
      </w:r>
      <w:bookmarkStart w:id="751" w:name="z8044e962fa4f48769f645168babb6db1"/>
      <w:bookmarkStart w:id="752" w:name="z8044e962fa4f48769f645168babb6db1"/>
      <w:bookmarkEnd w:id="75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tc>
      </w:tr>
    </w:tbl>
    <w:p>
      <w:pPr>
        <w:pStyle w:val="TextBody"/>
        <w:spacing w:before="0" w:after="0"/>
        <w:rPr/>
      </w:pPr>
      <w:r>
        <w:rPr/>
      </w:r>
    </w:p>
    <w:p>
      <w:pPr>
        <w:pStyle w:val="TextBody"/>
        <w:spacing w:before="0" w:after="0"/>
        <w:jc w:val="both"/>
        <w:rPr>
          <w:i/>
          <w:color w:val="000000"/>
        </w:rPr>
      </w:pPr>
      <w:r>
        <w:rPr>
          <w:i/>
          <w:color w:val="000000"/>
        </w:rPr>
        <w:t>Nominating Committee</w:t>
      </w:r>
    </w:p>
    <w:p>
      <w:pPr>
        <w:pStyle w:val="TextBody"/>
        <w:spacing w:before="0" w:after="0"/>
        <w:rPr/>
      </w:pPr>
      <w:r>
        <w:rPr/>
      </w:r>
    </w:p>
    <w:p>
      <w:pPr>
        <w:pStyle w:val="TextBody"/>
        <w:spacing w:before="0" w:after="0"/>
        <w:jc w:val="both"/>
        <w:rPr>
          <w:color w:val="000000"/>
        </w:rPr>
      </w:pPr>
      <w:r>
        <w:rPr>
          <w:color w:val="000000"/>
        </w:rPr>
        <w:t>We established a nominating committee of our board of directors. The members of our nominating committee are Bradley L. Campbell, Saqib Islam and Todd Wider. Saqib Islam serves as chairman of the nominating committee. Our board of directors has determined that each of Bradley L. Campbell, Saqib Islam and Todd Wider are independent.</w:t>
      </w:r>
    </w:p>
    <w:p>
      <w:pPr>
        <w:pStyle w:val="TextBody"/>
        <w:spacing w:before="0" w:after="0"/>
        <w:rPr/>
      </w:pPr>
      <w:r>
        <w:rPr/>
      </w:r>
    </w:p>
    <w:p>
      <w:pPr>
        <w:pStyle w:val="TextBody"/>
        <w:spacing w:before="0" w:after="0"/>
        <w:jc w:val="both"/>
        <w:rPr>
          <w:color w:val="000000"/>
        </w:rPr>
      </w:pPr>
      <w:r>
        <w:rPr>
          <w:color w:val="000000"/>
        </w:rPr>
        <w:t>The nominating committee is responsible for overseeing the selection of persons to be nominated to serve on our board of directors. The nominating committee considers persons identified by its members, management, shareholders, investment bankers and others.</w:t>
      </w:r>
    </w:p>
    <w:p>
      <w:pPr>
        <w:pStyle w:val="TextBody"/>
        <w:spacing w:before="0" w:after="0"/>
        <w:rPr/>
      </w:pPr>
      <w:r>
        <w:rPr/>
      </w:r>
    </w:p>
    <w:p>
      <w:pPr>
        <w:pStyle w:val="TextBody"/>
        <w:spacing w:before="0" w:after="0"/>
        <w:jc w:val="both"/>
        <w:rPr>
          <w:i/>
          <w:color w:val="000000"/>
        </w:rPr>
      </w:pPr>
      <w:r>
        <w:rPr>
          <w:i/>
          <w:color w:val="000000"/>
        </w:rPr>
        <w:t>Guidelines for Selecting Director Nominees</w:t>
      </w:r>
    </w:p>
    <w:p>
      <w:pPr>
        <w:pStyle w:val="TextBody"/>
        <w:spacing w:before="0" w:after="0"/>
        <w:rPr/>
      </w:pPr>
      <w:r>
        <w:rPr/>
      </w:r>
    </w:p>
    <w:p>
      <w:pPr>
        <w:pStyle w:val="TextBody"/>
        <w:spacing w:before="0" w:after="0"/>
        <w:jc w:val="both"/>
        <w:rPr>
          <w:color w:val="000000"/>
        </w:rPr>
      </w:pPr>
      <w:r>
        <w:rPr>
          <w:color w:val="000000"/>
        </w:rPr>
        <w:t>The guidelines for selecting nominees, which are specified in a charter adopted by us, generally provide that persons to be nominated:</w:t>
      </w:r>
    </w:p>
    <w:p>
      <w:pPr>
        <w:pStyle w:val="TextBody"/>
        <w:spacing w:before="0" w:after="0"/>
        <w:rPr/>
      </w:pPr>
      <w:r>
        <w:rPr/>
      </w:r>
    </w:p>
    <w:p>
      <w:pPr>
        <w:pStyle w:val="Normal"/>
        <w:spacing w:before="0" w:after="0"/>
        <w:rPr>
          <w:sz w:val="4"/>
          <w:szCs w:val="4"/>
        </w:rPr>
      </w:pPr>
      <w:r>
        <w:rPr>
          <w:sz w:val="4"/>
          <w:szCs w:val="4"/>
        </w:rPr>
      </w:r>
      <w:bookmarkStart w:id="753" w:name="zfd5557dc5ae5470f8a6d00daf85ffa7e"/>
      <w:bookmarkStart w:id="754" w:name="zfd5557dc5ae5470f8a6d00daf85ffa7e"/>
      <w:bookmarkEnd w:id="754"/>
    </w:p>
    <w:tbl>
      <w:tblPr>
        <w:tblW w:w="9828" w:type="dxa"/>
        <w:jc w:val="left"/>
        <w:tblInd w:w="0" w:type="dxa"/>
        <w:tblCellMar>
          <w:top w:w="0" w:type="dxa"/>
          <w:left w:w="0" w:type="dxa"/>
          <w:bottom w:w="0" w:type="dxa"/>
          <w:right w:w="0" w:type="dxa"/>
        </w:tblCellMar>
      </w:tblPr>
      <w:tblGrid>
        <w:gridCol w:w="38"/>
        <w:gridCol w:w="110"/>
        <w:gridCol w:w="96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680" w:type="dxa"/>
            <w:tcBorders/>
            <w:shd w:fill="auto" w:val="clear"/>
            <w:vAlign w:val="center"/>
          </w:tcPr>
          <w:p>
            <w:pPr>
              <w:pStyle w:val="TableContents"/>
              <w:spacing w:before="0" w:after="0"/>
              <w:jc w:val="both"/>
              <w:rPr/>
            </w:pPr>
            <w:r>
              <w:rPr/>
              <w:t>should have demonstrated notable or significant achievements in business, education or public service;</w:t>
            </w:r>
          </w:p>
        </w:tc>
      </w:tr>
    </w:tbl>
    <w:p>
      <w:pPr>
        <w:pStyle w:val="Normal"/>
        <w:spacing w:before="0" w:after="0"/>
        <w:rPr>
          <w:sz w:val="4"/>
          <w:szCs w:val="4"/>
        </w:rPr>
      </w:pPr>
      <w:r>
        <w:rPr>
          <w:sz w:val="4"/>
          <w:szCs w:val="4"/>
        </w:rPr>
      </w:r>
      <w:bookmarkStart w:id="755" w:name="z7941f2139e6d4cd29e561d265a577f2f"/>
      <w:bookmarkStart w:id="756" w:name="z7941f2139e6d4cd29e561d265a577f2f"/>
      <w:bookmarkEnd w:id="75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should possess the requisite intelligence, education and experience to make a significant contribution to the board of directors and bring a range of skills, diverse perspectives and backgrounds to its deliberations; and</w:t>
            </w:r>
          </w:p>
        </w:tc>
      </w:tr>
    </w:tbl>
    <w:p>
      <w:pPr>
        <w:pStyle w:val="Normal"/>
        <w:spacing w:before="0" w:after="0"/>
        <w:rPr>
          <w:sz w:val="4"/>
          <w:szCs w:val="4"/>
        </w:rPr>
      </w:pPr>
      <w:r>
        <w:rPr>
          <w:sz w:val="4"/>
          <w:szCs w:val="4"/>
        </w:rPr>
      </w:r>
      <w:bookmarkStart w:id="757" w:name="z4775e8ed525f469f97fc4ab36cce78fa"/>
      <w:bookmarkStart w:id="758" w:name="z4775e8ed525f469f97fc4ab36cce78fa"/>
      <w:bookmarkEnd w:id="75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should have the highest ethical standards, a strong sense of professionalism and intense dedication to serving the interests of the shareholders.</w:t>
            </w:r>
          </w:p>
        </w:tc>
      </w:tr>
    </w:tbl>
    <w:p>
      <w:pPr>
        <w:pStyle w:val="TextBody"/>
        <w:spacing w:before="0" w:after="0"/>
        <w:rPr/>
      </w:pPr>
      <w:r>
        <w:rPr/>
      </w:r>
    </w:p>
    <w:p>
      <w:pPr>
        <w:pStyle w:val="TextBody"/>
        <w:spacing w:before="0" w:after="0"/>
        <w:jc w:val="both"/>
        <w:rPr>
          <w:color w:val="000000"/>
        </w:rPr>
      </w:pPr>
      <w:r>
        <w:rPr>
          <w:color w:val="000000"/>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pStyle w:val="TextBody"/>
        <w:spacing w:before="0" w:after="0"/>
        <w:rPr/>
      </w:pPr>
      <w:r>
        <w:rPr/>
      </w:r>
    </w:p>
    <w:p>
      <w:pPr>
        <w:pStyle w:val="TextBody"/>
        <w:spacing w:before="0" w:after="0"/>
        <w:jc w:val="both"/>
        <w:rPr>
          <w:i/>
          <w:color w:val="000000"/>
        </w:rPr>
      </w:pPr>
      <w:r>
        <w:rPr>
          <w:i/>
          <w:color w:val="000000"/>
        </w:rPr>
        <w:t>Compensation Committee</w:t>
      </w:r>
    </w:p>
    <w:p>
      <w:pPr>
        <w:pStyle w:val="TextBody"/>
        <w:spacing w:before="0" w:after="0"/>
        <w:rPr/>
      </w:pPr>
      <w:r>
        <w:rPr/>
      </w:r>
    </w:p>
    <w:p>
      <w:pPr>
        <w:pStyle w:val="TextBody"/>
        <w:spacing w:before="0" w:after="0"/>
        <w:jc w:val="both"/>
        <w:rPr>
          <w:color w:val="000000"/>
        </w:rPr>
      </w:pPr>
      <w:r>
        <w:rPr>
          <w:color w:val="000000"/>
        </w:rPr>
        <w:t>We established a compensation committee of our board of directors. The members of our compensation committee are Bradley L. Campbell, Saqib Islam and Todd Wider. Bradley L. Campbell serves as chairman of the compensation committee.</w:t>
      </w:r>
    </w:p>
    <w:p>
      <w:pPr>
        <w:pStyle w:val="TextBody"/>
        <w:spacing w:before="0" w:after="0"/>
        <w:rPr/>
      </w:pPr>
      <w:r>
        <w:rPr/>
      </w:r>
    </w:p>
    <w:p>
      <w:pPr>
        <w:pStyle w:val="TextBody"/>
        <w:spacing w:before="0" w:after="0"/>
        <w:jc w:val="both"/>
        <w:rPr>
          <w:color w:val="000000"/>
        </w:rPr>
      </w:pPr>
      <w:r>
        <w:rPr>
          <w:color w:val="000000"/>
        </w:rPr>
        <w:t>Our board of directors has determined that each of Bradley L. Campbell, Saqib Islam and Todd Wider are independent. We adopted a compensation committee charter, which details the principal functions of the compensation committee, including:</w:t>
      </w:r>
    </w:p>
    <w:p>
      <w:pPr>
        <w:pStyle w:val="TextBody"/>
        <w:spacing w:before="0" w:after="0"/>
        <w:rPr/>
      </w:pPr>
      <w:r>
        <w:rPr/>
      </w:r>
    </w:p>
    <w:p>
      <w:pPr>
        <w:pStyle w:val="Normal"/>
        <w:spacing w:before="0" w:after="0"/>
        <w:rPr>
          <w:sz w:val="4"/>
          <w:szCs w:val="4"/>
        </w:rPr>
      </w:pPr>
      <w:r>
        <w:rPr>
          <w:sz w:val="4"/>
          <w:szCs w:val="4"/>
        </w:rPr>
      </w:r>
      <w:bookmarkStart w:id="759" w:name="z5ac0c979d77743a39428509738e0af12"/>
      <w:bookmarkStart w:id="760" w:name="z5ac0c979d77743a39428509738e0af12"/>
      <w:bookmarkEnd w:id="76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61" w:name="DSPFPageBreakArea62"/>
      <w:bookmarkStart w:id="762" w:name="DSPFPageBreakArea62"/>
      <w:bookmarkEnd w:id="7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763" w:name="DSPFPageNumber61"/>
      <w:bookmarkStart w:id="764" w:name="DSPFPageNumberArea60"/>
      <w:bookmarkEnd w:id="763"/>
      <w:bookmarkEnd w:id="764"/>
      <w:r>
        <w:rPr>
          <w:b w:val="false"/>
          <w:i w:val="false"/>
          <w:caps w:val="false"/>
          <w:smallCaps w:val="false"/>
          <w:color w:val="000000"/>
          <w:sz w:val="16"/>
        </w:rPr>
        <w:t>64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65" w:name="DSPFPageBreak62"/>
      <w:bookmarkStart w:id="766" w:name="DSPFPageBreak62"/>
      <w:bookmarkEnd w:id="7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767" w:name="DSPFPageHeader60"/>
        <w:bookmarkEnd w:id="767"/>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768" w:name="zc818093fda9f4c2bb67a6382830c1f4d"/>
      <w:bookmarkStart w:id="769" w:name="zc818093fda9f4c2bb67a6382830c1f4d"/>
      <w:bookmarkEnd w:id="769"/>
    </w:p>
    <w:tbl>
      <w:tblPr>
        <w:tblW w:w="8823" w:type="dxa"/>
        <w:jc w:val="left"/>
        <w:tblInd w:w="0" w:type="dxa"/>
        <w:tblCellMar>
          <w:top w:w="0" w:type="dxa"/>
          <w:left w:w="0" w:type="dxa"/>
          <w:bottom w:w="0" w:type="dxa"/>
          <w:right w:w="0" w:type="dxa"/>
        </w:tblCellMar>
      </w:tblPr>
      <w:tblGrid>
        <w:gridCol w:w="38"/>
        <w:gridCol w:w="110"/>
        <w:gridCol w:w="867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675" w:type="dxa"/>
            <w:tcBorders/>
            <w:shd w:fill="auto" w:val="clear"/>
            <w:vAlign w:val="center"/>
          </w:tcPr>
          <w:p>
            <w:pPr>
              <w:pStyle w:val="TableContents"/>
              <w:spacing w:before="0" w:after="0"/>
              <w:jc w:val="both"/>
              <w:rPr>
                <w:color w:val="000000"/>
              </w:rPr>
            </w:pPr>
            <w:r>
              <w:rPr>
                <w:color w:val="000000"/>
              </w:rPr>
              <w:t>reviewing and approving the compensation of all of our other Section 16 executive officers;</w:t>
            </w:r>
          </w:p>
        </w:tc>
      </w:tr>
    </w:tbl>
    <w:p>
      <w:pPr>
        <w:pStyle w:val="Normal"/>
        <w:spacing w:before="0" w:after="0"/>
        <w:rPr>
          <w:sz w:val="4"/>
          <w:szCs w:val="4"/>
        </w:rPr>
      </w:pPr>
      <w:r>
        <w:rPr>
          <w:sz w:val="4"/>
          <w:szCs w:val="4"/>
        </w:rPr>
      </w:r>
      <w:bookmarkStart w:id="770" w:name="z12ff9ee8bedd4a57bd84460fad8d0b94"/>
      <w:bookmarkStart w:id="771" w:name="z12ff9ee8bedd4a57bd84460fad8d0b94"/>
      <w:bookmarkEnd w:id="771"/>
    </w:p>
    <w:tbl>
      <w:tblPr>
        <w:tblW w:w="5628" w:type="dxa"/>
        <w:jc w:val="left"/>
        <w:tblInd w:w="0" w:type="dxa"/>
        <w:tblCellMar>
          <w:top w:w="0" w:type="dxa"/>
          <w:left w:w="0" w:type="dxa"/>
          <w:bottom w:w="0" w:type="dxa"/>
          <w:right w:w="0" w:type="dxa"/>
        </w:tblCellMar>
      </w:tblPr>
      <w:tblGrid>
        <w:gridCol w:w="38"/>
        <w:gridCol w:w="110"/>
        <w:gridCol w:w="54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5480" w:type="dxa"/>
            <w:tcBorders/>
            <w:shd w:fill="auto" w:val="clear"/>
            <w:vAlign w:val="center"/>
          </w:tcPr>
          <w:p>
            <w:pPr>
              <w:pStyle w:val="TableContents"/>
              <w:spacing w:before="0" w:after="0"/>
              <w:jc w:val="both"/>
              <w:rPr>
                <w:color w:val="000000"/>
              </w:rPr>
            </w:pPr>
            <w:r>
              <w:rPr>
                <w:color w:val="000000"/>
              </w:rPr>
              <w:t>reviewing our executive compensation policies and plans;</w:t>
            </w:r>
          </w:p>
        </w:tc>
      </w:tr>
    </w:tbl>
    <w:p>
      <w:pPr>
        <w:pStyle w:val="Normal"/>
        <w:spacing w:before="0" w:after="0"/>
        <w:rPr>
          <w:sz w:val="4"/>
          <w:szCs w:val="4"/>
        </w:rPr>
      </w:pPr>
      <w:r>
        <w:rPr>
          <w:sz w:val="4"/>
          <w:szCs w:val="4"/>
        </w:rPr>
      </w:r>
      <w:bookmarkStart w:id="772" w:name="z8a3a165f9ec6430cb5494c5c57665674"/>
      <w:bookmarkStart w:id="773" w:name="z8a3a165f9ec6430cb5494c5c57665674"/>
      <w:bookmarkEnd w:id="773"/>
    </w:p>
    <w:tbl>
      <w:tblPr>
        <w:tblW w:w="9048" w:type="dxa"/>
        <w:jc w:val="left"/>
        <w:tblInd w:w="0" w:type="dxa"/>
        <w:tblCellMar>
          <w:top w:w="0" w:type="dxa"/>
          <w:left w:w="0" w:type="dxa"/>
          <w:bottom w:w="0" w:type="dxa"/>
          <w:right w:w="0" w:type="dxa"/>
        </w:tblCellMar>
      </w:tblPr>
      <w:tblGrid>
        <w:gridCol w:w="38"/>
        <w:gridCol w:w="110"/>
        <w:gridCol w:w="890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900" w:type="dxa"/>
            <w:tcBorders/>
            <w:shd w:fill="auto" w:val="clear"/>
            <w:vAlign w:val="center"/>
          </w:tcPr>
          <w:p>
            <w:pPr>
              <w:pStyle w:val="TableContents"/>
              <w:spacing w:before="0" w:after="0"/>
              <w:jc w:val="both"/>
              <w:rPr>
                <w:color w:val="000000"/>
              </w:rPr>
            </w:pPr>
            <w:r>
              <w:rPr>
                <w:color w:val="000000"/>
              </w:rPr>
              <w:t>implementing and administering our incentive compensation equity-based remuneration plans;</w:t>
            </w:r>
          </w:p>
        </w:tc>
      </w:tr>
    </w:tbl>
    <w:p>
      <w:pPr>
        <w:pStyle w:val="Normal"/>
        <w:spacing w:before="0" w:after="0"/>
        <w:rPr>
          <w:sz w:val="4"/>
          <w:szCs w:val="4"/>
        </w:rPr>
      </w:pPr>
      <w:r>
        <w:rPr>
          <w:sz w:val="4"/>
          <w:szCs w:val="4"/>
        </w:rPr>
      </w:r>
      <w:bookmarkStart w:id="774" w:name="z7c064cee276d4c06936f27d371827277"/>
      <w:bookmarkStart w:id="775" w:name="z7c064cee276d4c06936f27d371827277"/>
      <w:bookmarkEnd w:id="775"/>
    </w:p>
    <w:tbl>
      <w:tblPr>
        <w:tblW w:w="10008" w:type="dxa"/>
        <w:jc w:val="left"/>
        <w:tblInd w:w="0" w:type="dxa"/>
        <w:tblCellMar>
          <w:top w:w="0" w:type="dxa"/>
          <w:left w:w="0" w:type="dxa"/>
          <w:bottom w:w="0" w:type="dxa"/>
          <w:right w:w="0" w:type="dxa"/>
        </w:tblCellMar>
      </w:tblPr>
      <w:tblGrid>
        <w:gridCol w:w="38"/>
        <w:gridCol w:w="110"/>
        <w:gridCol w:w="98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860" w:type="dxa"/>
            <w:tcBorders/>
            <w:shd w:fill="auto" w:val="clear"/>
            <w:vAlign w:val="center"/>
          </w:tcPr>
          <w:p>
            <w:pPr>
              <w:pStyle w:val="TableContents"/>
              <w:spacing w:before="0" w:after="0"/>
              <w:jc w:val="both"/>
              <w:rPr>
                <w:color w:val="000000"/>
              </w:rPr>
            </w:pPr>
            <w:r>
              <w:rPr>
                <w:color w:val="000000"/>
              </w:rPr>
              <w:t>assisting management in complying with our proxy statement and annual report disclosure requirements;</w:t>
            </w:r>
          </w:p>
        </w:tc>
      </w:tr>
    </w:tbl>
    <w:p>
      <w:pPr>
        <w:pStyle w:val="Normal"/>
        <w:spacing w:before="0" w:after="0"/>
        <w:rPr>
          <w:sz w:val="4"/>
          <w:szCs w:val="4"/>
        </w:rPr>
      </w:pPr>
      <w:r>
        <w:rPr>
          <w:sz w:val="4"/>
          <w:szCs w:val="4"/>
        </w:rPr>
      </w:r>
      <w:bookmarkStart w:id="776" w:name="z94519f036101408c91ef711dd4e9958a"/>
      <w:bookmarkStart w:id="777" w:name="z94519f036101408c91ef711dd4e9958a"/>
      <w:bookmarkEnd w:id="777"/>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approving all special perquisites, special cash payments and other special compensation and benefit arrangements for our executive officers and employees;</w:t>
            </w:r>
          </w:p>
        </w:tc>
      </w:tr>
    </w:tbl>
    <w:p>
      <w:pPr>
        <w:pStyle w:val="Normal"/>
        <w:spacing w:before="0" w:after="0"/>
        <w:rPr>
          <w:sz w:val="4"/>
          <w:szCs w:val="4"/>
        </w:rPr>
      </w:pPr>
      <w:r>
        <w:rPr>
          <w:sz w:val="4"/>
          <w:szCs w:val="4"/>
        </w:rPr>
      </w:r>
      <w:bookmarkStart w:id="778" w:name="z86bc8688ca204601a4d25188ab6d8a25"/>
      <w:bookmarkStart w:id="779" w:name="z86bc8688ca204601a4d25188ab6d8a25"/>
      <w:bookmarkEnd w:id="779"/>
    </w:p>
    <w:tbl>
      <w:tblPr>
        <w:tblW w:w="9273" w:type="dxa"/>
        <w:jc w:val="left"/>
        <w:tblInd w:w="0" w:type="dxa"/>
        <w:tblCellMar>
          <w:top w:w="0" w:type="dxa"/>
          <w:left w:w="0" w:type="dxa"/>
          <w:bottom w:w="0" w:type="dxa"/>
          <w:right w:w="0" w:type="dxa"/>
        </w:tblCellMar>
      </w:tblPr>
      <w:tblGrid>
        <w:gridCol w:w="38"/>
        <w:gridCol w:w="110"/>
        <w:gridCol w:w="91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125" w:type="dxa"/>
            <w:tcBorders/>
            <w:shd w:fill="auto" w:val="clear"/>
            <w:vAlign w:val="center"/>
          </w:tcPr>
          <w:p>
            <w:pPr>
              <w:pStyle w:val="TableContents"/>
              <w:spacing w:before="0" w:after="0"/>
              <w:jc w:val="both"/>
              <w:rPr>
                <w:color w:val="000000"/>
              </w:rPr>
            </w:pPr>
            <w:r>
              <w:rPr>
                <w:color w:val="000000"/>
              </w:rPr>
              <w:t>producing a report on executive compensation to be included in our annual proxy statement; and</w:t>
            </w:r>
          </w:p>
        </w:tc>
      </w:tr>
    </w:tbl>
    <w:p>
      <w:pPr>
        <w:pStyle w:val="Normal"/>
        <w:spacing w:before="0" w:after="0"/>
        <w:rPr>
          <w:sz w:val="4"/>
          <w:szCs w:val="4"/>
        </w:rPr>
      </w:pPr>
      <w:r>
        <w:rPr>
          <w:sz w:val="4"/>
          <w:szCs w:val="4"/>
        </w:rPr>
      </w:r>
      <w:bookmarkStart w:id="780" w:name="z9dcf6f121f24470a8f4ca5f959ef4be4"/>
      <w:bookmarkStart w:id="781" w:name="z9dcf6f121f24470a8f4ca5f959ef4be4"/>
      <w:bookmarkEnd w:id="781"/>
    </w:p>
    <w:tbl>
      <w:tblPr>
        <w:tblW w:w="9513" w:type="dxa"/>
        <w:jc w:val="left"/>
        <w:tblInd w:w="0" w:type="dxa"/>
        <w:tblCellMar>
          <w:top w:w="0" w:type="dxa"/>
          <w:left w:w="0" w:type="dxa"/>
          <w:bottom w:w="0" w:type="dxa"/>
          <w:right w:w="0" w:type="dxa"/>
        </w:tblCellMar>
      </w:tblPr>
      <w:tblGrid>
        <w:gridCol w:w="38"/>
        <w:gridCol w:w="110"/>
        <w:gridCol w:w="936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365" w:type="dxa"/>
            <w:tcBorders/>
            <w:shd w:fill="auto" w:val="clear"/>
            <w:vAlign w:val="center"/>
          </w:tcPr>
          <w:p>
            <w:pPr>
              <w:pStyle w:val="TableContents"/>
              <w:spacing w:before="0" w:after="0"/>
              <w:jc w:val="both"/>
              <w:rPr>
                <w:color w:val="000000"/>
              </w:rPr>
            </w:pPr>
            <w:r>
              <w:rPr>
                <w:color w:val="000000"/>
              </w:rPr>
              <w:t>reviewing, evaluating and recommending changes, if appropriate, to the remuneration for directors.</w:t>
            </w:r>
          </w:p>
        </w:tc>
      </w:tr>
    </w:tbl>
    <w:p>
      <w:pPr>
        <w:pStyle w:val="TextBody"/>
        <w:spacing w:before="0" w:after="0"/>
        <w:rPr/>
      </w:pPr>
      <w:r>
        <w:rPr/>
      </w:r>
    </w:p>
    <w:p>
      <w:pPr>
        <w:pStyle w:val="TextBody"/>
        <w:spacing w:before="0" w:after="0"/>
        <w:jc w:val="both"/>
        <w:rPr>
          <w:color w:val="000000"/>
        </w:rPr>
      </w:pPr>
      <w:r>
        <w:rPr>
          <w:color w:val="000000"/>
        </w:rPr>
        <w:t>The charter also provides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pStyle w:val="TextBody"/>
        <w:spacing w:before="0" w:after="0"/>
        <w:rPr/>
      </w:pPr>
      <w:r>
        <w:rPr/>
      </w:r>
    </w:p>
    <w:p>
      <w:pPr>
        <w:pStyle w:val="TextBody"/>
        <w:spacing w:before="0" w:after="0"/>
        <w:jc w:val="both"/>
        <w:rPr>
          <w:i/>
          <w:color w:val="000000"/>
        </w:rPr>
      </w:pPr>
      <w:r>
        <w:rPr>
          <w:i/>
          <w:color w:val="000000"/>
        </w:rPr>
        <w:t>Compensation Committee Interlocks and Insider Participation</w:t>
      </w:r>
    </w:p>
    <w:p>
      <w:pPr>
        <w:pStyle w:val="TextBody"/>
        <w:spacing w:before="0" w:after="0"/>
        <w:rPr/>
      </w:pPr>
      <w:r>
        <w:rPr/>
      </w:r>
    </w:p>
    <w:p>
      <w:pPr>
        <w:pStyle w:val="TextBody"/>
        <w:spacing w:before="0" w:after="0"/>
        <w:jc w:val="both"/>
        <w:rPr>
          <w:color w:val="000000"/>
        </w:rPr>
      </w:pPr>
      <w:r>
        <w:rPr>
          <w:color w:val="000000"/>
        </w:rPr>
        <w:t>None of our executive officers currently serves, and in the past year has not served, as a member of the compensation committee of any entity that has one or more executive officers serving on our board of directors.</w:t>
      </w:r>
    </w:p>
    <w:p>
      <w:pPr>
        <w:pStyle w:val="TextBody"/>
        <w:spacing w:before="0" w:after="0"/>
        <w:jc w:val="both"/>
        <w:rPr>
          <w:color w:val="000000"/>
        </w:rPr>
      </w:pPr>
      <w:r>
        <w:rPr>
          <w:color w:val="000000"/>
        </w:rPr>
      </w:r>
    </w:p>
    <w:p>
      <w:pPr>
        <w:pStyle w:val="TextBody"/>
        <w:spacing w:before="0" w:after="0"/>
        <w:jc w:val="both"/>
        <w:rPr>
          <w:b/>
          <w:color w:val="000000"/>
        </w:rPr>
      </w:pPr>
      <w:r>
        <w:rPr>
          <w:b/>
          <w:color w:val="000000"/>
        </w:rPr>
        <w:t>Code of Ethics</w:t>
      </w:r>
    </w:p>
    <w:p>
      <w:pPr>
        <w:pStyle w:val="TextBody"/>
        <w:spacing w:before="0" w:after="0"/>
        <w:jc w:val="both"/>
        <w:rPr>
          <w:b/>
          <w:color w:val="000000"/>
        </w:rPr>
      </w:pPr>
      <w:r>
        <w:rPr>
          <w:b/>
          <w:color w:val="000000"/>
        </w:rPr>
      </w:r>
    </w:p>
    <w:p>
      <w:pPr>
        <w:pStyle w:val="TextBody"/>
        <w:spacing w:before="0" w:after="0"/>
        <w:jc w:val="both"/>
        <w:rPr>
          <w:color w:val="000000"/>
        </w:rPr>
      </w:pPr>
      <w:r>
        <w:rPr>
          <w:color w:val="000000"/>
        </w:rPr>
        <w:t>We have adopted a Code of Ethics applicable to our directors, officers and employees. A copy of the Code of Ethics will be provided without charge upon written request to our principal executive offices. We intend to disclose any amendments to or waivers of certain provisions of our Code of Ethics in a Current Report on Form 8-K.</w:t>
      </w:r>
    </w:p>
    <w:p>
      <w:pPr>
        <w:pStyle w:val="TextBody"/>
        <w:spacing w:before="0" w:after="0"/>
        <w:jc w:val="both"/>
        <w:rPr>
          <w:color w:val="000000"/>
        </w:rPr>
      </w:pPr>
      <w:r>
        <w:rPr>
          <w:color w:val="000000"/>
        </w:rPr>
      </w:r>
    </w:p>
    <w:p>
      <w:pPr>
        <w:pStyle w:val="TextBody"/>
        <w:spacing w:before="0" w:after="0"/>
        <w:jc w:val="both"/>
        <w:rPr>
          <w:b/>
          <w:color w:val="000000"/>
        </w:rPr>
      </w:pPr>
      <w:r>
        <w:rPr>
          <w:b/>
          <w:color w:val="000000"/>
        </w:rPr>
        <w:t>Section 16(a) Beneficial Ownership Reporting Compliance</w:t>
      </w:r>
    </w:p>
    <w:p>
      <w:pPr>
        <w:pStyle w:val="TextBody"/>
        <w:spacing w:before="0" w:after="0"/>
        <w:jc w:val="both"/>
        <w:rPr>
          <w:b/>
          <w:color w:val="000000"/>
        </w:rPr>
      </w:pPr>
      <w:r>
        <w:rPr>
          <w:b/>
          <w:color w:val="000000"/>
        </w:rPr>
      </w:r>
    </w:p>
    <w:p>
      <w:pPr>
        <w:pStyle w:val="TextBody"/>
        <w:spacing w:before="0" w:after="0"/>
        <w:jc w:val="both"/>
        <w:rPr>
          <w:color w:val="000000"/>
        </w:rPr>
      </w:pPr>
      <w:r>
        <w:rPr>
          <w:color w:val="000000"/>
        </w:rPr>
        <w:t>Section 16(a) of the Securities Exchange Act of 1934, as amended,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 Based solely upon a review of such Forms, we believe that during the year ended December 31, 2020 there were no delinquent filers.</w:t>
      </w:r>
    </w:p>
    <w:p>
      <w:pPr>
        <w:pStyle w:val="TextBody"/>
        <w:spacing w:before="0" w:after="0"/>
        <w:jc w:val="both"/>
        <w:rPr>
          <w:color w:val="000000"/>
        </w:rPr>
      </w:pPr>
      <w:r>
        <w:rPr>
          <w:color w:val="000000"/>
        </w:rPr>
      </w:r>
    </w:p>
    <w:p>
      <w:pPr>
        <w:pStyle w:val="TextBody"/>
        <w:spacing w:before="0" w:after="0"/>
        <w:jc w:val="both"/>
        <w:rPr>
          <w:b/>
          <w:color w:val="000000"/>
        </w:rPr>
      </w:pPr>
      <w:r>
        <w:rPr>
          <w:b/>
          <w:color w:val="000000"/>
        </w:rPr>
        <w:t>Conflicts of Interest</w:t>
      </w:r>
    </w:p>
    <w:p>
      <w:pPr>
        <w:pStyle w:val="TextBody"/>
        <w:spacing w:before="0" w:after="0"/>
        <w:jc w:val="both"/>
        <w:rPr>
          <w:b/>
          <w:color w:val="000000"/>
        </w:rPr>
      </w:pPr>
      <w:r>
        <w:rPr>
          <w:b/>
          <w:color w:val="000000"/>
        </w:rPr>
      </w:r>
    </w:p>
    <w:p>
      <w:pPr>
        <w:pStyle w:val="TextBody"/>
        <w:spacing w:before="0" w:after="0"/>
        <w:jc w:val="both"/>
        <w:rPr>
          <w:color w:val="000000"/>
        </w:rPr>
      </w:pPr>
      <w:r>
        <w:rPr>
          <w:color w:val="000000"/>
        </w:rPr>
        <w:t>Under Cayman Islands law, directors and officers owe the following fiduciary duties:</w:t>
      </w:r>
    </w:p>
    <w:p>
      <w:pPr>
        <w:pStyle w:val="TextBody"/>
        <w:spacing w:before="0" w:after="0"/>
        <w:jc w:val="both"/>
        <w:rPr>
          <w:color w:val="000000"/>
        </w:rPr>
      </w:pPr>
      <w:r>
        <w:rPr>
          <w:color w:val="000000"/>
        </w:rPr>
      </w:r>
    </w:p>
    <w:p>
      <w:pPr>
        <w:pStyle w:val="Normal"/>
        <w:spacing w:before="0" w:after="0"/>
        <w:rPr>
          <w:sz w:val="4"/>
          <w:szCs w:val="4"/>
        </w:rPr>
      </w:pPr>
      <w:r>
        <w:rPr>
          <w:sz w:val="4"/>
          <w:szCs w:val="4"/>
        </w:rPr>
      </w:r>
      <w:bookmarkStart w:id="782" w:name="zcf4c23c0ceec47abbb221a31c1d7650a"/>
      <w:bookmarkStart w:id="783" w:name="zcf4c23c0ceec47abbb221a31c1d7650a"/>
      <w:bookmarkEnd w:id="783"/>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duty to act in good faith in what the director or officer believes to be in the best interests of the company as a whole;</w:t>
            </w:r>
          </w:p>
        </w:tc>
      </w:tr>
    </w:tbl>
    <w:p>
      <w:pPr>
        <w:pStyle w:val="Normal"/>
        <w:spacing w:before="0" w:after="0"/>
        <w:rPr>
          <w:sz w:val="4"/>
          <w:szCs w:val="4"/>
        </w:rPr>
      </w:pPr>
      <w:r>
        <w:rPr>
          <w:sz w:val="4"/>
          <w:szCs w:val="4"/>
        </w:rPr>
      </w:r>
      <w:bookmarkStart w:id="784" w:name="zf434a18221314563867f53cdc136924e"/>
      <w:bookmarkStart w:id="785" w:name="zf434a18221314563867f53cdc136924e"/>
      <w:bookmarkEnd w:id="785"/>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duty to exercise powers for the purposes for which those powers were conferred and not for a collateral purpose;</w:t>
            </w:r>
          </w:p>
        </w:tc>
      </w:tr>
    </w:tbl>
    <w:p>
      <w:pPr>
        <w:pStyle w:val="Normal"/>
        <w:spacing w:before="0" w:after="0"/>
        <w:rPr>
          <w:sz w:val="4"/>
          <w:szCs w:val="4"/>
        </w:rPr>
      </w:pPr>
      <w:r>
        <w:rPr>
          <w:sz w:val="4"/>
          <w:szCs w:val="4"/>
        </w:rPr>
      </w:r>
      <w:bookmarkStart w:id="786" w:name="z25d95a5c022743859a41360403bc88fc"/>
      <w:bookmarkStart w:id="787" w:name="z25d95a5c022743859a41360403bc88fc"/>
      <w:bookmarkEnd w:id="787"/>
    </w:p>
    <w:tbl>
      <w:tblPr>
        <w:tblW w:w="6753" w:type="dxa"/>
        <w:jc w:val="left"/>
        <w:tblInd w:w="0" w:type="dxa"/>
        <w:tblCellMar>
          <w:top w:w="0" w:type="dxa"/>
          <w:left w:w="0" w:type="dxa"/>
          <w:bottom w:w="0" w:type="dxa"/>
          <w:right w:w="0" w:type="dxa"/>
        </w:tblCellMar>
      </w:tblPr>
      <w:tblGrid>
        <w:gridCol w:w="38"/>
        <w:gridCol w:w="110"/>
        <w:gridCol w:w="660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605" w:type="dxa"/>
            <w:tcBorders/>
            <w:shd w:fill="auto" w:val="clear"/>
            <w:vAlign w:val="center"/>
          </w:tcPr>
          <w:p>
            <w:pPr>
              <w:pStyle w:val="TableContents"/>
              <w:spacing w:before="0" w:after="0"/>
              <w:jc w:val="both"/>
              <w:rPr>
                <w:color w:val="000000"/>
              </w:rPr>
            </w:pPr>
            <w:r>
              <w:rPr>
                <w:color w:val="000000"/>
              </w:rPr>
              <w:t>directors should not improperly fetter the exercise of future discretion;</w:t>
            </w:r>
          </w:p>
        </w:tc>
      </w:tr>
    </w:tbl>
    <w:p>
      <w:pPr>
        <w:pStyle w:val="Normal"/>
        <w:spacing w:before="0" w:after="0"/>
        <w:rPr>
          <w:sz w:val="4"/>
          <w:szCs w:val="4"/>
        </w:rPr>
      </w:pPr>
      <w:r>
        <w:rPr>
          <w:sz w:val="4"/>
          <w:szCs w:val="4"/>
        </w:rPr>
      </w:r>
      <w:bookmarkStart w:id="788" w:name="z30a1f2f4b92747ebb8c6aeff0787aaca"/>
      <w:bookmarkStart w:id="789" w:name="z30a1f2f4b92747ebb8c6aeff0787aaca"/>
      <w:bookmarkEnd w:id="789"/>
    </w:p>
    <w:tbl>
      <w:tblPr>
        <w:tblW w:w="7308" w:type="dxa"/>
        <w:jc w:val="left"/>
        <w:tblInd w:w="0" w:type="dxa"/>
        <w:tblCellMar>
          <w:top w:w="0" w:type="dxa"/>
          <w:left w:w="0" w:type="dxa"/>
          <w:bottom w:w="0" w:type="dxa"/>
          <w:right w:w="0" w:type="dxa"/>
        </w:tblCellMar>
      </w:tblPr>
      <w:tblGrid>
        <w:gridCol w:w="38"/>
        <w:gridCol w:w="110"/>
        <w:gridCol w:w="71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160" w:type="dxa"/>
            <w:tcBorders/>
            <w:shd w:fill="auto" w:val="clear"/>
            <w:vAlign w:val="center"/>
          </w:tcPr>
          <w:p>
            <w:pPr>
              <w:pStyle w:val="TableContents"/>
              <w:spacing w:before="0" w:after="0"/>
              <w:jc w:val="both"/>
              <w:rPr>
                <w:color w:val="000000"/>
              </w:rPr>
            </w:pPr>
            <w:r>
              <w:rPr>
                <w:color w:val="000000"/>
              </w:rPr>
              <w:t>duty to exercise powers fairly as between different sections of shareholders;</w:t>
            </w:r>
          </w:p>
        </w:tc>
      </w:tr>
    </w:tbl>
    <w:p>
      <w:pPr>
        <w:pStyle w:val="Normal"/>
        <w:spacing w:before="0" w:after="0"/>
        <w:rPr>
          <w:sz w:val="4"/>
          <w:szCs w:val="4"/>
        </w:rPr>
      </w:pPr>
      <w:r>
        <w:rPr>
          <w:sz w:val="4"/>
          <w:szCs w:val="4"/>
        </w:rPr>
      </w:r>
      <w:bookmarkStart w:id="790" w:name="z757bb74301fa4a21b222d0d50ea4de06"/>
      <w:bookmarkStart w:id="791" w:name="z757bb74301fa4a21b222d0d50ea4de06"/>
      <w:bookmarkEnd w:id="791"/>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color w:val="000000"/>
              </w:rPr>
            </w:pPr>
            <w:r>
              <w:rPr>
                <w:color w:val="000000"/>
              </w:rPr>
              <w:t>duty not to put themselves in a position in which there is a conflict between their duty to the company and their personal interests; and</w:t>
            </w:r>
          </w:p>
        </w:tc>
      </w:tr>
    </w:tbl>
    <w:p>
      <w:pPr>
        <w:pStyle w:val="Normal"/>
        <w:spacing w:before="0" w:after="0"/>
        <w:rPr>
          <w:sz w:val="4"/>
          <w:szCs w:val="4"/>
        </w:rPr>
      </w:pPr>
      <w:r>
        <w:rPr>
          <w:sz w:val="4"/>
          <w:szCs w:val="4"/>
        </w:rPr>
      </w:r>
      <w:bookmarkStart w:id="792" w:name="zb2f24b60b84d4b37adbd7900d11fc8f2"/>
      <w:bookmarkStart w:id="793" w:name="zb2f24b60b84d4b37adbd7900d11fc8f2"/>
      <w:bookmarkEnd w:id="793"/>
    </w:p>
    <w:tbl>
      <w:tblPr>
        <w:tblW w:w="3888" w:type="dxa"/>
        <w:jc w:val="left"/>
        <w:tblInd w:w="0" w:type="dxa"/>
        <w:tblCellMar>
          <w:top w:w="0" w:type="dxa"/>
          <w:left w:w="0" w:type="dxa"/>
          <w:bottom w:w="0" w:type="dxa"/>
          <w:right w:w="0" w:type="dxa"/>
        </w:tblCellMar>
      </w:tblPr>
      <w:tblGrid>
        <w:gridCol w:w="38"/>
        <w:gridCol w:w="110"/>
        <w:gridCol w:w="37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3740" w:type="dxa"/>
            <w:tcBorders/>
            <w:shd w:fill="auto" w:val="clear"/>
            <w:vAlign w:val="center"/>
          </w:tcPr>
          <w:p>
            <w:pPr>
              <w:pStyle w:val="TableContents"/>
              <w:spacing w:before="0" w:after="0"/>
              <w:jc w:val="both"/>
              <w:rPr>
                <w:color w:val="000000"/>
              </w:rPr>
            </w:pPr>
            <w:r>
              <w:rPr>
                <w:color w:val="000000"/>
              </w:rPr>
              <w:t>duty to exercise independent judgment.</w:t>
            </w:r>
          </w:p>
        </w:tc>
      </w:tr>
    </w:tbl>
    <w:p>
      <w:pPr>
        <w:pStyle w:val="TextBody"/>
        <w:spacing w:before="0" w:after="0"/>
        <w:rPr/>
      </w:pPr>
      <w:r>
        <w:rPr/>
      </w:r>
    </w:p>
    <w:p>
      <w:pPr>
        <w:pStyle w:val="TextBody"/>
        <w:spacing w:before="0" w:after="0"/>
        <w:jc w:val="both"/>
        <w:rPr>
          <w:color w:val="000000"/>
        </w:rPr>
      </w:pPr>
      <w:r>
        <w:rPr>
          <w:color w:val="000000"/>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pStyle w:val="TextBody"/>
        <w:spacing w:before="0" w:after="0"/>
        <w:jc w:val="both"/>
        <w:rPr>
          <w:color w:val="000000"/>
        </w:rPr>
      </w:pPr>
      <w:r>
        <w:rPr>
          <w:color w:val="000000"/>
        </w:rPr>
      </w:r>
    </w:p>
    <w:p>
      <w:pPr>
        <w:pStyle w:val="TextBody"/>
        <w:spacing w:before="0" w:after="0"/>
        <w:jc w:val="both"/>
        <w:rPr>
          <w:color w:val="000000"/>
        </w:rPr>
      </w:pPr>
      <w:r>
        <w:rPr>
          <w:color w:val="000000"/>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shareholder meetings.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794" w:name="DSPFPageBreakArea63"/>
      <w:bookmarkStart w:id="795" w:name="DSPFPageBreakArea63"/>
      <w:bookmarkEnd w:id="7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796" w:name="DSPFPageNumber62"/>
      <w:bookmarkStart w:id="797" w:name="DSPFPageNumberArea61"/>
      <w:bookmarkEnd w:id="796"/>
      <w:bookmarkEnd w:id="797"/>
      <w:r>
        <w:rPr>
          <w:b w:val="false"/>
          <w:i w:val="false"/>
          <w:caps w:val="false"/>
          <w:smallCaps w:val="false"/>
          <w:color w:val="000000"/>
          <w:sz w:val="16"/>
        </w:rPr>
        <w:t>65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798" w:name="DSPFPageBreak63"/>
      <w:bookmarkStart w:id="799" w:name="DSPFPageBreak63"/>
      <w:bookmarkEnd w:id="7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800" w:name="DSPFPageHeader61"/>
        <w:bookmarkEnd w:id="800"/>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pStyle w:val="TextBody"/>
        <w:spacing w:before="0" w:after="0"/>
        <w:jc w:val="both"/>
        <w:rPr>
          <w:color w:val="000000"/>
        </w:rPr>
      </w:pPr>
      <w:r>
        <w:rPr>
          <w:color w:val="000000"/>
        </w:rPr>
      </w:r>
    </w:p>
    <w:p>
      <w:pPr>
        <w:pStyle w:val="TextBody"/>
        <w:spacing w:before="0" w:after="0"/>
        <w:jc w:val="both"/>
        <w:rPr>
          <w:color w:val="000000"/>
        </w:rPr>
      </w:pPr>
      <w:r>
        <w:rPr>
          <w:color w:val="000000"/>
        </w:rPr>
        <w:t>Below is a table summarizing the entities to which our executive officers and directors currently have fiduciary duties, contractual obligations or other material management relationships:</w:t>
      </w:r>
    </w:p>
    <w:p>
      <w:pPr>
        <w:pStyle w:val="TextBody"/>
        <w:spacing w:before="0" w:after="0"/>
        <w:jc w:val="both"/>
        <w:rPr>
          <w:color w:val="000000"/>
        </w:rPr>
      </w:pPr>
      <w:r>
        <w:rPr>
          <w:color w:val="000000"/>
        </w:rPr>
      </w:r>
    </w:p>
    <w:p>
      <w:pPr>
        <w:pStyle w:val="Normal"/>
        <w:spacing w:before="0" w:after="0"/>
        <w:rPr>
          <w:sz w:val="4"/>
          <w:szCs w:val="4"/>
        </w:rPr>
      </w:pPr>
      <w:r>
        <w:rPr>
          <w:sz w:val="4"/>
          <w:szCs w:val="4"/>
        </w:rPr>
      </w:r>
      <w:bookmarkStart w:id="801" w:name="zbcfbc8ca9b1644df97f61a8f8eb02872"/>
      <w:bookmarkStart w:id="802" w:name="zbcfbc8ca9b1644df97f61a8f8eb02872"/>
      <w:bookmarkEnd w:id="802"/>
    </w:p>
    <w:tbl>
      <w:tblPr>
        <w:tblW w:w="10205" w:type="dxa"/>
        <w:jc w:val="left"/>
        <w:tblInd w:w="0" w:type="dxa"/>
        <w:tblCellMar>
          <w:top w:w="28" w:type="dxa"/>
          <w:left w:w="0" w:type="dxa"/>
          <w:bottom w:w="28" w:type="dxa"/>
          <w:right w:w="0" w:type="dxa"/>
        </w:tblCellMar>
      </w:tblPr>
      <w:tblGrid>
        <w:gridCol w:w="1736"/>
        <w:gridCol w:w="60"/>
        <w:gridCol w:w="2610"/>
        <w:gridCol w:w="60"/>
        <w:gridCol w:w="2849"/>
        <w:gridCol w:w="60"/>
        <w:gridCol w:w="2830"/>
      </w:tblGrid>
      <w:tr>
        <w:trPr/>
        <w:tc>
          <w:tcPr>
            <w:tcW w:w="1736" w:type="dxa"/>
            <w:tcBorders>
              <w:top w:val="single" w:sz="12" w:space="0" w:color="000000"/>
              <w:bottom w:val="single" w:sz="12" w:space="0" w:color="000000"/>
            </w:tcBorders>
            <w:shd w:fill="auto" w:val="clear"/>
            <w:vAlign w:val="center"/>
          </w:tcPr>
          <w:p>
            <w:pPr>
              <w:pStyle w:val="TableContents"/>
              <w:spacing w:before="0" w:after="0"/>
              <w:rPr>
                <w:b/>
                <w:color w:val="000000"/>
              </w:rPr>
            </w:pPr>
            <w:r>
              <w:rPr>
                <w:b/>
                <w:color w:val="000000"/>
              </w:rPr>
              <w:t>INDIVIDUAL</w:t>
            </w:r>
          </w:p>
        </w:tc>
        <w:tc>
          <w:tcPr>
            <w:tcW w:w="60" w:type="dxa"/>
            <w:tcBorders>
              <w:top w:val="single" w:sz="12" w:space="0" w:color="000000"/>
            </w:tcBorders>
            <w:shd w:fill="auto" w:val="clear"/>
            <w:tcMar>
              <w:bottom w:w="0" w:type="dxa"/>
            </w:tcMar>
            <w:vAlign w:val="center"/>
          </w:tcPr>
          <w:p>
            <w:pPr>
              <w:pStyle w:val="TableContents"/>
              <w:spacing w:before="0" w:after="283"/>
              <w:rPr/>
            </w:pPr>
            <w:r>
              <w:rPr/>
              <w:t> </w:t>
            </w:r>
          </w:p>
        </w:tc>
        <w:tc>
          <w:tcPr>
            <w:tcW w:w="2610" w:type="dxa"/>
            <w:tcBorders>
              <w:top w:val="single" w:sz="12" w:space="0" w:color="000000"/>
              <w:bottom w:val="single" w:sz="12" w:space="0" w:color="000000"/>
            </w:tcBorders>
            <w:shd w:fill="auto" w:val="clear"/>
            <w:vAlign w:val="center"/>
          </w:tcPr>
          <w:p>
            <w:pPr>
              <w:pStyle w:val="TableContents"/>
              <w:spacing w:before="0" w:after="0"/>
              <w:jc w:val="center"/>
              <w:rPr>
                <w:b/>
                <w:color w:val="000000"/>
              </w:rPr>
            </w:pPr>
            <w:r>
              <w:rPr>
                <w:b/>
                <w:color w:val="000000"/>
              </w:rPr>
              <w:t>ENTITY</w:t>
            </w:r>
          </w:p>
        </w:tc>
        <w:tc>
          <w:tcPr>
            <w:tcW w:w="60" w:type="dxa"/>
            <w:tcBorders>
              <w:top w:val="single" w:sz="12" w:space="0" w:color="000000"/>
            </w:tcBorders>
            <w:shd w:fill="auto" w:val="clear"/>
            <w:tcMar>
              <w:bottom w:w="0" w:type="dxa"/>
            </w:tcMar>
            <w:vAlign w:val="center"/>
          </w:tcPr>
          <w:p>
            <w:pPr>
              <w:pStyle w:val="TableContents"/>
              <w:spacing w:before="0" w:after="283"/>
              <w:rPr/>
            </w:pPr>
            <w:r>
              <w:rPr/>
              <w:t> </w:t>
            </w:r>
          </w:p>
        </w:tc>
        <w:tc>
          <w:tcPr>
            <w:tcW w:w="2849" w:type="dxa"/>
            <w:tcBorders>
              <w:top w:val="single" w:sz="12" w:space="0" w:color="000000"/>
              <w:bottom w:val="single" w:sz="12" w:space="0" w:color="000000"/>
            </w:tcBorders>
            <w:shd w:fill="auto" w:val="clear"/>
            <w:vAlign w:val="center"/>
          </w:tcPr>
          <w:p>
            <w:pPr>
              <w:pStyle w:val="TableContents"/>
              <w:spacing w:before="0" w:after="0"/>
              <w:jc w:val="center"/>
              <w:rPr>
                <w:b/>
                <w:color w:val="000000"/>
              </w:rPr>
            </w:pPr>
            <w:r>
              <w:rPr>
                <w:b/>
                <w:color w:val="000000"/>
              </w:rPr>
              <w:t>ENTITY’S BUSINESS</w:t>
            </w:r>
          </w:p>
        </w:tc>
        <w:tc>
          <w:tcPr>
            <w:tcW w:w="60" w:type="dxa"/>
            <w:tcBorders>
              <w:top w:val="single" w:sz="12" w:space="0" w:color="000000"/>
            </w:tcBorders>
            <w:shd w:fill="auto" w:val="clear"/>
            <w:tcMar>
              <w:bottom w:w="0" w:type="dxa"/>
            </w:tcMar>
            <w:vAlign w:val="center"/>
          </w:tcPr>
          <w:p>
            <w:pPr>
              <w:pStyle w:val="TableContents"/>
              <w:spacing w:before="0" w:after="283"/>
              <w:rPr/>
            </w:pPr>
            <w:r>
              <w:rPr/>
              <w:t> </w:t>
            </w:r>
          </w:p>
        </w:tc>
        <w:tc>
          <w:tcPr>
            <w:tcW w:w="2830" w:type="dxa"/>
            <w:tcBorders>
              <w:top w:val="single" w:sz="12" w:space="0" w:color="000000"/>
              <w:bottom w:val="single" w:sz="12" w:space="0" w:color="000000"/>
            </w:tcBorders>
            <w:shd w:fill="auto" w:val="clear"/>
            <w:vAlign w:val="center"/>
          </w:tcPr>
          <w:p>
            <w:pPr>
              <w:pStyle w:val="TableContents"/>
              <w:spacing w:before="0" w:after="0"/>
              <w:jc w:val="center"/>
              <w:rPr>
                <w:b/>
                <w:color w:val="000000"/>
              </w:rPr>
            </w:pPr>
            <w:r>
              <w:rPr>
                <w:b/>
                <w:color w:val="000000"/>
              </w:rPr>
              <w:t>AFFILIATION</w:t>
            </w:r>
          </w:p>
        </w:tc>
      </w:tr>
      <w:tr>
        <w:trPr/>
        <w:tc>
          <w:tcPr>
            <w:tcW w:w="1736" w:type="dxa"/>
            <w:tcBorders/>
            <w:shd w:fill="CCEEFF" w:val="clear"/>
            <w:tcMar>
              <w:top w:w="0" w:type="dxa"/>
              <w:bottom w:w="0" w:type="dxa"/>
            </w:tcMar>
            <w:vAlign w:val="center"/>
          </w:tcPr>
          <w:p>
            <w:pPr>
              <w:pStyle w:val="TableContents"/>
              <w:spacing w:before="0" w:after="0"/>
              <w:rPr>
                <w:color w:val="000000"/>
              </w:rPr>
            </w:pPr>
            <w:r>
              <w:rPr>
                <w:color w:val="000000"/>
              </w:rPr>
              <w:t>Joseph Edelman</w:t>
            </w:r>
          </w:p>
        </w:tc>
        <w:tc>
          <w:tcPr>
            <w:tcW w:w="60" w:type="dxa"/>
            <w:tcBorders/>
            <w:shd w:fill="CCEEFF" w:val="clear"/>
            <w:tcMar>
              <w:top w:w="0" w:type="dxa"/>
              <w:bottom w:w="0" w:type="dxa"/>
            </w:tcMar>
            <w:vAlign w:val="center"/>
          </w:tcPr>
          <w:p>
            <w:pPr>
              <w:pStyle w:val="TableContents"/>
              <w:spacing w:before="0" w:after="283"/>
              <w:rPr/>
            </w:pPr>
            <w:r>
              <w:rPr/>
              <w:t> </w:t>
            </w:r>
          </w:p>
        </w:tc>
        <w:tc>
          <w:tcPr>
            <w:tcW w:w="2610" w:type="dxa"/>
            <w:tcBorders/>
            <w:shd w:fill="CCEEFF" w:val="clear"/>
            <w:tcMar>
              <w:top w:w="0" w:type="dxa"/>
              <w:bottom w:w="0" w:type="dxa"/>
            </w:tcMar>
            <w:vAlign w:val="center"/>
          </w:tcPr>
          <w:p>
            <w:pPr>
              <w:pStyle w:val="TableContents"/>
              <w:spacing w:before="0" w:after="0"/>
              <w:rPr>
                <w:color w:val="000000"/>
              </w:rPr>
            </w:pPr>
            <w:r>
              <w:rPr>
                <w:color w:val="000000"/>
              </w:rPr>
              <w:t>Perceptive Advisors, LLC</w:t>
            </w:r>
          </w:p>
          <w:p>
            <w:pPr>
              <w:pStyle w:val="TableContents"/>
              <w:spacing w:before="0" w:after="0"/>
              <w:rPr>
                <w:color w:val="000000"/>
              </w:rPr>
            </w:pPr>
            <w:r>
              <w:rPr>
                <w:color w:val="000000"/>
              </w:rPr>
              <w:t>ARYA Sciences Acquisition Corp IV</w:t>
            </w:r>
          </w:p>
        </w:tc>
        <w:tc>
          <w:tcPr>
            <w:tcW w:w="60" w:type="dxa"/>
            <w:tcBorders/>
            <w:shd w:fill="CCEEFF" w:val="clear"/>
            <w:tcMar>
              <w:top w:w="0" w:type="dxa"/>
              <w:bottom w:w="0" w:type="dxa"/>
            </w:tcMar>
            <w:vAlign w:val="center"/>
          </w:tcPr>
          <w:p>
            <w:pPr>
              <w:pStyle w:val="TableContents"/>
              <w:spacing w:before="0" w:after="283"/>
              <w:rPr/>
            </w:pPr>
            <w:r>
              <w:rPr/>
              <w:t> </w:t>
            </w:r>
          </w:p>
        </w:tc>
        <w:tc>
          <w:tcPr>
            <w:tcW w:w="2849" w:type="dxa"/>
            <w:tcBorders/>
            <w:shd w:fill="CCEEFF" w:val="clear"/>
            <w:tcMar>
              <w:top w:w="0" w:type="dxa"/>
              <w:bottom w:w="0" w:type="dxa"/>
            </w:tcMar>
            <w:vAlign w:val="center"/>
          </w:tcPr>
          <w:p>
            <w:pPr>
              <w:pStyle w:val="TableContents"/>
              <w:spacing w:before="0" w:after="0"/>
              <w:rPr>
                <w:color w:val="000000"/>
              </w:rPr>
            </w:pPr>
            <w:r>
              <w:rPr>
                <w:color w:val="000000"/>
              </w:rPr>
              <w:t>Hedge Fund</w:t>
            </w:r>
          </w:p>
          <w:p>
            <w:pPr>
              <w:pStyle w:val="TableContents"/>
              <w:spacing w:before="0" w:after="0"/>
              <w:rPr>
                <w:color w:val="000000"/>
              </w:rPr>
            </w:pPr>
            <w:r>
              <w:rPr>
                <w:color w:val="000000"/>
              </w:rPr>
              <w:t>Special Purpose Acquisition Company</w:t>
            </w:r>
          </w:p>
        </w:tc>
        <w:tc>
          <w:tcPr>
            <w:tcW w:w="60" w:type="dxa"/>
            <w:tcBorders/>
            <w:shd w:fill="CCEEFF" w:val="clear"/>
            <w:tcMar>
              <w:top w:w="0" w:type="dxa"/>
              <w:bottom w:w="0" w:type="dxa"/>
            </w:tcMar>
            <w:vAlign w:val="center"/>
          </w:tcPr>
          <w:p>
            <w:pPr>
              <w:pStyle w:val="TableContents"/>
              <w:spacing w:before="0" w:after="283"/>
              <w:rPr/>
            </w:pPr>
            <w:r>
              <w:rPr/>
              <w:t> </w:t>
            </w:r>
          </w:p>
        </w:tc>
        <w:tc>
          <w:tcPr>
            <w:tcW w:w="2830" w:type="dxa"/>
            <w:tcBorders/>
            <w:shd w:fill="CCEEFF" w:val="clear"/>
            <w:tcMar>
              <w:top w:w="0" w:type="dxa"/>
              <w:bottom w:w="0" w:type="dxa"/>
            </w:tcMar>
            <w:vAlign w:val="center"/>
          </w:tcPr>
          <w:p>
            <w:pPr>
              <w:pStyle w:val="TableContents"/>
              <w:spacing w:before="0" w:after="0"/>
              <w:rPr>
                <w:color w:val="000000"/>
              </w:rPr>
            </w:pPr>
            <w:r>
              <w:rPr>
                <w:color w:val="000000"/>
              </w:rPr>
              <w:t>Chief Executive Officer and Portfolio Manager</w:t>
            </w:r>
          </w:p>
          <w:p>
            <w:pPr>
              <w:pStyle w:val="TableContents"/>
              <w:spacing w:before="0" w:after="0"/>
              <w:rPr>
                <w:color w:val="000000"/>
              </w:rPr>
            </w:pPr>
            <w:r>
              <w:rPr>
                <w:color w:val="000000"/>
              </w:rPr>
              <w:t>Chairman</w:t>
            </w:r>
          </w:p>
        </w:tc>
      </w:tr>
      <w:tr>
        <w:trPr/>
        <w:tc>
          <w:tcPr>
            <w:tcW w:w="1736" w:type="dxa"/>
            <w:tcBorders/>
            <w:shd w:fill="auto" w:val="clear"/>
            <w:tcMar>
              <w:top w:w="0" w:type="dxa"/>
              <w:bottom w:w="0" w:type="dxa"/>
            </w:tcMar>
            <w:vAlign w:val="center"/>
          </w:tcPr>
          <w:p>
            <w:pPr>
              <w:pStyle w:val="TableContents"/>
              <w:spacing w:before="0" w:after="0"/>
              <w:rPr>
                <w:color w:val="000000"/>
              </w:rPr>
            </w:pPr>
            <w:r>
              <w:rPr>
                <w:color w:val="000000"/>
              </w:rPr>
              <w:t>Adam Stone</w:t>
            </w:r>
          </w:p>
        </w:tc>
        <w:tc>
          <w:tcPr>
            <w:tcW w:w="60" w:type="dxa"/>
            <w:tcBorders/>
            <w:shd w:fill="auto" w:val="clear"/>
            <w:tcMar>
              <w:top w:w="0" w:type="dxa"/>
              <w:bottom w:w="0" w:type="dxa"/>
            </w:tcMar>
            <w:vAlign w:val="center"/>
          </w:tcPr>
          <w:p>
            <w:pPr>
              <w:pStyle w:val="TableContents"/>
              <w:spacing w:before="0" w:after="283"/>
              <w:rPr/>
            </w:pPr>
            <w:r>
              <w:rPr/>
              <w:t> </w:t>
            </w:r>
          </w:p>
        </w:tc>
        <w:tc>
          <w:tcPr>
            <w:tcW w:w="2610" w:type="dxa"/>
            <w:tcBorders/>
            <w:shd w:fill="auto" w:val="clear"/>
            <w:tcMar>
              <w:top w:w="0" w:type="dxa"/>
              <w:bottom w:w="0" w:type="dxa"/>
            </w:tcMar>
            <w:vAlign w:val="center"/>
          </w:tcPr>
          <w:p>
            <w:pPr>
              <w:pStyle w:val="TableContents"/>
              <w:spacing w:before="0" w:after="0"/>
              <w:rPr>
                <w:color w:val="000000"/>
              </w:rPr>
            </w:pPr>
            <w:r>
              <w:rPr>
                <w:color w:val="000000"/>
              </w:rPr>
              <w:t>Perceptive Advisors, LLC</w:t>
            </w:r>
          </w:p>
          <w:p>
            <w:pPr>
              <w:pStyle w:val="TableContents"/>
              <w:spacing w:before="0" w:after="0"/>
              <w:rPr>
                <w:color w:val="000000"/>
              </w:rPr>
            </w:pPr>
            <w:r>
              <w:rPr>
                <w:color w:val="000000"/>
              </w:rPr>
              <w:t>Solid Biosciences</w:t>
            </w:r>
          </w:p>
          <w:p>
            <w:pPr>
              <w:pStyle w:val="TableContents"/>
              <w:spacing w:before="0" w:after="0"/>
              <w:rPr>
                <w:color w:val="000000"/>
              </w:rPr>
            </w:pPr>
            <w:r>
              <w:rPr>
                <w:color w:val="000000"/>
              </w:rPr>
              <w:t>Renovia</w:t>
            </w:r>
          </w:p>
          <w:p>
            <w:pPr>
              <w:pStyle w:val="TableContents"/>
              <w:spacing w:before="0" w:after="0"/>
              <w:rPr>
                <w:color w:val="000000"/>
              </w:rPr>
            </w:pPr>
            <w:r>
              <w:rPr>
                <w:color w:val="000000"/>
              </w:rPr>
              <w:t>Xontogeny</w:t>
            </w:r>
          </w:p>
          <w:p>
            <w:pPr>
              <w:pStyle w:val="TableContents"/>
              <w:spacing w:before="0" w:after="0"/>
              <w:rPr>
                <w:color w:val="000000"/>
              </w:rPr>
            </w:pPr>
            <w:r>
              <w:rPr>
                <w:color w:val="000000"/>
              </w:rPr>
              <w:t>Immatics N.V.</w:t>
            </w:r>
          </w:p>
          <w:p>
            <w:pPr>
              <w:pStyle w:val="TableContents"/>
              <w:spacing w:before="0" w:after="0"/>
              <w:rPr>
                <w:color w:val="000000"/>
              </w:rPr>
            </w:pPr>
            <w:r>
              <w:rPr>
                <w:color w:val="000000"/>
              </w:rPr>
              <w:t>ARYA Sciences Acquisition Corp IV</w:t>
            </w:r>
          </w:p>
        </w:tc>
        <w:tc>
          <w:tcPr>
            <w:tcW w:w="60" w:type="dxa"/>
            <w:tcBorders/>
            <w:shd w:fill="auto" w:val="clear"/>
            <w:tcMar>
              <w:top w:w="0" w:type="dxa"/>
              <w:bottom w:w="0" w:type="dxa"/>
            </w:tcMar>
            <w:vAlign w:val="center"/>
          </w:tcPr>
          <w:p>
            <w:pPr>
              <w:pStyle w:val="TableContents"/>
              <w:spacing w:before="0" w:after="283"/>
              <w:rPr/>
            </w:pPr>
            <w:r>
              <w:rPr/>
              <w:t> </w:t>
            </w:r>
          </w:p>
        </w:tc>
        <w:tc>
          <w:tcPr>
            <w:tcW w:w="2849" w:type="dxa"/>
            <w:tcBorders/>
            <w:shd w:fill="auto" w:val="clear"/>
            <w:tcMar>
              <w:top w:w="0" w:type="dxa"/>
              <w:bottom w:w="0" w:type="dxa"/>
            </w:tcMar>
            <w:vAlign w:val="center"/>
          </w:tcPr>
          <w:p>
            <w:pPr>
              <w:pStyle w:val="TableContents"/>
              <w:spacing w:before="0" w:after="0"/>
              <w:rPr>
                <w:color w:val="000000"/>
              </w:rPr>
            </w:pPr>
            <w:r>
              <w:rPr>
                <w:color w:val="000000"/>
              </w:rPr>
              <w:t>Hedge Fund</w:t>
            </w:r>
          </w:p>
          <w:p>
            <w:pPr>
              <w:pStyle w:val="TableContents"/>
              <w:spacing w:before="0" w:after="0"/>
              <w:rPr>
                <w:color w:val="000000"/>
              </w:rPr>
            </w:pPr>
            <w:r>
              <w:rPr>
                <w:color w:val="000000"/>
              </w:rPr>
              <w:t>Pharmaceuticals</w:t>
            </w:r>
          </w:p>
          <w:p>
            <w:pPr>
              <w:pStyle w:val="TableContents"/>
              <w:spacing w:before="0" w:after="0"/>
              <w:rPr>
                <w:color w:val="000000"/>
              </w:rPr>
            </w:pPr>
            <w:r>
              <w:rPr>
                <w:color w:val="000000"/>
              </w:rPr>
              <w:t>Healthcare</w:t>
            </w:r>
          </w:p>
          <w:p>
            <w:pPr>
              <w:pStyle w:val="TableContents"/>
              <w:spacing w:before="0" w:after="0"/>
              <w:rPr>
                <w:color w:val="000000"/>
              </w:rPr>
            </w:pPr>
            <w:r>
              <w:rPr>
                <w:color w:val="000000"/>
              </w:rPr>
              <w:t>Biotechnology</w:t>
            </w:r>
          </w:p>
          <w:p>
            <w:pPr>
              <w:pStyle w:val="TableContents"/>
              <w:spacing w:before="0" w:after="0"/>
              <w:rPr>
                <w:color w:val="000000"/>
              </w:rPr>
            </w:pPr>
            <w:r>
              <w:rPr>
                <w:color w:val="000000"/>
              </w:rPr>
              <w:t>Biotechnology</w:t>
            </w:r>
          </w:p>
          <w:p>
            <w:pPr>
              <w:pStyle w:val="TableContents"/>
              <w:spacing w:before="0" w:after="0"/>
              <w:rPr>
                <w:color w:val="000000"/>
              </w:rPr>
            </w:pPr>
            <w:r>
              <w:rPr>
                <w:color w:val="000000"/>
              </w:rPr>
              <w:t>Special Purpose Acquisition Company</w:t>
            </w:r>
          </w:p>
        </w:tc>
        <w:tc>
          <w:tcPr>
            <w:tcW w:w="60" w:type="dxa"/>
            <w:tcBorders/>
            <w:shd w:fill="auto" w:val="clear"/>
            <w:tcMar>
              <w:top w:w="0" w:type="dxa"/>
              <w:bottom w:w="0" w:type="dxa"/>
            </w:tcMar>
            <w:vAlign w:val="center"/>
          </w:tcPr>
          <w:p>
            <w:pPr>
              <w:pStyle w:val="TableContents"/>
              <w:spacing w:before="0" w:after="283"/>
              <w:rPr/>
            </w:pPr>
            <w:r>
              <w:rPr/>
              <w:t> </w:t>
            </w:r>
          </w:p>
        </w:tc>
        <w:tc>
          <w:tcPr>
            <w:tcW w:w="2830" w:type="dxa"/>
            <w:tcBorders/>
            <w:shd w:fill="auto" w:val="clear"/>
            <w:tcMar>
              <w:top w:w="0" w:type="dxa"/>
              <w:bottom w:w="0" w:type="dxa"/>
            </w:tcMar>
            <w:vAlign w:val="center"/>
          </w:tcPr>
          <w:p>
            <w:pPr>
              <w:pStyle w:val="TableContents"/>
              <w:spacing w:before="0" w:after="0"/>
              <w:rPr>
                <w:color w:val="000000"/>
              </w:rPr>
            </w:pPr>
            <w:r>
              <w:rPr>
                <w:color w:val="000000"/>
              </w:rPr>
              <w:t>Chief Investment Officer</w:t>
            </w:r>
          </w:p>
          <w:p>
            <w:pPr>
              <w:pStyle w:val="TableContents"/>
              <w:spacing w:before="0" w:after="0"/>
              <w:rPr>
                <w:color w:val="000000"/>
              </w:rPr>
            </w:pPr>
            <w:r>
              <w:rPr>
                <w:color w:val="000000"/>
              </w:rPr>
              <w:t>Director</w:t>
            </w:r>
          </w:p>
          <w:p>
            <w:pPr>
              <w:pStyle w:val="TableContents"/>
              <w:spacing w:before="0" w:after="0"/>
              <w:rPr>
                <w:color w:val="000000"/>
              </w:rPr>
            </w:pPr>
            <w:r>
              <w:rPr>
                <w:color w:val="000000"/>
              </w:rPr>
              <w:t>Director</w:t>
            </w:r>
          </w:p>
          <w:p>
            <w:pPr>
              <w:pStyle w:val="TableContents"/>
              <w:spacing w:before="0" w:after="0"/>
              <w:rPr>
                <w:color w:val="000000"/>
              </w:rPr>
            </w:pPr>
            <w:r>
              <w:rPr>
                <w:color w:val="000000"/>
              </w:rPr>
              <w:t>Director</w:t>
            </w:r>
          </w:p>
          <w:p>
            <w:pPr>
              <w:pStyle w:val="TableContents"/>
              <w:spacing w:before="0" w:after="0"/>
              <w:rPr>
                <w:color w:val="000000"/>
              </w:rPr>
            </w:pPr>
            <w:r>
              <w:rPr>
                <w:color w:val="000000"/>
              </w:rPr>
              <w:t>Director</w:t>
            </w:r>
          </w:p>
          <w:p>
            <w:pPr>
              <w:pStyle w:val="TableContents"/>
              <w:spacing w:before="0" w:after="0"/>
              <w:rPr>
                <w:color w:val="000000"/>
              </w:rPr>
            </w:pPr>
            <w:r>
              <w:rPr>
                <w:color w:val="000000"/>
              </w:rPr>
              <w:t>Chief Executive Officer and Director</w:t>
            </w:r>
          </w:p>
        </w:tc>
      </w:tr>
      <w:tr>
        <w:trPr/>
        <w:tc>
          <w:tcPr>
            <w:tcW w:w="1736" w:type="dxa"/>
            <w:tcBorders/>
            <w:shd w:fill="CCEEFF" w:val="clear"/>
            <w:tcMar>
              <w:top w:w="0" w:type="dxa"/>
              <w:bottom w:w="0" w:type="dxa"/>
            </w:tcMar>
            <w:vAlign w:val="center"/>
          </w:tcPr>
          <w:p>
            <w:pPr>
              <w:pStyle w:val="TableContents"/>
              <w:spacing w:before="0" w:after="0"/>
              <w:rPr>
                <w:color w:val="000000"/>
              </w:rPr>
            </w:pPr>
            <w:r>
              <w:rPr>
                <w:color w:val="000000"/>
              </w:rPr>
              <w:t>Michael Altman</w:t>
            </w:r>
          </w:p>
        </w:tc>
        <w:tc>
          <w:tcPr>
            <w:tcW w:w="60" w:type="dxa"/>
            <w:tcBorders/>
            <w:shd w:fill="CCEEFF" w:val="clear"/>
            <w:tcMar>
              <w:top w:w="0" w:type="dxa"/>
              <w:bottom w:w="0" w:type="dxa"/>
            </w:tcMar>
            <w:vAlign w:val="center"/>
          </w:tcPr>
          <w:p>
            <w:pPr>
              <w:pStyle w:val="TableContents"/>
              <w:spacing w:before="0" w:after="283"/>
              <w:rPr/>
            </w:pPr>
            <w:r>
              <w:rPr/>
              <w:t> </w:t>
            </w:r>
          </w:p>
        </w:tc>
        <w:tc>
          <w:tcPr>
            <w:tcW w:w="2610" w:type="dxa"/>
            <w:tcBorders/>
            <w:shd w:fill="CCEEFF" w:val="clear"/>
            <w:tcMar>
              <w:top w:w="0" w:type="dxa"/>
              <w:bottom w:w="0" w:type="dxa"/>
            </w:tcMar>
            <w:vAlign w:val="center"/>
          </w:tcPr>
          <w:p>
            <w:pPr>
              <w:pStyle w:val="TableContents"/>
              <w:spacing w:before="0" w:after="0"/>
              <w:rPr>
                <w:color w:val="000000"/>
              </w:rPr>
            </w:pPr>
            <w:r>
              <w:rPr>
                <w:color w:val="000000"/>
              </w:rPr>
              <w:t>Perceptive Advisors, LLC</w:t>
            </w:r>
          </w:p>
          <w:p>
            <w:pPr>
              <w:pStyle w:val="TableContents"/>
              <w:spacing w:before="0" w:after="0"/>
              <w:rPr>
                <w:color w:val="000000"/>
              </w:rPr>
            </w:pPr>
            <w:r>
              <w:rPr>
                <w:color w:val="000000"/>
              </w:rPr>
              <w:t>Vitruvius Therapeutics</w:t>
            </w:r>
          </w:p>
          <w:p>
            <w:pPr>
              <w:pStyle w:val="TableContents"/>
              <w:spacing w:before="0" w:after="0"/>
              <w:rPr>
                <w:color w:val="000000"/>
              </w:rPr>
            </w:pPr>
            <w:r>
              <w:rPr>
                <w:color w:val="000000"/>
              </w:rPr>
              <w:t>Lyra Therapeutics</w:t>
            </w:r>
          </w:p>
          <w:p>
            <w:pPr>
              <w:pStyle w:val="TableContents"/>
              <w:spacing w:before="0" w:after="0"/>
              <w:rPr>
                <w:color w:val="000000"/>
              </w:rPr>
            </w:pPr>
            <w:r>
              <w:rPr>
                <w:color w:val="000000"/>
              </w:rPr>
              <w:t>ARYA Sciences Acquisition Corp IV</w:t>
            </w:r>
          </w:p>
        </w:tc>
        <w:tc>
          <w:tcPr>
            <w:tcW w:w="60" w:type="dxa"/>
            <w:tcBorders/>
            <w:shd w:fill="CCEEFF" w:val="clear"/>
            <w:tcMar>
              <w:top w:w="0" w:type="dxa"/>
              <w:bottom w:w="0" w:type="dxa"/>
            </w:tcMar>
            <w:vAlign w:val="center"/>
          </w:tcPr>
          <w:p>
            <w:pPr>
              <w:pStyle w:val="TableContents"/>
              <w:spacing w:before="0" w:after="283"/>
              <w:rPr/>
            </w:pPr>
            <w:r>
              <w:rPr/>
              <w:t> </w:t>
            </w:r>
          </w:p>
        </w:tc>
        <w:tc>
          <w:tcPr>
            <w:tcW w:w="2849" w:type="dxa"/>
            <w:tcBorders/>
            <w:shd w:fill="CCEEFF" w:val="clear"/>
            <w:tcMar>
              <w:top w:w="0" w:type="dxa"/>
              <w:bottom w:w="0" w:type="dxa"/>
            </w:tcMar>
            <w:vAlign w:val="center"/>
          </w:tcPr>
          <w:p>
            <w:pPr>
              <w:pStyle w:val="TableContents"/>
              <w:spacing w:before="0" w:after="0"/>
              <w:rPr>
                <w:color w:val="000000"/>
              </w:rPr>
            </w:pPr>
            <w:r>
              <w:rPr>
                <w:color w:val="000000"/>
              </w:rPr>
              <w:t>Hedge Fund</w:t>
            </w:r>
          </w:p>
          <w:p>
            <w:pPr>
              <w:pStyle w:val="TableContents"/>
              <w:spacing w:before="0" w:after="0"/>
              <w:rPr>
                <w:color w:val="000000"/>
              </w:rPr>
            </w:pPr>
            <w:r>
              <w:rPr>
                <w:color w:val="000000"/>
              </w:rPr>
              <w:t>Pharmaceuticals</w:t>
            </w:r>
          </w:p>
          <w:p>
            <w:pPr>
              <w:pStyle w:val="TableContents"/>
              <w:spacing w:before="0" w:after="0"/>
              <w:rPr>
                <w:color w:val="000000"/>
              </w:rPr>
            </w:pPr>
            <w:r>
              <w:rPr>
                <w:color w:val="000000"/>
              </w:rPr>
              <w:t>Healthcare</w:t>
            </w:r>
          </w:p>
          <w:p>
            <w:pPr>
              <w:pStyle w:val="TableContents"/>
              <w:spacing w:before="0" w:after="0"/>
              <w:rPr>
                <w:color w:val="000000"/>
              </w:rPr>
            </w:pPr>
            <w:r>
              <w:rPr>
                <w:color w:val="000000"/>
              </w:rPr>
              <w:t>Special Purpose Acquisition Company</w:t>
            </w:r>
          </w:p>
        </w:tc>
        <w:tc>
          <w:tcPr>
            <w:tcW w:w="60" w:type="dxa"/>
            <w:tcBorders/>
            <w:shd w:fill="CCEEFF" w:val="clear"/>
            <w:tcMar>
              <w:top w:w="0" w:type="dxa"/>
              <w:bottom w:w="0" w:type="dxa"/>
            </w:tcMar>
            <w:vAlign w:val="center"/>
          </w:tcPr>
          <w:p>
            <w:pPr>
              <w:pStyle w:val="TableContents"/>
              <w:spacing w:before="0" w:after="283"/>
              <w:rPr/>
            </w:pPr>
            <w:r>
              <w:rPr/>
              <w:t> </w:t>
            </w:r>
          </w:p>
        </w:tc>
        <w:tc>
          <w:tcPr>
            <w:tcW w:w="2830" w:type="dxa"/>
            <w:tcBorders/>
            <w:shd w:fill="CCEEFF" w:val="clear"/>
            <w:tcMar>
              <w:top w:w="0" w:type="dxa"/>
              <w:bottom w:w="0" w:type="dxa"/>
            </w:tcMar>
            <w:vAlign w:val="center"/>
          </w:tcPr>
          <w:p>
            <w:pPr>
              <w:pStyle w:val="TableContents"/>
              <w:spacing w:before="0" w:after="0"/>
              <w:rPr>
                <w:color w:val="000000"/>
              </w:rPr>
            </w:pPr>
            <w:r>
              <w:rPr>
                <w:color w:val="000000"/>
              </w:rPr>
              <w:t>Managing Director</w:t>
            </w:r>
          </w:p>
          <w:p>
            <w:pPr>
              <w:pStyle w:val="TableContents"/>
              <w:spacing w:before="0" w:after="0"/>
              <w:rPr>
                <w:color w:val="000000"/>
              </w:rPr>
            </w:pPr>
            <w:r>
              <w:rPr>
                <w:color w:val="000000"/>
              </w:rPr>
              <w:t>Director</w:t>
            </w:r>
          </w:p>
          <w:p>
            <w:pPr>
              <w:pStyle w:val="TableContents"/>
              <w:spacing w:before="0" w:after="0"/>
              <w:rPr>
                <w:color w:val="000000"/>
              </w:rPr>
            </w:pPr>
            <w:r>
              <w:rPr>
                <w:color w:val="000000"/>
              </w:rPr>
              <w:t>Director</w:t>
            </w:r>
          </w:p>
          <w:p>
            <w:pPr>
              <w:pStyle w:val="TableContents"/>
              <w:spacing w:before="0" w:after="0"/>
              <w:rPr>
                <w:color w:val="000000"/>
              </w:rPr>
            </w:pPr>
            <w:r>
              <w:rPr>
                <w:color w:val="000000"/>
              </w:rPr>
              <w:t>Chief Financial Officer and Director</w:t>
            </w:r>
          </w:p>
        </w:tc>
      </w:tr>
      <w:tr>
        <w:trPr/>
        <w:tc>
          <w:tcPr>
            <w:tcW w:w="1736" w:type="dxa"/>
            <w:tcBorders/>
            <w:shd w:fill="auto" w:val="clear"/>
            <w:tcMar>
              <w:top w:w="0" w:type="dxa"/>
              <w:bottom w:w="0" w:type="dxa"/>
            </w:tcMar>
            <w:vAlign w:val="center"/>
          </w:tcPr>
          <w:p>
            <w:pPr>
              <w:pStyle w:val="TableContents"/>
              <w:spacing w:before="0" w:after="0"/>
              <w:rPr>
                <w:color w:val="000000"/>
              </w:rPr>
            </w:pPr>
            <w:r>
              <w:rPr>
                <w:color w:val="000000"/>
              </w:rPr>
              <w:t>Konstantin Poukalov</w:t>
            </w:r>
          </w:p>
        </w:tc>
        <w:tc>
          <w:tcPr>
            <w:tcW w:w="60" w:type="dxa"/>
            <w:tcBorders/>
            <w:shd w:fill="auto" w:val="clear"/>
            <w:tcMar>
              <w:top w:w="0" w:type="dxa"/>
              <w:bottom w:w="0" w:type="dxa"/>
            </w:tcMar>
            <w:vAlign w:val="center"/>
          </w:tcPr>
          <w:p>
            <w:pPr>
              <w:pStyle w:val="TableContents"/>
              <w:spacing w:before="0" w:after="283"/>
              <w:rPr/>
            </w:pPr>
            <w:r>
              <w:rPr/>
              <w:t> </w:t>
            </w:r>
          </w:p>
        </w:tc>
        <w:tc>
          <w:tcPr>
            <w:tcW w:w="2610" w:type="dxa"/>
            <w:tcBorders/>
            <w:shd w:fill="auto" w:val="clear"/>
            <w:tcMar>
              <w:top w:w="0" w:type="dxa"/>
              <w:bottom w:w="0" w:type="dxa"/>
            </w:tcMar>
            <w:vAlign w:val="center"/>
          </w:tcPr>
          <w:p>
            <w:pPr>
              <w:pStyle w:val="TableContents"/>
              <w:spacing w:before="0" w:after="0"/>
              <w:rPr>
                <w:color w:val="000000"/>
              </w:rPr>
            </w:pPr>
            <w:r>
              <w:rPr>
                <w:color w:val="000000"/>
              </w:rPr>
              <w:t>Perceptive Advisors, LLC</w:t>
            </w:r>
          </w:p>
          <w:p>
            <w:pPr>
              <w:pStyle w:val="TableContents"/>
              <w:spacing w:before="0" w:after="0"/>
              <w:rPr>
                <w:color w:val="000000"/>
              </w:rPr>
            </w:pPr>
            <w:r>
              <w:rPr>
                <w:color w:val="000000"/>
              </w:rPr>
              <w:t>Lyra Therapeutics</w:t>
            </w:r>
          </w:p>
          <w:p>
            <w:pPr>
              <w:pStyle w:val="TableContents"/>
              <w:spacing w:before="0" w:after="0"/>
              <w:rPr>
                <w:color w:val="000000"/>
              </w:rPr>
            </w:pPr>
            <w:r>
              <w:rPr>
                <w:color w:val="000000"/>
              </w:rPr>
              <w:t>Landos Biopharma, Inc.</w:t>
            </w:r>
          </w:p>
          <w:p>
            <w:pPr>
              <w:pStyle w:val="TableContents"/>
              <w:spacing w:before="0" w:after="0"/>
              <w:rPr>
                <w:color w:val="000000"/>
              </w:rPr>
            </w:pPr>
            <w:r>
              <w:rPr>
                <w:color w:val="000000"/>
              </w:rPr>
              <w:t>LianBio</w:t>
            </w:r>
          </w:p>
          <w:p>
            <w:pPr>
              <w:pStyle w:val="TableContents"/>
              <w:spacing w:before="0" w:after="0"/>
              <w:rPr>
                <w:color w:val="000000"/>
              </w:rPr>
            </w:pPr>
            <w:r>
              <w:rPr>
                <w:color w:val="000000"/>
              </w:rPr>
              <w:t>ARYA Sciences Acquisition Corp IV</w:t>
            </w:r>
          </w:p>
        </w:tc>
        <w:tc>
          <w:tcPr>
            <w:tcW w:w="60" w:type="dxa"/>
            <w:tcBorders/>
            <w:shd w:fill="auto" w:val="clear"/>
            <w:tcMar>
              <w:top w:w="0" w:type="dxa"/>
              <w:bottom w:w="0" w:type="dxa"/>
            </w:tcMar>
            <w:vAlign w:val="center"/>
          </w:tcPr>
          <w:p>
            <w:pPr>
              <w:pStyle w:val="TableContents"/>
              <w:spacing w:before="0" w:after="283"/>
              <w:rPr/>
            </w:pPr>
            <w:r>
              <w:rPr/>
              <w:t> </w:t>
            </w:r>
          </w:p>
        </w:tc>
        <w:tc>
          <w:tcPr>
            <w:tcW w:w="2849" w:type="dxa"/>
            <w:tcBorders/>
            <w:shd w:fill="auto" w:val="clear"/>
            <w:tcMar>
              <w:top w:w="0" w:type="dxa"/>
              <w:bottom w:w="0" w:type="dxa"/>
            </w:tcMar>
            <w:vAlign w:val="center"/>
          </w:tcPr>
          <w:p>
            <w:pPr>
              <w:pStyle w:val="TableContents"/>
              <w:spacing w:before="0" w:after="0"/>
              <w:rPr>
                <w:color w:val="000000"/>
              </w:rPr>
            </w:pPr>
            <w:r>
              <w:rPr>
                <w:color w:val="000000"/>
              </w:rPr>
              <w:t>Hedge Fund</w:t>
            </w:r>
          </w:p>
          <w:p>
            <w:pPr>
              <w:pStyle w:val="TableContents"/>
              <w:spacing w:before="0" w:after="0"/>
              <w:rPr>
                <w:color w:val="000000"/>
              </w:rPr>
            </w:pPr>
            <w:r>
              <w:rPr>
                <w:color w:val="000000"/>
              </w:rPr>
              <w:t>Healthcare</w:t>
            </w:r>
          </w:p>
          <w:p>
            <w:pPr>
              <w:pStyle w:val="TableContents"/>
              <w:spacing w:before="0" w:after="0"/>
              <w:rPr>
                <w:color w:val="000000"/>
              </w:rPr>
            </w:pPr>
            <w:r>
              <w:rPr>
                <w:color w:val="000000"/>
              </w:rPr>
              <w:t>Healthcare</w:t>
            </w:r>
          </w:p>
          <w:p>
            <w:pPr>
              <w:pStyle w:val="TableContents"/>
              <w:spacing w:before="0" w:after="0"/>
              <w:rPr>
                <w:color w:val="000000"/>
              </w:rPr>
            </w:pPr>
            <w:r>
              <w:rPr>
                <w:color w:val="000000"/>
              </w:rPr>
              <w:t>Healthcare</w:t>
            </w:r>
          </w:p>
          <w:p>
            <w:pPr>
              <w:pStyle w:val="TableContents"/>
              <w:spacing w:before="0" w:after="0"/>
              <w:rPr>
                <w:color w:val="000000"/>
              </w:rPr>
            </w:pPr>
            <w:r>
              <w:rPr>
                <w:color w:val="000000"/>
              </w:rPr>
              <w:t>Special Purpose Acquisition Company</w:t>
            </w:r>
          </w:p>
        </w:tc>
        <w:tc>
          <w:tcPr>
            <w:tcW w:w="60" w:type="dxa"/>
            <w:tcBorders/>
            <w:shd w:fill="auto" w:val="clear"/>
            <w:tcMar>
              <w:top w:w="0" w:type="dxa"/>
              <w:bottom w:w="0" w:type="dxa"/>
            </w:tcMar>
            <w:vAlign w:val="center"/>
          </w:tcPr>
          <w:p>
            <w:pPr>
              <w:pStyle w:val="TableContents"/>
              <w:spacing w:before="0" w:after="283"/>
              <w:rPr/>
            </w:pPr>
            <w:r>
              <w:rPr/>
              <w:t> </w:t>
            </w:r>
          </w:p>
        </w:tc>
        <w:tc>
          <w:tcPr>
            <w:tcW w:w="2830" w:type="dxa"/>
            <w:tcBorders/>
            <w:shd w:fill="auto" w:val="clear"/>
            <w:tcMar>
              <w:top w:w="0" w:type="dxa"/>
              <w:bottom w:w="0" w:type="dxa"/>
            </w:tcMar>
            <w:vAlign w:val="center"/>
          </w:tcPr>
          <w:p>
            <w:pPr>
              <w:pStyle w:val="TableContents"/>
              <w:spacing w:before="0" w:after="0"/>
              <w:rPr>
                <w:color w:val="000000"/>
              </w:rPr>
            </w:pPr>
            <w:r>
              <w:rPr>
                <w:color w:val="000000"/>
              </w:rPr>
              <w:t>Managing Director</w:t>
            </w:r>
          </w:p>
          <w:p>
            <w:pPr>
              <w:pStyle w:val="TableContents"/>
              <w:spacing w:before="0" w:after="0"/>
              <w:rPr>
                <w:color w:val="000000"/>
              </w:rPr>
            </w:pPr>
            <w:r>
              <w:rPr>
                <w:color w:val="000000"/>
              </w:rPr>
              <w:t>Director</w:t>
            </w:r>
          </w:p>
          <w:p>
            <w:pPr>
              <w:pStyle w:val="TableContents"/>
              <w:spacing w:before="0" w:after="0"/>
              <w:rPr>
                <w:color w:val="000000"/>
              </w:rPr>
            </w:pPr>
            <w:r>
              <w:rPr>
                <w:color w:val="000000"/>
              </w:rPr>
              <w:t>Director</w:t>
            </w:r>
          </w:p>
          <w:p>
            <w:pPr>
              <w:pStyle w:val="TableContents"/>
              <w:spacing w:before="0" w:after="0"/>
              <w:rPr>
                <w:color w:val="000000"/>
              </w:rPr>
            </w:pPr>
            <w:r>
              <w:rPr>
                <w:color w:val="000000"/>
              </w:rPr>
              <w:t>Director</w:t>
            </w:r>
          </w:p>
          <w:p>
            <w:pPr>
              <w:pStyle w:val="TableContents"/>
              <w:spacing w:before="0" w:after="0"/>
              <w:rPr>
                <w:color w:val="000000"/>
              </w:rPr>
            </w:pPr>
            <w:r>
              <w:rPr>
                <w:color w:val="000000"/>
              </w:rPr>
              <w:t>Chief Business Officer</w:t>
            </w:r>
          </w:p>
        </w:tc>
      </w:tr>
      <w:tr>
        <w:trPr/>
        <w:tc>
          <w:tcPr>
            <w:tcW w:w="1736" w:type="dxa"/>
            <w:tcBorders/>
            <w:shd w:fill="CCEEFF" w:val="clear"/>
            <w:tcMar>
              <w:top w:w="0" w:type="dxa"/>
              <w:bottom w:w="0" w:type="dxa"/>
            </w:tcMar>
            <w:vAlign w:val="center"/>
          </w:tcPr>
          <w:p>
            <w:pPr>
              <w:pStyle w:val="TableContents"/>
              <w:spacing w:before="0" w:after="0"/>
              <w:rPr>
                <w:color w:val="000000"/>
              </w:rPr>
            </w:pPr>
            <w:r>
              <w:rPr>
                <w:color w:val="000000"/>
              </w:rPr>
              <w:t>Todd Wider</w:t>
            </w:r>
          </w:p>
        </w:tc>
        <w:tc>
          <w:tcPr>
            <w:tcW w:w="60" w:type="dxa"/>
            <w:tcBorders/>
            <w:shd w:fill="CCEEFF" w:val="clear"/>
            <w:tcMar>
              <w:top w:w="0" w:type="dxa"/>
              <w:bottom w:w="0" w:type="dxa"/>
            </w:tcMar>
            <w:vAlign w:val="center"/>
          </w:tcPr>
          <w:p>
            <w:pPr>
              <w:pStyle w:val="TableContents"/>
              <w:spacing w:before="0" w:after="283"/>
              <w:rPr/>
            </w:pPr>
            <w:r>
              <w:rPr/>
              <w:t> </w:t>
            </w:r>
          </w:p>
        </w:tc>
        <w:tc>
          <w:tcPr>
            <w:tcW w:w="2610" w:type="dxa"/>
            <w:tcBorders/>
            <w:shd w:fill="CCEEFF" w:val="clear"/>
            <w:tcMar>
              <w:top w:w="0" w:type="dxa"/>
              <w:bottom w:w="0" w:type="dxa"/>
            </w:tcMar>
            <w:vAlign w:val="center"/>
          </w:tcPr>
          <w:p>
            <w:pPr>
              <w:pStyle w:val="TableContents"/>
              <w:spacing w:before="0" w:after="0"/>
              <w:rPr>
                <w:color w:val="000000"/>
              </w:rPr>
            </w:pPr>
            <w:r>
              <w:rPr>
                <w:color w:val="000000"/>
              </w:rPr>
              <w:t>Abeona Therapeutics, Inc.</w:t>
            </w:r>
          </w:p>
        </w:tc>
        <w:tc>
          <w:tcPr>
            <w:tcW w:w="60" w:type="dxa"/>
            <w:tcBorders/>
            <w:shd w:fill="CCEEFF" w:val="clear"/>
            <w:tcMar>
              <w:top w:w="0" w:type="dxa"/>
              <w:bottom w:w="0" w:type="dxa"/>
            </w:tcMar>
            <w:vAlign w:val="center"/>
          </w:tcPr>
          <w:p>
            <w:pPr>
              <w:pStyle w:val="TableContents"/>
              <w:spacing w:before="0" w:after="283"/>
              <w:rPr/>
            </w:pPr>
            <w:r>
              <w:rPr/>
              <w:t> </w:t>
            </w:r>
          </w:p>
        </w:tc>
        <w:tc>
          <w:tcPr>
            <w:tcW w:w="2849" w:type="dxa"/>
            <w:tcBorders/>
            <w:shd w:fill="CCEEFF" w:val="clear"/>
            <w:tcMar>
              <w:top w:w="0" w:type="dxa"/>
              <w:bottom w:w="0" w:type="dxa"/>
            </w:tcMar>
            <w:vAlign w:val="center"/>
          </w:tcPr>
          <w:p>
            <w:pPr>
              <w:pStyle w:val="TableContents"/>
              <w:spacing w:before="0" w:after="0"/>
              <w:rPr>
                <w:color w:val="000000"/>
              </w:rPr>
            </w:pPr>
            <w:r>
              <w:rPr>
                <w:color w:val="000000"/>
              </w:rPr>
              <w:t>Pharmaceuticals</w:t>
            </w:r>
          </w:p>
        </w:tc>
        <w:tc>
          <w:tcPr>
            <w:tcW w:w="60" w:type="dxa"/>
            <w:tcBorders/>
            <w:shd w:fill="CCEEFF" w:val="clear"/>
            <w:tcMar>
              <w:top w:w="0" w:type="dxa"/>
              <w:bottom w:w="0" w:type="dxa"/>
            </w:tcMar>
            <w:vAlign w:val="center"/>
          </w:tcPr>
          <w:p>
            <w:pPr>
              <w:pStyle w:val="TableContents"/>
              <w:spacing w:before="0" w:after="283"/>
              <w:rPr/>
            </w:pPr>
            <w:r>
              <w:rPr/>
              <w:t> </w:t>
            </w:r>
          </w:p>
        </w:tc>
        <w:tc>
          <w:tcPr>
            <w:tcW w:w="2830" w:type="dxa"/>
            <w:tcBorders/>
            <w:shd w:fill="CCEEFF" w:val="clear"/>
            <w:tcMar>
              <w:top w:w="0" w:type="dxa"/>
              <w:bottom w:w="0" w:type="dxa"/>
            </w:tcMar>
            <w:vAlign w:val="center"/>
          </w:tcPr>
          <w:p>
            <w:pPr>
              <w:pStyle w:val="TableContents"/>
              <w:spacing w:before="0" w:after="0"/>
              <w:rPr>
                <w:color w:val="000000"/>
              </w:rPr>
            </w:pPr>
            <w:r>
              <w:rPr>
                <w:color w:val="000000"/>
              </w:rPr>
              <w:t>Director</w:t>
            </w:r>
          </w:p>
        </w:tc>
      </w:tr>
      <w:tr>
        <w:trPr/>
        <w:tc>
          <w:tcPr>
            <w:tcW w:w="1736" w:type="dxa"/>
            <w:tcBorders/>
            <w:shd w:fill="auto" w:val="clear"/>
            <w:tcMar>
              <w:top w:w="0" w:type="dxa"/>
              <w:bottom w:w="0" w:type="dxa"/>
            </w:tcMar>
            <w:vAlign w:val="center"/>
          </w:tcPr>
          <w:p>
            <w:pPr>
              <w:pStyle w:val="TableContents"/>
              <w:spacing w:before="0" w:after="283"/>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2610" w:type="dxa"/>
            <w:tcBorders/>
            <w:shd w:fill="auto" w:val="clear"/>
            <w:tcMar>
              <w:top w:w="0" w:type="dxa"/>
              <w:bottom w:w="0" w:type="dxa"/>
            </w:tcMar>
            <w:vAlign w:val="center"/>
          </w:tcPr>
          <w:p>
            <w:pPr>
              <w:pStyle w:val="TableContents"/>
              <w:spacing w:before="0" w:after="0"/>
              <w:rPr>
                <w:color w:val="000000"/>
              </w:rPr>
            </w:pPr>
            <w:r>
              <w:rPr>
                <w:color w:val="000000"/>
              </w:rPr>
              <w:t>Emendo Biotherapeutics</w:t>
            </w:r>
          </w:p>
        </w:tc>
        <w:tc>
          <w:tcPr>
            <w:tcW w:w="60" w:type="dxa"/>
            <w:tcBorders/>
            <w:shd w:fill="auto" w:val="clear"/>
            <w:tcMar>
              <w:top w:w="0" w:type="dxa"/>
              <w:bottom w:w="0" w:type="dxa"/>
            </w:tcMar>
            <w:vAlign w:val="center"/>
          </w:tcPr>
          <w:p>
            <w:pPr>
              <w:pStyle w:val="TableContents"/>
              <w:spacing w:before="0" w:after="283"/>
              <w:rPr/>
            </w:pPr>
            <w:r>
              <w:rPr/>
              <w:t> </w:t>
            </w:r>
          </w:p>
        </w:tc>
        <w:tc>
          <w:tcPr>
            <w:tcW w:w="2849" w:type="dxa"/>
            <w:tcBorders/>
            <w:shd w:fill="auto" w:val="clear"/>
            <w:tcMar>
              <w:top w:w="0" w:type="dxa"/>
              <w:bottom w:w="0" w:type="dxa"/>
            </w:tcMar>
            <w:vAlign w:val="center"/>
          </w:tcPr>
          <w:p>
            <w:pPr>
              <w:pStyle w:val="TableContents"/>
              <w:spacing w:before="0" w:after="0"/>
              <w:rPr>
                <w:color w:val="000000"/>
              </w:rPr>
            </w:pPr>
            <w:r>
              <w:rPr>
                <w:color w:val="000000"/>
              </w:rPr>
              <w:t>Biopharmaceuticals</w:t>
            </w:r>
          </w:p>
        </w:tc>
        <w:tc>
          <w:tcPr>
            <w:tcW w:w="60" w:type="dxa"/>
            <w:tcBorders/>
            <w:shd w:fill="auto" w:val="clear"/>
            <w:tcMar>
              <w:top w:w="0" w:type="dxa"/>
              <w:bottom w:w="0" w:type="dxa"/>
            </w:tcMar>
            <w:vAlign w:val="center"/>
          </w:tcPr>
          <w:p>
            <w:pPr>
              <w:pStyle w:val="TableContents"/>
              <w:spacing w:before="0" w:after="283"/>
              <w:rPr/>
            </w:pPr>
            <w:r>
              <w:rPr/>
              <w:t> </w:t>
            </w:r>
          </w:p>
        </w:tc>
        <w:tc>
          <w:tcPr>
            <w:tcW w:w="2830" w:type="dxa"/>
            <w:tcBorders/>
            <w:shd w:fill="auto" w:val="clear"/>
            <w:tcMar>
              <w:top w:w="0" w:type="dxa"/>
              <w:bottom w:w="0" w:type="dxa"/>
            </w:tcMar>
            <w:vAlign w:val="center"/>
          </w:tcPr>
          <w:p>
            <w:pPr>
              <w:pStyle w:val="TableContents"/>
              <w:spacing w:before="0" w:after="0"/>
              <w:rPr>
                <w:color w:val="000000"/>
              </w:rPr>
            </w:pPr>
            <w:r>
              <w:rPr>
                <w:color w:val="000000"/>
              </w:rPr>
              <w:t>Director</w:t>
            </w:r>
          </w:p>
        </w:tc>
      </w:tr>
      <w:tr>
        <w:trPr/>
        <w:tc>
          <w:tcPr>
            <w:tcW w:w="1736"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2610" w:type="dxa"/>
            <w:tcBorders/>
            <w:shd w:fill="CCEEFF" w:val="clear"/>
            <w:tcMar>
              <w:top w:w="0" w:type="dxa"/>
              <w:bottom w:w="0" w:type="dxa"/>
            </w:tcMar>
            <w:vAlign w:val="center"/>
          </w:tcPr>
          <w:p>
            <w:pPr>
              <w:pStyle w:val="TableContents"/>
              <w:spacing w:before="0" w:after="0"/>
              <w:rPr>
                <w:color w:val="000000"/>
              </w:rPr>
            </w:pPr>
            <w:r>
              <w:rPr>
                <w:color w:val="000000"/>
              </w:rPr>
              <w:t>ARYA Sciences Acquisition Corp IV</w:t>
            </w:r>
          </w:p>
        </w:tc>
        <w:tc>
          <w:tcPr>
            <w:tcW w:w="60" w:type="dxa"/>
            <w:tcBorders/>
            <w:shd w:fill="CCEEFF" w:val="clear"/>
            <w:tcMar>
              <w:top w:w="0" w:type="dxa"/>
              <w:bottom w:w="0" w:type="dxa"/>
            </w:tcMar>
            <w:vAlign w:val="center"/>
          </w:tcPr>
          <w:p>
            <w:pPr>
              <w:pStyle w:val="TableContents"/>
              <w:spacing w:before="0" w:after="283"/>
              <w:rPr/>
            </w:pPr>
            <w:r>
              <w:rPr/>
              <w:t> </w:t>
            </w:r>
          </w:p>
        </w:tc>
        <w:tc>
          <w:tcPr>
            <w:tcW w:w="2849" w:type="dxa"/>
            <w:tcBorders/>
            <w:shd w:fill="CCEEFF" w:val="clear"/>
            <w:tcMar>
              <w:top w:w="0" w:type="dxa"/>
              <w:bottom w:w="0" w:type="dxa"/>
            </w:tcMar>
            <w:vAlign w:val="center"/>
          </w:tcPr>
          <w:p>
            <w:pPr>
              <w:pStyle w:val="TableContents"/>
              <w:spacing w:before="0" w:after="0"/>
              <w:rPr>
                <w:color w:val="000000"/>
              </w:rPr>
            </w:pPr>
            <w:r>
              <w:rPr>
                <w:color w:val="000000"/>
              </w:rPr>
              <w:t>Special Purpose Acquisition Company</w:t>
            </w:r>
          </w:p>
        </w:tc>
        <w:tc>
          <w:tcPr>
            <w:tcW w:w="60" w:type="dxa"/>
            <w:tcBorders/>
            <w:shd w:fill="CCEEFF" w:val="clear"/>
            <w:tcMar>
              <w:top w:w="0" w:type="dxa"/>
              <w:bottom w:w="0" w:type="dxa"/>
            </w:tcMar>
            <w:vAlign w:val="center"/>
          </w:tcPr>
          <w:p>
            <w:pPr>
              <w:pStyle w:val="TableContents"/>
              <w:spacing w:before="0" w:after="283"/>
              <w:rPr/>
            </w:pPr>
            <w:r>
              <w:rPr/>
              <w:t> </w:t>
            </w:r>
          </w:p>
        </w:tc>
        <w:tc>
          <w:tcPr>
            <w:tcW w:w="2830" w:type="dxa"/>
            <w:tcBorders/>
            <w:shd w:fill="CCEEFF" w:val="clear"/>
            <w:tcMar>
              <w:top w:w="0" w:type="dxa"/>
              <w:bottom w:w="0" w:type="dxa"/>
            </w:tcMar>
            <w:vAlign w:val="center"/>
          </w:tcPr>
          <w:p>
            <w:pPr>
              <w:pStyle w:val="TableContents"/>
              <w:spacing w:before="0" w:after="0"/>
              <w:rPr>
                <w:color w:val="000000"/>
              </w:rPr>
            </w:pPr>
            <w:r>
              <w:rPr>
                <w:color w:val="000000"/>
              </w:rPr>
              <w:t>Director</w:t>
            </w:r>
          </w:p>
        </w:tc>
      </w:tr>
      <w:tr>
        <w:trPr/>
        <w:tc>
          <w:tcPr>
            <w:tcW w:w="1736" w:type="dxa"/>
            <w:tcBorders/>
            <w:shd w:fill="auto" w:val="clear"/>
            <w:tcMar>
              <w:top w:w="0" w:type="dxa"/>
              <w:bottom w:w="0" w:type="dxa"/>
            </w:tcMar>
            <w:vAlign w:val="center"/>
          </w:tcPr>
          <w:p>
            <w:pPr>
              <w:pStyle w:val="TableContents"/>
              <w:spacing w:before="0" w:after="0"/>
              <w:rPr>
                <w:color w:val="000000"/>
              </w:rPr>
            </w:pPr>
            <w:r>
              <w:rPr>
                <w:color w:val="000000"/>
              </w:rPr>
              <w:t>Bradley L. Campbell</w:t>
            </w:r>
          </w:p>
        </w:tc>
        <w:tc>
          <w:tcPr>
            <w:tcW w:w="60" w:type="dxa"/>
            <w:tcBorders/>
            <w:shd w:fill="auto" w:val="clear"/>
            <w:tcMar>
              <w:top w:w="0" w:type="dxa"/>
              <w:bottom w:w="0" w:type="dxa"/>
            </w:tcMar>
            <w:vAlign w:val="center"/>
          </w:tcPr>
          <w:p>
            <w:pPr>
              <w:pStyle w:val="TableContents"/>
              <w:spacing w:before="0" w:after="283"/>
              <w:rPr/>
            </w:pPr>
            <w:r>
              <w:rPr/>
              <w:t> </w:t>
            </w:r>
          </w:p>
        </w:tc>
        <w:tc>
          <w:tcPr>
            <w:tcW w:w="2610" w:type="dxa"/>
            <w:tcBorders/>
            <w:shd w:fill="auto" w:val="clear"/>
            <w:tcMar>
              <w:top w:w="0" w:type="dxa"/>
              <w:bottom w:w="0" w:type="dxa"/>
            </w:tcMar>
            <w:vAlign w:val="center"/>
          </w:tcPr>
          <w:p>
            <w:pPr>
              <w:pStyle w:val="TableContents"/>
              <w:spacing w:before="0" w:after="0"/>
              <w:rPr>
                <w:color w:val="000000"/>
              </w:rPr>
            </w:pPr>
            <w:r>
              <w:rPr>
                <w:color w:val="000000"/>
              </w:rPr>
              <w:t>Amicus Therapeutics, Inc.</w:t>
            </w:r>
          </w:p>
        </w:tc>
        <w:tc>
          <w:tcPr>
            <w:tcW w:w="60" w:type="dxa"/>
            <w:tcBorders/>
            <w:shd w:fill="auto" w:val="clear"/>
            <w:tcMar>
              <w:top w:w="0" w:type="dxa"/>
              <w:bottom w:w="0" w:type="dxa"/>
            </w:tcMar>
            <w:vAlign w:val="center"/>
          </w:tcPr>
          <w:p>
            <w:pPr>
              <w:pStyle w:val="TableContents"/>
              <w:spacing w:before="0" w:after="283"/>
              <w:rPr/>
            </w:pPr>
            <w:r>
              <w:rPr/>
              <w:t> </w:t>
            </w:r>
          </w:p>
        </w:tc>
        <w:tc>
          <w:tcPr>
            <w:tcW w:w="2849" w:type="dxa"/>
            <w:tcBorders/>
            <w:shd w:fill="auto" w:val="clear"/>
            <w:tcMar>
              <w:top w:w="0" w:type="dxa"/>
              <w:bottom w:w="0" w:type="dxa"/>
            </w:tcMar>
            <w:vAlign w:val="center"/>
          </w:tcPr>
          <w:p>
            <w:pPr>
              <w:pStyle w:val="TableContents"/>
              <w:spacing w:before="0" w:after="0"/>
              <w:rPr>
                <w:color w:val="000000"/>
              </w:rPr>
            </w:pPr>
            <w:r>
              <w:rPr>
                <w:color w:val="000000"/>
              </w:rPr>
              <w:t>Biotechnology</w:t>
            </w:r>
          </w:p>
        </w:tc>
        <w:tc>
          <w:tcPr>
            <w:tcW w:w="60" w:type="dxa"/>
            <w:tcBorders/>
            <w:shd w:fill="auto" w:val="clear"/>
            <w:tcMar>
              <w:top w:w="0" w:type="dxa"/>
              <w:bottom w:w="0" w:type="dxa"/>
            </w:tcMar>
            <w:vAlign w:val="center"/>
          </w:tcPr>
          <w:p>
            <w:pPr>
              <w:pStyle w:val="TableContents"/>
              <w:spacing w:before="0" w:after="283"/>
              <w:rPr/>
            </w:pPr>
            <w:r>
              <w:rPr/>
              <w:t> </w:t>
            </w:r>
          </w:p>
        </w:tc>
        <w:tc>
          <w:tcPr>
            <w:tcW w:w="2830" w:type="dxa"/>
            <w:tcBorders/>
            <w:shd w:fill="auto" w:val="clear"/>
            <w:tcMar>
              <w:top w:w="0" w:type="dxa"/>
              <w:bottom w:w="0" w:type="dxa"/>
            </w:tcMar>
            <w:vAlign w:val="center"/>
          </w:tcPr>
          <w:p>
            <w:pPr>
              <w:pStyle w:val="TableContents"/>
              <w:spacing w:before="0" w:after="0"/>
              <w:rPr>
                <w:color w:val="000000"/>
              </w:rPr>
            </w:pPr>
            <w:r>
              <w:rPr>
                <w:color w:val="000000"/>
              </w:rPr>
              <w:t>Director</w:t>
            </w:r>
          </w:p>
        </w:tc>
      </w:tr>
      <w:tr>
        <w:trPr/>
        <w:tc>
          <w:tcPr>
            <w:tcW w:w="1736"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2610" w:type="dxa"/>
            <w:tcBorders/>
            <w:shd w:fill="CCEEFF" w:val="clear"/>
            <w:tcMar>
              <w:top w:w="0" w:type="dxa"/>
              <w:bottom w:w="0" w:type="dxa"/>
            </w:tcMar>
            <w:vAlign w:val="center"/>
          </w:tcPr>
          <w:p>
            <w:pPr>
              <w:pStyle w:val="TableContents"/>
              <w:spacing w:before="0" w:after="0"/>
              <w:rPr>
                <w:color w:val="000000"/>
              </w:rPr>
            </w:pPr>
            <w:r>
              <w:rPr>
                <w:color w:val="000000"/>
              </w:rPr>
              <w:t>Alliance for Regenerative Medicine (ARM)</w:t>
            </w:r>
          </w:p>
        </w:tc>
        <w:tc>
          <w:tcPr>
            <w:tcW w:w="60" w:type="dxa"/>
            <w:tcBorders/>
            <w:shd w:fill="CCEEFF" w:val="clear"/>
            <w:tcMar>
              <w:top w:w="0" w:type="dxa"/>
              <w:bottom w:w="0" w:type="dxa"/>
            </w:tcMar>
            <w:vAlign w:val="center"/>
          </w:tcPr>
          <w:p>
            <w:pPr>
              <w:pStyle w:val="TableContents"/>
              <w:spacing w:before="0" w:after="283"/>
              <w:rPr/>
            </w:pPr>
            <w:r>
              <w:rPr/>
              <w:t> </w:t>
            </w:r>
          </w:p>
        </w:tc>
        <w:tc>
          <w:tcPr>
            <w:tcW w:w="2849" w:type="dxa"/>
            <w:tcBorders/>
            <w:shd w:fill="CCEEFF" w:val="clear"/>
            <w:tcMar>
              <w:top w:w="0" w:type="dxa"/>
              <w:bottom w:w="0" w:type="dxa"/>
            </w:tcMar>
            <w:vAlign w:val="center"/>
          </w:tcPr>
          <w:p>
            <w:pPr>
              <w:pStyle w:val="TableContents"/>
              <w:spacing w:before="0" w:after="0"/>
              <w:rPr>
                <w:color w:val="000000"/>
              </w:rPr>
            </w:pPr>
            <w:r>
              <w:rPr>
                <w:color w:val="000000"/>
              </w:rPr>
              <w:t>Gene and Cell Therapy Trade Association</w:t>
            </w:r>
          </w:p>
        </w:tc>
        <w:tc>
          <w:tcPr>
            <w:tcW w:w="60" w:type="dxa"/>
            <w:tcBorders/>
            <w:shd w:fill="CCEEFF" w:val="clear"/>
            <w:tcMar>
              <w:top w:w="0" w:type="dxa"/>
              <w:bottom w:w="0" w:type="dxa"/>
            </w:tcMar>
            <w:vAlign w:val="center"/>
          </w:tcPr>
          <w:p>
            <w:pPr>
              <w:pStyle w:val="TableContents"/>
              <w:spacing w:before="0" w:after="283"/>
              <w:rPr/>
            </w:pPr>
            <w:r>
              <w:rPr/>
              <w:t> </w:t>
            </w:r>
          </w:p>
        </w:tc>
        <w:tc>
          <w:tcPr>
            <w:tcW w:w="2830" w:type="dxa"/>
            <w:tcBorders/>
            <w:shd w:fill="CCEEFF" w:val="clear"/>
            <w:tcMar>
              <w:top w:w="0" w:type="dxa"/>
              <w:bottom w:w="0" w:type="dxa"/>
            </w:tcMar>
            <w:vAlign w:val="center"/>
          </w:tcPr>
          <w:p>
            <w:pPr>
              <w:pStyle w:val="TableContents"/>
              <w:spacing w:before="0" w:after="0"/>
              <w:rPr>
                <w:color w:val="000000"/>
              </w:rPr>
            </w:pPr>
            <w:r>
              <w:rPr>
                <w:color w:val="000000"/>
              </w:rPr>
              <w:t>Director</w:t>
            </w:r>
          </w:p>
        </w:tc>
      </w:tr>
      <w:tr>
        <w:trPr/>
        <w:tc>
          <w:tcPr>
            <w:tcW w:w="1736" w:type="dxa"/>
            <w:tcBorders/>
            <w:shd w:fill="auto" w:val="clear"/>
            <w:tcMar>
              <w:top w:w="0" w:type="dxa"/>
              <w:bottom w:w="0" w:type="dxa"/>
            </w:tcMar>
            <w:vAlign w:val="center"/>
          </w:tcPr>
          <w:p>
            <w:pPr>
              <w:pStyle w:val="TableContents"/>
              <w:spacing w:before="0" w:after="0"/>
              <w:rPr>
                <w:color w:val="000000"/>
              </w:rPr>
            </w:pPr>
            <w:r>
              <w:rPr>
                <w:color w:val="000000"/>
              </w:rPr>
              <w:t>Saqib Islam</w:t>
            </w:r>
          </w:p>
        </w:tc>
        <w:tc>
          <w:tcPr>
            <w:tcW w:w="60" w:type="dxa"/>
            <w:tcBorders/>
            <w:shd w:fill="auto" w:val="clear"/>
            <w:tcMar>
              <w:top w:w="0" w:type="dxa"/>
              <w:bottom w:w="0" w:type="dxa"/>
            </w:tcMar>
            <w:vAlign w:val="center"/>
          </w:tcPr>
          <w:p>
            <w:pPr>
              <w:pStyle w:val="TableContents"/>
              <w:spacing w:before="0" w:after="283"/>
              <w:rPr/>
            </w:pPr>
            <w:r>
              <w:rPr/>
              <w:t> </w:t>
            </w:r>
          </w:p>
        </w:tc>
        <w:tc>
          <w:tcPr>
            <w:tcW w:w="2610" w:type="dxa"/>
            <w:tcBorders/>
            <w:shd w:fill="auto" w:val="clear"/>
            <w:tcMar>
              <w:top w:w="0" w:type="dxa"/>
              <w:bottom w:w="0" w:type="dxa"/>
            </w:tcMar>
            <w:vAlign w:val="center"/>
          </w:tcPr>
          <w:p>
            <w:pPr>
              <w:pStyle w:val="TableContents"/>
              <w:spacing w:before="0" w:after="0"/>
              <w:rPr>
                <w:color w:val="000000"/>
              </w:rPr>
            </w:pPr>
            <w:r>
              <w:rPr>
                <w:color w:val="000000"/>
              </w:rPr>
              <w:t>SpringWorks Therapeutics, Inc.</w:t>
            </w:r>
          </w:p>
        </w:tc>
        <w:tc>
          <w:tcPr>
            <w:tcW w:w="60" w:type="dxa"/>
            <w:tcBorders/>
            <w:shd w:fill="auto" w:val="clear"/>
            <w:tcMar>
              <w:top w:w="0" w:type="dxa"/>
              <w:bottom w:w="0" w:type="dxa"/>
            </w:tcMar>
            <w:vAlign w:val="center"/>
          </w:tcPr>
          <w:p>
            <w:pPr>
              <w:pStyle w:val="TableContents"/>
              <w:spacing w:before="0" w:after="283"/>
              <w:rPr/>
            </w:pPr>
            <w:r>
              <w:rPr/>
              <w:t> </w:t>
            </w:r>
          </w:p>
        </w:tc>
        <w:tc>
          <w:tcPr>
            <w:tcW w:w="2849" w:type="dxa"/>
            <w:tcBorders/>
            <w:shd w:fill="auto" w:val="clear"/>
            <w:tcMar>
              <w:top w:w="0" w:type="dxa"/>
              <w:bottom w:w="0" w:type="dxa"/>
            </w:tcMar>
            <w:vAlign w:val="center"/>
          </w:tcPr>
          <w:p>
            <w:pPr>
              <w:pStyle w:val="TableContents"/>
              <w:spacing w:before="0" w:after="0"/>
              <w:rPr>
                <w:color w:val="000000"/>
              </w:rPr>
            </w:pPr>
            <w:r>
              <w:rPr>
                <w:color w:val="000000"/>
              </w:rPr>
              <w:t>Biopharmaceuticals</w:t>
            </w:r>
          </w:p>
        </w:tc>
        <w:tc>
          <w:tcPr>
            <w:tcW w:w="60" w:type="dxa"/>
            <w:tcBorders/>
            <w:shd w:fill="auto" w:val="clear"/>
            <w:tcMar>
              <w:top w:w="0" w:type="dxa"/>
              <w:bottom w:w="0" w:type="dxa"/>
            </w:tcMar>
            <w:vAlign w:val="center"/>
          </w:tcPr>
          <w:p>
            <w:pPr>
              <w:pStyle w:val="TableContents"/>
              <w:spacing w:before="0" w:after="283"/>
              <w:rPr/>
            </w:pPr>
            <w:r>
              <w:rPr/>
              <w:t> </w:t>
            </w:r>
          </w:p>
        </w:tc>
        <w:tc>
          <w:tcPr>
            <w:tcW w:w="2830" w:type="dxa"/>
            <w:tcBorders/>
            <w:shd w:fill="auto" w:val="clear"/>
            <w:tcMar>
              <w:top w:w="0" w:type="dxa"/>
              <w:bottom w:w="0" w:type="dxa"/>
            </w:tcMar>
            <w:vAlign w:val="center"/>
          </w:tcPr>
          <w:p>
            <w:pPr>
              <w:pStyle w:val="TableContents"/>
              <w:spacing w:before="0" w:after="0"/>
              <w:rPr>
                <w:color w:val="000000"/>
              </w:rPr>
            </w:pPr>
            <w:r>
              <w:rPr>
                <w:color w:val="000000"/>
              </w:rPr>
              <w:t>Chief Executive Officer and Director</w:t>
            </w:r>
          </w:p>
        </w:tc>
      </w:tr>
      <w:tr>
        <w:trPr/>
        <w:tc>
          <w:tcPr>
            <w:tcW w:w="1736" w:type="dxa"/>
            <w:tcBorders/>
            <w:shd w:fill="CCEEFF" w:val="clear"/>
            <w:tcMar>
              <w:top w:w="0" w:type="dxa"/>
              <w:bottom w:w="0" w:type="dxa"/>
            </w:tcMar>
            <w:vAlign w:val="center"/>
          </w:tcPr>
          <w:p>
            <w:pPr>
              <w:pStyle w:val="TableContents"/>
              <w:spacing w:before="0" w:after="283"/>
              <w:rPr/>
            </w:pPr>
            <w:r>
              <w:rPr/>
              <w:t> </w:t>
            </w:r>
          </w:p>
        </w:tc>
        <w:tc>
          <w:tcPr>
            <w:tcW w:w="60" w:type="dxa"/>
            <w:tcBorders/>
            <w:shd w:fill="CCEEFF" w:val="clear"/>
            <w:tcMar>
              <w:top w:w="0" w:type="dxa"/>
              <w:bottom w:w="0" w:type="dxa"/>
            </w:tcMar>
            <w:vAlign w:val="center"/>
          </w:tcPr>
          <w:p>
            <w:pPr>
              <w:pStyle w:val="TableContents"/>
              <w:spacing w:before="0" w:after="283"/>
              <w:rPr/>
            </w:pPr>
            <w:r>
              <w:rPr/>
              <w:t> </w:t>
            </w:r>
          </w:p>
        </w:tc>
        <w:tc>
          <w:tcPr>
            <w:tcW w:w="2610" w:type="dxa"/>
            <w:tcBorders/>
            <w:shd w:fill="CCEEFF" w:val="clear"/>
            <w:tcMar>
              <w:top w:w="0" w:type="dxa"/>
              <w:bottom w:w="0" w:type="dxa"/>
            </w:tcMar>
            <w:vAlign w:val="center"/>
          </w:tcPr>
          <w:p>
            <w:pPr>
              <w:pStyle w:val="TableContents"/>
              <w:spacing w:before="0" w:after="0"/>
              <w:rPr>
                <w:color w:val="000000"/>
              </w:rPr>
            </w:pPr>
            <w:r>
              <w:rPr>
                <w:color w:val="000000"/>
              </w:rPr>
              <w:t>Passage Bio, Inc.</w:t>
            </w:r>
          </w:p>
        </w:tc>
        <w:tc>
          <w:tcPr>
            <w:tcW w:w="60" w:type="dxa"/>
            <w:tcBorders/>
            <w:shd w:fill="CCEEFF" w:val="clear"/>
            <w:tcMar>
              <w:top w:w="0" w:type="dxa"/>
              <w:bottom w:w="0" w:type="dxa"/>
            </w:tcMar>
            <w:vAlign w:val="center"/>
          </w:tcPr>
          <w:p>
            <w:pPr>
              <w:pStyle w:val="TableContents"/>
              <w:spacing w:before="0" w:after="283"/>
              <w:rPr/>
            </w:pPr>
            <w:r>
              <w:rPr/>
              <w:t> </w:t>
            </w:r>
          </w:p>
        </w:tc>
        <w:tc>
          <w:tcPr>
            <w:tcW w:w="2849" w:type="dxa"/>
            <w:tcBorders/>
            <w:shd w:fill="CCEEFF" w:val="clear"/>
            <w:tcMar>
              <w:top w:w="0" w:type="dxa"/>
              <w:bottom w:w="0" w:type="dxa"/>
            </w:tcMar>
            <w:vAlign w:val="center"/>
          </w:tcPr>
          <w:p>
            <w:pPr>
              <w:pStyle w:val="TableContents"/>
              <w:spacing w:before="0" w:after="0"/>
              <w:rPr>
                <w:color w:val="000000"/>
              </w:rPr>
            </w:pPr>
            <w:r>
              <w:rPr>
                <w:color w:val="000000"/>
              </w:rPr>
              <w:t>Biopharmanceuticals</w:t>
            </w:r>
          </w:p>
        </w:tc>
        <w:tc>
          <w:tcPr>
            <w:tcW w:w="60" w:type="dxa"/>
            <w:tcBorders/>
            <w:shd w:fill="CCEEFF" w:val="clear"/>
            <w:tcMar>
              <w:top w:w="0" w:type="dxa"/>
              <w:bottom w:w="0" w:type="dxa"/>
            </w:tcMar>
            <w:vAlign w:val="center"/>
          </w:tcPr>
          <w:p>
            <w:pPr>
              <w:pStyle w:val="TableContents"/>
              <w:spacing w:before="0" w:after="283"/>
              <w:rPr/>
            </w:pPr>
            <w:r>
              <w:rPr/>
              <w:t> </w:t>
            </w:r>
          </w:p>
        </w:tc>
        <w:tc>
          <w:tcPr>
            <w:tcW w:w="2830" w:type="dxa"/>
            <w:tcBorders/>
            <w:shd w:fill="CCEEFF" w:val="clear"/>
            <w:tcMar>
              <w:top w:w="0" w:type="dxa"/>
              <w:bottom w:w="0" w:type="dxa"/>
            </w:tcMar>
            <w:vAlign w:val="center"/>
          </w:tcPr>
          <w:p>
            <w:pPr>
              <w:pStyle w:val="TableContents"/>
              <w:spacing w:before="0" w:after="0"/>
              <w:rPr>
                <w:color w:val="000000"/>
              </w:rPr>
            </w:pPr>
            <w:r>
              <w:rPr>
                <w:color w:val="000000"/>
              </w:rPr>
              <w:t>Director</w:t>
            </w:r>
          </w:p>
        </w:tc>
      </w:tr>
      <w:tr>
        <w:trPr/>
        <w:tc>
          <w:tcPr>
            <w:tcW w:w="1736" w:type="dxa"/>
            <w:tcBorders>
              <w:bottom w:val="single" w:sz="12" w:space="0" w:color="000000"/>
            </w:tcBorders>
            <w:shd w:fill="auto" w:val="clear"/>
            <w:tcMar>
              <w:top w:w="0" w:type="dxa"/>
            </w:tcMar>
            <w:vAlign w:val="center"/>
          </w:tcPr>
          <w:p>
            <w:pPr>
              <w:pStyle w:val="TableContents"/>
              <w:spacing w:before="0" w:after="283"/>
              <w:rPr/>
            </w:pPr>
            <w:r>
              <w:rPr/>
              <w:t> </w:t>
            </w:r>
          </w:p>
        </w:tc>
        <w:tc>
          <w:tcPr>
            <w:tcW w:w="60" w:type="dxa"/>
            <w:tcBorders/>
            <w:shd w:fill="auto" w:val="clear"/>
            <w:tcMar>
              <w:top w:w="0" w:type="dxa"/>
              <w:bottom w:w="0" w:type="dxa"/>
            </w:tcMar>
            <w:vAlign w:val="center"/>
          </w:tcPr>
          <w:p>
            <w:pPr>
              <w:pStyle w:val="TableContents"/>
              <w:spacing w:before="0" w:after="283"/>
              <w:rPr/>
            </w:pPr>
            <w:r>
              <w:rPr/>
              <w:t> </w:t>
            </w:r>
          </w:p>
        </w:tc>
        <w:tc>
          <w:tcPr>
            <w:tcW w:w="2610" w:type="dxa"/>
            <w:tcBorders>
              <w:bottom w:val="single" w:sz="12" w:space="0" w:color="000000"/>
            </w:tcBorders>
            <w:shd w:fill="auto" w:val="clear"/>
            <w:tcMar>
              <w:top w:w="0" w:type="dxa"/>
            </w:tcMar>
            <w:vAlign w:val="center"/>
          </w:tcPr>
          <w:p>
            <w:pPr>
              <w:pStyle w:val="TableContents"/>
              <w:spacing w:before="0" w:after="0"/>
              <w:rPr>
                <w:color w:val="000000"/>
              </w:rPr>
            </w:pPr>
            <w:r>
              <w:rPr>
                <w:color w:val="000000"/>
              </w:rPr>
              <w:t>Silverback Therapeutics Inc.</w:t>
            </w:r>
          </w:p>
        </w:tc>
        <w:tc>
          <w:tcPr>
            <w:tcW w:w="60" w:type="dxa"/>
            <w:tcBorders/>
            <w:shd w:fill="auto" w:val="clear"/>
            <w:tcMar>
              <w:top w:w="0" w:type="dxa"/>
              <w:bottom w:w="0" w:type="dxa"/>
            </w:tcMar>
            <w:vAlign w:val="center"/>
          </w:tcPr>
          <w:p>
            <w:pPr>
              <w:pStyle w:val="TableContents"/>
              <w:spacing w:before="0" w:after="283"/>
              <w:rPr/>
            </w:pPr>
            <w:r>
              <w:rPr/>
              <w:t> </w:t>
            </w:r>
          </w:p>
        </w:tc>
        <w:tc>
          <w:tcPr>
            <w:tcW w:w="2849" w:type="dxa"/>
            <w:tcBorders>
              <w:bottom w:val="single" w:sz="12" w:space="0" w:color="000000"/>
            </w:tcBorders>
            <w:shd w:fill="auto" w:val="clear"/>
            <w:tcMar>
              <w:top w:w="0" w:type="dxa"/>
            </w:tcMar>
            <w:vAlign w:val="center"/>
          </w:tcPr>
          <w:p>
            <w:pPr>
              <w:pStyle w:val="TableContents"/>
              <w:spacing w:before="0" w:after="0"/>
              <w:rPr>
                <w:color w:val="000000"/>
              </w:rPr>
            </w:pPr>
            <w:r>
              <w:rPr>
                <w:color w:val="000000"/>
              </w:rPr>
              <w:t>Biopharmaceuticals</w:t>
            </w:r>
          </w:p>
        </w:tc>
        <w:tc>
          <w:tcPr>
            <w:tcW w:w="60" w:type="dxa"/>
            <w:tcBorders/>
            <w:shd w:fill="auto" w:val="clear"/>
            <w:tcMar>
              <w:top w:w="0" w:type="dxa"/>
              <w:bottom w:w="0" w:type="dxa"/>
            </w:tcMar>
            <w:vAlign w:val="center"/>
          </w:tcPr>
          <w:p>
            <w:pPr>
              <w:pStyle w:val="TableContents"/>
              <w:spacing w:before="0" w:after="283"/>
              <w:rPr/>
            </w:pPr>
            <w:r>
              <w:rPr/>
              <w:t> </w:t>
            </w:r>
          </w:p>
        </w:tc>
        <w:tc>
          <w:tcPr>
            <w:tcW w:w="2830" w:type="dxa"/>
            <w:tcBorders>
              <w:bottom w:val="single" w:sz="12" w:space="0" w:color="000000"/>
            </w:tcBorders>
            <w:shd w:fill="auto" w:val="clear"/>
            <w:tcMar>
              <w:top w:w="0" w:type="dxa"/>
            </w:tcMar>
            <w:vAlign w:val="center"/>
          </w:tcPr>
          <w:p>
            <w:pPr>
              <w:pStyle w:val="TableContents"/>
              <w:spacing w:before="0" w:after="0"/>
              <w:rPr>
                <w:color w:val="000000"/>
              </w:rPr>
            </w:pPr>
            <w:r>
              <w:rPr>
                <w:color w:val="000000"/>
              </w:rPr>
              <w:t>Director</w:t>
            </w:r>
          </w:p>
        </w:tc>
      </w:tr>
    </w:tbl>
    <w:p>
      <w:pPr>
        <w:pStyle w:val="TextBody"/>
        <w:spacing w:before="0" w:after="0"/>
        <w:rPr/>
      </w:pPr>
      <w:r>
        <w:rPr/>
      </w:r>
    </w:p>
    <w:p>
      <w:pPr>
        <w:pStyle w:val="TextBody"/>
        <w:spacing w:before="0" w:after="0"/>
        <w:jc w:val="both"/>
        <w:rPr>
          <w:color w:val="000000"/>
        </w:rPr>
      </w:pPr>
      <w:r>
        <w:rPr>
          <w:color w:val="000000"/>
        </w:rPr>
        <w:t>Potential investors should also be aware of the following other potential conflicts of interest:</w:t>
      </w:r>
    </w:p>
    <w:p>
      <w:pPr>
        <w:pStyle w:val="TextBody"/>
        <w:spacing w:before="0" w:after="0"/>
        <w:jc w:val="both"/>
        <w:rPr>
          <w:color w:val="000000"/>
        </w:rPr>
      </w:pPr>
      <w:r>
        <w:rPr>
          <w:color w:val="000000"/>
        </w:rPr>
      </w:r>
    </w:p>
    <w:p>
      <w:pPr>
        <w:pStyle w:val="Normal"/>
        <w:spacing w:before="0" w:after="0"/>
        <w:rPr>
          <w:sz w:val="4"/>
          <w:szCs w:val="4"/>
        </w:rPr>
      </w:pPr>
      <w:r>
        <w:rPr>
          <w:sz w:val="4"/>
          <w:szCs w:val="4"/>
        </w:rPr>
      </w:r>
      <w:bookmarkStart w:id="803" w:name="za30a76215532431e9836592ba38eded1"/>
      <w:bookmarkStart w:id="804" w:name="za30a76215532431e9836592ba38eded1"/>
      <w:bookmarkEnd w:id="80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05" w:name="DSPFPageBreakArea64"/>
      <w:bookmarkStart w:id="806" w:name="DSPFPageBreakArea64"/>
      <w:bookmarkEnd w:id="8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807" w:name="DSPFPageNumber63"/>
      <w:bookmarkStart w:id="808" w:name="DSPFPageNumberArea62"/>
      <w:bookmarkEnd w:id="807"/>
      <w:bookmarkEnd w:id="808"/>
      <w:r>
        <w:rPr>
          <w:b w:val="false"/>
          <w:i w:val="false"/>
          <w:caps w:val="false"/>
          <w:smallCaps w:val="false"/>
          <w:color w:val="000000"/>
          <w:sz w:val="16"/>
        </w:rPr>
        <w:t>66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09" w:name="DSPFPageBreak64"/>
      <w:bookmarkStart w:id="810" w:name="DSPFPageBreak64"/>
      <w:bookmarkEnd w:id="8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811" w:name="DSPFPageHeader62"/>
        <w:bookmarkEnd w:id="811"/>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812" w:name="z8993aed4245146f4aeed95fa1a96d9de"/>
      <w:bookmarkStart w:id="813" w:name="z8993aed4245146f4aeed95fa1a96d9de"/>
      <w:bookmarkEnd w:id="813"/>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Our sponsor subscribed for founder shares prior to the date of this prospectus and purchased private placement shares in a transaction that closed simultaneously with the closing of our Initial Public Offering. In July 2020, our sponsor transferred 30,000 founder shares to each of Bradley L. Campbell, Saqib Islam and Todd Wider. Our sponsor and our management team have entered into an agreement with us, pursuant to which they have agreed to waive their redemption rights with respect to their founder shares, private placement shares and any public shares purchased during or after our Initial Public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required time period. If we do not complete our initial business combination within the required time period, the private placement shares will be worthless. Except as described herein, our sponsor and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With certain limited exceptions, the private placement shares will not be transferable until 30 days following the completion of our initial business combination. Because each of our executive officers and director will own ordinary shares directly or indirectly, they may have a conflict of interest in determining whether a particular target business is an appropriate business with which to effectuate our initial business combination.</w:t>
            </w:r>
          </w:p>
        </w:tc>
      </w:tr>
    </w:tbl>
    <w:p>
      <w:pPr>
        <w:pStyle w:val="Normal"/>
        <w:spacing w:before="0" w:after="0"/>
        <w:rPr>
          <w:sz w:val="4"/>
          <w:szCs w:val="4"/>
        </w:rPr>
      </w:pPr>
      <w:r>
        <w:rPr>
          <w:sz w:val="4"/>
          <w:szCs w:val="4"/>
        </w:rPr>
      </w:r>
      <w:bookmarkStart w:id="814" w:name="zb7cc1b1a64c24f32a0cf365bb19e30f7"/>
      <w:bookmarkStart w:id="815" w:name="zb7cc1b1a64c24f32a0cf365bb19e30f7"/>
      <w:bookmarkEnd w:id="815"/>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tc>
      </w:tr>
    </w:tbl>
    <w:p>
      <w:pPr>
        <w:pStyle w:val="TextBody"/>
        <w:spacing w:before="0" w:after="0"/>
        <w:rPr/>
      </w:pPr>
      <w:r>
        <w:rPr/>
      </w:r>
    </w:p>
    <w:p>
      <w:pPr>
        <w:pStyle w:val="TextBody"/>
        <w:spacing w:before="0" w:after="0"/>
        <w:jc w:val="both"/>
        <w:rPr/>
      </w:pPr>
      <w:r>
        <w:rPr/>
        <w:t>We are not prohibited from pursuing an initial business combination or subsequent transaction with a company that is affiliated with Perceptive Advisors or our sponsor, founders, officers or directors. In the event we seek to complete our initial business combination with a company that is affiliated with Perceptive Advisors, our sponsor or any of our founders, officers or directors, we, or a committee of independent directors, will obtain an opinion from an independent investment banking firm or an independent valuation or accounting firm that such initial business combination or transaction is fair to our company from a financial point of view. We are not required to obtain such an opinion in any other context. Furthermore, in no event will our sponsor or any of our existing officers or directors, or any of their respective affiliates, be paid by us any finder’s fee, consulting fee or other compensation prior to, or for any services they render in order to effectuate, the completion of our initial business combination. Further, on the effective date of the registration statement relating to our Initial Public Offering, we reimburse our sponsor for office space, secretarial and administrative services provided to us in the amount of $10,000 per month.</w:t>
      </w:r>
    </w:p>
    <w:p>
      <w:pPr>
        <w:pStyle w:val="TextBody"/>
        <w:spacing w:before="0" w:after="0"/>
        <w:jc w:val="both"/>
        <w:rPr/>
      </w:pPr>
      <w:r>
        <w:rPr/>
      </w:r>
    </w:p>
    <w:p>
      <w:pPr>
        <w:pStyle w:val="TextBody"/>
        <w:spacing w:before="0" w:after="0"/>
        <w:jc w:val="both"/>
        <w:rPr/>
      </w:pPr>
      <w:r>
        <w:rPr/>
        <w:t>We cannot assure you that any of the above mentioned conflicts will be resolved in our favor.</w:t>
      </w:r>
    </w:p>
    <w:p>
      <w:pPr>
        <w:pStyle w:val="TextBody"/>
        <w:spacing w:before="0" w:after="0"/>
        <w:jc w:val="both"/>
        <w:rPr/>
      </w:pPr>
      <w:r>
        <w:rPr/>
      </w:r>
    </w:p>
    <w:p>
      <w:pPr>
        <w:pStyle w:val="TextBody"/>
        <w:spacing w:before="0" w:after="0"/>
        <w:jc w:val="both"/>
        <w:rPr/>
      </w:pPr>
      <w:r>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our Initial Public Offering in favor of our initial business combination.</w:t>
      </w:r>
    </w:p>
    <w:p>
      <w:pPr>
        <w:pStyle w:val="TextBody"/>
        <w:spacing w:before="0" w:after="0"/>
        <w:jc w:val="both"/>
        <w:rPr/>
      </w:pPr>
      <w:r>
        <w:rPr/>
      </w:r>
    </w:p>
    <w:p>
      <w:pPr>
        <w:pStyle w:val="TextBody"/>
        <w:spacing w:before="0" w:after="0"/>
        <w:rPr>
          <w:b/>
          <w:color w:val="000000"/>
        </w:rPr>
      </w:pPr>
      <w:r>
        <w:rPr>
          <w:b/>
          <w:color w:val="000000"/>
        </w:rPr>
        <w:t>Limitation on Liability and Indemnification of Officers and Directors</w:t>
      </w:r>
    </w:p>
    <w:p>
      <w:pPr>
        <w:pStyle w:val="TextBody"/>
        <w:spacing w:before="0" w:after="0"/>
        <w:rPr>
          <w:b/>
          <w:color w:val="000000"/>
        </w:rPr>
      </w:pPr>
      <w:r>
        <w:rPr>
          <w:b/>
          <w:color w:val="000000"/>
        </w:rPr>
      </w:r>
    </w:p>
    <w:p>
      <w:pPr>
        <w:pStyle w:val="TextBody"/>
        <w:spacing w:before="0" w:after="0"/>
        <w:jc w:val="both"/>
        <w:rPr>
          <w:color w:val="000000"/>
        </w:rPr>
      </w:pPr>
      <w:r>
        <w:rPr>
          <w:color w:val="00000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entered into agreements with our directors and officers to provide contractual indemnification in addition to the indemnification provided for in our amended and restated memorandum and articles of association. We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16" w:name="DSPFPageBreakArea65"/>
      <w:bookmarkStart w:id="817" w:name="DSPFPageBreakArea65"/>
      <w:bookmarkEnd w:id="8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818" w:name="DSPFPageNumber64"/>
      <w:bookmarkStart w:id="819" w:name="DSPFPageNumberArea63"/>
      <w:bookmarkEnd w:id="818"/>
      <w:bookmarkEnd w:id="819"/>
      <w:r>
        <w:rPr>
          <w:b w:val="false"/>
          <w:i w:val="false"/>
          <w:caps w:val="false"/>
          <w:smallCaps w:val="false"/>
          <w:color w:val="000000"/>
          <w:sz w:val="16"/>
        </w:rPr>
        <w:t>67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20" w:name="DSPFPageBreak65"/>
      <w:bookmarkStart w:id="821" w:name="DSPFPageBreak65"/>
      <w:bookmarkEnd w:id="8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822" w:name="DSPFPageHeader63"/>
        <w:bookmarkEnd w:id="822"/>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pStyle w:val="TextBody"/>
        <w:spacing w:before="0" w:after="0"/>
        <w:rPr/>
      </w:pPr>
      <w:r>
        <w:rPr/>
      </w:r>
    </w:p>
    <w:p>
      <w:pPr>
        <w:pStyle w:val="TextBody"/>
        <w:spacing w:before="0" w:after="0"/>
        <w:jc w:val="both"/>
        <w:rPr>
          <w:color w:val="000000"/>
        </w:rPr>
      </w:pPr>
      <w:r>
        <w:rPr>
          <w:color w:val="000000"/>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pStyle w:val="TextBody"/>
        <w:spacing w:before="0" w:after="0"/>
        <w:rPr/>
      </w:pPr>
      <w:r>
        <w:rPr/>
      </w:r>
    </w:p>
    <w:p>
      <w:pPr>
        <w:pStyle w:val="TextBody"/>
        <w:spacing w:before="0" w:after="0"/>
        <w:jc w:val="both"/>
        <w:rPr>
          <w:color w:val="000000"/>
        </w:rPr>
      </w:pPr>
      <w:r>
        <w:rPr>
          <w:color w:val="000000"/>
        </w:rPr>
        <w:t>We believe that these provisions, the insurance and the indemnity agreements are necessary to attract and retain talented and experienced officers and directors.</w:t>
      </w:r>
    </w:p>
    <w:p>
      <w:pPr>
        <w:pStyle w:val="TextBody"/>
        <w:spacing w:before="0" w:after="0"/>
        <w:rPr/>
      </w:pPr>
      <w:r>
        <w:rPr/>
      </w:r>
    </w:p>
    <w:p>
      <w:pPr>
        <w:pStyle w:val="Normal"/>
        <w:spacing w:before="0" w:after="0"/>
        <w:rPr>
          <w:sz w:val="4"/>
          <w:szCs w:val="4"/>
        </w:rPr>
      </w:pPr>
      <w:r>
        <w:rPr>
          <w:sz w:val="4"/>
          <w:szCs w:val="4"/>
        </w:rPr>
      </w:r>
      <w:bookmarkStart w:id="823" w:name="z916bb443c1db4801aee1dff142ad31f8"/>
      <w:bookmarkStart w:id="824" w:name="z916bb443c1db4801aee1dff142ad31f8"/>
      <w:bookmarkEnd w:id="824"/>
    </w:p>
    <w:tbl>
      <w:tblPr>
        <w:tblW w:w="3415" w:type="dxa"/>
        <w:jc w:val="left"/>
        <w:tblInd w:w="0" w:type="dxa"/>
        <w:tblCellMar>
          <w:top w:w="0" w:type="dxa"/>
          <w:left w:w="0" w:type="dxa"/>
          <w:bottom w:w="0" w:type="dxa"/>
          <w:right w:w="0" w:type="dxa"/>
        </w:tblCellMar>
      </w:tblPr>
      <w:tblGrid>
        <w:gridCol w:w="860"/>
        <w:gridCol w:w="2555"/>
      </w:tblGrid>
      <w:tr>
        <w:trPr/>
        <w:tc>
          <w:tcPr>
            <w:tcW w:w="860" w:type="dxa"/>
            <w:tcBorders/>
            <w:shd w:fill="auto" w:val="clear"/>
            <w:vAlign w:val="center"/>
          </w:tcPr>
          <w:p>
            <w:pPr>
              <w:pStyle w:val="TableContents"/>
              <w:spacing w:before="0" w:after="0"/>
              <w:jc w:val="both"/>
              <w:rPr>
                <w:b/>
              </w:rPr>
            </w:pPr>
            <w:bookmarkStart w:id="825" w:name="Item11"/>
            <w:bookmarkEnd w:id="825"/>
            <w:r>
              <w:rPr>
                <w:b/>
              </w:rPr>
              <w:t>Item 11.</w:t>
            </w:r>
          </w:p>
        </w:tc>
        <w:tc>
          <w:tcPr>
            <w:tcW w:w="2555" w:type="dxa"/>
            <w:tcBorders/>
            <w:shd w:fill="auto" w:val="clear"/>
            <w:vAlign w:val="center"/>
          </w:tcPr>
          <w:p>
            <w:pPr>
              <w:pStyle w:val="TableContents"/>
              <w:spacing w:before="0" w:after="0"/>
              <w:jc w:val="both"/>
              <w:rPr>
                <w:b/>
              </w:rPr>
            </w:pPr>
            <w:r>
              <w:rPr>
                <w:b/>
              </w:rPr>
              <w:t>Executive Compensation</w:t>
            </w:r>
          </w:p>
        </w:tc>
      </w:tr>
    </w:tbl>
    <w:p>
      <w:pPr>
        <w:pStyle w:val="TextBody"/>
        <w:spacing w:before="0" w:after="0"/>
        <w:rPr/>
      </w:pPr>
      <w:r>
        <w:rPr/>
      </w:r>
    </w:p>
    <w:p>
      <w:pPr>
        <w:pStyle w:val="TextBody"/>
        <w:spacing w:before="0" w:after="0"/>
        <w:rPr>
          <w:b/>
          <w:color w:val="000000"/>
        </w:rPr>
      </w:pPr>
      <w:r>
        <w:rPr>
          <w:b/>
          <w:color w:val="000000"/>
        </w:rPr>
        <w:t>Executive Officer and Director Compensation</w:t>
      </w:r>
    </w:p>
    <w:p>
      <w:pPr>
        <w:pStyle w:val="TextBody"/>
        <w:spacing w:before="0" w:after="0"/>
        <w:rPr/>
      </w:pPr>
      <w:r>
        <w:rPr/>
      </w:r>
    </w:p>
    <w:p>
      <w:pPr>
        <w:pStyle w:val="TextBody"/>
        <w:spacing w:before="0" w:after="0"/>
        <w:jc w:val="both"/>
        <w:rPr>
          <w:color w:val="000000"/>
        </w:rPr>
      </w:pPr>
      <w:r>
        <w:rPr>
          <w:color w:val="000000"/>
        </w:rPr>
        <w:t>In July 2020, our sponsor transferred 30,000 founder shares to each of Messrs. Campbell, Islam and Wider. None of our executive officers or directors have received any cash compensation for services rendered to us. Commencing on the date that our securities are first listed on the Nasdaq through the earlier of consummation of our initial business combination and our liquidation, we will reimburse our sponsor for office space, secretarial and administrative services provided to us in the amount of $10,000 per month.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by us to our sponsor, executive officers or directors, or our or their affiliates. Any such payments prior to an initial business combination are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is paid by the company to our sponsor, executive officers and directors, or any of their respective affiliates, prior to completion of our initial business combination.</w:t>
      </w:r>
    </w:p>
    <w:p>
      <w:pPr>
        <w:pStyle w:val="TextBody"/>
        <w:spacing w:before="0" w:after="0"/>
        <w:rPr/>
      </w:pPr>
      <w:r>
        <w:rPr/>
      </w:r>
    </w:p>
    <w:p>
      <w:pPr>
        <w:pStyle w:val="TextBody"/>
        <w:spacing w:before="0" w:after="0"/>
        <w:jc w:val="both"/>
        <w:rPr>
          <w:color w:val="000000"/>
        </w:rPr>
      </w:pPr>
      <w:r>
        <w:rPr>
          <w:color w:val="000000"/>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pStyle w:val="TextBody"/>
        <w:spacing w:before="0" w:after="0"/>
        <w:rPr/>
      </w:pPr>
      <w:r>
        <w:rPr/>
      </w:r>
    </w:p>
    <w:p>
      <w:pPr>
        <w:pStyle w:val="TextBody"/>
        <w:spacing w:before="0" w:after="0"/>
        <w:jc w:val="both"/>
        <w:rPr>
          <w:color w:val="000000"/>
        </w:rPr>
      </w:pPr>
      <w:r>
        <w:rPr>
          <w:color w:val="000000"/>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26" w:name="DSPFPageBreakArea66"/>
      <w:bookmarkStart w:id="827" w:name="DSPFPageBreakArea66"/>
      <w:bookmarkEnd w:id="8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828" w:name="DSPFPageNumber65"/>
      <w:bookmarkStart w:id="829" w:name="DSPFPageNumberArea64"/>
      <w:bookmarkEnd w:id="828"/>
      <w:bookmarkEnd w:id="829"/>
      <w:r>
        <w:rPr>
          <w:b w:val="false"/>
          <w:i w:val="false"/>
          <w:caps w:val="false"/>
          <w:smallCaps w:val="false"/>
          <w:color w:val="000000"/>
          <w:sz w:val="16"/>
        </w:rPr>
        <w:t>68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30" w:name="DSPFPageBreak66"/>
      <w:bookmarkStart w:id="831" w:name="DSPFPageBreak66"/>
      <w:bookmarkEnd w:id="8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832" w:name="DSPFPageHeader64"/>
        <w:bookmarkEnd w:id="832"/>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833" w:name="z7a96e86a02274de0b1dd752483576dc4"/>
      <w:bookmarkStart w:id="834" w:name="z7a96e86a02274de0b1dd752483576dc4"/>
      <w:bookmarkEnd w:id="834"/>
    </w:p>
    <w:tbl>
      <w:tblPr>
        <w:tblW w:w="10205" w:type="dxa"/>
        <w:jc w:val="left"/>
        <w:tblInd w:w="0" w:type="dxa"/>
        <w:tblCellMar>
          <w:top w:w="0" w:type="dxa"/>
          <w:left w:w="0" w:type="dxa"/>
          <w:bottom w:w="0" w:type="dxa"/>
          <w:right w:w="0" w:type="dxa"/>
        </w:tblCellMar>
      </w:tblPr>
      <w:tblGrid>
        <w:gridCol w:w="820"/>
        <w:gridCol w:w="9385"/>
      </w:tblGrid>
      <w:tr>
        <w:trPr/>
        <w:tc>
          <w:tcPr>
            <w:tcW w:w="820" w:type="dxa"/>
            <w:tcBorders/>
            <w:shd w:fill="auto" w:val="clear"/>
            <w:vAlign w:val="center"/>
          </w:tcPr>
          <w:p>
            <w:pPr>
              <w:pStyle w:val="TableContents"/>
              <w:spacing w:before="0" w:after="0"/>
              <w:jc w:val="both"/>
              <w:rPr>
                <w:b/>
              </w:rPr>
            </w:pPr>
            <w:bookmarkStart w:id="835" w:name="Item12."/>
            <w:bookmarkEnd w:id="835"/>
            <w:r>
              <w:rPr>
                <w:b/>
              </w:rPr>
              <w:t>Item 12.</w:t>
            </w:r>
          </w:p>
        </w:tc>
        <w:tc>
          <w:tcPr>
            <w:tcW w:w="9385" w:type="dxa"/>
            <w:tcBorders/>
            <w:shd w:fill="auto" w:val="clear"/>
            <w:vAlign w:val="center"/>
          </w:tcPr>
          <w:p>
            <w:pPr>
              <w:pStyle w:val="TableContents"/>
              <w:spacing w:before="0" w:after="0"/>
              <w:jc w:val="both"/>
              <w:rPr>
                <w:b/>
              </w:rPr>
            </w:pPr>
            <w:r>
              <w:rPr>
                <w:b/>
              </w:rPr>
              <w:t>Security Ownership of Certain Beneficial Owners and Management and Related Shareholder Matters</w:t>
            </w:r>
          </w:p>
        </w:tc>
      </w:tr>
    </w:tbl>
    <w:p>
      <w:pPr>
        <w:pStyle w:val="TextBody"/>
        <w:spacing w:before="0" w:after="0"/>
        <w:rPr/>
      </w:pPr>
      <w:r>
        <w:rPr/>
      </w:r>
    </w:p>
    <w:p>
      <w:pPr>
        <w:pStyle w:val="TextBody"/>
        <w:spacing w:before="0" w:after="0"/>
        <w:jc w:val="both"/>
        <w:rPr/>
      </w:pPr>
      <w:r>
        <w:rPr/>
        <w:t>The following table sets forth information regarding the beneficial ownership of our ordinary shares as of December 31, 2020 based on information obtained from the persons named below, with respect to the beneficial ownership of our ordinary shares, by:</w:t>
      </w:r>
    </w:p>
    <w:p>
      <w:pPr>
        <w:pStyle w:val="TextBody"/>
        <w:spacing w:before="0" w:after="0"/>
        <w:rPr/>
      </w:pPr>
      <w:r>
        <w:rPr/>
      </w:r>
    </w:p>
    <w:p>
      <w:pPr>
        <w:pStyle w:val="Normal"/>
        <w:spacing w:before="0" w:after="0"/>
        <w:rPr>
          <w:sz w:val="4"/>
          <w:szCs w:val="4"/>
        </w:rPr>
      </w:pPr>
      <w:r>
        <w:rPr>
          <w:sz w:val="4"/>
          <w:szCs w:val="4"/>
        </w:rPr>
      </w:r>
      <w:bookmarkStart w:id="836" w:name="z094b25f133cb4a40ba3238cee3d9d815"/>
      <w:bookmarkStart w:id="837" w:name="z094b25f133cb4a40ba3238cee3d9d815"/>
      <w:bookmarkEnd w:id="837"/>
    </w:p>
    <w:tbl>
      <w:tblPr>
        <w:tblW w:w="10083" w:type="dxa"/>
        <w:jc w:val="left"/>
        <w:tblInd w:w="0" w:type="dxa"/>
        <w:tblCellMar>
          <w:top w:w="0" w:type="dxa"/>
          <w:left w:w="0" w:type="dxa"/>
          <w:bottom w:w="0" w:type="dxa"/>
          <w:right w:w="0" w:type="dxa"/>
        </w:tblCellMar>
      </w:tblPr>
      <w:tblGrid>
        <w:gridCol w:w="38"/>
        <w:gridCol w:w="110"/>
        <w:gridCol w:w="993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935" w:type="dxa"/>
            <w:tcBorders/>
            <w:shd w:fill="auto" w:val="clear"/>
            <w:vAlign w:val="center"/>
          </w:tcPr>
          <w:p>
            <w:pPr>
              <w:pStyle w:val="TableContents"/>
              <w:spacing w:before="0" w:after="0"/>
              <w:jc w:val="both"/>
              <w:rPr/>
            </w:pPr>
            <w:r>
              <w:rPr/>
              <w:t>each person known by us to be the beneficial owner of more than 5% of our outstanding ordinary shares;</w:t>
            </w:r>
          </w:p>
        </w:tc>
      </w:tr>
    </w:tbl>
    <w:p>
      <w:pPr>
        <w:pStyle w:val="Normal"/>
        <w:spacing w:before="0" w:after="0"/>
        <w:rPr>
          <w:sz w:val="4"/>
          <w:szCs w:val="4"/>
        </w:rPr>
      </w:pPr>
      <w:r>
        <w:rPr>
          <w:sz w:val="4"/>
          <w:szCs w:val="4"/>
        </w:rPr>
      </w:r>
      <w:bookmarkStart w:id="838" w:name="z305cf0604ab04ff58a39c8dc63e4cd16"/>
      <w:bookmarkStart w:id="839" w:name="z305cf0604ab04ff58a39c8dc63e4cd16"/>
      <w:bookmarkEnd w:id="839"/>
    </w:p>
    <w:tbl>
      <w:tblPr>
        <w:tblW w:w="8718" w:type="dxa"/>
        <w:jc w:val="left"/>
        <w:tblInd w:w="0" w:type="dxa"/>
        <w:tblCellMar>
          <w:top w:w="0" w:type="dxa"/>
          <w:left w:w="0" w:type="dxa"/>
          <w:bottom w:w="0" w:type="dxa"/>
          <w:right w:w="0" w:type="dxa"/>
        </w:tblCellMar>
      </w:tblPr>
      <w:tblGrid>
        <w:gridCol w:w="38"/>
        <w:gridCol w:w="110"/>
        <w:gridCol w:w="857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570" w:type="dxa"/>
            <w:tcBorders/>
            <w:shd w:fill="auto" w:val="clear"/>
            <w:vAlign w:val="center"/>
          </w:tcPr>
          <w:p>
            <w:pPr>
              <w:pStyle w:val="TableContents"/>
              <w:spacing w:before="0" w:after="0"/>
              <w:jc w:val="both"/>
              <w:rPr/>
            </w:pPr>
            <w:r>
              <w:rPr/>
              <w:t>each of our executive officers and directors that beneficially owns our ordinary shares; and</w:t>
            </w:r>
          </w:p>
        </w:tc>
      </w:tr>
    </w:tbl>
    <w:p>
      <w:pPr>
        <w:pStyle w:val="Normal"/>
        <w:spacing w:before="0" w:after="0"/>
        <w:rPr>
          <w:sz w:val="4"/>
          <w:szCs w:val="4"/>
        </w:rPr>
      </w:pPr>
      <w:r>
        <w:rPr>
          <w:sz w:val="4"/>
          <w:szCs w:val="4"/>
        </w:rPr>
      </w:r>
      <w:bookmarkStart w:id="840" w:name="za20c147772284f9fb8626d8fe2495d52"/>
      <w:bookmarkStart w:id="841" w:name="za20c147772284f9fb8626d8fe2495d52"/>
      <w:bookmarkEnd w:id="841"/>
    </w:p>
    <w:tbl>
      <w:tblPr>
        <w:tblW w:w="4878" w:type="dxa"/>
        <w:jc w:val="left"/>
        <w:tblInd w:w="0" w:type="dxa"/>
        <w:tblCellMar>
          <w:top w:w="0" w:type="dxa"/>
          <w:left w:w="0" w:type="dxa"/>
          <w:bottom w:w="0" w:type="dxa"/>
          <w:right w:w="0" w:type="dxa"/>
        </w:tblCellMar>
      </w:tblPr>
      <w:tblGrid>
        <w:gridCol w:w="38"/>
        <w:gridCol w:w="110"/>
        <w:gridCol w:w="47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730" w:type="dxa"/>
            <w:tcBorders/>
            <w:shd w:fill="auto" w:val="clear"/>
            <w:vAlign w:val="center"/>
          </w:tcPr>
          <w:p>
            <w:pPr>
              <w:pStyle w:val="TableContents"/>
              <w:spacing w:before="0" w:after="0"/>
              <w:jc w:val="both"/>
              <w:rPr/>
            </w:pPr>
            <w:r>
              <w:rPr/>
              <w:t>all our executive officers and directors as a group.</w:t>
            </w:r>
          </w:p>
        </w:tc>
      </w:tr>
    </w:tbl>
    <w:p>
      <w:pPr>
        <w:pStyle w:val="TextBody"/>
        <w:spacing w:before="0" w:after="0"/>
        <w:rPr/>
      </w:pPr>
      <w:r>
        <w:rPr/>
      </w:r>
    </w:p>
    <w:p>
      <w:pPr>
        <w:pStyle w:val="TextBody"/>
        <w:spacing w:before="0" w:after="0"/>
        <w:jc w:val="both"/>
        <w:rPr/>
      </w:pPr>
      <w:r>
        <w:rPr/>
        <w:t>In the table below, percentage ownership is based on 14,950,500, Class A ordinary shares, 499,000 private placement shares, and 3,737,500 Class B ordinary shares outstanding as of December 31, 2020. Voting power represents the combined voting power of Class A ordinary shares, private placement shares, and Class B ordinary shares owned beneficially by such person. On all matters to be voted upon, the holders of the Class A ordinary shares and the Class B ordinary shares vote together as a single class. Currently, all of the Class B ordinary shares are convertible into Class A ordinary shares on a one-for-one basis.</w:t>
      </w:r>
    </w:p>
    <w:p>
      <w:pPr>
        <w:pStyle w:val="TextBody"/>
        <w:spacing w:before="0" w:after="0"/>
        <w:rPr/>
      </w:pPr>
      <w:r>
        <w:rPr/>
      </w:r>
    </w:p>
    <w:p>
      <w:pPr>
        <w:pStyle w:val="Normal"/>
        <w:spacing w:before="0" w:after="0"/>
        <w:rPr>
          <w:sz w:val="4"/>
          <w:szCs w:val="4"/>
        </w:rPr>
      </w:pPr>
      <w:r>
        <w:rPr>
          <w:sz w:val="4"/>
          <w:szCs w:val="4"/>
        </w:rPr>
      </w:r>
      <w:bookmarkStart w:id="842" w:name="z77773c2e736449fbb299799e92505f90"/>
      <w:bookmarkStart w:id="843" w:name="z77773c2e736449fbb299799e92505f90"/>
      <w:bookmarkEnd w:id="843"/>
    </w:p>
    <w:tbl>
      <w:tblPr>
        <w:tblW w:w="10205" w:type="dxa"/>
        <w:jc w:val="left"/>
        <w:tblInd w:w="0" w:type="dxa"/>
        <w:tblCellMar>
          <w:top w:w="28" w:type="dxa"/>
          <w:left w:w="28" w:type="dxa"/>
          <w:bottom w:w="28" w:type="dxa"/>
          <w:right w:w="28" w:type="dxa"/>
        </w:tblCellMar>
      </w:tblPr>
      <w:tblGrid>
        <w:gridCol w:w="3190"/>
        <w:gridCol w:w="1570"/>
        <w:gridCol w:w="1398"/>
        <w:gridCol w:w="1218"/>
        <w:gridCol w:w="1413"/>
        <w:gridCol w:w="1416"/>
      </w:tblGrid>
      <w:tr>
        <w:trPr/>
        <w:tc>
          <w:tcPr>
            <w:tcW w:w="319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283"/>
              <w:rPr/>
            </w:pPr>
            <w:r>
              <w:rPr/>
              <w:t> </w:t>
            </w:r>
          </w:p>
        </w:tc>
        <w:tc>
          <w:tcPr>
            <w:tcW w:w="2968" w:type="dxa"/>
            <w:gridSpan w:val="2"/>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b/>
              </w:rPr>
            </w:pPr>
            <w:r>
              <w:rPr>
                <w:b/>
              </w:rPr>
              <w:t>Class B ordinary shares</w:t>
            </w:r>
          </w:p>
        </w:tc>
        <w:tc>
          <w:tcPr>
            <w:tcW w:w="2631" w:type="dxa"/>
            <w:gridSpan w:val="2"/>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b/>
              </w:rPr>
            </w:pPr>
            <w:r>
              <w:rPr>
                <w:b/>
              </w:rPr>
              <w:t>Class A ordinary shares</w:t>
            </w:r>
          </w:p>
        </w:tc>
        <w:tc>
          <w:tcPr>
            <w:tcW w:w="1416"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b/>
              </w:rPr>
            </w:pPr>
            <w:r>
              <w:rPr>
                <w:b/>
              </w:rPr>
              <w:t xml:space="preserve">Ordinary </w:t>
            </w:r>
          </w:p>
          <w:p>
            <w:pPr>
              <w:pStyle w:val="TableContents"/>
              <w:spacing w:before="0" w:after="0"/>
              <w:jc w:val="center"/>
              <w:rPr>
                <w:b/>
              </w:rPr>
            </w:pPr>
            <w:r>
              <w:rPr>
                <w:b/>
              </w:rPr>
              <w:t>shares</w:t>
            </w:r>
          </w:p>
        </w:tc>
      </w:tr>
      <w:tr>
        <w:trPr/>
        <w:tc>
          <w:tcPr>
            <w:tcW w:w="319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lineRule="auto" w:line="240" w:before="0" w:after="0"/>
              <w:rPr>
                <w:b/>
              </w:rPr>
            </w:pPr>
            <w:r>
              <w:rPr>
                <w:b/>
              </w:rPr>
              <w:t>Name of Beneficial Owners(1)</w:t>
            </w:r>
          </w:p>
        </w:tc>
        <w:tc>
          <w:tcPr>
            <w:tcW w:w="157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b/>
              </w:rPr>
            </w:pPr>
            <w:r>
              <w:rPr>
                <w:b/>
              </w:rPr>
              <w:t xml:space="preserve">Number of </w:t>
            </w:r>
          </w:p>
          <w:p>
            <w:pPr>
              <w:pStyle w:val="TableContents"/>
              <w:spacing w:before="0" w:after="0"/>
              <w:jc w:val="center"/>
              <w:rPr>
                <w:b/>
              </w:rPr>
            </w:pPr>
            <w:r>
              <w:rPr>
                <w:b/>
              </w:rPr>
              <w:t xml:space="preserve">Shares </w:t>
            </w:r>
          </w:p>
          <w:p>
            <w:pPr>
              <w:pStyle w:val="TableContents"/>
              <w:spacing w:before="0" w:after="0"/>
              <w:jc w:val="center"/>
              <w:rPr>
                <w:b/>
              </w:rPr>
            </w:pPr>
            <w:r>
              <w:rPr>
                <w:b/>
              </w:rPr>
              <w:t>Beneficially Owned</w:t>
            </w:r>
          </w:p>
        </w:tc>
        <w:tc>
          <w:tcPr>
            <w:tcW w:w="139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b/>
              </w:rPr>
            </w:pPr>
            <w:r>
              <w:rPr>
                <w:b/>
              </w:rPr>
              <w:t xml:space="preserve">Approximate </w:t>
            </w:r>
          </w:p>
          <w:p>
            <w:pPr>
              <w:pStyle w:val="TableContents"/>
              <w:spacing w:before="0" w:after="0"/>
              <w:jc w:val="center"/>
              <w:rPr>
                <w:b/>
              </w:rPr>
            </w:pPr>
            <w:r>
              <w:rPr>
                <w:b/>
              </w:rPr>
              <w:t>Percentage of</w:t>
            </w:r>
          </w:p>
          <w:p>
            <w:pPr>
              <w:pStyle w:val="TableContents"/>
              <w:spacing w:before="0" w:after="0"/>
              <w:jc w:val="center"/>
              <w:rPr>
                <w:b/>
              </w:rPr>
            </w:pPr>
            <w:r>
              <w:rPr>
                <w:b/>
              </w:rPr>
              <w:t>Class</w:t>
            </w:r>
          </w:p>
        </w:tc>
        <w:tc>
          <w:tcPr>
            <w:tcW w:w="121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b/>
              </w:rPr>
            </w:pPr>
            <w:r>
              <w:rPr>
                <w:b/>
              </w:rPr>
              <w:t xml:space="preserve">Number of </w:t>
            </w:r>
          </w:p>
          <w:p>
            <w:pPr>
              <w:pStyle w:val="TableContents"/>
              <w:spacing w:before="0" w:after="0"/>
              <w:jc w:val="center"/>
              <w:rPr>
                <w:b/>
              </w:rPr>
            </w:pPr>
            <w:r>
              <w:rPr>
                <w:b/>
              </w:rPr>
              <w:t xml:space="preserve">Shares </w:t>
            </w:r>
          </w:p>
          <w:p>
            <w:pPr>
              <w:pStyle w:val="TableContents"/>
              <w:spacing w:before="0" w:after="0"/>
              <w:jc w:val="center"/>
              <w:rPr>
                <w:b/>
              </w:rPr>
            </w:pPr>
            <w:r>
              <w:rPr>
                <w:b/>
              </w:rPr>
              <w:t xml:space="preserve">Beneficially </w:t>
            </w:r>
          </w:p>
          <w:p>
            <w:pPr>
              <w:pStyle w:val="TableContents"/>
              <w:spacing w:before="0" w:after="0"/>
              <w:jc w:val="center"/>
              <w:rPr>
                <w:b/>
              </w:rPr>
            </w:pPr>
            <w:r>
              <w:rPr>
                <w:b/>
              </w:rPr>
              <w:t>Owned</w:t>
            </w:r>
          </w:p>
        </w:tc>
        <w:tc>
          <w:tcPr>
            <w:tcW w:w="1413"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b/>
              </w:rPr>
            </w:pPr>
            <w:r>
              <w:rPr>
                <w:b/>
              </w:rPr>
              <w:t xml:space="preserve">Approximate </w:t>
            </w:r>
          </w:p>
          <w:p>
            <w:pPr>
              <w:pStyle w:val="TableContents"/>
              <w:spacing w:before="0" w:after="0"/>
              <w:jc w:val="center"/>
              <w:rPr>
                <w:b/>
              </w:rPr>
            </w:pPr>
            <w:r>
              <w:rPr>
                <w:b/>
              </w:rPr>
              <w:t xml:space="preserve">Percentage of </w:t>
            </w:r>
          </w:p>
          <w:p>
            <w:pPr>
              <w:pStyle w:val="TableContents"/>
              <w:spacing w:before="0" w:after="0"/>
              <w:jc w:val="center"/>
              <w:rPr>
                <w:b/>
              </w:rPr>
            </w:pPr>
            <w:r>
              <w:rPr>
                <w:b/>
              </w:rPr>
              <w:t>Class</w:t>
            </w:r>
          </w:p>
        </w:tc>
        <w:tc>
          <w:tcPr>
            <w:tcW w:w="1416"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b/>
              </w:rPr>
            </w:pPr>
            <w:r>
              <w:rPr>
                <w:b/>
              </w:rPr>
              <w:t xml:space="preserve">Approximate </w:t>
            </w:r>
          </w:p>
          <w:p>
            <w:pPr>
              <w:pStyle w:val="TableContents"/>
              <w:spacing w:before="0" w:after="0"/>
              <w:jc w:val="center"/>
              <w:rPr>
                <w:b/>
              </w:rPr>
            </w:pPr>
            <w:r>
              <w:rPr>
                <w:b/>
              </w:rPr>
              <w:t xml:space="preserve">Percentage of </w:t>
            </w:r>
          </w:p>
          <w:p>
            <w:pPr>
              <w:pStyle w:val="TableContents"/>
              <w:spacing w:before="0" w:after="0"/>
              <w:jc w:val="center"/>
              <w:rPr>
                <w:b/>
              </w:rPr>
            </w:pPr>
            <w:r>
              <w:rPr>
                <w:b/>
              </w:rPr>
              <w:t xml:space="preserve">Voting </w:t>
            </w:r>
          </w:p>
          <w:p>
            <w:pPr>
              <w:pStyle w:val="TableContents"/>
              <w:spacing w:lineRule="auto" w:line="240" w:before="0" w:after="0"/>
              <w:jc w:val="center"/>
              <w:rPr>
                <w:b/>
              </w:rPr>
            </w:pPr>
            <w:r>
              <w:rPr>
                <w:b/>
              </w:rPr>
              <w:t>Control(2)</w:t>
            </w:r>
          </w:p>
        </w:tc>
      </w:tr>
      <w:tr>
        <w:trPr/>
        <w:tc>
          <w:tcPr>
            <w:tcW w:w="319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lineRule="auto" w:line="240" w:before="0" w:after="0"/>
              <w:rPr/>
            </w:pPr>
            <w:r>
              <w:rPr/>
              <w:t>Arya Sciences Holdings III (our sponsor)(3)</w:t>
            </w:r>
          </w:p>
        </w:tc>
        <w:tc>
          <w:tcPr>
            <w:tcW w:w="157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3,647,500</w:t>
            </w:r>
          </w:p>
        </w:tc>
        <w:tc>
          <w:tcPr>
            <w:tcW w:w="139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97.6%</w:t>
            </w:r>
          </w:p>
        </w:tc>
        <w:tc>
          <w:tcPr>
            <w:tcW w:w="121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499,000</w:t>
            </w:r>
          </w:p>
        </w:tc>
        <w:tc>
          <w:tcPr>
            <w:tcW w:w="1413"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3.2%</w:t>
            </w:r>
          </w:p>
        </w:tc>
        <w:tc>
          <w:tcPr>
            <w:tcW w:w="14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21.6%</w:t>
            </w:r>
          </w:p>
        </w:tc>
      </w:tr>
      <w:tr>
        <w:trPr/>
        <w:tc>
          <w:tcPr>
            <w:tcW w:w="319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lineRule="auto" w:line="240" w:before="0" w:after="0"/>
              <w:rPr/>
            </w:pPr>
            <w:r>
              <w:rPr/>
              <w:t>Joseph Edelman(4)</w:t>
            </w:r>
          </w:p>
        </w:tc>
        <w:tc>
          <w:tcPr>
            <w:tcW w:w="157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c>
          <w:tcPr>
            <w:tcW w:w="139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c>
          <w:tcPr>
            <w:tcW w:w="121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c>
          <w:tcPr>
            <w:tcW w:w="1413"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c>
          <w:tcPr>
            <w:tcW w:w="1416"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r>
      <w:tr>
        <w:trPr/>
        <w:tc>
          <w:tcPr>
            <w:tcW w:w="319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lineRule="auto" w:line="240" w:before="0" w:after="0"/>
              <w:rPr/>
            </w:pPr>
            <w:r>
              <w:rPr/>
              <w:t>Adam Stone(3)</w:t>
            </w:r>
          </w:p>
        </w:tc>
        <w:tc>
          <w:tcPr>
            <w:tcW w:w="157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3,647,500</w:t>
            </w:r>
          </w:p>
        </w:tc>
        <w:tc>
          <w:tcPr>
            <w:tcW w:w="139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97.6%</w:t>
            </w:r>
          </w:p>
        </w:tc>
        <w:tc>
          <w:tcPr>
            <w:tcW w:w="121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499,000</w:t>
            </w:r>
          </w:p>
        </w:tc>
        <w:tc>
          <w:tcPr>
            <w:tcW w:w="1413"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3.2%</w:t>
            </w:r>
          </w:p>
        </w:tc>
        <w:tc>
          <w:tcPr>
            <w:tcW w:w="14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21.6%</w:t>
            </w:r>
          </w:p>
        </w:tc>
      </w:tr>
      <w:tr>
        <w:trPr/>
        <w:tc>
          <w:tcPr>
            <w:tcW w:w="319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lineRule="auto" w:line="240" w:before="0" w:after="0"/>
              <w:rPr/>
            </w:pPr>
            <w:r>
              <w:rPr/>
              <w:t>Michael Altman(3)</w:t>
            </w:r>
          </w:p>
        </w:tc>
        <w:tc>
          <w:tcPr>
            <w:tcW w:w="157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3,647,500</w:t>
            </w:r>
          </w:p>
        </w:tc>
        <w:tc>
          <w:tcPr>
            <w:tcW w:w="139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97.6%</w:t>
            </w:r>
          </w:p>
        </w:tc>
        <w:tc>
          <w:tcPr>
            <w:tcW w:w="121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499,000</w:t>
            </w:r>
          </w:p>
        </w:tc>
        <w:tc>
          <w:tcPr>
            <w:tcW w:w="1413"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3.2%</w:t>
            </w:r>
          </w:p>
        </w:tc>
        <w:tc>
          <w:tcPr>
            <w:tcW w:w="1416"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21.6%</w:t>
            </w:r>
          </w:p>
        </w:tc>
      </w:tr>
      <w:tr>
        <w:trPr/>
        <w:tc>
          <w:tcPr>
            <w:tcW w:w="319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lineRule="auto" w:line="240" w:before="0" w:after="0"/>
              <w:rPr/>
            </w:pPr>
            <w:r>
              <w:rPr/>
              <w:t>Konstantin Poukalov(4)</w:t>
            </w:r>
          </w:p>
        </w:tc>
        <w:tc>
          <w:tcPr>
            <w:tcW w:w="157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w:t>
            </w:r>
          </w:p>
        </w:tc>
        <w:tc>
          <w:tcPr>
            <w:tcW w:w="139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w:t>
            </w:r>
          </w:p>
        </w:tc>
        <w:tc>
          <w:tcPr>
            <w:tcW w:w="121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w:t>
            </w:r>
          </w:p>
        </w:tc>
        <w:tc>
          <w:tcPr>
            <w:tcW w:w="1413"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w:t>
            </w:r>
          </w:p>
        </w:tc>
        <w:tc>
          <w:tcPr>
            <w:tcW w:w="14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w:t>
            </w:r>
          </w:p>
        </w:tc>
      </w:tr>
      <w:tr>
        <w:trPr/>
        <w:tc>
          <w:tcPr>
            <w:tcW w:w="319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Bradley L. Campbell</w:t>
            </w:r>
          </w:p>
        </w:tc>
        <w:tc>
          <w:tcPr>
            <w:tcW w:w="157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30,000</w:t>
            </w:r>
          </w:p>
        </w:tc>
        <w:tc>
          <w:tcPr>
            <w:tcW w:w="139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c>
          <w:tcPr>
            <w:tcW w:w="121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w:t>
            </w:r>
          </w:p>
        </w:tc>
        <w:tc>
          <w:tcPr>
            <w:tcW w:w="1413"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w:t>
            </w:r>
          </w:p>
        </w:tc>
        <w:tc>
          <w:tcPr>
            <w:tcW w:w="1416"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r>
      <w:tr>
        <w:trPr/>
        <w:tc>
          <w:tcPr>
            <w:tcW w:w="319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rPr/>
            </w:pPr>
            <w:r>
              <w:rPr/>
              <w:t>Todd Wider</w:t>
            </w:r>
          </w:p>
        </w:tc>
        <w:tc>
          <w:tcPr>
            <w:tcW w:w="157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30,000</w:t>
            </w:r>
          </w:p>
        </w:tc>
        <w:tc>
          <w:tcPr>
            <w:tcW w:w="139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w:t>
            </w:r>
          </w:p>
        </w:tc>
        <w:tc>
          <w:tcPr>
            <w:tcW w:w="121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rPr/>
            </w:pPr>
            <w:r>
              <w:rPr/>
              <w:t>—</w:t>
            </w:r>
          </w:p>
        </w:tc>
        <w:tc>
          <w:tcPr>
            <w:tcW w:w="1413"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rPr/>
            </w:pPr>
            <w:r>
              <w:rPr/>
              <w:t>—</w:t>
            </w:r>
          </w:p>
        </w:tc>
        <w:tc>
          <w:tcPr>
            <w:tcW w:w="14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w:t>
            </w:r>
          </w:p>
        </w:tc>
      </w:tr>
      <w:tr>
        <w:trPr/>
        <w:tc>
          <w:tcPr>
            <w:tcW w:w="319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Saqib Islam</w:t>
            </w:r>
          </w:p>
        </w:tc>
        <w:tc>
          <w:tcPr>
            <w:tcW w:w="157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30,000</w:t>
            </w:r>
          </w:p>
        </w:tc>
        <w:tc>
          <w:tcPr>
            <w:tcW w:w="139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c>
          <w:tcPr>
            <w:tcW w:w="121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w:t>
            </w:r>
          </w:p>
        </w:tc>
        <w:tc>
          <w:tcPr>
            <w:tcW w:w="1413"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rPr/>
            </w:pPr>
            <w:r>
              <w:rPr/>
              <w:t>—</w:t>
            </w:r>
          </w:p>
        </w:tc>
        <w:tc>
          <w:tcPr>
            <w:tcW w:w="1416"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r>
      <w:tr>
        <w:trPr/>
        <w:tc>
          <w:tcPr>
            <w:tcW w:w="319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rPr/>
            </w:pPr>
            <w:r>
              <w:rPr/>
              <w:t>All officers and directors as a group (seven individuals)</w:t>
            </w:r>
          </w:p>
        </w:tc>
        <w:tc>
          <w:tcPr>
            <w:tcW w:w="157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3,737,500</w:t>
            </w:r>
          </w:p>
        </w:tc>
        <w:tc>
          <w:tcPr>
            <w:tcW w:w="139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100%</w:t>
            </w:r>
          </w:p>
        </w:tc>
        <w:tc>
          <w:tcPr>
            <w:tcW w:w="121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499,000</w:t>
            </w:r>
          </w:p>
        </w:tc>
        <w:tc>
          <w:tcPr>
            <w:tcW w:w="1413"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3.2%</w:t>
            </w:r>
          </w:p>
        </w:tc>
        <w:tc>
          <w:tcPr>
            <w:tcW w:w="14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22.1%</w:t>
            </w:r>
          </w:p>
        </w:tc>
      </w:tr>
      <w:tr>
        <w:trPr/>
        <w:tc>
          <w:tcPr>
            <w:tcW w:w="319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lineRule="auto" w:line="240" w:before="0" w:after="0"/>
              <w:rPr/>
            </w:pPr>
            <w:r>
              <w:rPr/>
              <w:t>RA Capital Management, L.P.(5)</w:t>
            </w:r>
          </w:p>
        </w:tc>
        <w:tc>
          <w:tcPr>
            <w:tcW w:w="157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c>
          <w:tcPr>
            <w:tcW w:w="139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c>
          <w:tcPr>
            <w:tcW w:w="121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1,000,000</w:t>
            </w:r>
          </w:p>
        </w:tc>
        <w:tc>
          <w:tcPr>
            <w:tcW w:w="1413"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6.5%</w:t>
            </w:r>
          </w:p>
        </w:tc>
        <w:tc>
          <w:tcPr>
            <w:tcW w:w="1416"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5.2%</w:t>
            </w:r>
          </w:p>
        </w:tc>
      </w:tr>
      <w:tr>
        <w:trPr/>
        <w:tc>
          <w:tcPr>
            <w:tcW w:w="319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lineRule="auto" w:line="240" w:before="0" w:after="0"/>
              <w:rPr/>
            </w:pPr>
            <w:r>
              <w:rPr/>
              <w:t>Blackrock, Inc.(6)</w:t>
            </w:r>
          </w:p>
        </w:tc>
        <w:tc>
          <w:tcPr>
            <w:tcW w:w="1570"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w:t>
            </w:r>
          </w:p>
        </w:tc>
        <w:tc>
          <w:tcPr>
            <w:tcW w:w="139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w:t>
            </w:r>
          </w:p>
        </w:tc>
        <w:tc>
          <w:tcPr>
            <w:tcW w:w="1218"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1,000,000</w:t>
            </w:r>
          </w:p>
        </w:tc>
        <w:tc>
          <w:tcPr>
            <w:tcW w:w="1413"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6.5%</w:t>
            </w:r>
          </w:p>
        </w:tc>
        <w:tc>
          <w:tcPr>
            <w:tcW w:w="14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spacing w:before="0" w:after="0"/>
              <w:jc w:val="right"/>
              <w:rPr/>
            </w:pPr>
            <w:r>
              <w:rPr/>
              <w:t>5.2%</w:t>
            </w:r>
          </w:p>
        </w:tc>
      </w:tr>
      <w:tr>
        <w:trPr/>
        <w:tc>
          <w:tcPr>
            <w:tcW w:w="319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lineRule="auto" w:line="240" w:before="0" w:after="0"/>
              <w:rPr/>
            </w:pPr>
            <w:r>
              <w:rPr/>
              <w:t>Bain Capital Life Sciences Fund II, L.P.(7)</w:t>
            </w:r>
          </w:p>
        </w:tc>
        <w:tc>
          <w:tcPr>
            <w:tcW w:w="157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c>
          <w:tcPr>
            <w:tcW w:w="139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w:t>
            </w:r>
          </w:p>
        </w:tc>
        <w:tc>
          <w:tcPr>
            <w:tcW w:w="1218"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1,000,000</w:t>
            </w:r>
          </w:p>
        </w:tc>
        <w:tc>
          <w:tcPr>
            <w:tcW w:w="1413"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6.5%</w:t>
            </w:r>
          </w:p>
        </w:tc>
        <w:tc>
          <w:tcPr>
            <w:tcW w:w="1416"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right"/>
              <w:rPr/>
            </w:pPr>
            <w:r>
              <w:rPr/>
              <w:t>5.2%</w:t>
            </w:r>
          </w:p>
        </w:tc>
      </w:tr>
    </w:tbl>
    <w:p>
      <w:pPr>
        <w:pStyle w:val="TextBody"/>
        <w:spacing w:before="0" w:after="0"/>
        <w:rPr/>
      </w:pPr>
      <w:r>
        <w:rPr/>
      </w:r>
    </w:p>
    <w:p>
      <w:pPr>
        <w:pStyle w:val="Normal"/>
        <w:spacing w:before="0" w:after="0"/>
        <w:rPr>
          <w:sz w:val="4"/>
          <w:szCs w:val="4"/>
        </w:rPr>
      </w:pPr>
      <w:r>
        <w:rPr>
          <w:sz w:val="4"/>
          <w:szCs w:val="4"/>
        </w:rPr>
      </w:r>
      <w:bookmarkStart w:id="844" w:name="z770e62ea546b419797dfec7db5e78344"/>
      <w:bookmarkStart w:id="845" w:name="z770e62ea546b419797dfec7db5e78344"/>
      <w:bookmarkEnd w:id="845"/>
    </w:p>
    <w:tbl>
      <w:tblPr>
        <w:tblW w:w="10205" w:type="dxa"/>
        <w:jc w:val="left"/>
        <w:tblInd w:w="0" w:type="dxa"/>
        <w:tblCellMar>
          <w:top w:w="0" w:type="dxa"/>
          <w:left w:w="0" w:type="dxa"/>
          <w:bottom w:w="0" w:type="dxa"/>
          <w:right w:w="0" w:type="dxa"/>
        </w:tblCellMar>
      </w:tblPr>
      <w:tblGrid>
        <w:gridCol w:w="218"/>
        <w:gridCol w:w="9987"/>
      </w:tblGrid>
      <w:tr>
        <w:trPr/>
        <w:tc>
          <w:tcPr>
            <w:tcW w:w="218" w:type="dxa"/>
            <w:tcBorders/>
            <w:shd w:fill="auto" w:val="clear"/>
            <w:vAlign w:val="center"/>
          </w:tcPr>
          <w:p>
            <w:pPr>
              <w:pStyle w:val="TableContents"/>
              <w:spacing w:lineRule="auto" w:line="240" w:before="0" w:after="0"/>
              <w:rPr/>
            </w:pPr>
            <w:r>
              <w:rPr/>
              <w:t>*</w:t>
            </w:r>
          </w:p>
        </w:tc>
        <w:tc>
          <w:tcPr>
            <w:tcW w:w="9987" w:type="dxa"/>
            <w:tcBorders/>
            <w:shd w:fill="auto" w:val="clear"/>
            <w:vAlign w:val="center"/>
          </w:tcPr>
          <w:p>
            <w:pPr>
              <w:pStyle w:val="TableContents"/>
              <w:spacing w:before="0" w:after="0"/>
              <w:jc w:val="both"/>
              <w:rPr/>
            </w:pPr>
            <w:r>
              <w:rPr/>
              <w:t>Less than one percent.</w:t>
            </w:r>
          </w:p>
        </w:tc>
      </w:tr>
      <w:tr>
        <w:trPr/>
        <w:tc>
          <w:tcPr>
            <w:tcW w:w="218" w:type="dxa"/>
            <w:tcBorders/>
            <w:shd w:fill="auto" w:val="clear"/>
            <w:vAlign w:val="center"/>
          </w:tcPr>
          <w:p>
            <w:pPr>
              <w:pStyle w:val="TableContents"/>
              <w:spacing w:lineRule="auto" w:line="240" w:before="0" w:after="0"/>
              <w:rPr/>
            </w:pPr>
            <w:r>
              <w:rPr/>
              <w:t>(1)</w:t>
            </w:r>
          </w:p>
        </w:tc>
        <w:tc>
          <w:tcPr>
            <w:tcW w:w="9987" w:type="dxa"/>
            <w:tcBorders/>
            <w:shd w:fill="auto" w:val="clear"/>
            <w:vAlign w:val="center"/>
          </w:tcPr>
          <w:p>
            <w:pPr>
              <w:pStyle w:val="TableContents"/>
              <w:spacing w:before="0" w:after="0"/>
              <w:jc w:val="both"/>
              <w:rPr/>
            </w:pPr>
            <w:r>
              <w:rPr/>
              <w:t>Unless otherwise noted, the business address of each of the following entities or individuals is 51 Astor Place, 10th Floor, New York, NY 10003.</w:t>
            </w:r>
          </w:p>
        </w:tc>
      </w:tr>
      <w:tr>
        <w:trPr/>
        <w:tc>
          <w:tcPr>
            <w:tcW w:w="218" w:type="dxa"/>
            <w:tcBorders/>
            <w:shd w:fill="auto" w:val="clear"/>
            <w:vAlign w:val="center"/>
          </w:tcPr>
          <w:p>
            <w:pPr>
              <w:pStyle w:val="TableContents"/>
              <w:spacing w:lineRule="auto" w:line="240" w:before="0" w:after="0"/>
              <w:rPr/>
            </w:pPr>
            <w:r>
              <w:rPr/>
              <w:t>(2)</w:t>
            </w:r>
          </w:p>
        </w:tc>
        <w:tc>
          <w:tcPr>
            <w:tcW w:w="9987" w:type="dxa"/>
            <w:tcBorders/>
            <w:shd w:fill="auto" w:val="clear"/>
            <w:vAlign w:val="center"/>
          </w:tcPr>
          <w:p>
            <w:pPr>
              <w:pStyle w:val="TableContents"/>
              <w:spacing w:before="0" w:after="0"/>
              <w:jc w:val="both"/>
              <w:rPr/>
            </w:pPr>
            <w:r>
              <w:rPr>
                <w:color w:val="000000"/>
              </w:rPr>
              <w:t>Assuming the automatic conversion of Class B ordinary shares into the shares of Class A ordinary shares at the time of the Company’s initial business combination</w:t>
            </w:r>
            <w:r>
              <w:rPr/>
              <w:t>.</w:t>
            </w:r>
          </w:p>
        </w:tc>
      </w:tr>
      <w:tr>
        <w:trPr/>
        <w:tc>
          <w:tcPr>
            <w:tcW w:w="218" w:type="dxa"/>
            <w:tcBorders/>
            <w:shd w:fill="auto" w:val="clear"/>
            <w:vAlign w:val="center"/>
          </w:tcPr>
          <w:p>
            <w:pPr>
              <w:pStyle w:val="TableContents"/>
              <w:spacing w:lineRule="auto" w:line="240" w:before="0" w:after="0"/>
              <w:rPr/>
            </w:pPr>
            <w:r>
              <w:rPr/>
              <w:t>(3)</w:t>
            </w:r>
          </w:p>
        </w:tc>
        <w:tc>
          <w:tcPr>
            <w:tcW w:w="9987" w:type="dxa"/>
            <w:tcBorders/>
            <w:shd w:fill="auto" w:val="clear"/>
            <w:vAlign w:val="center"/>
          </w:tcPr>
          <w:p>
            <w:pPr>
              <w:pStyle w:val="TableContents"/>
              <w:spacing w:before="0" w:after="0"/>
              <w:jc w:val="both"/>
              <w:rPr>
                <w:color w:val="000000"/>
              </w:rPr>
            </w:pPr>
            <w:r>
              <w:rPr>
                <w:color w:val="000000"/>
              </w:rPr>
              <w:t>The sponsor is the record holder of the Class B ordinary shares. The sponsor is governed by a board of directors consisting of two directors, Adam Stone and Michael Altman. As such, Messrs. Stone and Altman have voting and investment discretion with respect to the securities held of record by the sponsor and may be deemed to have shared beneficial ownership of the Class B ordinary shares held directly by the sponsor.</w:t>
            </w:r>
          </w:p>
        </w:tc>
      </w:tr>
      <w:tr>
        <w:trPr/>
        <w:tc>
          <w:tcPr>
            <w:tcW w:w="218" w:type="dxa"/>
            <w:tcBorders/>
            <w:shd w:fill="auto" w:val="clear"/>
            <w:vAlign w:val="center"/>
          </w:tcPr>
          <w:p>
            <w:pPr>
              <w:pStyle w:val="TableContents"/>
              <w:spacing w:lineRule="auto" w:line="240" w:before="0" w:after="0"/>
              <w:rPr/>
            </w:pPr>
            <w:r>
              <w:rPr/>
              <w:t>(4)</w:t>
            </w:r>
          </w:p>
        </w:tc>
        <w:tc>
          <w:tcPr>
            <w:tcW w:w="9987" w:type="dxa"/>
            <w:tcBorders/>
            <w:shd w:fill="auto" w:val="clear"/>
            <w:vAlign w:val="center"/>
          </w:tcPr>
          <w:p>
            <w:pPr>
              <w:pStyle w:val="TableContents"/>
              <w:spacing w:before="0" w:after="0"/>
              <w:jc w:val="both"/>
              <w:rPr>
                <w:color w:val="000000"/>
              </w:rPr>
            </w:pPr>
            <w:r>
              <w:rPr>
                <w:color w:val="000000"/>
              </w:rPr>
              <w:t>Does not include any shares indirectly owned by this individual because of his ownership interest in our sponsor.</w:t>
            </w:r>
          </w:p>
        </w:tc>
      </w:tr>
      <w:tr>
        <w:trPr/>
        <w:tc>
          <w:tcPr>
            <w:tcW w:w="218" w:type="dxa"/>
            <w:tcBorders/>
            <w:shd w:fill="auto" w:val="clear"/>
            <w:vAlign w:val="center"/>
          </w:tcPr>
          <w:p>
            <w:pPr>
              <w:pStyle w:val="TableContents"/>
              <w:spacing w:lineRule="auto" w:line="240" w:before="0" w:after="0"/>
              <w:rPr/>
            </w:pPr>
            <w:r>
              <w:rPr/>
              <w:t>(5)</w:t>
            </w:r>
          </w:p>
        </w:tc>
        <w:tc>
          <w:tcPr>
            <w:tcW w:w="9987" w:type="dxa"/>
            <w:tcBorders/>
            <w:shd w:fill="auto" w:val="clear"/>
            <w:vAlign w:val="center"/>
          </w:tcPr>
          <w:p>
            <w:pPr>
              <w:pStyle w:val="TableContents"/>
              <w:spacing w:before="0" w:after="0"/>
              <w:jc w:val="both"/>
              <w:rPr>
                <w:color w:val="000000"/>
              </w:rPr>
            </w:pPr>
            <w:r>
              <w:rPr>
                <w:color w:val="000000"/>
              </w:rPr>
              <w:t>Includes Class A ordinary shares beneficially held by RA Capital Management, L.P., a Delaware limited partnership (“RA Capital”), Peter Kolchinsky, a United States citizen, Rajeev Shah, a United States citizen, and RA Capital Healthcare Fund, L.P., a Delaware limited partnership (the “Fund”), based solely on the Schedule 13G filed jointly by RA Capital, Peter Kolchinsky, Rajeev Shah, and the Fund, with the SEC on February 16, 2021. The Fund directly holds 905,000 shares of Class A ordinary shares. A separately managed account (the “Account”) holds 95,000 shares of Class A ordinary shares. RA Capital Healthcare Fund GP, LLC is the general partner of the Fund. The general partner of RA Capital is RA Capital Management GP, LLC, of which Dr. Kolchinsky and Mr. Shah are the controlling persons. RA Capital serves as investment adviser for the Fund and the Account and may be deemed a beneficial owner, for purposes of Section 13(d) of the Exchange Act, of any Class A ordinary shares held by the Fund and the Account. The Fund has delegated to RA Capital the sole power to vote and the sole power to dispose of all securities held in the Fund’s portfolio, including the Class A ordinary shares reported herein. Because the Fund has divested voting and investment power over the reported securities it holds and may not revoke that delegation on less than 61 days’ notice, the Fund disclaims beneficial ownership of the securities it holds for purposes of Section 13(d) of the Exchange Act. As managers of RA Capital, Dr. Kolchinsky and Mr. Shah may be deemed beneficial owners, for purposes of Section 13(d) of the Exchange Act, of any Class A ordinary shares beneficially owned by RA Capital. RA Capital, Dr. Kolchinsky, and Mr. Shah disclaim ownership of the Class A ordinary shares other than for the purpose of determining their obligations under Section 13(d) of the Exchange Act. The business address of each of RA Capital Management, L.P., Peter Kolchinsky, Rajeev Shah, and RA Capital Healthcare Fund, L.P. is c/o RA Capital Management, L.P., 200 Berkeley Street, 18th Floor, Boston MA 02116.</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46" w:name="DSPFPageBreakArea67"/>
      <w:bookmarkStart w:id="847" w:name="DSPFPageBreakArea67"/>
      <w:bookmarkEnd w:id="8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848" w:name="DSPFPageNumber66"/>
      <w:bookmarkStart w:id="849" w:name="DSPFPageNumberArea65"/>
      <w:bookmarkEnd w:id="848"/>
      <w:bookmarkEnd w:id="849"/>
      <w:r>
        <w:rPr>
          <w:b w:val="false"/>
          <w:i w:val="false"/>
          <w:caps w:val="false"/>
          <w:smallCaps w:val="false"/>
          <w:color w:val="000000"/>
          <w:sz w:val="16"/>
        </w:rPr>
        <w:t>69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50" w:name="DSPFPageBreak67"/>
      <w:bookmarkStart w:id="851" w:name="DSPFPageBreak67"/>
      <w:bookmarkEnd w:id="8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852" w:name="DSPFPageHeader65"/>
        <w:bookmarkEnd w:id="852"/>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853" w:name="zce4f727a35194286912f0bfe3c49b98d"/>
      <w:bookmarkStart w:id="854" w:name="zce4f727a35194286912f0bfe3c49b98d"/>
      <w:bookmarkEnd w:id="854"/>
    </w:p>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lineRule="auto" w:line="240" w:before="0" w:after="0"/>
              <w:rPr/>
            </w:pPr>
            <w:r>
              <w:rPr/>
              <w:t>(6)</w:t>
            </w:r>
          </w:p>
        </w:tc>
        <w:tc>
          <w:tcPr>
            <w:tcW w:w="9986" w:type="dxa"/>
            <w:tcBorders/>
            <w:shd w:fill="auto" w:val="clear"/>
            <w:vAlign w:val="center"/>
          </w:tcPr>
          <w:p>
            <w:pPr>
              <w:pStyle w:val="TableContents"/>
              <w:spacing w:before="0" w:after="0"/>
              <w:jc w:val="both"/>
              <w:rPr>
                <w:color w:val="000000"/>
              </w:rPr>
            </w:pPr>
            <w:r>
              <w:rPr>
                <w:color w:val="000000"/>
              </w:rPr>
              <w:t>Includes shares held by BlackRock, Inc, based solely on the Schedule 13G filed by BlackRock, Inc. with the SEC on February 8, 2021. The business address of BlackRock, Inc. is 55 East 52nd Street, New York, NY 10055.</w:t>
            </w:r>
          </w:p>
        </w:tc>
      </w:tr>
      <w:tr>
        <w:trPr/>
        <w:tc>
          <w:tcPr>
            <w:tcW w:w="219" w:type="dxa"/>
            <w:tcBorders/>
            <w:shd w:fill="auto" w:val="clear"/>
            <w:vAlign w:val="center"/>
          </w:tcPr>
          <w:p>
            <w:pPr>
              <w:pStyle w:val="TableContents"/>
              <w:spacing w:lineRule="auto" w:line="240" w:before="0" w:after="0"/>
              <w:rPr/>
            </w:pPr>
            <w:r>
              <w:rPr/>
              <w:t>(7)</w:t>
            </w:r>
          </w:p>
        </w:tc>
        <w:tc>
          <w:tcPr>
            <w:tcW w:w="9986" w:type="dxa"/>
            <w:tcBorders/>
            <w:shd w:fill="auto" w:val="clear"/>
            <w:vAlign w:val="center"/>
          </w:tcPr>
          <w:p>
            <w:pPr>
              <w:pStyle w:val="TableContents"/>
              <w:spacing w:before="0" w:after="0"/>
              <w:jc w:val="both"/>
              <w:rPr>
                <w:color w:val="000000"/>
              </w:rPr>
            </w:pPr>
            <w:r>
              <w:rPr>
                <w:color w:val="000000"/>
              </w:rPr>
              <w:t>Includes 891,429 Class A ordinary shares held by Bain Capital Life Sciences Fund II, L.P., a Cayman exempted limited partnership (“BCLS II”), and 108,571 Class A ordinary shares held by BCIP Life Sciences Associates, LP, a Delaware limited partnership (“BCIPLS” and, together with BCLS II, the “Reporting Persons”). Immediately upon consummation of the Business Combination, also includes 891,429 shares of New Nautilus Common Stock and 108,571 shares of New Nautilus Common Stock that BCLS II and BCIPLS will be purchasing in connection with the PIPE Financing. Bain Capital Life Sciences Investors, LLC, a Delaware limited liability company (“BCLSI”), whose managers are Jeffrey Schwartz and Adam Koppel, is the manager of Bain Capital Life Sciences Investors II, LLC, a Cayman limited liability company (“BCLSI II”), which is the general partner of BCLS II. Boylston Coinvestors, LLC, a Delaware limited liability company (“Boylston”), is the general partner of BCIPLS. BCLSI governs the investment strategy and decision-making process with respect to investments held by BCIPLS. As a result, each of BCLSI, Mr. Schwartz and Dr. Koppel may be deemed to share voting and dispositive power with respect to the securities held by the Reporting Persons. The principal business address of each of the Reporting Persons, BCLSI, BCLSI II, Boylston, Mr. Schwartz and Dr. Koppel is 200 Clarendon Street, Boston, Massachusetts 02116.</w:t>
            </w:r>
          </w:p>
        </w:tc>
      </w:tr>
    </w:tbl>
    <w:p>
      <w:pPr>
        <w:pStyle w:val="TextBody"/>
        <w:spacing w:before="0" w:after="0"/>
        <w:rPr/>
      </w:pPr>
      <w:r>
        <w:rPr/>
      </w:r>
    </w:p>
    <w:p>
      <w:pPr>
        <w:pStyle w:val="TextBody"/>
        <w:spacing w:before="0" w:after="0"/>
        <w:jc w:val="both"/>
        <w:rPr>
          <w:b/>
        </w:rPr>
      </w:pPr>
      <w:r>
        <w:rPr>
          <w:b/>
        </w:rPr>
        <w:t>Changes in Control</w:t>
      </w:r>
    </w:p>
    <w:p>
      <w:pPr>
        <w:pStyle w:val="TextBody"/>
        <w:spacing w:before="0" w:after="0"/>
        <w:rPr/>
      </w:pPr>
      <w:r>
        <w:rPr/>
      </w:r>
    </w:p>
    <w:p>
      <w:pPr>
        <w:pStyle w:val="TextBody"/>
        <w:spacing w:before="0" w:after="0"/>
        <w:jc w:val="both"/>
        <w:rPr/>
      </w:pPr>
      <w:r>
        <w:rPr/>
        <w:t>None.</w:t>
      </w:r>
    </w:p>
    <w:p>
      <w:pPr>
        <w:pStyle w:val="TextBody"/>
        <w:spacing w:before="0" w:after="0"/>
        <w:rPr/>
      </w:pPr>
      <w:r>
        <w:rPr/>
      </w:r>
    </w:p>
    <w:p>
      <w:pPr>
        <w:pStyle w:val="Normal"/>
        <w:spacing w:before="0" w:after="0"/>
        <w:rPr>
          <w:sz w:val="4"/>
          <w:szCs w:val="4"/>
        </w:rPr>
      </w:pPr>
      <w:r>
        <w:rPr>
          <w:sz w:val="4"/>
          <w:szCs w:val="4"/>
        </w:rPr>
      </w:r>
      <w:bookmarkStart w:id="855" w:name="zd23c35508924494695aebad5d209c711"/>
      <w:bookmarkStart w:id="856" w:name="zd23c35508924494695aebad5d209c711"/>
      <w:bookmarkEnd w:id="856"/>
    </w:p>
    <w:tbl>
      <w:tblPr>
        <w:tblW w:w="8680" w:type="dxa"/>
        <w:jc w:val="left"/>
        <w:tblInd w:w="0" w:type="dxa"/>
        <w:tblCellMar>
          <w:top w:w="0" w:type="dxa"/>
          <w:left w:w="0" w:type="dxa"/>
          <w:bottom w:w="0" w:type="dxa"/>
          <w:right w:w="0" w:type="dxa"/>
        </w:tblCellMar>
      </w:tblPr>
      <w:tblGrid>
        <w:gridCol w:w="860"/>
        <w:gridCol w:w="7820"/>
      </w:tblGrid>
      <w:tr>
        <w:trPr/>
        <w:tc>
          <w:tcPr>
            <w:tcW w:w="860" w:type="dxa"/>
            <w:tcBorders/>
            <w:shd w:fill="auto" w:val="clear"/>
            <w:vAlign w:val="center"/>
          </w:tcPr>
          <w:p>
            <w:pPr>
              <w:pStyle w:val="TableContents"/>
              <w:spacing w:before="0" w:after="0"/>
              <w:jc w:val="both"/>
              <w:rPr>
                <w:b/>
              </w:rPr>
            </w:pPr>
            <w:bookmarkStart w:id="857" w:name="Item13"/>
            <w:bookmarkEnd w:id="857"/>
            <w:r>
              <w:rPr>
                <w:b/>
              </w:rPr>
              <w:t>Item 13.</w:t>
            </w:r>
          </w:p>
        </w:tc>
        <w:tc>
          <w:tcPr>
            <w:tcW w:w="7820" w:type="dxa"/>
            <w:tcBorders/>
            <w:shd w:fill="auto" w:val="clear"/>
            <w:vAlign w:val="center"/>
          </w:tcPr>
          <w:p>
            <w:pPr>
              <w:pStyle w:val="TableContents"/>
              <w:spacing w:before="0" w:after="0"/>
              <w:jc w:val="both"/>
              <w:rPr>
                <w:b/>
              </w:rPr>
            </w:pPr>
            <w:r>
              <w:rPr>
                <w:b/>
              </w:rPr>
              <w:t>Certain Relationships and Related Transactions, and Director Independence</w:t>
            </w:r>
          </w:p>
        </w:tc>
      </w:tr>
    </w:tbl>
    <w:p>
      <w:pPr>
        <w:pStyle w:val="TextBody"/>
        <w:spacing w:before="0" w:after="0"/>
        <w:rPr/>
      </w:pPr>
      <w:r>
        <w:rPr/>
      </w:r>
    </w:p>
    <w:p>
      <w:pPr>
        <w:pStyle w:val="TextBody"/>
        <w:spacing w:before="0" w:after="0"/>
        <w:jc w:val="both"/>
        <w:rPr>
          <w:color w:val="000000"/>
        </w:rPr>
      </w:pPr>
      <w:r>
        <w:rPr>
          <w:color w:val="000000"/>
        </w:rPr>
        <w:t>On April 2, 2020, we issued 3,593,750 founder shares to our sponsor in exchange for a capital contribution of $25,000, or approximately $0.007 per share. In July 2020, our sponsor transferred 30,000 founder shares to each of Messrs. Campbell, Islam and Wider. On August 6, 2020, we effected a share capitalization resulting in our initial shareholders holding 3,737,500 Class B ordinary shares. The number of founder shares issued was determined based on the expectation that such founder shares would represent 20% of the issued and outstanding shares (excluding the private placement shares) upon completion of our Initial Public Offering. The founder shares (including the Class A ordinary shares issuable upon exercise thereof) may not, subject to certain limited exceptions, be transferred, assigned or sold by the holder.</w:t>
      </w:r>
    </w:p>
    <w:p>
      <w:pPr>
        <w:pStyle w:val="TextBody"/>
        <w:spacing w:before="0" w:after="0"/>
        <w:rPr/>
      </w:pPr>
      <w:r>
        <w:rPr/>
      </w:r>
    </w:p>
    <w:p>
      <w:pPr>
        <w:pStyle w:val="TextBody"/>
        <w:spacing w:before="0" w:after="0"/>
        <w:jc w:val="both"/>
        <w:rPr>
          <w:color w:val="000000"/>
        </w:rPr>
      </w:pPr>
      <w:r>
        <w:rPr>
          <w:color w:val="000000"/>
        </w:rPr>
        <w:t>Our sponsor purchased, pursuant to a written agreement, to purchase 499,000 private placement shares for a purchase price of $10.00 per share in a private placement that will occur simultaneously with the closing of our Initial Public Offering. As such, our sponsor’s interest in this transaction is valued at $4,990,000. The private placement shares may not, subject to certain limited exceptions, be transferred, assigned or sold by the holder.</w:t>
      </w:r>
    </w:p>
    <w:p>
      <w:pPr>
        <w:pStyle w:val="TextBody"/>
        <w:spacing w:before="0" w:after="0"/>
        <w:rPr/>
      </w:pPr>
      <w:r>
        <w:rPr/>
      </w:r>
    </w:p>
    <w:p>
      <w:pPr>
        <w:pStyle w:val="TextBody"/>
        <w:spacing w:before="0" w:after="0"/>
        <w:jc w:val="both"/>
        <w:rPr>
          <w:color w:val="000000"/>
        </w:rPr>
      </w:pPr>
      <w:r>
        <w:rPr>
          <w:color w:val="000000"/>
        </w:rPr>
        <w:t>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pStyle w:val="TextBody"/>
        <w:spacing w:before="0" w:after="0"/>
        <w:rPr/>
      </w:pPr>
      <w:r>
        <w:rPr/>
      </w:r>
    </w:p>
    <w:p>
      <w:pPr>
        <w:pStyle w:val="TextBody"/>
        <w:spacing w:before="0" w:after="0"/>
        <w:jc w:val="both"/>
        <w:rPr>
          <w:color w:val="000000"/>
        </w:rPr>
      </w:pPr>
      <w:r>
        <w:rPr>
          <w:color w:val="000000"/>
        </w:rPr>
        <w:t>We currently maintain our executive offices at 51 Astor Place, 10th Floor, New York, New York 10003. The cost for our use of this space is included in the $10,000 per month fee we will pay to our sponsor for office space, administrative and support services, commencing on the effective date of the registration statement related to our Initial Public Offering. Upon completion of our initial business combination or our liquidation, we will cease paying these monthly fees.</w:t>
      </w:r>
    </w:p>
    <w:p>
      <w:pPr>
        <w:pStyle w:val="TextBody"/>
        <w:spacing w:before="0" w:after="0"/>
        <w:rPr/>
      </w:pPr>
      <w:r>
        <w:rPr/>
      </w:r>
    </w:p>
    <w:p>
      <w:pPr>
        <w:pStyle w:val="TextBody"/>
        <w:spacing w:before="0" w:after="0"/>
        <w:jc w:val="both"/>
        <w:rPr>
          <w:color w:val="000000"/>
        </w:rPr>
      </w:pPr>
      <w:r>
        <w:rPr>
          <w:color w:val="000000"/>
        </w:rPr>
        <w:t>No compensation of any kind, including finder’s and consulting fees, will be paid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by us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pStyle w:val="TextBody"/>
        <w:spacing w:before="0" w:after="0"/>
        <w:rPr/>
      </w:pPr>
      <w:r>
        <w:rPr/>
      </w:r>
    </w:p>
    <w:p>
      <w:pPr>
        <w:pStyle w:val="TextBody"/>
        <w:spacing w:before="0" w:after="0"/>
        <w:jc w:val="both"/>
        <w:rPr>
          <w:color w:val="000000"/>
        </w:rPr>
      </w:pPr>
      <w:r>
        <w:rPr>
          <w:color w:val="000000"/>
        </w:rPr>
        <w:t>Our sponsor loaned us funds to be used for a portion of the expenses of our Initial Public Offering. These loans were non-interest bearing, unsecured and were due at the earlier of December 31, 2020 and the closing of our Initial Public Offering. The loan were repaid upon the closing of our Initial Public Offering out of the estimated $1,000,000 of offering proceeds that has been allocated to the payment of offering expenses and that is not held in the trust account.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58" w:name="DSPFPageBreakArea68"/>
      <w:bookmarkStart w:id="859" w:name="DSPFPageBreakArea68"/>
      <w:bookmarkEnd w:id="8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860" w:name="DSPFPageNumber67"/>
      <w:bookmarkStart w:id="861" w:name="DSPFPageNumberArea66"/>
      <w:bookmarkEnd w:id="860"/>
      <w:bookmarkEnd w:id="861"/>
      <w:r>
        <w:rPr>
          <w:b w:val="false"/>
          <w:i w:val="false"/>
          <w:caps w:val="false"/>
          <w:smallCaps w:val="false"/>
          <w:color w:val="000000"/>
          <w:sz w:val="16"/>
        </w:rPr>
        <w:t>70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62" w:name="DSPFPageBreak68"/>
      <w:bookmarkStart w:id="863" w:name="DSPFPageBreak68"/>
      <w:bookmarkEnd w:id="8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864" w:name="DSPFPageHeader66"/>
        <w:bookmarkEnd w:id="864"/>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may repay such loaned amounts out of the proceeds of the trust account released to us.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shares at a price of $10.00 per share at the option of the lender. The shares would be identical to the private placement shares. The terms of such loans by our officers and directors, if any, have not been determined and no written agreements exist with respect to such loans. We do not expect to seek loans from parties other than our sponsor, members of our management team or any of their affiliates as we do not believe third parties will be willing to loan such funds and provide a waiver against any and all rights to seek access to funds in our trust account.</w:t>
      </w:r>
    </w:p>
    <w:p>
      <w:pPr>
        <w:pStyle w:val="TextBody"/>
        <w:spacing w:before="0" w:after="0"/>
        <w:rPr/>
      </w:pPr>
      <w:r>
        <w:rPr/>
      </w:r>
    </w:p>
    <w:p>
      <w:pPr>
        <w:pStyle w:val="TextBody"/>
        <w:spacing w:before="0" w:after="0"/>
        <w:jc w:val="both"/>
        <w:rPr>
          <w:color w:val="000000"/>
        </w:rPr>
      </w:pPr>
      <w:r>
        <w:rPr>
          <w:color w:val="000000"/>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pStyle w:val="TextBody"/>
        <w:spacing w:before="0" w:after="0"/>
        <w:rPr/>
      </w:pPr>
      <w:r>
        <w:rPr/>
      </w:r>
    </w:p>
    <w:p>
      <w:pPr>
        <w:pStyle w:val="TextBody"/>
        <w:spacing w:before="0" w:after="0"/>
        <w:jc w:val="both"/>
        <w:rPr>
          <w:color w:val="000000"/>
        </w:rPr>
      </w:pPr>
      <w:r>
        <w:rPr>
          <w:color w:val="000000"/>
        </w:rPr>
        <w:t>We entered into a registration and shareholder rights agreement pursuant to which our initial shareholders, and their permitted transferees, if any, will be entitled to certain registration rights with respect to the private placement shares, including the private placement shares issuable upon conversion of Working Capital Loans (if any) and the Class A ordinary shares issuable upon conversion of the founder shares. Further, pursuant to an agreement entered intoat closing of our Initial Public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pStyle w:val="TextBody"/>
        <w:spacing w:before="0" w:after="0"/>
        <w:rPr/>
      </w:pPr>
      <w:r>
        <w:rPr/>
      </w:r>
    </w:p>
    <w:p>
      <w:pPr>
        <w:pStyle w:val="TextBody"/>
        <w:spacing w:before="0" w:after="0"/>
        <w:jc w:val="both"/>
        <w:rPr>
          <w:color w:val="000000"/>
        </w:rPr>
      </w:pPr>
      <w:r>
        <w:rPr>
          <w:color w:val="000000"/>
        </w:rPr>
        <w:t>Our sponsor has indicated an interest to purchase up to an aggregate of $25,000,000 of our ordinary shares in a private placement that would occur concurrently with the consummation of our initial business combination. The funds from such private placement would be used as part of the consideration to the sellers in our initial business combination, and any excess funds from such private placement would be used for working capital in the post-business combination company. However, because indications of interest are not binding agreements or commitments to purchase, our sponsor may determine not to purchase any such shares, or to purchase fewer shares than it has indicated an interest in purchasing. Furthermore, we are not under any obligation to sell any such shares. Such investment would be made on terms and conditions determined at the time of the business combination.</w:t>
      </w:r>
    </w:p>
    <w:p>
      <w:pPr>
        <w:pStyle w:val="TextBody"/>
        <w:spacing w:before="0" w:after="0"/>
        <w:rPr/>
      </w:pPr>
      <w:r>
        <w:rPr/>
      </w:r>
    </w:p>
    <w:p>
      <w:pPr>
        <w:pStyle w:val="TextBody"/>
        <w:spacing w:before="0" w:after="0"/>
        <w:rPr>
          <w:b/>
          <w:color w:val="000000"/>
        </w:rPr>
      </w:pPr>
      <w:r>
        <w:rPr>
          <w:b/>
          <w:color w:val="000000"/>
        </w:rPr>
        <w:t>Policy for Approval of Related Party Transactions</w:t>
      </w:r>
    </w:p>
    <w:p>
      <w:pPr>
        <w:pStyle w:val="TextBody"/>
        <w:spacing w:before="0" w:after="0"/>
        <w:jc w:val="both"/>
        <w:rPr/>
      </w:pPr>
      <w:r>
        <w:rPr/>
      </w:r>
    </w:p>
    <w:p>
      <w:pPr>
        <w:pStyle w:val="TextBody"/>
        <w:spacing w:before="0" w:after="0"/>
        <w:jc w:val="both"/>
        <w:rPr>
          <w:color w:val="000000"/>
        </w:rPr>
      </w:pPr>
      <w:r>
        <w:rPr>
          <w:color w:val="000000"/>
        </w:rPr>
        <w:t>The audit committee of our board of directors operates pursuant to a charter that provides for the review, approval and/or ratification of “related party transactions,” which are those transactions required to be disclosed pursuant to Item 404 of Regulation S-K as promulgated by the SEC, by the audit committee. At its meetings, the audit committee is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pStyle w:val="TextBody"/>
        <w:spacing w:before="0" w:after="0"/>
        <w:rPr/>
      </w:pPr>
      <w:r>
        <w:rPr/>
      </w:r>
    </w:p>
    <w:p>
      <w:pPr>
        <w:pStyle w:val="TextBody"/>
        <w:spacing w:before="0" w:after="0"/>
        <w:rPr>
          <w:b/>
          <w:color w:val="000000"/>
        </w:rPr>
      </w:pPr>
      <w:r>
        <w:rPr>
          <w:b/>
          <w:color w:val="000000"/>
        </w:rPr>
        <w:t>Director Independence</w:t>
      </w:r>
    </w:p>
    <w:p>
      <w:pPr>
        <w:pStyle w:val="TextBody"/>
        <w:spacing w:before="0" w:after="0"/>
        <w:rPr/>
      </w:pPr>
      <w:r>
        <w:rPr/>
      </w:r>
    </w:p>
    <w:p>
      <w:pPr>
        <w:pStyle w:val="TextBody"/>
        <w:spacing w:before="0" w:after="0"/>
        <w:jc w:val="both"/>
        <w:rPr>
          <w:color w:val="000000"/>
        </w:rPr>
      </w:pPr>
      <w:r>
        <w:rPr>
          <w:color w:val="000000"/>
        </w:rPr>
        <w:t>Nasdaq listing standards require that a majority of our board of directors be independent. An “independent director” is defined generally as a person other than an officer or employee of the company or its subsidiaries or any other individual having a relationship with the company which in the opinion of the company’s board of directors, could interfere with the director’s exercise of independent judgment in carrying out the responsibilities of a director. Our board of directors has determined that Joseph Edelman, Todd Wider, Bradley L. Campbell and Saqib Islam are “independent directors” as defined in the Nasdaq listing standards and applicable SEC rules. Our independent directors will have regularly scheduled meetings at which only independent directors are present.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65" w:name="DSPFPageBreakArea69"/>
      <w:bookmarkStart w:id="866" w:name="DSPFPageBreakArea69"/>
      <w:bookmarkEnd w:id="8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867" w:name="DSPFPageNumber68"/>
      <w:bookmarkStart w:id="868" w:name="DSPFPageNumberArea67"/>
      <w:bookmarkEnd w:id="867"/>
      <w:bookmarkEnd w:id="868"/>
      <w:r>
        <w:rPr>
          <w:b w:val="false"/>
          <w:i w:val="false"/>
          <w:caps w:val="false"/>
          <w:smallCaps w:val="false"/>
          <w:color w:val="000000"/>
          <w:sz w:val="16"/>
        </w:rPr>
        <w:t>71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69" w:name="DSPFPageBreak69"/>
      <w:bookmarkStart w:id="870" w:name="DSPFPageBreak69"/>
      <w:bookmarkEnd w:id="8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871" w:name="DSPFPageHeader67"/>
        <w:bookmarkEnd w:id="871"/>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872" w:name="zc67a2a72ed264e8c91285f258364399f"/>
      <w:bookmarkStart w:id="873" w:name="zc67a2a72ed264e8c91285f258364399f"/>
      <w:bookmarkEnd w:id="873"/>
    </w:p>
    <w:tbl>
      <w:tblPr>
        <w:tblW w:w="4915" w:type="dxa"/>
        <w:jc w:val="left"/>
        <w:tblInd w:w="0" w:type="dxa"/>
        <w:tblCellMar>
          <w:top w:w="0" w:type="dxa"/>
          <w:left w:w="0" w:type="dxa"/>
          <w:bottom w:w="0" w:type="dxa"/>
          <w:right w:w="0" w:type="dxa"/>
        </w:tblCellMar>
      </w:tblPr>
      <w:tblGrid>
        <w:gridCol w:w="860"/>
        <w:gridCol w:w="4055"/>
      </w:tblGrid>
      <w:tr>
        <w:trPr/>
        <w:tc>
          <w:tcPr>
            <w:tcW w:w="860" w:type="dxa"/>
            <w:tcBorders/>
            <w:shd w:fill="auto" w:val="clear"/>
            <w:vAlign w:val="center"/>
          </w:tcPr>
          <w:p>
            <w:pPr>
              <w:pStyle w:val="TableContents"/>
              <w:spacing w:before="0" w:after="0"/>
              <w:rPr>
                <w:b/>
              </w:rPr>
            </w:pPr>
            <w:bookmarkStart w:id="874" w:name="Item14"/>
            <w:bookmarkEnd w:id="874"/>
            <w:r>
              <w:rPr>
                <w:b/>
              </w:rPr>
              <w:t>Item 14.</w:t>
            </w:r>
          </w:p>
        </w:tc>
        <w:tc>
          <w:tcPr>
            <w:tcW w:w="4055" w:type="dxa"/>
            <w:tcBorders/>
            <w:shd w:fill="auto" w:val="clear"/>
            <w:vAlign w:val="center"/>
          </w:tcPr>
          <w:p>
            <w:pPr>
              <w:pStyle w:val="TableContents"/>
              <w:spacing w:before="0" w:after="0"/>
              <w:rPr>
                <w:b/>
              </w:rPr>
            </w:pPr>
            <w:r>
              <w:rPr>
                <w:b/>
              </w:rPr>
              <w:t>Principal Accountant Fees and Services</w:t>
            </w:r>
          </w:p>
        </w:tc>
      </w:tr>
    </w:tbl>
    <w:p>
      <w:pPr>
        <w:pStyle w:val="TextBody"/>
        <w:spacing w:before="0" w:after="0"/>
        <w:rPr/>
      </w:pPr>
      <w:r>
        <w:rPr/>
      </w:r>
    </w:p>
    <w:p>
      <w:pPr>
        <w:pStyle w:val="TextBody"/>
        <w:spacing w:before="0" w:after="0"/>
        <w:jc w:val="both"/>
        <w:rPr/>
      </w:pPr>
      <w:r>
        <w:rPr/>
        <w:t>The firm of WithumSmith+Brown, PC, or Withum, acts as our independent registered public accounting firm. The following is a summary of fees paid to Withum for services rendered.</w:t>
      </w:r>
    </w:p>
    <w:p>
      <w:pPr>
        <w:pStyle w:val="TextBody"/>
        <w:spacing w:before="0" w:after="0"/>
        <w:rPr/>
      </w:pPr>
      <w:r>
        <w:rPr/>
      </w:r>
    </w:p>
    <w:p>
      <w:pPr>
        <w:pStyle w:val="TextBody"/>
        <w:spacing w:before="0" w:after="0"/>
        <w:jc w:val="both"/>
        <w:rPr/>
      </w:pPr>
      <w:r>
        <w:rPr>
          <w:i/>
        </w:rPr>
        <w:t>Audit Fees</w:t>
      </w:r>
      <w:r>
        <w:rPr/>
        <w:t>. Audit fees consist of fees billed for professional services rendered for the audit of our year-end financial statements and services that are normally provided by Withum in connection with regulatory filings. The aggregate fees billed by Withum for professional services rendered for the audit of our annual financial statements and other required filings with the SEC for the period from March 27, 2020 (inception) through December 31, 2020, including services in connection with our Initial Public Offering, totaled $111,240. The above amounts include interim review procedures and audit fees, as well as attendance at audit committee meetings.</w:t>
      </w:r>
    </w:p>
    <w:p>
      <w:pPr>
        <w:pStyle w:val="TextBody"/>
        <w:spacing w:before="0" w:after="0"/>
        <w:rPr/>
      </w:pPr>
      <w:r>
        <w:rPr/>
      </w:r>
    </w:p>
    <w:p>
      <w:pPr>
        <w:pStyle w:val="TextBody"/>
        <w:spacing w:before="0" w:after="0"/>
        <w:jc w:val="both"/>
        <w:rPr/>
      </w:pPr>
      <w:r>
        <w:rPr>
          <w:i/>
        </w:rPr>
        <w:t>Audit-Related Fees</w:t>
      </w:r>
      <w:r>
        <w:rPr/>
        <w:t>. Audit-related fees consist of fees billed for assurance and related services that are reasonably related to performance of the audit or review of our year-end financial statements and are not reported under “Audit Fees.” These services include attest services that are not required by statute or regulation and consultation concerning financial accounting and reporting standards. During the period from March 27, 2020 (inception) through December 31, 2020, we did not pay Withum any audit-related fees.</w:t>
      </w:r>
    </w:p>
    <w:p>
      <w:pPr>
        <w:pStyle w:val="TextBody"/>
        <w:spacing w:before="0" w:after="0"/>
        <w:rPr/>
      </w:pPr>
      <w:r>
        <w:rPr/>
      </w:r>
    </w:p>
    <w:p>
      <w:pPr>
        <w:pStyle w:val="TextBody"/>
        <w:spacing w:before="0" w:after="0"/>
        <w:jc w:val="both"/>
        <w:rPr/>
      </w:pPr>
      <w:r>
        <w:rPr>
          <w:i/>
        </w:rPr>
        <w:t>Tax Fees</w:t>
      </w:r>
      <w:r>
        <w:rPr/>
        <w:t>. Tax fees consist of fees billed for professional services relating to tax compliance, tax planning and tax advice. During the period from March 27, 2020 (inception) through December 31, 2020, we did not pay Withum any tax fees.</w:t>
      </w:r>
    </w:p>
    <w:p>
      <w:pPr>
        <w:pStyle w:val="TextBody"/>
        <w:spacing w:before="0" w:after="0"/>
        <w:rPr/>
      </w:pPr>
      <w:r>
        <w:rPr/>
      </w:r>
    </w:p>
    <w:p>
      <w:pPr>
        <w:pStyle w:val="TextBody"/>
        <w:spacing w:before="0" w:after="0"/>
        <w:jc w:val="both"/>
        <w:rPr/>
      </w:pPr>
      <w:r>
        <w:rPr>
          <w:i/>
        </w:rPr>
        <w:t>All Other Fees</w:t>
      </w:r>
      <w:r>
        <w:rPr/>
        <w:t>. All other fees consist of fees billed for all other services. During the period from March 27, 2020 (inception) through December 31, 2020, we did not pay Withum any other fees.</w:t>
      </w:r>
    </w:p>
    <w:p>
      <w:pPr>
        <w:pStyle w:val="TextBody"/>
        <w:spacing w:before="0" w:after="0"/>
        <w:jc w:val="both"/>
        <w:rPr/>
      </w:pPr>
      <w:r>
        <w:rPr/>
      </w:r>
    </w:p>
    <w:p>
      <w:pPr>
        <w:pStyle w:val="TextBody"/>
        <w:spacing w:before="0" w:after="0"/>
        <w:jc w:val="both"/>
        <w:rPr>
          <w:color w:val="000000"/>
        </w:rPr>
      </w:pPr>
      <w:r>
        <w:rPr>
          <w:i/>
          <w:color w:val="000000"/>
        </w:rPr>
        <w:t xml:space="preserve">Pre-Approval Policy. </w:t>
      </w:r>
      <w:r>
        <w:rPr>
          <w:color w:val="000000"/>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75" w:name="DSPFPageBreakArea70"/>
      <w:bookmarkStart w:id="876" w:name="DSPFPageBreakArea70"/>
      <w:bookmarkEnd w:id="8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877" w:name="DSPFPageNumber69"/>
      <w:bookmarkStart w:id="878" w:name="DSPFPageNumberArea68"/>
      <w:bookmarkEnd w:id="877"/>
      <w:bookmarkEnd w:id="878"/>
      <w:r>
        <w:rPr>
          <w:b w:val="false"/>
          <w:i w:val="false"/>
          <w:caps w:val="false"/>
          <w:smallCaps w:val="false"/>
          <w:color w:val="000000"/>
          <w:sz w:val="16"/>
        </w:rPr>
        <w:t>72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79" w:name="DSPFPageBreak70"/>
      <w:bookmarkStart w:id="880" w:name="DSPFPageBreak70"/>
      <w:bookmarkEnd w:id="8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881" w:name="DSPFPageHeader68"/>
        <w:bookmarkEnd w:id="881"/>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rPr>
      </w:pPr>
      <w:r>
        <w:rPr>
          <w:b/>
        </w:rPr>
        <w:t>PART IV</w:t>
      </w:r>
    </w:p>
    <w:p>
      <w:pPr>
        <w:pStyle w:val="Normal"/>
        <w:spacing w:before="0" w:after="0"/>
        <w:rPr>
          <w:sz w:val="4"/>
          <w:szCs w:val="4"/>
        </w:rPr>
      </w:pPr>
      <w:r>
        <w:rPr>
          <w:sz w:val="4"/>
          <w:szCs w:val="4"/>
        </w:rPr>
      </w:r>
      <w:bookmarkStart w:id="882" w:name="z98f370e5912644e1855788e1e2b569a8"/>
      <w:bookmarkStart w:id="883" w:name="z98f370e5912644e1855788e1e2b569a8"/>
      <w:bookmarkEnd w:id="883"/>
    </w:p>
    <w:tbl>
      <w:tblPr>
        <w:tblW w:w="4945" w:type="dxa"/>
        <w:jc w:val="left"/>
        <w:tblInd w:w="0" w:type="dxa"/>
        <w:tblCellMar>
          <w:top w:w="0" w:type="dxa"/>
          <w:left w:w="0" w:type="dxa"/>
          <w:bottom w:w="0" w:type="dxa"/>
          <w:right w:w="0" w:type="dxa"/>
        </w:tblCellMar>
      </w:tblPr>
      <w:tblGrid>
        <w:gridCol w:w="860"/>
        <w:gridCol w:w="4085"/>
      </w:tblGrid>
      <w:tr>
        <w:trPr/>
        <w:tc>
          <w:tcPr>
            <w:tcW w:w="860" w:type="dxa"/>
            <w:tcBorders/>
            <w:shd w:fill="auto" w:val="clear"/>
            <w:vAlign w:val="center"/>
          </w:tcPr>
          <w:p>
            <w:pPr>
              <w:pStyle w:val="TableContents"/>
              <w:spacing w:before="0" w:after="0"/>
              <w:jc w:val="both"/>
              <w:rPr>
                <w:b/>
              </w:rPr>
            </w:pPr>
            <w:bookmarkStart w:id="884" w:name="Item15."/>
            <w:bookmarkEnd w:id="884"/>
            <w:r>
              <w:rPr>
                <w:b/>
              </w:rPr>
              <w:t>Item 15.</w:t>
            </w:r>
          </w:p>
        </w:tc>
        <w:tc>
          <w:tcPr>
            <w:tcW w:w="4085" w:type="dxa"/>
            <w:tcBorders/>
            <w:shd w:fill="auto" w:val="clear"/>
            <w:vAlign w:val="center"/>
          </w:tcPr>
          <w:p>
            <w:pPr>
              <w:pStyle w:val="TableContents"/>
              <w:spacing w:before="0" w:after="0"/>
              <w:jc w:val="both"/>
              <w:rPr>
                <w:b/>
              </w:rPr>
            </w:pPr>
            <w:r>
              <w:rPr>
                <w:b/>
              </w:rPr>
              <w:t>Exhibits, Financial Statement Schedules</w:t>
            </w:r>
          </w:p>
        </w:tc>
      </w:tr>
    </w:tbl>
    <w:p>
      <w:pPr>
        <w:pStyle w:val="TextBody"/>
        <w:spacing w:before="0" w:after="0"/>
        <w:jc w:val="both"/>
        <w:rPr>
          <w:b/>
        </w:rPr>
      </w:pPr>
      <w:r>
        <w:rPr>
          <w:b/>
        </w:rPr>
      </w:r>
    </w:p>
    <w:p>
      <w:pPr>
        <w:pStyle w:val="Normal"/>
        <w:spacing w:before="0" w:after="0"/>
        <w:rPr>
          <w:sz w:val="4"/>
          <w:szCs w:val="4"/>
        </w:rPr>
      </w:pPr>
      <w:r>
        <w:rPr>
          <w:sz w:val="4"/>
          <w:szCs w:val="4"/>
        </w:rPr>
      </w:r>
      <w:bookmarkStart w:id="885" w:name="z6259be806eb74c7ebdf1822a3ddb2fd8"/>
      <w:bookmarkStart w:id="886" w:name="z6259be806eb74c7ebdf1822a3ddb2fd8"/>
      <w:bookmarkEnd w:id="886"/>
    </w:p>
    <w:tbl>
      <w:tblPr>
        <w:tblW w:w="10205" w:type="dxa"/>
        <w:jc w:val="left"/>
        <w:tblInd w:w="0" w:type="dxa"/>
        <w:tblCellMar>
          <w:top w:w="0" w:type="dxa"/>
          <w:left w:w="0" w:type="dxa"/>
          <w:bottom w:w="0" w:type="dxa"/>
          <w:right w:w="0" w:type="dxa"/>
        </w:tblCellMar>
      </w:tblPr>
      <w:tblGrid>
        <w:gridCol w:w="286"/>
        <w:gridCol w:w="9919"/>
      </w:tblGrid>
      <w:tr>
        <w:trPr/>
        <w:tc>
          <w:tcPr>
            <w:tcW w:w="286" w:type="dxa"/>
            <w:tcBorders/>
            <w:shd w:fill="auto" w:val="clear"/>
            <w:vAlign w:val="center"/>
          </w:tcPr>
          <w:p>
            <w:pPr>
              <w:pStyle w:val="TableContents"/>
              <w:spacing w:before="0" w:after="0"/>
              <w:jc w:val="both"/>
              <w:rPr/>
            </w:pPr>
            <w:r>
              <w:rPr/>
              <w:t>(a)</w:t>
            </w:r>
          </w:p>
        </w:tc>
        <w:tc>
          <w:tcPr>
            <w:tcW w:w="9919" w:type="dxa"/>
            <w:tcBorders/>
            <w:shd w:fill="auto" w:val="clear"/>
            <w:vAlign w:val="center"/>
          </w:tcPr>
          <w:p>
            <w:pPr>
              <w:pStyle w:val="TableContents"/>
              <w:spacing w:before="0" w:after="0"/>
              <w:jc w:val="both"/>
              <w:rPr/>
            </w:pPr>
            <w:r>
              <w:rPr/>
              <w:t>The following documents are filed as part of this Report:</w:t>
            </w:r>
          </w:p>
          <w:p>
            <w:pPr>
              <w:pStyle w:val="TableContents"/>
              <w:spacing w:before="0" w:after="0"/>
              <w:jc w:val="both"/>
              <w:rPr/>
            </w:pPr>
            <w:r>
              <w:rPr/>
            </w:r>
          </w:p>
        </w:tc>
      </w:tr>
      <w:tr>
        <w:trPr/>
        <w:tc>
          <w:tcPr>
            <w:tcW w:w="286" w:type="dxa"/>
            <w:tcBorders/>
            <w:shd w:fill="auto" w:val="clear"/>
            <w:vAlign w:val="center"/>
          </w:tcPr>
          <w:p>
            <w:pPr>
              <w:pStyle w:val="TableContents"/>
              <w:spacing w:before="0" w:after="0"/>
              <w:jc w:val="both"/>
              <w:rPr/>
            </w:pPr>
            <w:r>
              <w:rPr/>
              <w:t>(1)</w:t>
            </w:r>
          </w:p>
        </w:tc>
        <w:tc>
          <w:tcPr>
            <w:tcW w:w="9919" w:type="dxa"/>
            <w:tcBorders/>
            <w:shd w:fill="auto" w:val="clear"/>
            <w:vAlign w:val="center"/>
          </w:tcPr>
          <w:p>
            <w:pPr>
              <w:pStyle w:val="TableContents"/>
              <w:spacing w:before="0" w:after="0"/>
              <w:jc w:val="both"/>
              <w:rPr/>
            </w:pPr>
            <w:r>
              <w:rPr/>
              <w:t>Financial Statements</w:t>
            </w:r>
          </w:p>
          <w:p>
            <w:pPr>
              <w:pStyle w:val="TableContents"/>
              <w:spacing w:before="0" w:after="0"/>
              <w:jc w:val="both"/>
              <w:rPr/>
            </w:pPr>
            <w:r>
              <w:rPr/>
            </w:r>
          </w:p>
          <w:p>
            <w:pPr>
              <w:pStyle w:val="TableContents"/>
              <w:spacing w:before="0" w:after="0"/>
              <w:jc w:val="both"/>
              <w:rPr/>
            </w:pPr>
            <w:r>
              <w:rPr/>
              <w:t>See “Index to Financial Statements” at “Item 8. Financial Statements and Supplementary Data” in this Report.</w:t>
            </w:r>
          </w:p>
          <w:p>
            <w:pPr>
              <w:pStyle w:val="TableContents"/>
              <w:spacing w:before="0" w:after="0"/>
              <w:jc w:val="both"/>
              <w:rPr/>
            </w:pPr>
            <w:r>
              <w:rPr/>
            </w:r>
          </w:p>
        </w:tc>
      </w:tr>
      <w:tr>
        <w:trPr/>
        <w:tc>
          <w:tcPr>
            <w:tcW w:w="286" w:type="dxa"/>
            <w:tcBorders/>
            <w:shd w:fill="auto" w:val="clear"/>
            <w:vAlign w:val="center"/>
          </w:tcPr>
          <w:p>
            <w:pPr>
              <w:pStyle w:val="TableContents"/>
              <w:spacing w:before="0" w:after="0"/>
              <w:jc w:val="both"/>
              <w:rPr/>
            </w:pPr>
            <w:r>
              <w:rPr/>
              <w:t>(2)</w:t>
            </w:r>
          </w:p>
        </w:tc>
        <w:tc>
          <w:tcPr>
            <w:tcW w:w="9919" w:type="dxa"/>
            <w:tcBorders/>
            <w:shd w:fill="auto" w:val="clear"/>
            <w:vAlign w:val="center"/>
          </w:tcPr>
          <w:p>
            <w:pPr>
              <w:pStyle w:val="TableContents"/>
              <w:spacing w:before="0" w:after="0"/>
              <w:jc w:val="both"/>
              <w:rPr/>
            </w:pPr>
            <w:r>
              <w:rPr/>
              <w:t>Financial Statement Schedules:</w:t>
            </w:r>
          </w:p>
          <w:p>
            <w:pPr>
              <w:pStyle w:val="TableContents"/>
              <w:spacing w:before="0" w:after="0"/>
              <w:jc w:val="both"/>
              <w:rPr/>
            </w:pPr>
            <w:r>
              <w:rPr/>
            </w:r>
          </w:p>
          <w:p>
            <w:pPr>
              <w:pStyle w:val="TableContents"/>
              <w:spacing w:before="0" w:after="0"/>
              <w:jc w:val="both"/>
              <w:rPr/>
            </w:pPr>
            <w:r>
              <w:rPr/>
              <w:t>None.</w:t>
            </w:r>
          </w:p>
          <w:p>
            <w:pPr>
              <w:pStyle w:val="TableContents"/>
              <w:spacing w:before="0" w:after="0"/>
              <w:jc w:val="both"/>
              <w:rPr/>
            </w:pPr>
            <w:r>
              <w:rPr/>
            </w:r>
          </w:p>
        </w:tc>
      </w:tr>
      <w:tr>
        <w:trPr/>
        <w:tc>
          <w:tcPr>
            <w:tcW w:w="286" w:type="dxa"/>
            <w:tcBorders/>
            <w:shd w:fill="auto" w:val="clear"/>
            <w:vAlign w:val="center"/>
          </w:tcPr>
          <w:p>
            <w:pPr>
              <w:pStyle w:val="TableContents"/>
              <w:spacing w:before="0" w:after="283"/>
              <w:rPr/>
            </w:pPr>
            <w:r>
              <w:rPr/>
              <w:t>(3)</w:t>
            </w:r>
          </w:p>
        </w:tc>
        <w:tc>
          <w:tcPr>
            <w:tcW w:w="9919" w:type="dxa"/>
            <w:tcBorders/>
            <w:shd w:fill="auto" w:val="clear"/>
            <w:vAlign w:val="center"/>
          </w:tcPr>
          <w:p>
            <w:pPr>
              <w:pStyle w:val="TableContents"/>
              <w:spacing w:before="0" w:after="283"/>
              <w:rPr/>
            </w:pPr>
            <w:r>
              <w:rPr/>
              <w:t>Exhibits</w:t>
            </w:r>
          </w:p>
        </w:tc>
      </w:tr>
    </w:tbl>
    <w:p>
      <w:pPr>
        <w:pStyle w:val="TextBody"/>
        <w:spacing w:before="0" w:after="0"/>
        <w:rPr/>
      </w:pPr>
      <w:r>
        <w:rPr/>
      </w:r>
    </w:p>
    <w:p>
      <w:pPr>
        <w:pStyle w:val="TextBody"/>
        <w:spacing w:before="0" w:after="0"/>
        <w:ind w:left="0" w:right="0" w:firstLine="567"/>
        <w:jc w:val="both"/>
        <w:rPr/>
      </w:pPr>
      <w:r>
        <w:rPr/>
        <w:t>We hereby file as part of this Report the exhibits listed in the below exhibit index.</w:t>
      </w:r>
    </w:p>
    <w:p>
      <w:pPr>
        <w:pStyle w:val="TextBody"/>
        <w:spacing w:before="0" w:after="0"/>
        <w:rPr/>
      </w:pPr>
      <w:r>
        <w:rPr/>
      </w:r>
    </w:p>
    <w:p>
      <w:pPr>
        <w:pStyle w:val="Normal"/>
        <w:spacing w:before="0" w:after="0"/>
        <w:rPr>
          <w:sz w:val="4"/>
          <w:szCs w:val="4"/>
        </w:rPr>
      </w:pPr>
      <w:r>
        <w:rPr>
          <w:sz w:val="4"/>
          <w:szCs w:val="4"/>
        </w:rPr>
      </w:r>
      <w:bookmarkStart w:id="887" w:name="z02c3f11ed5fd4ec69e04994d97acec53"/>
      <w:bookmarkStart w:id="888" w:name="z02c3f11ed5fd4ec69e04994d97acec53"/>
      <w:bookmarkEnd w:id="888"/>
    </w:p>
    <w:tbl>
      <w:tblPr>
        <w:tblW w:w="10205" w:type="dxa"/>
        <w:jc w:val="left"/>
        <w:tblInd w:w="0" w:type="dxa"/>
        <w:tblCellMar>
          <w:top w:w="0" w:type="dxa"/>
          <w:left w:w="0" w:type="dxa"/>
          <w:bottom w:w="28" w:type="dxa"/>
          <w:right w:w="0" w:type="dxa"/>
        </w:tblCellMar>
      </w:tblPr>
      <w:tblGrid>
        <w:gridCol w:w="886"/>
        <w:gridCol w:w="60"/>
        <w:gridCol w:w="9259"/>
      </w:tblGrid>
      <w:tr>
        <w:trPr/>
        <w:tc>
          <w:tcPr>
            <w:tcW w:w="886" w:type="dxa"/>
            <w:tcBorders>
              <w:bottom w:val="single" w:sz="12" w:space="0" w:color="000000"/>
            </w:tcBorders>
            <w:shd w:fill="auto" w:val="clear"/>
            <w:vAlign w:val="center"/>
          </w:tcPr>
          <w:p>
            <w:pPr>
              <w:pStyle w:val="TableContents"/>
              <w:spacing w:before="0" w:after="0"/>
              <w:ind w:left="74" w:right="0" w:hanging="0"/>
              <w:jc w:val="both"/>
              <w:rPr>
                <w:b/>
                <w:color w:val="000000"/>
              </w:rPr>
            </w:pPr>
            <w:r>
              <w:rPr>
                <w:b/>
                <w:color w:val="000000"/>
              </w:rPr>
              <w:t>Exhibit</w:t>
            </w:r>
          </w:p>
          <w:p>
            <w:pPr>
              <w:pStyle w:val="TableContents"/>
              <w:spacing w:before="0" w:after="0"/>
              <w:ind w:left="74" w:right="0" w:hanging="0"/>
              <w:jc w:val="both"/>
              <w:rPr>
                <w:b/>
                <w:color w:val="000000"/>
              </w:rPr>
            </w:pPr>
            <w:r>
              <w:rPr>
                <w:b/>
                <w:color w:val="000000"/>
              </w:rPr>
              <w:t>No.</w:t>
            </w:r>
          </w:p>
        </w:tc>
        <w:tc>
          <w:tcPr>
            <w:tcW w:w="60" w:type="dxa"/>
            <w:tcBorders/>
            <w:shd w:fill="auto" w:val="clear"/>
            <w:tcMar>
              <w:bottom w:w="0" w:type="dxa"/>
            </w:tcMar>
            <w:vAlign w:val="center"/>
          </w:tcPr>
          <w:p>
            <w:pPr>
              <w:pStyle w:val="TableContents"/>
              <w:spacing w:before="0" w:after="283"/>
              <w:rPr/>
            </w:pPr>
            <w:r>
              <w:rPr/>
            </w:r>
          </w:p>
        </w:tc>
        <w:tc>
          <w:tcPr>
            <w:tcW w:w="9259" w:type="dxa"/>
            <w:tcBorders>
              <w:bottom w:val="single" w:sz="12" w:space="0" w:color="000000"/>
            </w:tcBorders>
            <w:shd w:fill="auto" w:val="clear"/>
            <w:vAlign w:val="center"/>
          </w:tcPr>
          <w:p>
            <w:pPr>
              <w:pStyle w:val="TableContents"/>
              <w:spacing w:before="0" w:after="0"/>
              <w:jc w:val="center"/>
              <w:rPr>
                <w:b/>
                <w:color w:val="000000"/>
              </w:rPr>
            </w:pPr>
            <w:r>
              <w:rPr>
                <w:b/>
                <w:color w:val="000000"/>
              </w:rPr>
              <w:t>Description</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r:id="rId2">
              <w:r>
                <w:rPr>
                  <w:rStyle w:val="InternetLink"/>
                </w:rPr>
                <w:t>3.1</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lineRule="auto" w:line="240" w:before="0" w:after="0"/>
              <w:jc w:val="both"/>
              <w:rPr/>
            </w:pPr>
            <w:r>
              <w:rPr/>
              <w:t>Amended and Restated Memorandum and Articles of Association.(1)</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r:id="rId3">
              <w:r>
                <w:rPr>
                  <w:rStyle w:val="InternetLink"/>
                </w:rPr>
                <w:t>4.1</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lineRule="auto" w:line="240" w:before="0" w:after="0"/>
              <w:jc w:val="both"/>
              <w:rPr/>
            </w:pPr>
            <w:r>
              <w:rPr/>
              <w:t>Specimen Ordinary Share Certificate.(2)</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w:anchor="brhc10021542_ex4-2.htm">
              <w:r>
                <w:rPr>
                  <w:rStyle w:val="InternetLink"/>
                </w:rPr>
                <w:t>4.2</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before="0" w:after="0"/>
              <w:jc w:val="both"/>
              <w:rPr/>
            </w:pPr>
            <w:r>
              <w:rPr/>
              <w:t>Description of Registrant’s Securities*</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r:id="rId4">
              <w:r>
                <w:rPr>
                  <w:rStyle w:val="InternetLink"/>
                </w:rPr>
                <w:t>10.1</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lineRule="auto" w:line="240" w:before="0" w:after="0"/>
              <w:jc w:val="both"/>
              <w:rPr/>
            </w:pPr>
            <w:r>
              <w:rPr>
                <w:color w:val="000000"/>
              </w:rPr>
              <w:t>Private Placement Shares Purchase Agreement between the Company and the Sponsor.</w:t>
            </w:r>
            <w:r>
              <w:rPr/>
              <w:t>(1)</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r:id="rId5">
              <w:r>
                <w:rPr>
                  <w:rStyle w:val="InternetLink"/>
                </w:rPr>
                <w:t>10.2</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lineRule="auto" w:line="240" w:before="0" w:after="0"/>
              <w:jc w:val="both"/>
              <w:rPr/>
            </w:pPr>
            <w:r>
              <w:rPr>
                <w:color w:val="000000"/>
              </w:rPr>
              <w:t>Investment Management Trust Agreement between Continental Stock Transfer &amp; Trust Company and the Company.</w:t>
            </w:r>
            <w:r>
              <w:rPr/>
              <w:t>(1)</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r:id="rId6">
              <w:r>
                <w:rPr>
                  <w:rStyle w:val="InternetLink"/>
                </w:rPr>
                <w:t>10.3</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lineRule="auto" w:line="240" w:before="0" w:after="0"/>
              <w:jc w:val="both"/>
              <w:rPr/>
            </w:pPr>
            <w:r>
              <w:rPr>
                <w:color w:val="000000"/>
              </w:rPr>
              <w:t>Registration and Shareholder Rights Agreement among the Company, the Sponsor and certain other equityholders named therein.</w:t>
            </w:r>
            <w:r>
              <w:rPr/>
              <w:t>(1)</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r:id="rId7">
              <w:r>
                <w:rPr>
                  <w:rStyle w:val="InternetLink"/>
                </w:rPr>
                <w:t>10.4</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lineRule="auto" w:line="240" w:before="0" w:after="0"/>
              <w:jc w:val="both"/>
              <w:rPr/>
            </w:pPr>
            <w:r>
              <w:rPr/>
              <w:t>Letter Agreement among the Company, the Sponsor, the Foundation and the Company’s officers and directors.(1)</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r:id="rId8">
              <w:r>
                <w:rPr>
                  <w:rStyle w:val="InternetLink"/>
                </w:rPr>
                <w:t>10.5</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lineRule="auto" w:line="240" w:before="0" w:after="0"/>
              <w:jc w:val="both"/>
              <w:rPr/>
            </w:pPr>
            <w:r>
              <w:rPr/>
              <w:t>Administrative Services Agreement between the Company and the Sponsor.(1)</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283"/>
              <w:rPr/>
            </w:pPr>
            <w:hyperlink r:id="rId9">
              <w:r>
                <w:rPr>
                  <w:rStyle w:val="InternetLink"/>
                </w:rPr>
                <w:t>10.6</w:t>
              </w:r>
            </w:hyperlink>
          </w:p>
        </w:tc>
        <w:tc>
          <w:tcPr>
            <w:tcW w:w="60" w:type="dxa"/>
            <w:tcBorders/>
            <w:shd w:fill="CCEEFF" w:val="clear"/>
            <w:tcMar>
              <w:bottom w:w="0" w:type="dxa"/>
            </w:tcMar>
            <w:vAlign w:val="center"/>
          </w:tcPr>
          <w:p>
            <w:pPr>
              <w:pStyle w:val="TableContents"/>
              <w:spacing w:before="0" w:after="283"/>
              <w:rPr/>
            </w:pPr>
            <w:r>
              <w:rPr/>
              <w:t> </w:t>
            </w:r>
          </w:p>
        </w:tc>
        <w:tc>
          <w:tcPr>
            <w:tcW w:w="9259" w:type="dxa"/>
            <w:tcBorders/>
            <w:shd w:fill="CCEEFF" w:val="clear"/>
            <w:tcMar>
              <w:bottom w:w="0" w:type="dxa"/>
            </w:tcMar>
            <w:vAlign w:val="center"/>
          </w:tcPr>
          <w:p>
            <w:pPr>
              <w:pStyle w:val="TableContents"/>
              <w:spacing w:lineRule="auto" w:line="240" w:before="0" w:after="0"/>
              <w:jc w:val="both"/>
              <w:rPr>
                <w:color w:val="000000"/>
              </w:rPr>
            </w:pPr>
            <w:r>
              <w:rPr>
                <w:color w:val="000000"/>
              </w:rPr>
              <w:t>Form of Indemnity Agreement.(2)</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w:anchor="brhc10021542_ex21.htm">
              <w:r>
                <w:rPr>
                  <w:rStyle w:val="InternetLink"/>
                  <w:color w:val="000000"/>
                </w:rPr>
                <w:t>21</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before="0" w:after="0"/>
              <w:jc w:val="both"/>
              <w:rPr/>
            </w:pPr>
            <w:r>
              <w:rPr/>
              <w:t>Subsidiaries of the Company.*</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w:anchor="brhc10021542_ex31-1.htm">
              <w:r>
                <w:rPr>
                  <w:rStyle w:val="InternetLink"/>
                </w:rPr>
                <w:t>31.1</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before="0" w:after="0"/>
              <w:jc w:val="both"/>
              <w:rPr/>
            </w:pPr>
            <w:r>
              <w:rPr/>
              <w:t>Certification of the Chief Executive Officer required by Rule 13a-14(a) or Rule 15d-14(a).*</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w:anchor="brhc10021542_ex31-2.htm">
              <w:r>
                <w:rPr>
                  <w:rStyle w:val="InternetLink"/>
                </w:rPr>
                <w:t>31.2</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before="0" w:after="0"/>
              <w:jc w:val="both"/>
              <w:rPr/>
            </w:pPr>
            <w:r>
              <w:rPr/>
              <w:t>Certification of the Chief Financial Officer required by Rule 13a-14(a) or Rule 15d-14(a).*</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w:anchor="brhc10021542_ex32-1.htm">
              <w:r>
                <w:rPr>
                  <w:rStyle w:val="InternetLink"/>
                </w:rPr>
                <w:t>32.1</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before="0" w:after="0"/>
              <w:jc w:val="both"/>
              <w:rPr/>
            </w:pPr>
            <w:r>
              <w:rPr/>
              <w:t>Certification of the Chief Executive Officer required by Rule 13a-14(b) or Rule 15d-14(b) and 18 U.S.C. 1350.**</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hyperlink w:anchor="brhc10021542_ex32-2.htm">
              <w:r>
                <w:rPr>
                  <w:rStyle w:val="InternetLink"/>
                </w:rPr>
                <w:t>32.2</w:t>
              </w:r>
            </w:hyperlink>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before="0" w:after="0"/>
              <w:jc w:val="both"/>
              <w:rPr/>
            </w:pPr>
            <w:r>
              <w:rPr/>
              <w:t>Certification of the Chief Financial Officer required by Rule 13a-14(b) or Rule 15d-14(b) and 18 U.S.C. 1350.**</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r>
              <w:rPr/>
              <w:t>101.INS</w:t>
            </w:r>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before="0" w:after="0"/>
              <w:jc w:val="both"/>
              <w:rPr/>
            </w:pPr>
            <w:r>
              <w:rPr/>
              <w:t>XBRL Instance Document.*</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r>
              <w:rPr/>
              <w:t>101.SCH</w:t>
            </w:r>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before="0" w:after="0"/>
              <w:jc w:val="both"/>
              <w:rPr/>
            </w:pPr>
            <w:r>
              <w:rPr/>
              <w:t>XBRL Taxonomy Extension Schema.*</w:t>
            </w:r>
          </w:p>
        </w:tc>
      </w:tr>
      <w:tr>
        <w:trPr/>
        <w:tc>
          <w:tcPr>
            <w:tcW w:w="886"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r>
          </w:p>
        </w:tc>
        <w:tc>
          <w:tcPr>
            <w:tcW w:w="9259" w:type="dxa"/>
            <w:tcBorders/>
            <w:shd w:fill="auto" w:val="clear"/>
            <w:tcMar>
              <w:bottom w:w="0" w:type="dxa"/>
            </w:tcMar>
            <w:vAlign w:val="center"/>
          </w:tcPr>
          <w:p>
            <w:pPr>
              <w:pStyle w:val="TableContents"/>
              <w:spacing w:before="0" w:after="283"/>
              <w:rPr/>
            </w:pPr>
            <w:r>
              <w:rPr/>
              <w:t> </w:t>
            </w:r>
          </w:p>
        </w:tc>
      </w:tr>
      <w:tr>
        <w:trPr/>
        <w:tc>
          <w:tcPr>
            <w:tcW w:w="886" w:type="dxa"/>
            <w:tcBorders/>
            <w:shd w:fill="CCEEFF" w:val="clear"/>
            <w:tcMar>
              <w:bottom w:w="0" w:type="dxa"/>
            </w:tcMar>
            <w:vAlign w:val="center"/>
          </w:tcPr>
          <w:p>
            <w:pPr>
              <w:pStyle w:val="TableContents"/>
              <w:spacing w:before="0" w:after="0"/>
              <w:jc w:val="both"/>
              <w:rPr/>
            </w:pPr>
            <w:r>
              <w:rPr/>
              <w:t>101.CAL</w:t>
            </w:r>
          </w:p>
        </w:tc>
        <w:tc>
          <w:tcPr>
            <w:tcW w:w="60" w:type="dxa"/>
            <w:tcBorders/>
            <w:shd w:fill="CCEEFF" w:val="clear"/>
            <w:tcMar>
              <w:bottom w:w="0" w:type="dxa"/>
            </w:tcMar>
            <w:vAlign w:val="center"/>
          </w:tcPr>
          <w:p>
            <w:pPr>
              <w:pStyle w:val="TableContents"/>
              <w:spacing w:before="0" w:after="283"/>
              <w:rPr/>
            </w:pPr>
            <w:r>
              <w:rPr/>
            </w:r>
          </w:p>
        </w:tc>
        <w:tc>
          <w:tcPr>
            <w:tcW w:w="9259" w:type="dxa"/>
            <w:tcBorders/>
            <w:shd w:fill="CCEEFF" w:val="clear"/>
            <w:tcMar>
              <w:bottom w:w="0" w:type="dxa"/>
            </w:tcMar>
            <w:vAlign w:val="center"/>
          </w:tcPr>
          <w:p>
            <w:pPr>
              <w:pStyle w:val="TableContents"/>
              <w:spacing w:before="0" w:after="0"/>
              <w:jc w:val="both"/>
              <w:rPr/>
            </w:pPr>
            <w:r>
              <w:rPr/>
              <w:t>XBRL Taxonomy Extension Calculation Linkbase.*</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889" w:name="DSPFPageBreakArea71"/>
      <w:bookmarkStart w:id="890" w:name="DSPFPageBreakArea71"/>
      <w:bookmarkEnd w:id="8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891" w:name="DSPFPageNumber70"/>
      <w:bookmarkStart w:id="892" w:name="DSPFPageNumberArea69"/>
      <w:bookmarkEnd w:id="891"/>
      <w:bookmarkEnd w:id="892"/>
      <w:r>
        <w:rPr>
          <w:b w:val="false"/>
          <w:i w:val="false"/>
          <w:caps w:val="false"/>
          <w:smallCaps w:val="false"/>
          <w:color w:val="000000"/>
          <w:sz w:val="16"/>
        </w:rPr>
        <w:t>73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893" w:name="DSPFPageBreak71"/>
      <w:bookmarkStart w:id="894" w:name="DSPFPageBreak71"/>
      <w:bookmarkEnd w:id="8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895" w:name="DSPFPageHeader69"/>
        <w:bookmarkEnd w:id="895"/>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896" w:name="z033d547d652340409a14b78a02f0df3e"/>
      <w:bookmarkStart w:id="897" w:name="z033d547d652340409a14b78a02f0df3e"/>
      <w:bookmarkEnd w:id="897"/>
    </w:p>
    <w:tbl>
      <w:tblPr>
        <w:tblW w:w="6063" w:type="dxa"/>
        <w:jc w:val="left"/>
        <w:tblInd w:w="0" w:type="dxa"/>
        <w:tblCellMar>
          <w:top w:w="0" w:type="dxa"/>
          <w:left w:w="0" w:type="dxa"/>
          <w:bottom w:w="0" w:type="dxa"/>
          <w:right w:w="0" w:type="dxa"/>
        </w:tblCellMar>
      </w:tblPr>
      <w:tblGrid>
        <w:gridCol w:w="935"/>
        <w:gridCol w:w="23"/>
        <w:gridCol w:w="5105"/>
      </w:tblGrid>
      <w:tr>
        <w:trPr/>
        <w:tc>
          <w:tcPr>
            <w:tcW w:w="935" w:type="dxa"/>
            <w:tcBorders/>
            <w:shd w:fill="CCEEFF" w:val="clear"/>
            <w:vAlign w:val="center"/>
          </w:tcPr>
          <w:p>
            <w:pPr>
              <w:pStyle w:val="TableContents"/>
              <w:spacing w:before="0" w:after="0"/>
              <w:jc w:val="both"/>
              <w:rPr/>
            </w:pPr>
            <w:r>
              <w:rPr/>
              <w:t>101.DEF</w:t>
            </w:r>
          </w:p>
        </w:tc>
        <w:tc>
          <w:tcPr>
            <w:tcW w:w="23" w:type="dxa"/>
            <w:tcBorders/>
            <w:shd w:fill="CCEEFF" w:val="clear"/>
            <w:vAlign w:val="center"/>
          </w:tcPr>
          <w:p>
            <w:pPr>
              <w:pStyle w:val="TableContents"/>
              <w:spacing w:before="0" w:after="283"/>
              <w:rPr/>
            </w:pPr>
            <w:r>
              <w:rPr/>
            </w:r>
          </w:p>
        </w:tc>
        <w:tc>
          <w:tcPr>
            <w:tcW w:w="5105" w:type="dxa"/>
            <w:tcBorders/>
            <w:shd w:fill="CCEEFF" w:val="clear"/>
            <w:vAlign w:val="center"/>
          </w:tcPr>
          <w:p>
            <w:pPr>
              <w:pStyle w:val="TableContents"/>
              <w:spacing w:before="0" w:after="0"/>
              <w:jc w:val="both"/>
              <w:rPr/>
            </w:pPr>
            <w:r>
              <w:rPr/>
              <w:t>XBRL Taxonomy Extension Definition Linkbase.*</w:t>
            </w:r>
          </w:p>
        </w:tc>
      </w:tr>
      <w:tr>
        <w:trPr/>
        <w:tc>
          <w:tcPr>
            <w:tcW w:w="93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pPr>
            <w:r>
              <w:rPr/>
            </w:r>
          </w:p>
        </w:tc>
        <w:tc>
          <w:tcPr>
            <w:tcW w:w="5105" w:type="dxa"/>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jc w:val="both"/>
              <w:rPr/>
            </w:pPr>
            <w:r>
              <w:rPr/>
              <w:t>101.LAB</w:t>
            </w:r>
          </w:p>
        </w:tc>
        <w:tc>
          <w:tcPr>
            <w:tcW w:w="23" w:type="dxa"/>
            <w:tcBorders/>
            <w:shd w:fill="CCEEFF" w:val="clear"/>
            <w:vAlign w:val="center"/>
          </w:tcPr>
          <w:p>
            <w:pPr>
              <w:pStyle w:val="TableContents"/>
              <w:spacing w:before="0" w:after="283"/>
              <w:rPr/>
            </w:pPr>
            <w:r>
              <w:rPr/>
            </w:r>
          </w:p>
        </w:tc>
        <w:tc>
          <w:tcPr>
            <w:tcW w:w="5105" w:type="dxa"/>
            <w:tcBorders/>
            <w:shd w:fill="CCEEFF" w:val="clear"/>
            <w:vAlign w:val="center"/>
          </w:tcPr>
          <w:p>
            <w:pPr>
              <w:pStyle w:val="TableContents"/>
              <w:spacing w:before="0" w:after="0"/>
              <w:jc w:val="both"/>
              <w:rPr/>
            </w:pPr>
            <w:r>
              <w:rPr/>
              <w:t>XBRL Taxonomy Extension Label Linkbase.*</w:t>
            </w:r>
          </w:p>
        </w:tc>
      </w:tr>
      <w:tr>
        <w:trPr/>
        <w:tc>
          <w:tcPr>
            <w:tcW w:w="93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pPr>
            <w:r>
              <w:rPr/>
            </w:r>
          </w:p>
        </w:tc>
        <w:tc>
          <w:tcPr>
            <w:tcW w:w="5105" w:type="dxa"/>
            <w:tcBorders/>
            <w:shd w:fill="auto" w:val="clear"/>
            <w:vAlign w:val="center"/>
          </w:tcPr>
          <w:p>
            <w:pPr>
              <w:pStyle w:val="TableContents"/>
              <w:spacing w:before="0" w:after="283"/>
              <w:rPr/>
            </w:pPr>
            <w:r>
              <w:rPr/>
              <w:t> </w:t>
            </w:r>
          </w:p>
        </w:tc>
      </w:tr>
      <w:tr>
        <w:trPr/>
        <w:tc>
          <w:tcPr>
            <w:tcW w:w="935" w:type="dxa"/>
            <w:tcBorders/>
            <w:shd w:fill="CCEEFF" w:val="clear"/>
            <w:vAlign w:val="center"/>
          </w:tcPr>
          <w:p>
            <w:pPr>
              <w:pStyle w:val="TableContents"/>
              <w:spacing w:before="0" w:after="0"/>
              <w:jc w:val="both"/>
              <w:rPr/>
            </w:pPr>
            <w:r>
              <w:rPr/>
              <w:t>101.PRE</w:t>
            </w:r>
          </w:p>
        </w:tc>
        <w:tc>
          <w:tcPr>
            <w:tcW w:w="23" w:type="dxa"/>
            <w:tcBorders/>
            <w:shd w:fill="CCEEFF" w:val="clear"/>
            <w:vAlign w:val="center"/>
          </w:tcPr>
          <w:p>
            <w:pPr>
              <w:pStyle w:val="TableContents"/>
              <w:spacing w:before="0" w:after="283"/>
              <w:rPr/>
            </w:pPr>
            <w:r>
              <w:rPr/>
            </w:r>
          </w:p>
        </w:tc>
        <w:tc>
          <w:tcPr>
            <w:tcW w:w="5105" w:type="dxa"/>
            <w:tcBorders/>
            <w:shd w:fill="CCEEFF" w:val="clear"/>
            <w:vAlign w:val="center"/>
          </w:tcPr>
          <w:p>
            <w:pPr>
              <w:pStyle w:val="TableContents"/>
              <w:spacing w:before="0" w:after="0"/>
              <w:jc w:val="both"/>
              <w:rPr/>
            </w:pPr>
            <w:r>
              <w:rPr/>
              <w:t>XBRL Taxonomy Extension Presentation Linkbase.*</w:t>
            </w:r>
          </w:p>
        </w:tc>
      </w:tr>
    </w:tbl>
    <w:p>
      <w:pPr>
        <w:pStyle w:val="TextBody"/>
        <w:spacing w:before="0" w:after="0"/>
        <w:rPr/>
      </w:pPr>
      <w:r>
        <w:rPr/>
      </w:r>
    </w:p>
    <w:p>
      <w:pPr>
        <w:pStyle w:val="Normal"/>
        <w:spacing w:before="0" w:after="0"/>
        <w:rPr>
          <w:sz w:val="4"/>
          <w:szCs w:val="4"/>
        </w:rPr>
      </w:pPr>
      <w:r>
        <w:rPr>
          <w:sz w:val="4"/>
          <w:szCs w:val="4"/>
        </w:rPr>
      </w:r>
      <w:bookmarkStart w:id="898" w:name="ze01b55fc005c413fbd45e7c27c62740a"/>
      <w:bookmarkStart w:id="899" w:name="ze01b55fc005c413fbd45e7c27c62740a"/>
      <w:bookmarkEnd w:id="899"/>
    </w:p>
    <w:tbl>
      <w:tblPr>
        <w:tblW w:w="2110" w:type="dxa"/>
        <w:jc w:val="left"/>
        <w:tblInd w:w="0" w:type="dxa"/>
        <w:tblCellMar>
          <w:top w:w="0" w:type="dxa"/>
          <w:left w:w="0" w:type="dxa"/>
          <w:bottom w:w="0" w:type="dxa"/>
          <w:right w:w="0" w:type="dxa"/>
        </w:tblCellMar>
      </w:tblPr>
      <w:tblGrid>
        <w:gridCol w:w="260"/>
        <w:gridCol w:w="1850"/>
      </w:tblGrid>
      <w:tr>
        <w:trPr/>
        <w:tc>
          <w:tcPr>
            <w:tcW w:w="260" w:type="dxa"/>
            <w:tcBorders/>
            <w:shd w:fill="auto" w:val="clear"/>
            <w:vAlign w:val="center"/>
          </w:tcPr>
          <w:p>
            <w:pPr>
              <w:pStyle w:val="TableContents"/>
              <w:spacing w:before="0" w:after="0"/>
              <w:jc w:val="both"/>
              <w:rPr/>
            </w:pPr>
            <w:r>
              <w:rPr/>
              <w:t>*</w:t>
            </w:r>
          </w:p>
        </w:tc>
        <w:tc>
          <w:tcPr>
            <w:tcW w:w="1850" w:type="dxa"/>
            <w:tcBorders/>
            <w:shd w:fill="auto" w:val="clear"/>
            <w:vAlign w:val="center"/>
          </w:tcPr>
          <w:p>
            <w:pPr>
              <w:pStyle w:val="TableContents"/>
              <w:spacing w:before="0" w:after="0"/>
              <w:jc w:val="both"/>
              <w:rPr/>
            </w:pPr>
            <w:r>
              <w:rPr/>
              <w:t>Filed herewith</w:t>
            </w:r>
          </w:p>
        </w:tc>
      </w:tr>
      <w:tr>
        <w:trPr/>
        <w:tc>
          <w:tcPr>
            <w:tcW w:w="260" w:type="dxa"/>
            <w:tcBorders/>
            <w:shd w:fill="auto" w:val="clear"/>
            <w:vAlign w:val="center"/>
          </w:tcPr>
          <w:p>
            <w:pPr>
              <w:pStyle w:val="TableContents"/>
              <w:spacing w:before="0" w:after="0"/>
              <w:jc w:val="both"/>
              <w:rPr/>
            </w:pPr>
            <w:r>
              <w:rPr/>
              <w:t>**</w:t>
            </w:r>
          </w:p>
        </w:tc>
        <w:tc>
          <w:tcPr>
            <w:tcW w:w="1850" w:type="dxa"/>
            <w:tcBorders/>
            <w:shd w:fill="auto" w:val="clear"/>
            <w:vAlign w:val="center"/>
          </w:tcPr>
          <w:p>
            <w:pPr>
              <w:pStyle w:val="TableContents"/>
              <w:spacing w:before="0" w:after="0"/>
              <w:jc w:val="both"/>
              <w:rPr/>
            </w:pPr>
            <w:r>
              <w:rPr/>
              <w:t>Furnished herewith</w:t>
            </w:r>
          </w:p>
        </w:tc>
      </w:tr>
    </w:tbl>
    <w:p>
      <w:pPr>
        <w:pStyle w:val="Normal"/>
        <w:spacing w:before="0" w:after="0"/>
        <w:rPr>
          <w:sz w:val="4"/>
          <w:szCs w:val="4"/>
        </w:rPr>
      </w:pPr>
      <w:r>
        <w:rPr>
          <w:sz w:val="4"/>
          <w:szCs w:val="4"/>
        </w:rPr>
      </w:r>
      <w:bookmarkStart w:id="900" w:name="z27e448fd30b34ea1b4f93ef436672411"/>
      <w:bookmarkStart w:id="901" w:name="z27e448fd30b34ea1b4f93ef436672411"/>
      <w:bookmarkEnd w:id="901"/>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lineRule="auto" w:line="240" w:before="0" w:after="0"/>
              <w:jc w:val="both"/>
              <w:rPr/>
            </w:pPr>
            <w:r>
              <w:rPr/>
              <w:t>(1)</w:t>
            </w:r>
          </w:p>
        </w:tc>
        <w:tc>
          <w:tcPr>
            <w:tcW w:w="9922" w:type="dxa"/>
            <w:tcBorders/>
            <w:shd w:fill="auto" w:val="clear"/>
            <w:vAlign w:val="center"/>
          </w:tcPr>
          <w:p>
            <w:pPr>
              <w:pStyle w:val="TableContents"/>
              <w:spacing w:before="0" w:after="0"/>
              <w:jc w:val="both"/>
              <w:rPr/>
            </w:pPr>
            <w:r>
              <w:rPr/>
              <w:t>Incorporated by reference to the registrant</w:t>
            </w:r>
            <w:r>
              <w:rPr>
                <w:color w:val="000000"/>
              </w:rPr>
              <w:t>’</w:t>
            </w:r>
            <w:r>
              <w:rPr/>
              <w:t>s Current Report on Form 8-K, filed with the SEC on August 12, 2020.</w:t>
            </w:r>
          </w:p>
        </w:tc>
      </w:tr>
      <w:tr>
        <w:trPr/>
        <w:tc>
          <w:tcPr>
            <w:tcW w:w="283" w:type="dxa"/>
            <w:tcBorders/>
            <w:shd w:fill="auto" w:val="clear"/>
            <w:vAlign w:val="center"/>
          </w:tcPr>
          <w:p>
            <w:pPr>
              <w:pStyle w:val="TableContents"/>
              <w:spacing w:lineRule="auto" w:line="240" w:before="0" w:after="0"/>
              <w:jc w:val="both"/>
              <w:rPr/>
            </w:pPr>
            <w:r>
              <w:rPr/>
              <w:t>(2)</w:t>
            </w:r>
          </w:p>
        </w:tc>
        <w:tc>
          <w:tcPr>
            <w:tcW w:w="9922" w:type="dxa"/>
            <w:tcBorders/>
            <w:shd w:fill="auto" w:val="clear"/>
            <w:vAlign w:val="center"/>
          </w:tcPr>
          <w:p>
            <w:pPr>
              <w:pStyle w:val="TableContents"/>
              <w:spacing w:before="0" w:after="0"/>
              <w:jc w:val="both"/>
              <w:rPr/>
            </w:pPr>
            <w:r>
              <w:rPr/>
              <w:t>Incorporated by reference to the registrant’s Form S-1, filed with the SEC on July 30, 2020.</w:t>
            </w:r>
          </w:p>
        </w:tc>
      </w:tr>
    </w:tbl>
    <w:p>
      <w:pPr>
        <w:pStyle w:val="TextBody"/>
        <w:spacing w:before="0" w:after="0"/>
        <w:rPr/>
      </w:pPr>
      <w:r>
        <w:rPr/>
      </w:r>
    </w:p>
    <w:p>
      <w:pPr>
        <w:pStyle w:val="Normal"/>
        <w:spacing w:before="0" w:after="0"/>
        <w:rPr>
          <w:sz w:val="4"/>
          <w:szCs w:val="4"/>
        </w:rPr>
      </w:pPr>
      <w:r>
        <w:rPr>
          <w:sz w:val="4"/>
          <w:szCs w:val="4"/>
        </w:rPr>
      </w:r>
      <w:bookmarkStart w:id="902" w:name="z4be3d97983024501b34f395824db15b3"/>
      <w:bookmarkStart w:id="903" w:name="z4be3d97983024501b34f395824db15b3"/>
      <w:bookmarkEnd w:id="903"/>
    </w:p>
    <w:tbl>
      <w:tblPr>
        <w:tblW w:w="3085" w:type="dxa"/>
        <w:jc w:val="left"/>
        <w:tblInd w:w="0" w:type="dxa"/>
        <w:tblCellMar>
          <w:top w:w="0" w:type="dxa"/>
          <w:left w:w="0" w:type="dxa"/>
          <w:bottom w:w="0" w:type="dxa"/>
          <w:right w:w="0" w:type="dxa"/>
        </w:tblCellMar>
      </w:tblPr>
      <w:tblGrid>
        <w:gridCol w:w="860"/>
        <w:gridCol w:w="2225"/>
      </w:tblGrid>
      <w:tr>
        <w:trPr/>
        <w:tc>
          <w:tcPr>
            <w:tcW w:w="860" w:type="dxa"/>
            <w:tcBorders/>
            <w:shd w:fill="auto" w:val="clear"/>
            <w:vAlign w:val="center"/>
          </w:tcPr>
          <w:p>
            <w:pPr>
              <w:pStyle w:val="TableContents"/>
              <w:spacing w:before="0" w:after="0"/>
              <w:rPr>
                <w:b/>
              </w:rPr>
            </w:pPr>
            <w:bookmarkStart w:id="904" w:name="Item16."/>
            <w:bookmarkEnd w:id="904"/>
            <w:r>
              <w:rPr>
                <w:b/>
              </w:rPr>
              <w:t>Item 16.</w:t>
            </w:r>
          </w:p>
        </w:tc>
        <w:tc>
          <w:tcPr>
            <w:tcW w:w="2225" w:type="dxa"/>
            <w:tcBorders/>
            <w:shd w:fill="auto" w:val="clear"/>
            <w:vAlign w:val="center"/>
          </w:tcPr>
          <w:p>
            <w:pPr>
              <w:pStyle w:val="TableContents"/>
              <w:spacing w:before="0" w:after="0"/>
              <w:rPr>
                <w:b/>
              </w:rPr>
            </w:pPr>
            <w:r>
              <w:rPr>
                <w:b/>
              </w:rPr>
              <w:t>Form 10-K Summary</w:t>
            </w:r>
          </w:p>
        </w:tc>
      </w:tr>
    </w:tbl>
    <w:p>
      <w:pPr>
        <w:pStyle w:val="TextBody"/>
        <w:spacing w:before="0" w:after="0"/>
        <w:rPr/>
      </w:pPr>
      <w:r>
        <w:rPr/>
      </w:r>
    </w:p>
    <w:p>
      <w:pPr>
        <w:pStyle w:val="TextBody"/>
        <w:spacing w:before="0" w:after="0"/>
        <w:rPr/>
      </w:pPr>
      <w:r>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05" w:name="DSPFPageBreakArea72"/>
      <w:bookmarkStart w:id="906" w:name="DSPFPageBreakArea72"/>
      <w:bookmarkEnd w:id="9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907" w:name="DSPFPageNumber71"/>
      <w:bookmarkStart w:id="908" w:name="DSPFPageNumberArea70"/>
      <w:bookmarkEnd w:id="907"/>
      <w:bookmarkEnd w:id="908"/>
      <w:r>
        <w:rPr>
          <w:b w:val="false"/>
          <w:i w:val="false"/>
          <w:caps w:val="false"/>
          <w:smallCaps w:val="false"/>
          <w:color w:val="000000"/>
          <w:sz w:val="16"/>
        </w:rPr>
        <w:t>74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09" w:name="DSPFPageBreak72"/>
      <w:bookmarkStart w:id="910" w:name="DSPFPageBreak72"/>
      <w:bookmarkEnd w:id="9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911" w:name="DSPFPageHeader70"/>
        <w:bookmarkEnd w:id="911"/>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rPr>
      </w:pPr>
      <w:r>
        <w:rPr>
          <w:b/>
        </w:rPr>
        <w:t>SIGNATURES</w:t>
      </w:r>
    </w:p>
    <w:p>
      <w:pPr>
        <w:pStyle w:val="TextBody"/>
        <w:spacing w:before="0" w:after="0"/>
        <w:jc w:val="center"/>
        <w:rPr>
          <w:b/>
        </w:rPr>
      </w:pPr>
      <w:r>
        <w:rPr>
          <w:b/>
        </w:rPr>
      </w:r>
    </w:p>
    <w:p>
      <w:pPr>
        <w:pStyle w:val="TextBody"/>
        <w:spacing w:before="0" w:after="0"/>
        <w:rPr/>
      </w:pPr>
      <w:r>
        <w:rPr/>
        <w:t>Pursuant to the requirements of Section 13 or 15(d) of the Securities Act of 1934, the registrant has duly caused this Annual Report on Form 10-K to be signed on its behalf by the undersigned, thereunto duly authorized.</w:t>
      </w:r>
    </w:p>
    <w:p>
      <w:pPr>
        <w:pStyle w:val="TextBody"/>
        <w:spacing w:before="0" w:after="0"/>
        <w:rPr/>
      </w:pPr>
      <w:r>
        <w:rPr/>
      </w:r>
    </w:p>
    <w:p>
      <w:pPr>
        <w:pStyle w:val="Normal"/>
        <w:spacing w:before="0" w:after="0"/>
        <w:rPr>
          <w:sz w:val="4"/>
          <w:szCs w:val="4"/>
        </w:rPr>
      </w:pPr>
      <w:r>
        <w:rPr>
          <w:sz w:val="4"/>
          <w:szCs w:val="4"/>
        </w:rPr>
      </w:r>
      <w:bookmarkStart w:id="912" w:name="zfb35699102984a32ae853e0195a5101c"/>
      <w:bookmarkStart w:id="913" w:name="zfb35699102984a32ae853e0195a5101c"/>
      <w:bookmarkEnd w:id="913"/>
    </w:p>
    <w:tbl>
      <w:tblPr>
        <w:tblW w:w="6354" w:type="dxa"/>
        <w:jc w:val="left"/>
        <w:tblInd w:w="0" w:type="dxa"/>
        <w:tblCellMar>
          <w:top w:w="0" w:type="dxa"/>
          <w:left w:w="0" w:type="dxa"/>
          <w:bottom w:w="0" w:type="dxa"/>
          <w:right w:w="0" w:type="dxa"/>
        </w:tblCellMar>
      </w:tblPr>
      <w:tblGrid>
        <w:gridCol w:w="1535"/>
        <w:gridCol w:w="1095"/>
        <w:gridCol w:w="3724"/>
      </w:tblGrid>
      <w:tr>
        <w:trPr/>
        <w:tc>
          <w:tcPr>
            <w:tcW w:w="1535" w:type="dxa"/>
            <w:tcBorders/>
            <w:shd w:fill="auto" w:val="clear"/>
            <w:vAlign w:val="center"/>
          </w:tcPr>
          <w:p>
            <w:pPr>
              <w:pStyle w:val="TableContents"/>
              <w:spacing w:before="0" w:after="283"/>
              <w:rPr/>
            </w:pPr>
            <w:r>
              <w:rPr/>
              <w:t>March 30, 2021</w:t>
            </w:r>
          </w:p>
        </w:tc>
        <w:tc>
          <w:tcPr>
            <w:tcW w:w="4819" w:type="dxa"/>
            <w:gridSpan w:val="2"/>
            <w:tcBorders/>
            <w:shd w:fill="auto" w:val="clear"/>
            <w:vAlign w:val="center"/>
          </w:tcPr>
          <w:p>
            <w:pPr>
              <w:pStyle w:val="TableContents"/>
              <w:spacing w:before="0" w:after="283"/>
              <w:rPr/>
            </w:pPr>
            <w:r>
              <w:rPr/>
            </w:r>
          </w:p>
        </w:tc>
      </w:tr>
      <w:tr>
        <w:trPr/>
        <w:tc>
          <w:tcPr>
            <w:tcW w:w="1535" w:type="dxa"/>
            <w:tcBorders/>
            <w:shd w:fill="auto" w:val="clear"/>
            <w:vAlign w:val="center"/>
          </w:tcPr>
          <w:p>
            <w:pPr>
              <w:pStyle w:val="TableContents"/>
              <w:spacing w:before="0" w:after="283"/>
              <w:rPr/>
            </w:pPr>
            <w:r>
              <w:rPr/>
            </w:r>
          </w:p>
        </w:tc>
        <w:tc>
          <w:tcPr>
            <w:tcW w:w="4819" w:type="dxa"/>
            <w:gridSpan w:val="2"/>
            <w:tcBorders/>
            <w:shd w:fill="auto" w:val="clear"/>
            <w:vAlign w:val="center"/>
          </w:tcPr>
          <w:p>
            <w:pPr>
              <w:pStyle w:val="TableContents"/>
              <w:spacing w:before="0" w:after="283"/>
              <w:rPr/>
            </w:pPr>
            <w:r>
              <w:rPr/>
            </w:r>
          </w:p>
        </w:tc>
      </w:tr>
      <w:tr>
        <w:trPr/>
        <w:tc>
          <w:tcPr>
            <w:tcW w:w="1535" w:type="dxa"/>
            <w:tcBorders/>
            <w:shd w:fill="auto" w:val="clear"/>
            <w:vAlign w:val="center"/>
          </w:tcPr>
          <w:p>
            <w:pPr>
              <w:pStyle w:val="TableContents"/>
              <w:spacing w:before="0" w:after="283"/>
              <w:rPr/>
            </w:pPr>
            <w:r>
              <w:rPr/>
            </w:r>
          </w:p>
        </w:tc>
        <w:tc>
          <w:tcPr>
            <w:tcW w:w="4819" w:type="dxa"/>
            <w:gridSpan w:val="2"/>
            <w:tcBorders/>
            <w:shd w:fill="auto" w:val="clear"/>
            <w:vAlign w:val="center"/>
          </w:tcPr>
          <w:p>
            <w:pPr>
              <w:pStyle w:val="TableContents"/>
              <w:spacing w:before="0" w:after="0"/>
              <w:ind w:left="200" w:right="0" w:hanging="200"/>
              <w:rPr>
                <w:b/>
                <w:color w:val="000000"/>
              </w:rPr>
            </w:pPr>
            <w:r>
              <w:rPr>
                <w:b/>
                <w:color w:val="000000"/>
              </w:rPr>
              <w:t>ARYA SCIENCES ACQUISITION CORP III</w:t>
            </w:r>
          </w:p>
        </w:tc>
      </w:tr>
      <w:tr>
        <w:trPr/>
        <w:tc>
          <w:tcPr>
            <w:tcW w:w="1535" w:type="dxa"/>
            <w:tcBorders/>
            <w:shd w:fill="auto" w:val="clear"/>
            <w:vAlign w:val="center"/>
          </w:tcPr>
          <w:p>
            <w:pPr>
              <w:pStyle w:val="TableContents"/>
              <w:spacing w:before="0" w:after="283"/>
              <w:rPr/>
            </w:pPr>
            <w:r>
              <w:rPr/>
            </w:r>
          </w:p>
        </w:tc>
        <w:tc>
          <w:tcPr>
            <w:tcW w:w="4819" w:type="dxa"/>
            <w:gridSpan w:val="2"/>
            <w:tcBorders>
              <w:bottom w:val="single" w:sz="12" w:space="0" w:color="000000"/>
            </w:tcBorders>
            <w:shd w:fill="auto" w:val="clear"/>
            <w:tcMar>
              <w:bottom w:w="28" w:type="dxa"/>
            </w:tcMar>
            <w:vAlign w:val="center"/>
          </w:tcPr>
          <w:p>
            <w:pPr>
              <w:pStyle w:val="TableContents"/>
              <w:spacing w:before="0" w:after="283"/>
              <w:rPr/>
            </w:pPr>
            <w:r>
              <w:rPr/>
              <w:t xml:space="preserve">/s/ Michael Altman </w:t>
            </w:r>
          </w:p>
        </w:tc>
      </w:tr>
      <w:tr>
        <w:trPr/>
        <w:tc>
          <w:tcPr>
            <w:tcW w:w="1535" w:type="dxa"/>
            <w:tcBorders/>
            <w:shd w:fill="auto" w:val="clear"/>
            <w:vAlign w:val="center"/>
          </w:tcPr>
          <w:p>
            <w:pPr>
              <w:pStyle w:val="TableContents"/>
              <w:spacing w:before="0" w:after="283"/>
              <w:rPr/>
            </w:pPr>
            <w:r>
              <w:rPr/>
            </w:r>
          </w:p>
        </w:tc>
        <w:tc>
          <w:tcPr>
            <w:tcW w:w="1095" w:type="dxa"/>
            <w:tcBorders/>
            <w:shd w:fill="auto" w:val="clear"/>
            <w:vAlign w:val="center"/>
          </w:tcPr>
          <w:p>
            <w:pPr>
              <w:pStyle w:val="TableContents"/>
              <w:spacing w:before="0" w:after="0"/>
              <w:rPr/>
            </w:pPr>
            <w:r>
              <w:rPr/>
              <w:t>Name:</w:t>
            </w:r>
          </w:p>
        </w:tc>
        <w:tc>
          <w:tcPr>
            <w:tcW w:w="3724" w:type="dxa"/>
            <w:tcBorders/>
            <w:shd w:fill="auto" w:val="clear"/>
            <w:vAlign w:val="center"/>
          </w:tcPr>
          <w:p>
            <w:pPr>
              <w:pStyle w:val="TableContents"/>
              <w:spacing w:before="0" w:after="0"/>
              <w:rPr/>
            </w:pPr>
            <w:r>
              <w:rPr/>
              <w:t>Michael Altman</w:t>
            </w:r>
          </w:p>
        </w:tc>
      </w:tr>
      <w:tr>
        <w:trPr/>
        <w:tc>
          <w:tcPr>
            <w:tcW w:w="1535" w:type="dxa"/>
            <w:tcBorders/>
            <w:shd w:fill="auto" w:val="clear"/>
            <w:vAlign w:val="center"/>
          </w:tcPr>
          <w:p>
            <w:pPr>
              <w:pStyle w:val="TableContents"/>
              <w:spacing w:before="0" w:after="283"/>
              <w:rPr/>
            </w:pPr>
            <w:r>
              <w:rPr/>
            </w:r>
          </w:p>
        </w:tc>
        <w:tc>
          <w:tcPr>
            <w:tcW w:w="1095" w:type="dxa"/>
            <w:tcBorders/>
            <w:shd w:fill="auto" w:val="clear"/>
            <w:vAlign w:val="center"/>
          </w:tcPr>
          <w:p>
            <w:pPr>
              <w:pStyle w:val="TableContents"/>
              <w:spacing w:before="0" w:after="0"/>
              <w:rPr/>
            </w:pPr>
            <w:r>
              <w:rPr/>
              <w:t>Title:</w:t>
            </w:r>
          </w:p>
        </w:tc>
        <w:tc>
          <w:tcPr>
            <w:tcW w:w="3724" w:type="dxa"/>
            <w:tcBorders/>
            <w:shd w:fill="auto" w:val="clear"/>
            <w:vAlign w:val="center"/>
          </w:tcPr>
          <w:p>
            <w:pPr>
              <w:pStyle w:val="TableContents"/>
              <w:spacing w:before="0" w:after="0"/>
              <w:rPr/>
            </w:pPr>
            <w:r>
              <w:rPr/>
              <w:t>Chief Financial Officer</w:t>
            </w:r>
          </w:p>
        </w:tc>
      </w:tr>
    </w:tbl>
    <w:p>
      <w:pPr>
        <w:pStyle w:val="TextBody"/>
        <w:spacing w:before="0" w:after="0"/>
        <w:rPr/>
      </w:pPr>
      <w:r>
        <w:rPr/>
      </w:r>
    </w:p>
    <w:p>
      <w:pPr>
        <w:pStyle w:val="TextBody"/>
        <w:spacing w:before="0" w:after="0"/>
        <w:rPr/>
      </w:pPr>
      <w:r>
        <w:rPr/>
        <w:t>Pursuant to the requirements of the Securities Exchange Act of 1934, this Annual Report on Form 10-K has been signed below by the following persons on behalf of the registrant and in the capacities and on the dates indicated.</w:t>
      </w:r>
    </w:p>
    <w:p>
      <w:pPr>
        <w:pStyle w:val="TextBody"/>
        <w:spacing w:before="0" w:after="0"/>
        <w:rPr/>
      </w:pPr>
      <w:r>
        <w:rPr/>
      </w:r>
    </w:p>
    <w:p>
      <w:pPr>
        <w:pStyle w:val="Normal"/>
        <w:spacing w:before="0" w:after="0"/>
        <w:rPr>
          <w:sz w:val="4"/>
          <w:szCs w:val="4"/>
        </w:rPr>
      </w:pPr>
      <w:r>
        <w:rPr>
          <w:sz w:val="4"/>
          <w:szCs w:val="4"/>
        </w:rPr>
      </w:r>
      <w:bookmarkStart w:id="914" w:name="z8309233e45194a708b4e0560bfc10151"/>
      <w:bookmarkStart w:id="915" w:name="z8309233e45194a708b4e0560bfc10151"/>
      <w:bookmarkEnd w:id="915"/>
    </w:p>
    <w:tbl>
      <w:tblPr>
        <w:tblW w:w="8236" w:type="dxa"/>
        <w:jc w:val="left"/>
        <w:tblInd w:w="0" w:type="dxa"/>
        <w:tblCellMar>
          <w:top w:w="0" w:type="dxa"/>
          <w:left w:w="0" w:type="dxa"/>
          <w:bottom w:w="28" w:type="dxa"/>
          <w:right w:w="0" w:type="dxa"/>
        </w:tblCellMar>
      </w:tblPr>
      <w:tblGrid>
        <w:gridCol w:w="2345"/>
        <w:gridCol w:w="23"/>
        <w:gridCol w:w="4310"/>
        <w:gridCol w:w="23"/>
        <w:gridCol w:w="1535"/>
      </w:tblGrid>
      <w:tr>
        <w:trPr/>
        <w:tc>
          <w:tcPr>
            <w:tcW w:w="2345" w:type="dxa"/>
            <w:tcBorders>
              <w:bottom w:val="single" w:sz="12" w:space="0" w:color="000000"/>
            </w:tcBorders>
            <w:shd w:fill="auto" w:val="clear"/>
            <w:vAlign w:val="center"/>
          </w:tcPr>
          <w:p>
            <w:pPr>
              <w:pStyle w:val="TableContents"/>
              <w:spacing w:before="0" w:after="0"/>
              <w:jc w:val="center"/>
              <w:rPr>
                <w:b/>
                <w:color w:val="000000"/>
              </w:rPr>
            </w:pPr>
            <w:r>
              <w:rPr>
                <w:b/>
                <w:color w:val="000000"/>
              </w:rPr>
              <w:t>Name</w:t>
            </w:r>
          </w:p>
        </w:tc>
        <w:tc>
          <w:tcPr>
            <w:tcW w:w="23" w:type="dxa"/>
            <w:tcBorders/>
            <w:shd w:fill="auto" w:val="clear"/>
            <w:tcMar>
              <w:bottom w:w="0" w:type="dxa"/>
            </w:tcMar>
            <w:vAlign w:val="center"/>
          </w:tcPr>
          <w:p>
            <w:pPr>
              <w:pStyle w:val="TableContents"/>
              <w:spacing w:before="0" w:after="283"/>
              <w:rPr/>
            </w:pPr>
            <w:r>
              <w:rPr/>
            </w:r>
          </w:p>
        </w:tc>
        <w:tc>
          <w:tcPr>
            <w:tcW w:w="4310" w:type="dxa"/>
            <w:tcBorders>
              <w:bottom w:val="single" w:sz="12" w:space="0" w:color="000000"/>
            </w:tcBorders>
            <w:shd w:fill="auto" w:val="clear"/>
            <w:vAlign w:val="center"/>
          </w:tcPr>
          <w:p>
            <w:pPr>
              <w:pStyle w:val="TableContents"/>
              <w:spacing w:before="0" w:after="0"/>
              <w:jc w:val="center"/>
              <w:rPr>
                <w:b/>
                <w:color w:val="000000"/>
              </w:rPr>
            </w:pPr>
            <w:r>
              <w:rPr>
                <w:b/>
                <w:color w:val="000000"/>
              </w:rPr>
              <w:t>Position</w:t>
            </w:r>
          </w:p>
        </w:tc>
        <w:tc>
          <w:tcPr>
            <w:tcW w:w="23" w:type="dxa"/>
            <w:tcBorders/>
            <w:shd w:fill="auto" w:val="clear"/>
            <w:tcMar>
              <w:bottom w:w="0" w:type="dxa"/>
            </w:tcMar>
            <w:vAlign w:val="center"/>
          </w:tcPr>
          <w:p>
            <w:pPr>
              <w:pStyle w:val="TableContents"/>
              <w:spacing w:before="0" w:after="283"/>
              <w:rPr/>
            </w:pPr>
            <w:r>
              <w:rPr/>
            </w:r>
          </w:p>
        </w:tc>
        <w:tc>
          <w:tcPr>
            <w:tcW w:w="1535" w:type="dxa"/>
            <w:tcBorders>
              <w:bottom w:val="single" w:sz="12" w:space="0" w:color="000000"/>
            </w:tcBorders>
            <w:shd w:fill="auto" w:val="clear"/>
            <w:vAlign w:val="center"/>
          </w:tcPr>
          <w:p>
            <w:pPr>
              <w:pStyle w:val="TableContents"/>
              <w:spacing w:before="0" w:after="0"/>
              <w:jc w:val="center"/>
              <w:rPr>
                <w:b/>
                <w:color w:val="000000"/>
              </w:rPr>
            </w:pPr>
            <w:r>
              <w:rPr>
                <w:b/>
                <w:color w:val="000000"/>
              </w:rPr>
              <w:t>Date</w:t>
            </w:r>
          </w:p>
        </w:tc>
      </w:tr>
      <w:tr>
        <w:trPr/>
        <w:tc>
          <w:tcPr>
            <w:tcW w:w="2345" w:type="dxa"/>
            <w:tcBorders/>
            <w:shd w:fill="auto" w:val="clear"/>
            <w:tcMar>
              <w:bottom w:w="0" w:type="dxa"/>
            </w:tcMar>
            <w:vAlign w:val="center"/>
          </w:tcPr>
          <w:p>
            <w:pPr>
              <w:pStyle w:val="TableContents"/>
              <w:spacing w:before="0" w:after="283"/>
              <w:rPr/>
            </w:pPr>
            <w:r>
              <w:rPr/>
            </w:r>
          </w:p>
        </w:tc>
        <w:tc>
          <w:tcPr>
            <w:tcW w:w="4333" w:type="dxa"/>
            <w:gridSpan w:val="2"/>
            <w:tcBorders/>
            <w:shd w:fill="auto" w:val="clear"/>
            <w:tcMar>
              <w:bottom w:w="0" w:type="dxa"/>
            </w:tcMar>
            <w:vAlign w:val="center"/>
          </w:tcPr>
          <w:p>
            <w:pPr>
              <w:pStyle w:val="TableContents"/>
              <w:spacing w:before="0" w:after="283"/>
              <w:rPr/>
            </w:pPr>
            <w:r>
              <w:rPr/>
            </w:r>
          </w:p>
        </w:tc>
        <w:tc>
          <w:tcPr>
            <w:tcW w:w="1558" w:type="dxa"/>
            <w:gridSpan w:val="2"/>
            <w:tcBorders/>
            <w:shd w:fill="auto" w:val="clear"/>
            <w:tcMar>
              <w:bottom w:w="0" w:type="dxa"/>
            </w:tcMar>
            <w:vAlign w:val="center"/>
          </w:tcPr>
          <w:p>
            <w:pPr>
              <w:pStyle w:val="TableContents"/>
              <w:spacing w:before="0" w:after="283"/>
              <w:rPr/>
            </w:pPr>
            <w:r>
              <w:rPr/>
            </w:r>
          </w:p>
        </w:tc>
      </w:tr>
      <w:tr>
        <w:trPr/>
        <w:tc>
          <w:tcPr>
            <w:tcW w:w="2345" w:type="dxa"/>
            <w:tcBorders>
              <w:bottom w:val="single" w:sz="12" w:space="0" w:color="000000"/>
            </w:tcBorders>
            <w:shd w:fill="auto" w:val="clear"/>
            <w:vAlign w:val="center"/>
          </w:tcPr>
          <w:p>
            <w:pPr>
              <w:pStyle w:val="TableContents"/>
              <w:spacing w:before="0" w:after="0"/>
              <w:rPr>
                <w:color w:val="000000"/>
              </w:rPr>
            </w:pPr>
            <w:r>
              <w:rPr>
                <w:color w:val="000000"/>
              </w:rPr>
              <w:t xml:space="preserve">/s/ Joseph Edelman </w:t>
            </w:r>
          </w:p>
        </w:tc>
        <w:tc>
          <w:tcPr>
            <w:tcW w:w="23" w:type="dxa"/>
            <w:vMerge w:val="restart"/>
            <w:tcBorders/>
            <w:shd w:fill="auto" w:val="clear"/>
            <w:tcMar>
              <w:bottom w:w="0" w:type="dxa"/>
            </w:tcMar>
            <w:vAlign w:val="center"/>
          </w:tcPr>
          <w:p>
            <w:pPr>
              <w:pStyle w:val="TableContents"/>
              <w:spacing w:before="0" w:after="283"/>
              <w:rPr/>
            </w:pPr>
            <w:r>
              <w:rPr/>
            </w:r>
          </w:p>
        </w:tc>
        <w:tc>
          <w:tcPr>
            <w:tcW w:w="4310" w:type="dxa"/>
            <w:tcBorders/>
            <w:shd w:fill="auto" w:val="clear"/>
            <w:tcMar>
              <w:bottom w:w="0" w:type="dxa"/>
            </w:tcMar>
            <w:vAlign w:val="center"/>
          </w:tcPr>
          <w:p>
            <w:pPr>
              <w:pStyle w:val="TableContents"/>
              <w:spacing w:before="0" w:after="0"/>
              <w:rPr/>
            </w:pPr>
            <w:r>
              <w:rPr/>
              <w:t>Chairman</w:t>
            </w:r>
          </w:p>
        </w:tc>
        <w:tc>
          <w:tcPr>
            <w:tcW w:w="23" w:type="dxa"/>
            <w:vMerge w:val="restart"/>
            <w:tcBorders/>
            <w:shd w:fill="auto" w:val="clear"/>
            <w:tcMar>
              <w:bottom w:w="0" w:type="dxa"/>
            </w:tcMar>
            <w:vAlign w:val="center"/>
          </w:tcPr>
          <w:p>
            <w:pPr>
              <w:pStyle w:val="TableContents"/>
              <w:spacing w:before="0" w:after="283"/>
              <w:rPr/>
            </w:pPr>
            <w:r>
              <w:rPr/>
            </w:r>
          </w:p>
        </w:tc>
        <w:tc>
          <w:tcPr>
            <w:tcW w:w="1535" w:type="dxa"/>
            <w:tcBorders/>
            <w:shd w:fill="auto" w:val="clear"/>
            <w:tcMar>
              <w:bottom w:w="0" w:type="dxa"/>
            </w:tcMar>
            <w:vAlign w:val="center"/>
          </w:tcPr>
          <w:p>
            <w:pPr>
              <w:pStyle w:val="TableContents"/>
              <w:spacing w:before="0" w:after="0"/>
              <w:jc w:val="center"/>
              <w:rPr/>
            </w:pPr>
            <w:r>
              <w:rPr/>
              <w:t>March 30, 2021</w:t>
            </w:r>
          </w:p>
        </w:tc>
      </w:tr>
      <w:tr>
        <w:trPr/>
        <w:tc>
          <w:tcPr>
            <w:tcW w:w="2345" w:type="dxa"/>
            <w:tcBorders/>
            <w:shd w:fill="auto" w:val="clear"/>
            <w:tcMar>
              <w:bottom w:w="0" w:type="dxa"/>
            </w:tcMar>
            <w:vAlign w:val="center"/>
          </w:tcPr>
          <w:p>
            <w:pPr>
              <w:pStyle w:val="TableContents"/>
              <w:spacing w:before="0" w:after="0"/>
              <w:rPr>
                <w:color w:val="000000"/>
              </w:rPr>
            </w:pPr>
            <w:r>
              <w:rPr>
                <w:color w:val="000000"/>
              </w:rPr>
              <w:t>Joseph Edelman</w:t>
            </w:r>
          </w:p>
        </w:tc>
        <w:tc>
          <w:tcPr>
            <w:tcW w:w="23" w:type="dxa"/>
            <w:vMerge w:val="continue"/>
            <w:tcBorders/>
            <w:shd w:fill="auto" w:val="clear"/>
            <w:tcMar>
              <w:bottom w:w="0" w:type="dxa"/>
            </w:tcMar>
            <w:vAlign w:val="center"/>
          </w:tcPr>
          <w:p>
            <w:pPr>
              <w:pStyle w:val="Normal"/>
              <w:rPr/>
            </w:pPr>
            <w:r>
              <w:rPr/>
            </w:r>
          </w:p>
        </w:tc>
        <w:tc>
          <w:tcPr>
            <w:tcW w:w="4310" w:type="dxa"/>
            <w:tcBorders/>
            <w:shd w:fill="auto" w:val="clear"/>
            <w:tcMar>
              <w:bottom w:w="0" w:type="dxa"/>
            </w:tcMar>
            <w:vAlign w:val="center"/>
          </w:tcPr>
          <w:p>
            <w:pPr>
              <w:pStyle w:val="TableContents"/>
              <w:spacing w:before="0" w:after="283"/>
              <w:rPr/>
            </w:pPr>
            <w:r>
              <w:rPr/>
              <w:t> </w:t>
            </w:r>
          </w:p>
        </w:tc>
        <w:tc>
          <w:tcPr>
            <w:tcW w:w="23" w:type="dxa"/>
            <w:vMerge w:val="continue"/>
            <w:tcBorders/>
            <w:shd w:fill="auto" w:val="clear"/>
            <w:tcMar>
              <w:bottom w:w="0" w:type="dxa"/>
            </w:tcMar>
            <w:vAlign w:val="center"/>
          </w:tcPr>
          <w:p>
            <w:pPr>
              <w:pStyle w:val="Normal"/>
              <w:rPr/>
            </w:pPr>
            <w:r>
              <w:rPr/>
            </w:r>
          </w:p>
        </w:tc>
        <w:tc>
          <w:tcPr>
            <w:tcW w:w="1535" w:type="dxa"/>
            <w:tcBorders/>
            <w:shd w:fill="auto" w:val="clear"/>
            <w:tcMar>
              <w:bottom w:w="0" w:type="dxa"/>
            </w:tcMar>
            <w:vAlign w:val="center"/>
          </w:tcPr>
          <w:p>
            <w:pPr>
              <w:pStyle w:val="TableContents"/>
              <w:spacing w:before="0" w:after="283"/>
              <w:rPr/>
            </w:pPr>
            <w:r>
              <w:rPr/>
              <w:t> </w:t>
            </w:r>
          </w:p>
        </w:tc>
      </w:tr>
      <w:tr>
        <w:trPr/>
        <w:tc>
          <w:tcPr>
            <w:tcW w:w="2345" w:type="dxa"/>
            <w:tcBorders/>
            <w:shd w:fill="auto" w:val="clear"/>
            <w:tcMar>
              <w:bottom w:w="0" w:type="dxa"/>
            </w:tcMar>
            <w:vAlign w:val="center"/>
          </w:tcPr>
          <w:p>
            <w:pPr>
              <w:pStyle w:val="TableContents"/>
              <w:spacing w:before="0" w:after="283"/>
              <w:rPr/>
            </w:pPr>
            <w:r>
              <w:rPr/>
            </w:r>
          </w:p>
        </w:tc>
        <w:tc>
          <w:tcPr>
            <w:tcW w:w="4333" w:type="dxa"/>
            <w:gridSpan w:val="2"/>
            <w:tcBorders/>
            <w:shd w:fill="auto" w:val="clear"/>
            <w:tcMar>
              <w:bottom w:w="0" w:type="dxa"/>
            </w:tcMar>
            <w:vAlign w:val="center"/>
          </w:tcPr>
          <w:p>
            <w:pPr>
              <w:pStyle w:val="TableContents"/>
              <w:spacing w:before="0" w:after="283"/>
              <w:rPr/>
            </w:pPr>
            <w:r>
              <w:rPr/>
            </w:r>
          </w:p>
        </w:tc>
        <w:tc>
          <w:tcPr>
            <w:tcW w:w="1558" w:type="dxa"/>
            <w:gridSpan w:val="2"/>
            <w:tcBorders/>
            <w:shd w:fill="auto" w:val="clear"/>
            <w:tcMar>
              <w:bottom w:w="0" w:type="dxa"/>
            </w:tcMar>
            <w:vAlign w:val="center"/>
          </w:tcPr>
          <w:p>
            <w:pPr>
              <w:pStyle w:val="TableContents"/>
              <w:spacing w:before="0" w:after="283"/>
              <w:rPr/>
            </w:pPr>
            <w:r>
              <w:rPr/>
            </w:r>
          </w:p>
        </w:tc>
      </w:tr>
      <w:tr>
        <w:trPr/>
        <w:tc>
          <w:tcPr>
            <w:tcW w:w="2345" w:type="dxa"/>
            <w:tcBorders>
              <w:bottom w:val="single" w:sz="12" w:space="0" w:color="000000"/>
            </w:tcBorders>
            <w:shd w:fill="auto" w:val="clear"/>
            <w:vAlign w:val="center"/>
          </w:tcPr>
          <w:p>
            <w:pPr>
              <w:pStyle w:val="TableContents"/>
              <w:spacing w:before="0" w:after="0"/>
              <w:rPr/>
            </w:pPr>
            <w:r>
              <w:rPr/>
              <w:t xml:space="preserve">/s/ Adam Stone </w:t>
            </w:r>
          </w:p>
        </w:tc>
        <w:tc>
          <w:tcPr>
            <w:tcW w:w="23" w:type="dxa"/>
            <w:vMerge w:val="restart"/>
            <w:tcBorders/>
            <w:shd w:fill="auto" w:val="clear"/>
            <w:tcMar>
              <w:bottom w:w="0" w:type="dxa"/>
            </w:tcMar>
            <w:vAlign w:val="center"/>
          </w:tcPr>
          <w:p>
            <w:pPr>
              <w:pStyle w:val="TableContents"/>
              <w:spacing w:before="0" w:after="283"/>
              <w:rPr/>
            </w:pPr>
            <w:r>
              <w:rPr/>
            </w:r>
          </w:p>
        </w:tc>
        <w:tc>
          <w:tcPr>
            <w:tcW w:w="4310" w:type="dxa"/>
            <w:tcBorders/>
            <w:shd w:fill="auto" w:val="clear"/>
            <w:tcMar>
              <w:bottom w:w="0" w:type="dxa"/>
            </w:tcMar>
            <w:vAlign w:val="center"/>
          </w:tcPr>
          <w:p>
            <w:pPr>
              <w:pStyle w:val="TableContents"/>
              <w:spacing w:before="0" w:after="0"/>
              <w:rPr/>
            </w:pPr>
            <w:r>
              <w:rPr/>
              <w:t>Chief Executive Officer and Director</w:t>
            </w:r>
          </w:p>
        </w:tc>
        <w:tc>
          <w:tcPr>
            <w:tcW w:w="23" w:type="dxa"/>
            <w:vMerge w:val="restart"/>
            <w:tcBorders/>
            <w:shd w:fill="auto" w:val="clear"/>
            <w:tcMar>
              <w:bottom w:w="0" w:type="dxa"/>
            </w:tcMar>
            <w:vAlign w:val="center"/>
          </w:tcPr>
          <w:p>
            <w:pPr>
              <w:pStyle w:val="TableContents"/>
              <w:spacing w:before="0" w:after="283"/>
              <w:rPr/>
            </w:pPr>
            <w:r>
              <w:rPr/>
            </w:r>
          </w:p>
        </w:tc>
        <w:tc>
          <w:tcPr>
            <w:tcW w:w="1535" w:type="dxa"/>
            <w:tcBorders/>
            <w:shd w:fill="auto" w:val="clear"/>
            <w:tcMar>
              <w:bottom w:w="0" w:type="dxa"/>
            </w:tcMar>
            <w:vAlign w:val="center"/>
          </w:tcPr>
          <w:p>
            <w:pPr>
              <w:pStyle w:val="TableContents"/>
              <w:spacing w:before="0" w:after="0"/>
              <w:jc w:val="center"/>
              <w:rPr/>
            </w:pPr>
            <w:r>
              <w:rPr/>
              <w:t>March 30, 2021</w:t>
            </w:r>
          </w:p>
        </w:tc>
      </w:tr>
      <w:tr>
        <w:trPr/>
        <w:tc>
          <w:tcPr>
            <w:tcW w:w="2345" w:type="dxa"/>
            <w:tcBorders/>
            <w:shd w:fill="auto" w:val="clear"/>
            <w:tcMar>
              <w:bottom w:w="0" w:type="dxa"/>
            </w:tcMar>
            <w:vAlign w:val="center"/>
          </w:tcPr>
          <w:p>
            <w:pPr>
              <w:pStyle w:val="TableContents"/>
              <w:spacing w:before="0" w:after="0"/>
              <w:rPr/>
            </w:pPr>
            <w:r>
              <w:rPr/>
              <w:t>Adam Stone</w:t>
            </w:r>
          </w:p>
        </w:tc>
        <w:tc>
          <w:tcPr>
            <w:tcW w:w="23" w:type="dxa"/>
            <w:vMerge w:val="continue"/>
            <w:tcBorders/>
            <w:shd w:fill="auto" w:val="clear"/>
            <w:tcMar>
              <w:bottom w:w="0" w:type="dxa"/>
            </w:tcMar>
            <w:vAlign w:val="center"/>
          </w:tcPr>
          <w:p>
            <w:pPr>
              <w:pStyle w:val="Normal"/>
              <w:rPr/>
            </w:pPr>
            <w:r>
              <w:rPr/>
            </w:r>
          </w:p>
        </w:tc>
        <w:tc>
          <w:tcPr>
            <w:tcW w:w="4310" w:type="dxa"/>
            <w:tcBorders/>
            <w:shd w:fill="auto" w:val="clear"/>
            <w:tcMar>
              <w:bottom w:w="0" w:type="dxa"/>
            </w:tcMar>
            <w:vAlign w:val="center"/>
          </w:tcPr>
          <w:p>
            <w:pPr>
              <w:pStyle w:val="TableContents"/>
              <w:spacing w:before="0" w:after="0"/>
              <w:rPr/>
            </w:pPr>
            <w:r>
              <w:rPr/>
              <w:t xml:space="preserve">(Principal Executive Officer) </w:t>
            </w:r>
          </w:p>
        </w:tc>
        <w:tc>
          <w:tcPr>
            <w:tcW w:w="23" w:type="dxa"/>
            <w:vMerge w:val="continue"/>
            <w:tcBorders/>
            <w:shd w:fill="auto" w:val="clear"/>
            <w:tcMar>
              <w:bottom w:w="0" w:type="dxa"/>
            </w:tcMar>
            <w:vAlign w:val="center"/>
          </w:tcPr>
          <w:p>
            <w:pPr>
              <w:pStyle w:val="Normal"/>
              <w:rPr/>
            </w:pPr>
            <w:r>
              <w:rPr/>
            </w:r>
          </w:p>
        </w:tc>
        <w:tc>
          <w:tcPr>
            <w:tcW w:w="1535" w:type="dxa"/>
            <w:tcBorders/>
            <w:shd w:fill="auto" w:val="clear"/>
            <w:tcMar>
              <w:bottom w:w="0" w:type="dxa"/>
            </w:tcMar>
            <w:vAlign w:val="center"/>
          </w:tcPr>
          <w:p>
            <w:pPr>
              <w:pStyle w:val="TableContents"/>
              <w:spacing w:before="0" w:after="283"/>
              <w:rPr/>
            </w:pPr>
            <w:r>
              <w:rPr/>
              <w:t> </w:t>
            </w:r>
          </w:p>
        </w:tc>
      </w:tr>
      <w:tr>
        <w:trPr/>
        <w:tc>
          <w:tcPr>
            <w:tcW w:w="2345" w:type="dxa"/>
            <w:tcBorders/>
            <w:shd w:fill="auto" w:val="clear"/>
            <w:tcMar>
              <w:bottom w:w="0" w:type="dxa"/>
            </w:tcMar>
            <w:vAlign w:val="center"/>
          </w:tcPr>
          <w:p>
            <w:pPr>
              <w:pStyle w:val="TableContents"/>
              <w:spacing w:before="0" w:after="283"/>
              <w:rPr/>
            </w:pPr>
            <w:r>
              <w:rPr/>
            </w:r>
          </w:p>
        </w:tc>
        <w:tc>
          <w:tcPr>
            <w:tcW w:w="4333" w:type="dxa"/>
            <w:gridSpan w:val="2"/>
            <w:tcBorders/>
            <w:shd w:fill="auto" w:val="clear"/>
            <w:tcMar>
              <w:bottom w:w="0" w:type="dxa"/>
            </w:tcMar>
            <w:vAlign w:val="center"/>
          </w:tcPr>
          <w:p>
            <w:pPr>
              <w:pStyle w:val="TableContents"/>
              <w:spacing w:before="0" w:after="283"/>
              <w:rPr/>
            </w:pPr>
            <w:r>
              <w:rPr/>
            </w:r>
          </w:p>
        </w:tc>
        <w:tc>
          <w:tcPr>
            <w:tcW w:w="1558" w:type="dxa"/>
            <w:gridSpan w:val="2"/>
            <w:tcBorders/>
            <w:shd w:fill="auto" w:val="clear"/>
            <w:tcMar>
              <w:bottom w:w="0" w:type="dxa"/>
            </w:tcMar>
            <w:vAlign w:val="center"/>
          </w:tcPr>
          <w:p>
            <w:pPr>
              <w:pStyle w:val="TableContents"/>
              <w:spacing w:before="0" w:after="283"/>
              <w:rPr/>
            </w:pPr>
            <w:r>
              <w:rPr/>
            </w:r>
          </w:p>
        </w:tc>
      </w:tr>
      <w:tr>
        <w:trPr/>
        <w:tc>
          <w:tcPr>
            <w:tcW w:w="2345" w:type="dxa"/>
            <w:tcBorders>
              <w:bottom w:val="single" w:sz="12" w:space="0" w:color="000000"/>
            </w:tcBorders>
            <w:shd w:fill="auto" w:val="clear"/>
            <w:vAlign w:val="center"/>
          </w:tcPr>
          <w:p>
            <w:pPr>
              <w:pStyle w:val="TableContents"/>
              <w:spacing w:before="0" w:after="283"/>
              <w:rPr/>
            </w:pPr>
            <w:r>
              <w:rPr/>
              <w:t xml:space="preserve">/s/ Michael Altman </w:t>
            </w:r>
          </w:p>
        </w:tc>
        <w:tc>
          <w:tcPr>
            <w:tcW w:w="23" w:type="dxa"/>
            <w:vMerge w:val="restart"/>
            <w:tcBorders/>
            <w:shd w:fill="auto" w:val="clear"/>
            <w:tcMar>
              <w:bottom w:w="0" w:type="dxa"/>
            </w:tcMar>
            <w:vAlign w:val="center"/>
          </w:tcPr>
          <w:p>
            <w:pPr>
              <w:pStyle w:val="TableContents"/>
              <w:spacing w:before="0" w:after="283"/>
              <w:rPr/>
            </w:pPr>
            <w:r>
              <w:rPr/>
            </w:r>
          </w:p>
        </w:tc>
        <w:tc>
          <w:tcPr>
            <w:tcW w:w="4310" w:type="dxa"/>
            <w:tcBorders/>
            <w:shd w:fill="auto" w:val="clear"/>
            <w:tcMar>
              <w:bottom w:w="0" w:type="dxa"/>
            </w:tcMar>
            <w:vAlign w:val="center"/>
          </w:tcPr>
          <w:p>
            <w:pPr>
              <w:pStyle w:val="TableContents"/>
              <w:spacing w:before="0" w:after="0"/>
              <w:rPr/>
            </w:pPr>
            <w:r>
              <w:rPr/>
              <w:t>Chief Financial Officer and Director</w:t>
            </w:r>
          </w:p>
        </w:tc>
        <w:tc>
          <w:tcPr>
            <w:tcW w:w="23" w:type="dxa"/>
            <w:vMerge w:val="restart"/>
            <w:tcBorders/>
            <w:shd w:fill="auto" w:val="clear"/>
            <w:tcMar>
              <w:bottom w:w="0" w:type="dxa"/>
            </w:tcMar>
            <w:vAlign w:val="center"/>
          </w:tcPr>
          <w:p>
            <w:pPr>
              <w:pStyle w:val="TableContents"/>
              <w:spacing w:before="0" w:after="283"/>
              <w:rPr/>
            </w:pPr>
            <w:r>
              <w:rPr/>
            </w:r>
          </w:p>
        </w:tc>
        <w:tc>
          <w:tcPr>
            <w:tcW w:w="1535" w:type="dxa"/>
            <w:tcBorders/>
            <w:shd w:fill="auto" w:val="clear"/>
            <w:tcMar>
              <w:bottom w:w="0" w:type="dxa"/>
            </w:tcMar>
            <w:vAlign w:val="center"/>
          </w:tcPr>
          <w:p>
            <w:pPr>
              <w:pStyle w:val="TableContents"/>
              <w:spacing w:before="0" w:after="0"/>
              <w:jc w:val="center"/>
              <w:rPr/>
            </w:pPr>
            <w:r>
              <w:rPr/>
              <w:t>March 30, 2021</w:t>
            </w:r>
          </w:p>
        </w:tc>
      </w:tr>
      <w:tr>
        <w:trPr/>
        <w:tc>
          <w:tcPr>
            <w:tcW w:w="2345" w:type="dxa"/>
            <w:tcBorders/>
            <w:shd w:fill="auto" w:val="clear"/>
            <w:tcMar>
              <w:bottom w:w="0" w:type="dxa"/>
            </w:tcMar>
            <w:vAlign w:val="center"/>
          </w:tcPr>
          <w:p>
            <w:pPr>
              <w:pStyle w:val="TableContents"/>
              <w:spacing w:before="0" w:after="0"/>
              <w:rPr/>
            </w:pPr>
            <w:r>
              <w:rPr/>
              <w:t>Michael Altman</w:t>
            </w:r>
          </w:p>
        </w:tc>
        <w:tc>
          <w:tcPr>
            <w:tcW w:w="23" w:type="dxa"/>
            <w:vMerge w:val="continue"/>
            <w:tcBorders/>
            <w:shd w:fill="auto" w:val="clear"/>
            <w:tcMar>
              <w:bottom w:w="0" w:type="dxa"/>
            </w:tcMar>
            <w:vAlign w:val="center"/>
          </w:tcPr>
          <w:p>
            <w:pPr>
              <w:pStyle w:val="Normal"/>
              <w:rPr/>
            </w:pPr>
            <w:r>
              <w:rPr/>
            </w:r>
          </w:p>
        </w:tc>
        <w:tc>
          <w:tcPr>
            <w:tcW w:w="4310" w:type="dxa"/>
            <w:tcBorders/>
            <w:shd w:fill="auto" w:val="clear"/>
            <w:tcMar>
              <w:bottom w:w="0" w:type="dxa"/>
            </w:tcMar>
            <w:vAlign w:val="center"/>
          </w:tcPr>
          <w:p>
            <w:pPr>
              <w:pStyle w:val="TableContents"/>
              <w:spacing w:before="0" w:after="0"/>
              <w:rPr/>
            </w:pPr>
            <w:r>
              <w:rPr/>
              <w:t xml:space="preserve">(Principal Financial and Accounting Officer) </w:t>
            </w:r>
          </w:p>
        </w:tc>
        <w:tc>
          <w:tcPr>
            <w:tcW w:w="23" w:type="dxa"/>
            <w:vMerge w:val="continue"/>
            <w:tcBorders/>
            <w:shd w:fill="auto" w:val="clear"/>
            <w:tcMar>
              <w:bottom w:w="0" w:type="dxa"/>
            </w:tcMar>
            <w:vAlign w:val="center"/>
          </w:tcPr>
          <w:p>
            <w:pPr>
              <w:pStyle w:val="Normal"/>
              <w:rPr/>
            </w:pPr>
            <w:r>
              <w:rPr/>
            </w:r>
          </w:p>
        </w:tc>
        <w:tc>
          <w:tcPr>
            <w:tcW w:w="1535" w:type="dxa"/>
            <w:tcBorders/>
            <w:shd w:fill="auto" w:val="clear"/>
            <w:tcMar>
              <w:bottom w:w="0" w:type="dxa"/>
            </w:tcMar>
            <w:vAlign w:val="center"/>
          </w:tcPr>
          <w:p>
            <w:pPr>
              <w:pStyle w:val="TableContents"/>
              <w:spacing w:before="0" w:after="283"/>
              <w:rPr/>
            </w:pPr>
            <w:r>
              <w:rPr/>
              <w:t> </w:t>
            </w:r>
          </w:p>
        </w:tc>
      </w:tr>
      <w:tr>
        <w:trPr/>
        <w:tc>
          <w:tcPr>
            <w:tcW w:w="2345" w:type="dxa"/>
            <w:tcBorders/>
            <w:shd w:fill="auto" w:val="clear"/>
            <w:tcMar>
              <w:bottom w:w="0" w:type="dxa"/>
            </w:tcMar>
            <w:vAlign w:val="center"/>
          </w:tcPr>
          <w:p>
            <w:pPr>
              <w:pStyle w:val="TableContents"/>
              <w:spacing w:before="0" w:after="283"/>
              <w:rPr/>
            </w:pPr>
            <w:r>
              <w:rPr/>
            </w:r>
          </w:p>
        </w:tc>
        <w:tc>
          <w:tcPr>
            <w:tcW w:w="4333" w:type="dxa"/>
            <w:gridSpan w:val="2"/>
            <w:tcBorders/>
            <w:shd w:fill="auto" w:val="clear"/>
            <w:tcMar>
              <w:bottom w:w="0" w:type="dxa"/>
            </w:tcMar>
            <w:vAlign w:val="center"/>
          </w:tcPr>
          <w:p>
            <w:pPr>
              <w:pStyle w:val="TableContents"/>
              <w:spacing w:before="0" w:after="283"/>
              <w:rPr/>
            </w:pPr>
            <w:r>
              <w:rPr/>
            </w:r>
          </w:p>
        </w:tc>
        <w:tc>
          <w:tcPr>
            <w:tcW w:w="1558" w:type="dxa"/>
            <w:gridSpan w:val="2"/>
            <w:tcBorders/>
            <w:shd w:fill="auto" w:val="clear"/>
            <w:tcMar>
              <w:bottom w:w="0" w:type="dxa"/>
            </w:tcMar>
            <w:vAlign w:val="center"/>
          </w:tcPr>
          <w:p>
            <w:pPr>
              <w:pStyle w:val="TableContents"/>
              <w:spacing w:before="0" w:after="283"/>
              <w:rPr/>
            </w:pPr>
            <w:r>
              <w:rPr/>
            </w:r>
          </w:p>
        </w:tc>
      </w:tr>
      <w:tr>
        <w:trPr/>
        <w:tc>
          <w:tcPr>
            <w:tcW w:w="2345" w:type="dxa"/>
            <w:tcBorders>
              <w:bottom w:val="single" w:sz="12" w:space="0" w:color="000000"/>
            </w:tcBorders>
            <w:shd w:fill="auto" w:val="clear"/>
            <w:vAlign w:val="center"/>
          </w:tcPr>
          <w:p>
            <w:pPr>
              <w:pStyle w:val="TableContents"/>
              <w:spacing w:before="0" w:after="0"/>
              <w:rPr/>
            </w:pPr>
            <w:r>
              <w:rPr/>
              <w:t xml:space="preserve">/s/ Konstantin Poukalov </w:t>
            </w:r>
          </w:p>
        </w:tc>
        <w:tc>
          <w:tcPr>
            <w:tcW w:w="23" w:type="dxa"/>
            <w:vMerge w:val="restart"/>
            <w:tcBorders/>
            <w:shd w:fill="auto" w:val="clear"/>
            <w:tcMar>
              <w:bottom w:w="0" w:type="dxa"/>
            </w:tcMar>
            <w:vAlign w:val="center"/>
          </w:tcPr>
          <w:p>
            <w:pPr>
              <w:pStyle w:val="TableContents"/>
              <w:spacing w:before="0" w:after="283"/>
              <w:rPr/>
            </w:pPr>
            <w:r>
              <w:rPr/>
            </w:r>
          </w:p>
        </w:tc>
        <w:tc>
          <w:tcPr>
            <w:tcW w:w="4310" w:type="dxa"/>
            <w:tcBorders/>
            <w:shd w:fill="auto" w:val="clear"/>
            <w:tcMar>
              <w:bottom w:w="0" w:type="dxa"/>
            </w:tcMar>
            <w:vAlign w:val="center"/>
          </w:tcPr>
          <w:p>
            <w:pPr>
              <w:pStyle w:val="TableContents"/>
              <w:spacing w:before="0" w:after="0"/>
              <w:rPr/>
            </w:pPr>
            <w:r>
              <w:rPr/>
              <w:t>Chief Business Officer</w:t>
            </w:r>
          </w:p>
        </w:tc>
        <w:tc>
          <w:tcPr>
            <w:tcW w:w="23" w:type="dxa"/>
            <w:vMerge w:val="restart"/>
            <w:tcBorders/>
            <w:shd w:fill="auto" w:val="clear"/>
            <w:tcMar>
              <w:bottom w:w="0" w:type="dxa"/>
            </w:tcMar>
            <w:vAlign w:val="center"/>
          </w:tcPr>
          <w:p>
            <w:pPr>
              <w:pStyle w:val="TableContents"/>
              <w:spacing w:before="0" w:after="283"/>
              <w:rPr/>
            </w:pPr>
            <w:r>
              <w:rPr/>
            </w:r>
          </w:p>
        </w:tc>
        <w:tc>
          <w:tcPr>
            <w:tcW w:w="1535" w:type="dxa"/>
            <w:tcBorders/>
            <w:shd w:fill="auto" w:val="clear"/>
            <w:tcMar>
              <w:bottom w:w="0" w:type="dxa"/>
            </w:tcMar>
            <w:vAlign w:val="center"/>
          </w:tcPr>
          <w:p>
            <w:pPr>
              <w:pStyle w:val="TableContents"/>
              <w:spacing w:before="0" w:after="0"/>
              <w:jc w:val="center"/>
              <w:rPr/>
            </w:pPr>
            <w:r>
              <w:rPr/>
              <w:t>March 30, 2021</w:t>
            </w:r>
          </w:p>
        </w:tc>
      </w:tr>
      <w:tr>
        <w:trPr/>
        <w:tc>
          <w:tcPr>
            <w:tcW w:w="2345" w:type="dxa"/>
            <w:tcBorders/>
            <w:shd w:fill="auto" w:val="clear"/>
            <w:tcMar>
              <w:bottom w:w="0" w:type="dxa"/>
            </w:tcMar>
            <w:vAlign w:val="center"/>
          </w:tcPr>
          <w:p>
            <w:pPr>
              <w:pStyle w:val="TableContents"/>
              <w:spacing w:before="0" w:after="0"/>
              <w:rPr/>
            </w:pPr>
            <w:r>
              <w:rPr/>
              <w:t>Konstantin Poukalov</w:t>
            </w:r>
          </w:p>
        </w:tc>
        <w:tc>
          <w:tcPr>
            <w:tcW w:w="23" w:type="dxa"/>
            <w:vMerge w:val="continue"/>
            <w:tcBorders/>
            <w:shd w:fill="auto" w:val="clear"/>
            <w:tcMar>
              <w:bottom w:w="0" w:type="dxa"/>
            </w:tcMar>
            <w:vAlign w:val="center"/>
          </w:tcPr>
          <w:p>
            <w:pPr>
              <w:pStyle w:val="Normal"/>
              <w:rPr/>
            </w:pPr>
            <w:r>
              <w:rPr/>
            </w:r>
          </w:p>
        </w:tc>
        <w:tc>
          <w:tcPr>
            <w:tcW w:w="4310" w:type="dxa"/>
            <w:tcBorders/>
            <w:shd w:fill="auto" w:val="clear"/>
            <w:tcMar>
              <w:bottom w:w="0" w:type="dxa"/>
            </w:tcMar>
            <w:vAlign w:val="center"/>
          </w:tcPr>
          <w:p>
            <w:pPr>
              <w:pStyle w:val="TableContents"/>
              <w:spacing w:before="0" w:after="283"/>
              <w:rPr/>
            </w:pPr>
            <w:r>
              <w:rPr/>
              <w:t> </w:t>
            </w:r>
          </w:p>
        </w:tc>
        <w:tc>
          <w:tcPr>
            <w:tcW w:w="23" w:type="dxa"/>
            <w:vMerge w:val="continue"/>
            <w:tcBorders/>
            <w:shd w:fill="auto" w:val="clear"/>
            <w:tcMar>
              <w:bottom w:w="0" w:type="dxa"/>
            </w:tcMar>
            <w:vAlign w:val="center"/>
          </w:tcPr>
          <w:p>
            <w:pPr>
              <w:pStyle w:val="Normal"/>
              <w:rPr/>
            </w:pPr>
            <w:r>
              <w:rPr/>
            </w:r>
          </w:p>
        </w:tc>
        <w:tc>
          <w:tcPr>
            <w:tcW w:w="1535" w:type="dxa"/>
            <w:tcBorders/>
            <w:shd w:fill="auto" w:val="clear"/>
            <w:tcMar>
              <w:bottom w:w="0" w:type="dxa"/>
            </w:tcMar>
            <w:vAlign w:val="center"/>
          </w:tcPr>
          <w:p>
            <w:pPr>
              <w:pStyle w:val="TableContents"/>
              <w:spacing w:before="0" w:after="283"/>
              <w:rPr/>
            </w:pPr>
            <w:r>
              <w:rPr/>
              <w:t> </w:t>
            </w:r>
          </w:p>
        </w:tc>
      </w:tr>
      <w:tr>
        <w:trPr/>
        <w:tc>
          <w:tcPr>
            <w:tcW w:w="2345" w:type="dxa"/>
            <w:tcBorders/>
            <w:shd w:fill="auto" w:val="clear"/>
            <w:tcMar>
              <w:bottom w:w="0" w:type="dxa"/>
            </w:tcMar>
            <w:vAlign w:val="center"/>
          </w:tcPr>
          <w:p>
            <w:pPr>
              <w:pStyle w:val="TableContents"/>
              <w:spacing w:before="0" w:after="283"/>
              <w:rPr/>
            </w:pPr>
            <w:r>
              <w:rPr/>
            </w:r>
          </w:p>
        </w:tc>
        <w:tc>
          <w:tcPr>
            <w:tcW w:w="4333" w:type="dxa"/>
            <w:gridSpan w:val="2"/>
            <w:tcBorders/>
            <w:shd w:fill="auto" w:val="clear"/>
            <w:tcMar>
              <w:bottom w:w="0" w:type="dxa"/>
            </w:tcMar>
            <w:vAlign w:val="center"/>
          </w:tcPr>
          <w:p>
            <w:pPr>
              <w:pStyle w:val="TableContents"/>
              <w:spacing w:before="0" w:after="283"/>
              <w:rPr/>
            </w:pPr>
            <w:r>
              <w:rPr/>
            </w:r>
          </w:p>
        </w:tc>
        <w:tc>
          <w:tcPr>
            <w:tcW w:w="1558" w:type="dxa"/>
            <w:gridSpan w:val="2"/>
            <w:tcBorders/>
            <w:shd w:fill="auto" w:val="clear"/>
            <w:tcMar>
              <w:bottom w:w="0" w:type="dxa"/>
            </w:tcMar>
            <w:vAlign w:val="center"/>
          </w:tcPr>
          <w:p>
            <w:pPr>
              <w:pStyle w:val="TableContents"/>
              <w:spacing w:before="0" w:after="283"/>
              <w:rPr/>
            </w:pPr>
            <w:r>
              <w:rPr/>
            </w:r>
          </w:p>
        </w:tc>
      </w:tr>
      <w:tr>
        <w:trPr/>
        <w:tc>
          <w:tcPr>
            <w:tcW w:w="2345" w:type="dxa"/>
            <w:tcBorders>
              <w:bottom w:val="single" w:sz="12" w:space="0" w:color="000000"/>
            </w:tcBorders>
            <w:shd w:fill="auto" w:val="clear"/>
            <w:vAlign w:val="center"/>
          </w:tcPr>
          <w:p>
            <w:pPr>
              <w:pStyle w:val="TableContents"/>
              <w:spacing w:before="0" w:after="0"/>
              <w:rPr/>
            </w:pPr>
            <w:r>
              <w:rPr/>
              <w:t xml:space="preserve">/s/ Todd Wider </w:t>
            </w:r>
          </w:p>
        </w:tc>
        <w:tc>
          <w:tcPr>
            <w:tcW w:w="23" w:type="dxa"/>
            <w:vMerge w:val="restart"/>
            <w:tcBorders/>
            <w:shd w:fill="auto" w:val="clear"/>
            <w:tcMar>
              <w:bottom w:w="0" w:type="dxa"/>
            </w:tcMar>
            <w:vAlign w:val="center"/>
          </w:tcPr>
          <w:p>
            <w:pPr>
              <w:pStyle w:val="TableContents"/>
              <w:spacing w:before="0" w:after="283"/>
              <w:rPr/>
            </w:pPr>
            <w:r>
              <w:rPr/>
            </w:r>
          </w:p>
        </w:tc>
        <w:tc>
          <w:tcPr>
            <w:tcW w:w="4310" w:type="dxa"/>
            <w:tcBorders/>
            <w:shd w:fill="auto" w:val="clear"/>
            <w:tcMar>
              <w:bottom w:w="0" w:type="dxa"/>
            </w:tcMar>
            <w:vAlign w:val="center"/>
          </w:tcPr>
          <w:p>
            <w:pPr>
              <w:pStyle w:val="TableContents"/>
              <w:spacing w:before="0" w:after="0"/>
              <w:rPr/>
            </w:pPr>
            <w:r>
              <w:rPr/>
              <w:t>Director</w:t>
            </w:r>
          </w:p>
        </w:tc>
        <w:tc>
          <w:tcPr>
            <w:tcW w:w="23" w:type="dxa"/>
            <w:vMerge w:val="restart"/>
            <w:tcBorders/>
            <w:shd w:fill="auto" w:val="clear"/>
            <w:tcMar>
              <w:bottom w:w="0" w:type="dxa"/>
            </w:tcMar>
            <w:vAlign w:val="center"/>
          </w:tcPr>
          <w:p>
            <w:pPr>
              <w:pStyle w:val="TableContents"/>
              <w:spacing w:before="0" w:after="283"/>
              <w:rPr/>
            </w:pPr>
            <w:r>
              <w:rPr/>
            </w:r>
          </w:p>
        </w:tc>
        <w:tc>
          <w:tcPr>
            <w:tcW w:w="1535" w:type="dxa"/>
            <w:tcBorders/>
            <w:shd w:fill="auto" w:val="clear"/>
            <w:tcMar>
              <w:bottom w:w="0" w:type="dxa"/>
            </w:tcMar>
            <w:vAlign w:val="center"/>
          </w:tcPr>
          <w:p>
            <w:pPr>
              <w:pStyle w:val="TableContents"/>
              <w:spacing w:before="0" w:after="0"/>
              <w:jc w:val="center"/>
              <w:rPr/>
            </w:pPr>
            <w:r>
              <w:rPr/>
              <w:t>March 30, 2021</w:t>
            </w:r>
          </w:p>
        </w:tc>
      </w:tr>
      <w:tr>
        <w:trPr/>
        <w:tc>
          <w:tcPr>
            <w:tcW w:w="2345" w:type="dxa"/>
            <w:tcBorders/>
            <w:shd w:fill="auto" w:val="clear"/>
            <w:tcMar>
              <w:bottom w:w="0" w:type="dxa"/>
            </w:tcMar>
            <w:vAlign w:val="center"/>
          </w:tcPr>
          <w:p>
            <w:pPr>
              <w:pStyle w:val="TableContents"/>
              <w:spacing w:before="0" w:after="0"/>
              <w:rPr/>
            </w:pPr>
            <w:r>
              <w:rPr/>
              <w:t>Todd Wider</w:t>
            </w:r>
          </w:p>
        </w:tc>
        <w:tc>
          <w:tcPr>
            <w:tcW w:w="23" w:type="dxa"/>
            <w:vMerge w:val="continue"/>
            <w:tcBorders/>
            <w:shd w:fill="auto" w:val="clear"/>
            <w:tcMar>
              <w:bottom w:w="0" w:type="dxa"/>
            </w:tcMar>
            <w:vAlign w:val="center"/>
          </w:tcPr>
          <w:p>
            <w:pPr>
              <w:pStyle w:val="Normal"/>
              <w:rPr/>
            </w:pPr>
            <w:r>
              <w:rPr/>
            </w:r>
          </w:p>
        </w:tc>
        <w:tc>
          <w:tcPr>
            <w:tcW w:w="4310" w:type="dxa"/>
            <w:tcBorders/>
            <w:shd w:fill="auto" w:val="clear"/>
            <w:tcMar>
              <w:bottom w:w="0" w:type="dxa"/>
            </w:tcMar>
            <w:vAlign w:val="center"/>
          </w:tcPr>
          <w:p>
            <w:pPr>
              <w:pStyle w:val="TableContents"/>
              <w:spacing w:before="0" w:after="283"/>
              <w:rPr/>
            </w:pPr>
            <w:r>
              <w:rPr/>
              <w:t> </w:t>
            </w:r>
          </w:p>
        </w:tc>
        <w:tc>
          <w:tcPr>
            <w:tcW w:w="23" w:type="dxa"/>
            <w:vMerge w:val="continue"/>
            <w:tcBorders/>
            <w:shd w:fill="auto" w:val="clear"/>
            <w:tcMar>
              <w:bottom w:w="0" w:type="dxa"/>
            </w:tcMar>
            <w:vAlign w:val="center"/>
          </w:tcPr>
          <w:p>
            <w:pPr>
              <w:pStyle w:val="Normal"/>
              <w:rPr/>
            </w:pPr>
            <w:r>
              <w:rPr/>
            </w:r>
          </w:p>
        </w:tc>
        <w:tc>
          <w:tcPr>
            <w:tcW w:w="1535" w:type="dxa"/>
            <w:tcBorders/>
            <w:shd w:fill="auto" w:val="clear"/>
            <w:tcMar>
              <w:bottom w:w="0" w:type="dxa"/>
            </w:tcMar>
            <w:vAlign w:val="center"/>
          </w:tcPr>
          <w:p>
            <w:pPr>
              <w:pStyle w:val="TableContents"/>
              <w:spacing w:before="0" w:after="283"/>
              <w:rPr/>
            </w:pPr>
            <w:r>
              <w:rPr/>
              <w:t> </w:t>
            </w:r>
          </w:p>
        </w:tc>
      </w:tr>
      <w:tr>
        <w:trPr/>
        <w:tc>
          <w:tcPr>
            <w:tcW w:w="2345" w:type="dxa"/>
            <w:tcBorders/>
            <w:shd w:fill="auto" w:val="clear"/>
            <w:tcMar>
              <w:bottom w:w="0" w:type="dxa"/>
            </w:tcMar>
            <w:vAlign w:val="center"/>
          </w:tcPr>
          <w:p>
            <w:pPr>
              <w:pStyle w:val="TableContents"/>
              <w:spacing w:before="0" w:after="283"/>
              <w:rPr/>
            </w:pPr>
            <w:r>
              <w:rPr/>
            </w:r>
          </w:p>
        </w:tc>
        <w:tc>
          <w:tcPr>
            <w:tcW w:w="4333" w:type="dxa"/>
            <w:gridSpan w:val="2"/>
            <w:tcBorders/>
            <w:shd w:fill="auto" w:val="clear"/>
            <w:tcMar>
              <w:bottom w:w="0" w:type="dxa"/>
            </w:tcMar>
            <w:vAlign w:val="center"/>
          </w:tcPr>
          <w:p>
            <w:pPr>
              <w:pStyle w:val="TableContents"/>
              <w:spacing w:before="0" w:after="283"/>
              <w:rPr/>
            </w:pPr>
            <w:r>
              <w:rPr/>
            </w:r>
          </w:p>
        </w:tc>
        <w:tc>
          <w:tcPr>
            <w:tcW w:w="1558" w:type="dxa"/>
            <w:gridSpan w:val="2"/>
            <w:tcBorders/>
            <w:shd w:fill="auto" w:val="clear"/>
            <w:tcMar>
              <w:bottom w:w="0" w:type="dxa"/>
            </w:tcMar>
            <w:vAlign w:val="center"/>
          </w:tcPr>
          <w:p>
            <w:pPr>
              <w:pStyle w:val="TableContents"/>
              <w:spacing w:before="0" w:after="283"/>
              <w:rPr/>
            </w:pPr>
            <w:r>
              <w:rPr/>
            </w:r>
          </w:p>
        </w:tc>
      </w:tr>
      <w:tr>
        <w:trPr/>
        <w:tc>
          <w:tcPr>
            <w:tcW w:w="2345" w:type="dxa"/>
            <w:tcBorders>
              <w:bottom w:val="single" w:sz="12" w:space="0" w:color="000000"/>
            </w:tcBorders>
            <w:shd w:fill="auto" w:val="clear"/>
            <w:vAlign w:val="center"/>
          </w:tcPr>
          <w:p>
            <w:pPr>
              <w:pStyle w:val="TableContents"/>
              <w:spacing w:before="0" w:after="0"/>
              <w:rPr/>
            </w:pPr>
            <w:r>
              <w:rPr/>
              <w:t xml:space="preserve">/s/ Bradley L. Campbell </w:t>
            </w:r>
          </w:p>
        </w:tc>
        <w:tc>
          <w:tcPr>
            <w:tcW w:w="23" w:type="dxa"/>
            <w:vMerge w:val="restart"/>
            <w:tcBorders/>
            <w:shd w:fill="auto" w:val="clear"/>
            <w:tcMar>
              <w:bottom w:w="0" w:type="dxa"/>
            </w:tcMar>
            <w:vAlign w:val="center"/>
          </w:tcPr>
          <w:p>
            <w:pPr>
              <w:pStyle w:val="TableContents"/>
              <w:spacing w:before="0" w:after="283"/>
              <w:rPr/>
            </w:pPr>
            <w:r>
              <w:rPr/>
            </w:r>
          </w:p>
        </w:tc>
        <w:tc>
          <w:tcPr>
            <w:tcW w:w="4310" w:type="dxa"/>
            <w:tcBorders/>
            <w:shd w:fill="auto" w:val="clear"/>
            <w:tcMar>
              <w:bottom w:w="0" w:type="dxa"/>
            </w:tcMar>
            <w:vAlign w:val="center"/>
          </w:tcPr>
          <w:p>
            <w:pPr>
              <w:pStyle w:val="TableContents"/>
              <w:spacing w:before="0" w:after="0"/>
              <w:rPr/>
            </w:pPr>
            <w:r>
              <w:rPr/>
              <w:t>Director</w:t>
            </w:r>
          </w:p>
        </w:tc>
        <w:tc>
          <w:tcPr>
            <w:tcW w:w="23" w:type="dxa"/>
            <w:vMerge w:val="restart"/>
            <w:tcBorders/>
            <w:shd w:fill="auto" w:val="clear"/>
            <w:tcMar>
              <w:bottom w:w="0" w:type="dxa"/>
            </w:tcMar>
            <w:vAlign w:val="center"/>
          </w:tcPr>
          <w:p>
            <w:pPr>
              <w:pStyle w:val="TableContents"/>
              <w:spacing w:before="0" w:after="283"/>
              <w:rPr/>
            </w:pPr>
            <w:r>
              <w:rPr/>
            </w:r>
          </w:p>
        </w:tc>
        <w:tc>
          <w:tcPr>
            <w:tcW w:w="1535" w:type="dxa"/>
            <w:tcBorders/>
            <w:shd w:fill="auto" w:val="clear"/>
            <w:tcMar>
              <w:bottom w:w="0" w:type="dxa"/>
            </w:tcMar>
            <w:vAlign w:val="center"/>
          </w:tcPr>
          <w:p>
            <w:pPr>
              <w:pStyle w:val="TableContents"/>
              <w:spacing w:before="0" w:after="0"/>
              <w:jc w:val="center"/>
              <w:rPr/>
            </w:pPr>
            <w:r>
              <w:rPr/>
              <w:t>March 30, 2021</w:t>
            </w:r>
          </w:p>
        </w:tc>
      </w:tr>
      <w:tr>
        <w:trPr/>
        <w:tc>
          <w:tcPr>
            <w:tcW w:w="2345" w:type="dxa"/>
            <w:tcBorders/>
            <w:shd w:fill="auto" w:val="clear"/>
            <w:tcMar>
              <w:bottom w:w="0" w:type="dxa"/>
            </w:tcMar>
            <w:vAlign w:val="center"/>
          </w:tcPr>
          <w:p>
            <w:pPr>
              <w:pStyle w:val="TableContents"/>
              <w:spacing w:before="0" w:after="0"/>
              <w:rPr/>
            </w:pPr>
            <w:r>
              <w:rPr/>
              <w:t>Bradley L. Campbell</w:t>
            </w:r>
          </w:p>
        </w:tc>
        <w:tc>
          <w:tcPr>
            <w:tcW w:w="23" w:type="dxa"/>
            <w:vMerge w:val="continue"/>
            <w:tcBorders/>
            <w:shd w:fill="auto" w:val="clear"/>
            <w:tcMar>
              <w:bottom w:w="0" w:type="dxa"/>
            </w:tcMar>
            <w:vAlign w:val="center"/>
          </w:tcPr>
          <w:p>
            <w:pPr>
              <w:pStyle w:val="Normal"/>
              <w:rPr/>
            </w:pPr>
            <w:r>
              <w:rPr/>
            </w:r>
          </w:p>
        </w:tc>
        <w:tc>
          <w:tcPr>
            <w:tcW w:w="4310" w:type="dxa"/>
            <w:tcBorders/>
            <w:shd w:fill="auto" w:val="clear"/>
            <w:tcMar>
              <w:bottom w:w="0" w:type="dxa"/>
            </w:tcMar>
            <w:vAlign w:val="center"/>
          </w:tcPr>
          <w:p>
            <w:pPr>
              <w:pStyle w:val="TableContents"/>
              <w:spacing w:before="0" w:after="283"/>
              <w:rPr/>
            </w:pPr>
            <w:r>
              <w:rPr/>
              <w:t> </w:t>
            </w:r>
          </w:p>
        </w:tc>
        <w:tc>
          <w:tcPr>
            <w:tcW w:w="23" w:type="dxa"/>
            <w:vMerge w:val="continue"/>
            <w:tcBorders/>
            <w:shd w:fill="auto" w:val="clear"/>
            <w:tcMar>
              <w:bottom w:w="0" w:type="dxa"/>
            </w:tcMar>
            <w:vAlign w:val="center"/>
          </w:tcPr>
          <w:p>
            <w:pPr>
              <w:pStyle w:val="Normal"/>
              <w:rPr/>
            </w:pPr>
            <w:r>
              <w:rPr/>
            </w:r>
          </w:p>
        </w:tc>
        <w:tc>
          <w:tcPr>
            <w:tcW w:w="1535" w:type="dxa"/>
            <w:tcBorders/>
            <w:shd w:fill="auto" w:val="clear"/>
            <w:tcMar>
              <w:bottom w:w="0" w:type="dxa"/>
            </w:tcMar>
            <w:vAlign w:val="center"/>
          </w:tcPr>
          <w:p>
            <w:pPr>
              <w:pStyle w:val="TableContents"/>
              <w:spacing w:before="0" w:after="283"/>
              <w:rPr/>
            </w:pPr>
            <w:r>
              <w:rPr/>
              <w:t> </w:t>
            </w:r>
          </w:p>
        </w:tc>
      </w:tr>
      <w:tr>
        <w:trPr/>
        <w:tc>
          <w:tcPr>
            <w:tcW w:w="2345" w:type="dxa"/>
            <w:tcBorders/>
            <w:shd w:fill="auto" w:val="clear"/>
            <w:tcMar>
              <w:bottom w:w="0" w:type="dxa"/>
            </w:tcMar>
            <w:vAlign w:val="center"/>
          </w:tcPr>
          <w:p>
            <w:pPr>
              <w:pStyle w:val="TableContents"/>
              <w:spacing w:before="0" w:after="283"/>
              <w:rPr/>
            </w:pPr>
            <w:r>
              <w:rPr/>
            </w:r>
          </w:p>
        </w:tc>
        <w:tc>
          <w:tcPr>
            <w:tcW w:w="4333" w:type="dxa"/>
            <w:gridSpan w:val="2"/>
            <w:tcBorders/>
            <w:shd w:fill="auto" w:val="clear"/>
            <w:tcMar>
              <w:bottom w:w="0" w:type="dxa"/>
            </w:tcMar>
            <w:vAlign w:val="center"/>
          </w:tcPr>
          <w:p>
            <w:pPr>
              <w:pStyle w:val="TableContents"/>
              <w:spacing w:before="0" w:after="283"/>
              <w:rPr/>
            </w:pPr>
            <w:r>
              <w:rPr/>
            </w:r>
          </w:p>
        </w:tc>
        <w:tc>
          <w:tcPr>
            <w:tcW w:w="1558" w:type="dxa"/>
            <w:gridSpan w:val="2"/>
            <w:tcBorders/>
            <w:shd w:fill="auto" w:val="clear"/>
            <w:tcMar>
              <w:bottom w:w="0" w:type="dxa"/>
            </w:tcMar>
            <w:vAlign w:val="center"/>
          </w:tcPr>
          <w:p>
            <w:pPr>
              <w:pStyle w:val="TableContents"/>
              <w:spacing w:before="0" w:after="283"/>
              <w:rPr/>
            </w:pPr>
            <w:r>
              <w:rPr/>
            </w:r>
          </w:p>
        </w:tc>
      </w:tr>
      <w:tr>
        <w:trPr/>
        <w:tc>
          <w:tcPr>
            <w:tcW w:w="2345" w:type="dxa"/>
            <w:tcBorders>
              <w:bottom w:val="single" w:sz="12" w:space="0" w:color="000000"/>
            </w:tcBorders>
            <w:shd w:fill="auto" w:val="clear"/>
            <w:vAlign w:val="center"/>
          </w:tcPr>
          <w:p>
            <w:pPr>
              <w:pStyle w:val="TableContents"/>
              <w:spacing w:before="0" w:after="283"/>
              <w:rPr/>
            </w:pPr>
            <w:r>
              <w:rPr/>
              <w:t xml:space="preserve">/s/ Saqib Islam </w:t>
            </w:r>
          </w:p>
        </w:tc>
        <w:tc>
          <w:tcPr>
            <w:tcW w:w="23" w:type="dxa"/>
            <w:vMerge w:val="restart"/>
            <w:tcBorders/>
            <w:shd w:fill="auto" w:val="clear"/>
            <w:tcMar>
              <w:bottom w:w="0" w:type="dxa"/>
            </w:tcMar>
            <w:vAlign w:val="center"/>
          </w:tcPr>
          <w:p>
            <w:pPr>
              <w:pStyle w:val="TableContents"/>
              <w:spacing w:before="0" w:after="283"/>
              <w:rPr/>
            </w:pPr>
            <w:r>
              <w:rPr/>
            </w:r>
          </w:p>
        </w:tc>
        <w:tc>
          <w:tcPr>
            <w:tcW w:w="4310" w:type="dxa"/>
            <w:tcBorders/>
            <w:shd w:fill="auto" w:val="clear"/>
            <w:tcMar>
              <w:bottom w:w="0" w:type="dxa"/>
            </w:tcMar>
            <w:vAlign w:val="center"/>
          </w:tcPr>
          <w:p>
            <w:pPr>
              <w:pStyle w:val="TableContents"/>
              <w:spacing w:before="0" w:after="0"/>
              <w:rPr/>
            </w:pPr>
            <w:r>
              <w:rPr/>
              <w:t>Director</w:t>
            </w:r>
          </w:p>
        </w:tc>
        <w:tc>
          <w:tcPr>
            <w:tcW w:w="23" w:type="dxa"/>
            <w:vMerge w:val="restart"/>
            <w:tcBorders/>
            <w:shd w:fill="auto" w:val="clear"/>
            <w:tcMar>
              <w:bottom w:w="0" w:type="dxa"/>
            </w:tcMar>
            <w:vAlign w:val="center"/>
          </w:tcPr>
          <w:p>
            <w:pPr>
              <w:pStyle w:val="TableContents"/>
              <w:spacing w:before="0" w:after="283"/>
              <w:rPr/>
            </w:pPr>
            <w:r>
              <w:rPr/>
            </w:r>
          </w:p>
        </w:tc>
        <w:tc>
          <w:tcPr>
            <w:tcW w:w="1535" w:type="dxa"/>
            <w:tcBorders/>
            <w:shd w:fill="auto" w:val="clear"/>
            <w:tcMar>
              <w:bottom w:w="0" w:type="dxa"/>
            </w:tcMar>
            <w:vAlign w:val="center"/>
          </w:tcPr>
          <w:p>
            <w:pPr>
              <w:pStyle w:val="TableContents"/>
              <w:spacing w:before="0" w:after="0"/>
              <w:jc w:val="center"/>
              <w:rPr/>
            </w:pPr>
            <w:r>
              <w:rPr/>
              <w:t>March 30, 2021</w:t>
            </w:r>
          </w:p>
        </w:tc>
      </w:tr>
      <w:tr>
        <w:trPr/>
        <w:tc>
          <w:tcPr>
            <w:tcW w:w="2345" w:type="dxa"/>
            <w:tcBorders/>
            <w:shd w:fill="auto" w:val="clear"/>
            <w:tcMar>
              <w:bottom w:w="0" w:type="dxa"/>
            </w:tcMar>
            <w:vAlign w:val="center"/>
          </w:tcPr>
          <w:p>
            <w:pPr>
              <w:pStyle w:val="TableContents"/>
              <w:spacing w:before="0" w:after="0"/>
              <w:rPr/>
            </w:pPr>
            <w:r>
              <w:rPr/>
              <w:t>Saqib Islam</w:t>
            </w:r>
          </w:p>
        </w:tc>
        <w:tc>
          <w:tcPr>
            <w:tcW w:w="23" w:type="dxa"/>
            <w:vMerge w:val="continue"/>
            <w:tcBorders/>
            <w:shd w:fill="auto" w:val="clear"/>
            <w:tcMar>
              <w:bottom w:w="0" w:type="dxa"/>
            </w:tcMar>
            <w:vAlign w:val="center"/>
          </w:tcPr>
          <w:p>
            <w:pPr>
              <w:pStyle w:val="Normal"/>
              <w:rPr/>
            </w:pPr>
            <w:r>
              <w:rPr/>
            </w:r>
          </w:p>
        </w:tc>
        <w:tc>
          <w:tcPr>
            <w:tcW w:w="4310" w:type="dxa"/>
            <w:tcBorders/>
            <w:shd w:fill="auto" w:val="clear"/>
            <w:tcMar>
              <w:bottom w:w="0" w:type="dxa"/>
            </w:tcMar>
            <w:vAlign w:val="center"/>
          </w:tcPr>
          <w:p>
            <w:pPr>
              <w:pStyle w:val="TableContents"/>
              <w:spacing w:before="0" w:after="283"/>
              <w:rPr/>
            </w:pPr>
            <w:r>
              <w:rPr/>
              <w:t> </w:t>
            </w:r>
          </w:p>
        </w:tc>
        <w:tc>
          <w:tcPr>
            <w:tcW w:w="23" w:type="dxa"/>
            <w:vMerge w:val="continue"/>
            <w:tcBorders/>
            <w:shd w:fill="auto" w:val="clear"/>
            <w:tcMar>
              <w:bottom w:w="0" w:type="dxa"/>
            </w:tcMar>
            <w:vAlign w:val="center"/>
          </w:tcPr>
          <w:p>
            <w:pPr>
              <w:pStyle w:val="Normal"/>
              <w:rPr/>
            </w:pPr>
            <w:r>
              <w:rPr/>
            </w:r>
          </w:p>
        </w:tc>
        <w:tc>
          <w:tcPr>
            <w:tcW w:w="1535" w:type="dxa"/>
            <w:tcBorders/>
            <w:shd w:fill="auto" w:val="clear"/>
            <w:tcMar>
              <w:bottom w:w="0" w:type="dxa"/>
            </w:tcMar>
            <w:vAlign w:val="center"/>
          </w:tcPr>
          <w:p>
            <w:pPr>
              <w:pStyle w:val="TableContents"/>
              <w:spacing w:before="0" w:after="283"/>
              <w:rPr/>
            </w:pPr>
            <w:r>
              <w:rPr/>
              <w:t> </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16" w:name="DSPFPageBreakArea73"/>
      <w:bookmarkStart w:id="917" w:name="DSPFPageBreakArea73"/>
      <w:bookmarkEnd w:id="9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918" w:name="DSPFPageNumber72"/>
      <w:bookmarkStart w:id="919" w:name="DSPFPageNumberArea71"/>
      <w:bookmarkEnd w:id="918"/>
      <w:bookmarkEnd w:id="919"/>
      <w:r>
        <w:rPr>
          <w:b w:val="false"/>
          <w:i w:val="false"/>
          <w:caps w:val="false"/>
          <w:smallCaps w:val="false"/>
          <w:color w:val="000000"/>
          <w:sz w:val="16"/>
        </w:rPr>
        <w:t>75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20" w:name="DSPFPageBreak73"/>
      <w:bookmarkStart w:id="921" w:name="DSPFPageBreak73"/>
      <w:bookmarkEnd w:id="9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922" w:name="DSPFPageHeader71"/>
        <w:bookmarkEnd w:id="922"/>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color w:val="000000"/>
        </w:rPr>
      </w:pPr>
      <w:r>
        <w:rPr>
          <w:b/>
          <w:color w:val="000000"/>
        </w:rPr>
        <w:t>ARYA SCIENCES ACQUISITION CORP III</w:t>
      </w:r>
    </w:p>
    <w:p>
      <w:pPr>
        <w:pStyle w:val="TextBody"/>
        <w:spacing w:before="0" w:after="0"/>
        <w:jc w:val="center"/>
        <w:rPr>
          <w:b/>
          <w:color w:val="000000"/>
        </w:rPr>
      </w:pPr>
      <w:r>
        <w:rPr>
          <w:b/>
          <w:color w:val="000000"/>
        </w:rPr>
        <w:t>INDEX TO FINANCIAL STATEMENTS</w:t>
      </w:r>
    </w:p>
    <w:p>
      <w:pPr>
        <w:pStyle w:val="TextBody"/>
        <w:spacing w:before="0" w:after="0"/>
        <w:rPr/>
      </w:pPr>
      <w:r>
        <w:rPr/>
      </w:r>
    </w:p>
    <w:p>
      <w:pPr>
        <w:pStyle w:val="TextBody"/>
        <w:spacing w:before="0" w:after="0"/>
        <w:rPr>
          <w:b/>
          <w:color w:val="000000"/>
        </w:rPr>
      </w:pPr>
      <w:r>
        <w:rPr>
          <w:b/>
          <w:color w:val="000000"/>
        </w:rPr>
        <w:t>Audited Financial Statements for ARYA Sciences Acquisition Corp III:</w:t>
      </w:r>
    </w:p>
    <w:p>
      <w:pPr>
        <w:pStyle w:val="TextBody"/>
        <w:spacing w:before="0" w:after="0"/>
        <w:ind w:left="0" w:right="0" w:firstLine="550"/>
        <w:jc w:val="both"/>
        <w:rPr/>
      </w:pPr>
      <w:r>
        <w:rPr/>
      </w:r>
    </w:p>
    <w:p>
      <w:pPr>
        <w:pStyle w:val="Normal"/>
        <w:spacing w:before="0" w:after="0"/>
        <w:rPr>
          <w:sz w:val="4"/>
          <w:szCs w:val="4"/>
        </w:rPr>
      </w:pPr>
      <w:r>
        <w:rPr>
          <w:sz w:val="4"/>
          <w:szCs w:val="4"/>
        </w:rPr>
      </w:r>
      <w:bookmarkStart w:id="923" w:name="za25b21d6139e456099c29cf69324b64d"/>
      <w:bookmarkStart w:id="924" w:name="za25b21d6139e456099c29cf69324b64d"/>
      <w:bookmarkEnd w:id="924"/>
    </w:p>
    <w:tbl>
      <w:tblPr>
        <w:tblW w:w="10205" w:type="dxa"/>
        <w:jc w:val="left"/>
        <w:tblInd w:w="0" w:type="dxa"/>
        <w:tblCellMar>
          <w:top w:w="0" w:type="dxa"/>
          <w:left w:w="0" w:type="dxa"/>
          <w:bottom w:w="0" w:type="dxa"/>
          <w:right w:w="0" w:type="dxa"/>
        </w:tblCellMar>
      </w:tblPr>
      <w:tblGrid>
        <w:gridCol w:w="9690"/>
        <w:gridCol w:w="515"/>
      </w:tblGrid>
      <w:tr>
        <w:trPr/>
        <w:tc>
          <w:tcPr>
            <w:tcW w:w="9690" w:type="dxa"/>
            <w:tcBorders/>
            <w:shd w:fill="auto" w:val="clear"/>
            <w:vAlign w:val="center"/>
          </w:tcPr>
          <w:p>
            <w:pPr>
              <w:pStyle w:val="TableContents"/>
              <w:spacing w:before="0" w:after="283"/>
              <w:rPr>
                <w:color w:val="000000"/>
              </w:rPr>
            </w:pPr>
            <w:r>
              <w:rPr>
                <w:color w:val="000000"/>
              </w:rPr>
              <w:t> </w:t>
            </w:r>
          </w:p>
        </w:tc>
        <w:tc>
          <w:tcPr>
            <w:tcW w:w="515" w:type="dxa"/>
            <w:tcBorders/>
            <w:shd w:fill="auto" w:val="clear"/>
            <w:vAlign w:val="center"/>
          </w:tcPr>
          <w:p>
            <w:pPr>
              <w:pStyle w:val="TableContents"/>
              <w:spacing w:before="0" w:after="0"/>
              <w:jc w:val="center"/>
              <w:rPr>
                <w:b/>
              </w:rPr>
            </w:pPr>
            <w:r>
              <w:rPr>
                <w:b/>
              </w:rPr>
              <w:t>Page</w:t>
            </w:r>
          </w:p>
        </w:tc>
      </w:tr>
      <w:tr>
        <w:trPr/>
        <w:tc>
          <w:tcPr>
            <w:tcW w:w="9690" w:type="dxa"/>
            <w:tcBorders/>
            <w:shd w:fill="CCEEFF" w:val="clear"/>
            <w:vAlign w:val="center"/>
          </w:tcPr>
          <w:p>
            <w:pPr>
              <w:pStyle w:val="TableContents"/>
              <w:spacing w:before="0" w:after="0"/>
              <w:rPr>
                <w:color w:val="000000"/>
              </w:rPr>
            </w:pPr>
            <w:r>
              <w:rPr>
                <w:color w:val="000000"/>
              </w:rPr>
              <w:t>Report of Independent Registered Public Accounting Firm</w:t>
            </w:r>
          </w:p>
        </w:tc>
        <w:tc>
          <w:tcPr>
            <w:tcW w:w="515" w:type="dxa"/>
            <w:tcBorders/>
            <w:shd w:fill="CCEEFF" w:val="clear"/>
            <w:vAlign w:val="center"/>
          </w:tcPr>
          <w:p>
            <w:pPr>
              <w:pStyle w:val="TableContents"/>
              <w:spacing w:before="0" w:after="0"/>
              <w:jc w:val="center"/>
              <w:rPr/>
            </w:pPr>
            <w:r>
              <w:rPr/>
              <w:t>F-2</w:t>
            </w:r>
          </w:p>
        </w:tc>
      </w:tr>
      <w:tr>
        <w:trPr/>
        <w:tc>
          <w:tcPr>
            <w:tcW w:w="9690" w:type="dxa"/>
            <w:tcBorders/>
            <w:shd w:fill="auto" w:val="clear"/>
            <w:vAlign w:val="center"/>
          </w:tcPr>
          <w:p>
            <w:pPr>
              <w:pStyle w:val="TableContents"/>
              <w:spacing w:before="0" w:after="283"/>
              <w:rPr>
                <w:color w:val="000000"/>
              </w:rPr>
            </w:pPr>
            <w:r>
              <w:rPr>
                <w:color w:val="000000"/>
              </w:rPr>
              <w:t> </w:t>
            </w:r>
          </w:p>
        </w:tc>
        <w:tc>
          <w:tcPr>
            <w:tcW w:w="515" w:type="dxa"/>
            <w:tcBorders/>
            <w:shd w:fill="auto" w:val="clear"/>
            <w:vAlign w:val="center"/>
          </w:tcPr>
          <w:p>
            <w:pPr>
              <w:pStyle w:val="TableContents"/>
              <w:spacing w:before="0" w:after="283"/>
              <w:rPr/>
            </w:pPr>
            <w:r>
              <w:rPr/>
              <w:t> </w:t>
            </w:r>
          </w:p>
        </w:tc>
      </w:tr>
      <w:tr>
        <w:trPr/>
        <w:tc>
          <w:tcPr>
            <w:tcW w:w="9690" w:type="dxa"/>
            <w:tcBorders/>
            <w:shd w:fill="CCEEFF" w:val="clear"/>
            <w:vAlign w:val="center"/>
          </w:tcPr>
          <w:p>
            <w:pPr>
              <w:pStyle w:val="TableContents"/>
              <w:spacing w:before="0" w:after="0"/>
              <w:rPr>
                <w:color w:val="000000"/>
              </w:rPr>
            </w:pPr>
            <w:r>
              <w:rPr>
                <w:color w:val="000000"/>
              </w:rPr>
              <w:t>Balance Sheet as of December 31, 2020</w:t>
            </w:r>
          </w:p>
        </w:tc>
        <w:tc>
          <w:tcPr>
            <w:tcW w:w="515" w:type="dxa"/>
            <w:tcBorders/>
            <w:shd w:fill="CCEEFF" w:val="clear"/>
            <w:vAlign w:val="center"/>
          </w:tcPr>
          <w:p>
            <w:pPr>
              <w:pStyle w:val="TableContents"/>
              <w:spacing w:before="0" w:after="0"/>
              <w:jc w:val="center"/>
              <w:rPr/>
            </w:pPr>
            <w:r>
              <w:rPr/>
              <w:t>F-3</w:t>
            </w:r>
          </w:p>
        </w:tc>
      </w:tr>
      <w:tr>
        <w:trPr/>
        <w:tc>
          <w:tcPr>
            <w:tcW w:w="9690" w:type="dxa"/>
            <w:tcBorders/>
            <w:shd w:fill="auto" w:val="clear"/>
            <w:vAlign w:val="center"/>
          </w:tcPr>
          <w:p>
            <w:pPr>
              <w:pStyle w:val="TableContents"/>
              <w:spacing w:before="0" w:after="283"/>
              <w:rPr>
                <w:color w:val="000000"/>
              </w:rPr>
            </w:pPr>
            <w:r>
              <w:rPr>
                <w:color w:val="000000"/>
              </w:rPr>
              <w:t> </w:t>
            </w:r>
          </w:p>
        </w:tc>
        <w:tc>
          <w:tcPr>
            <w:tcW w:w="515" w:type="dxa"/>
            <w:tcBorders/>
            <w:shd w:fill="auto" w:val="clear"/>
            <w:vAlign w:val="center"/>
          </w:tcPr>
          <w:p>
            <w:pPr>
              <w:pStyle w:val="TableContents"/>
              <w:spacing w:before="0" w:after="283"/>
              <w:rPr/>
            </w:pPr>
            <w:r>
              <w:rPr/>
              <w:t> </w:t>
            </w:r>
          </w:p>
        </w:tc>
      </w:tr>
      <w:tr>
        <w:trPr/>
        <w:tc>
          <w:tcPr>
            <w:tcW w:w="9690" w:type="dxa"/>
            <w:tcBorders/>
            <w:shd w:fill="CCEEFF" w:val="clear"/>
            <w:vAlign w:val="center"/>
          </w:tcPr>
          <w:p>
            <w:pPr>
              <w:pStyle w:val="TableContents"/>
              <w:spacing w:before="0" w:after="0"/>
              <w:rPr>
                <w:color w:val="000000"/>
              </w:rPr>
            </w:pPr>
            <w:r>
              <w:rPr>
                <w:color w:val="000000"/>
              </w:rPr>
              <w:t>Statement of Operations for the period from March 27, 2020 (inception) through December 31, 2020</w:t>
            </w:r>
          </w:p>
        </w:tc>
        <w:tc>
          <w:tcPr>
            <w:tcW w:w="515" w:type="dxa"/>
            <w:tcBorders/>
            <w:shd w:fill="CCEEFF" w:val="clear"/>
            <w:vAlign w:val="center"/>
          </w:tcPr>
          <w:p>
            <w:pPr>
              <w:pStyle w:val="TableContents"/>
              <w:spacing w:before="0" w:after="0"/>
              <w:jc w:val="center"/>
              <w:rPr/>
            </w:pPr>
            <w:r>
              <w:rPr/>
              <w:t>F-4</w:t>
            </w:r>
          </w:p>
        </w:tc>
      </w:tr>
      <w:tr>
        <w:trPr/>
        <w:tc>
          <w:tcPr>
            <w:tcW w:w="9690" w:type="dxa"/>
            <w:tcBorders/>
            <w:shd w:fill="auto" w:val="clear"/>
            <w:vAlign w:val="center"/>
          </w:tcPr>
          <w:p>
            <w:pPr>
              <w:pStyle w:val="TableContents"/>
              <w:spacing w:before="0" w:after="283"/>
              <w:rPr>
                <w:color w:val="000000"/>
              </w:rPr>
            </w:pPr>
            <w:r>
              <w:rPr>
                <w:color w:val="000000"/>
              </w:rPr>
              <w:t> </w:t>
            </w:r>
          </w:p>
        </w:tc>
        <w:tc>
          <w:tcPr>
            <w:tcW w:w="515" w:type="dxa"/>
            <w:tcBorders/>
            <w:shd w:fill="auto" w:val="clear"/>
            <w:vAlign w:val="center"/>
          </w:tcPr>
          <w:p>
            <w:pPr>
              <w:pStyle w:val="TableContents"/>
              <w:spacing w:before="0" w:after="283"/>
              <w:rPr/>
            </w:pPr>
            <w:r>
              <w:rPr/>
              <w:t> </w:t>
            </w:r>
          </w:p>
        </w:tc>
      </w:tr>
      <w:tr>
        <w:trPr/>
        <w:tc>
          <w:tcPr>
            <w:tcW w:w="9690" w:type="dxa"/>
            <w:tcBorders/>
            <w:shd w:fill="CCEEFF" w:val="clear"/>
            <w:vAlign w:val="center"/>
          </w:tcPr>
          <w:p>
            <w:pPr>
              <w:pStyle w:val="TableContents"/>
              <w:spacing w:before="0" w:after="0"/>
              <w:rPr>
                <w:color w:val="000000"/>
              </w:rPr>
            </w:pPr>
            <w:r>
              <w:rPr>
                <w:color w:val="000000"/>
              </w:rPr>
              <w:t>Statement of Changes in Shareholders’ Equity for the period from March 27, 2020 (inception) through December 31, 2020</w:t>
            </w:r>
          </w:p>
        </w:tc>
        <w:tc>
          <w:tcPr>
            <w:tcW w:w="515" w:type="dxa"/>
            <w:tcBorders/>
            <w:shd w:fill="CCEEFF" w:val="clear"/>
            <w:vAlign w:val="center"/>
          </w:tcPr>
          <w:p>
            <w:pPr>
              <w:pStyle w:val="TableContents"/>
              <w:spacing w:before="0" w:after="0"/>
              <w:jc w:val="center"/>
              <w:rPr/>
            </w:pPr>
            <w:r>
              <w:rPr/>
              <w:t>F-5</w:t>
            </w:r>
          </w:p>
        </w:tc>
      </w:tr>
      <w:tr>
        <w:trPr/>
        <w:tc>
          <w:tcPr>
            <w:tcW w:w="9690" w:type="dxa"/>
            <w:tcBorders/>
            <w:shd w:fill="auto" w:val="clear"/>
            <w:vAlign w:val="center"/>
          </w:tcPr>
          <w:p>
            <w:pPr>
              <w:pStyle w:val="TableContents"/>
              <w:spacing w:before="0" w:after="283"/>
              <w:rPr>
                <w:color w:val="000000"/>
              </w:rPr>
            </w:pPr>
            <w:r>
              <w:rPr>
                <w:color w:val="000000"/>
              </w:rPr>
              <w:t> </w:t>
            </w:r>
          </w:p>
        </w:tc>
        <w:tc>
          <w:tcPr>
            <w:tcW w:w="515" w:type="dxa"/>
            <w:tcBorders/>
            <w:shd w:fill="auto" w:val="clear"/>
            <w:vAlign w:val="center"/>
          </w:tcPr>
          <w:p>
            <w:pPr>
              <w:pStyle w:val="TableContents"/>
              <w:spacing w:before="0" w:after="283"/>
              <w:rPr/>
            </w:pPr>
            <w:r>
              <w:rPr/>
              <w:t> </w:t>
            </w:r>
          </w:p>
        </w:tc>
      </w:tr>
      <w:tr>
        <w:trPr/>
        <w:tc>
          <w:tcPr>
            <w:tcW w:w="9690" w:type="dxa"/>
            <w:tcBorders/>
            <w:shd w:fill="CCEEFF" w:val="clear"/>
            <w:vAlign w:val="center"/>
          </w:tcPr>
          <w:p>
            <w:pPr>
              <w:pStyle w:val="TableContents"/>
              <w:spacing w:before="0" w:after="0"/>
              <w:rPr>
                <w:color w:val="000000"/>
              </w:rPr>
            </w:pPr>
            <w:r>
              <w:rPr>
                <w:color w:val="000000"/>
              </w:rPr>
              <w:t>Statement of Cash Flows for the period from March 27, 2020 (inception) through December 31, 2020</w:t>
            </w:r>
          </w:p>
        </w:tc>
        <w:tc>
          <w:tcPr>
            <w:tcW w:w="515" w:type="dxa"/>
            <w:tcBorders/>
            <w:shd w:fill="CCEEFF" w:val="clear"/>
            <w:vAlign w:val="center"/>
          </w:tcPr>
          <w:p>
            <w:pPr>
              <w:pStyle w:val="TableContents"/>
              <w:spacing w:before="0" w:after="0"/>
              <w:jc w:val="center"/>
              <w:rPr/>
            </w:pPr>
            <w:r>
              <w:rPr/>
              <w:t>F-6</w:t>
            </w:r>
          </w:p>
        </w:tc>
      </w:tr>
      <w:tr>
        <w:trPr/>
        <w:tc>
          <w:tcPr>
            <w:tcW w:w="9690" w:type="dxa"/>
            <w:tcBorders/>
            <w:shd w:fill="auto" w:val="clear"/>
            <w:vAlign w:val="center"/>
          </w:tcPr>
          <w:p>
            <w:pPr>
              <w:pStyle w:val="TableContents"/>
              <w:spacing w:before="0" w:after="283"/>
              <w:rPr>
                <w:color w:val="000000"/>
              </w:rPr>
            </w:pPr>
            <w:r>
              <w:rPr>
                <w:color w:val="000000"/>
              </w:rPr>
              <w:t> </w:t>
            </w:r>
          </w:p>
        </w:tc>
        <w:tc>
          <w:tcPr>
            <w:tcW w:w="515" w:type="dxa"/>
            <w:tcBorders/>
            <w:shd w:fill="auto" w:val="clear"/>
            <w:vAlign w:val="center"/>
          </w:tcPr>
          <w:p>
            <w:pPr>
              <w:pStyle w:val="TableContents"/>
              <w:spacing w:before="0" w:after="283"/>
              <w:rPr/>
            </w:pPr>
            <w:r>
              <w:rPr/>
              <w:t> </w:t>
            </w:r>
          </w:p>
        </w:tc>
      </w:tr>
      <w:tr>
        <w:trPr/>
        <w:tc>
          <w:tcPr>
            <w:tcW w:w="9690" w:type="dxa"/>
            <w:tcBorders/>
            <w:shd w:fill="CCEEFF" w:val="clear"/>
            <w:vAlign w:val="center"/>
          </w:tcPr>
          <w:p>
            <w:pPr>
              <w:pStyle w:val="TableContents"/>
              <w:spacing w:before="0" w:after="0"/>
              <w:rPr>
                <w:color w:val="000000"/>
              </w:rPr>
            </w:pPr>
            <w:r>
              <w:rPr>
                <w:color w:val="000000"/>
              </w:rPr>
              <w:t>Notes to Financial Statements</w:t>
            </w:r>
          </w:p>
        </w:tc>
        <w:tc>
          <w:tcPr>
            <w:tcW w:w="515" w:type="dxa"/>
            <w:tcBorders/>
            <w:shd w:fill="CCEEFF" w:val="clear"/>
            <w:vAlign w:val="center"/>
          </w:tcPr>
          <w:p>
            <w:pPr>
              <w:pStyle w:val="TableContents"/>
              <w:spacing w:before="0" w:after="0"/>
              <w:jc w:val="center"/>
              <w:rPr/>
            </w:pPr>
            <w:r>
              <w:rPr/>
              <w:t>F-7</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25" w:name="DSPFPageBreakArea74"/>
      <w:bookmarkStart w:id="926" w:name="DSPFPageBreakArea74"/>
      <w:bookmarkEnd w:id="9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927" w:name="DSPFPageNumber73"/>
      <w:bookmarkStart w:id="928" w:name="DSPFPageNumberArea72"/>
      <w:bookmarkEnd w:id="927"/>
      <w:bookmarkEnd w:id="928"/>
      <w:r>
        <w:rPr>
          <w:b w:val="false"/>
          <w:i w:val="false"/>
          <w:caps w:val="false"/>
          <w:smallCaps w:val="false"/>
          <w:color w:val="000000"/>
          <w:sz w:val="16"/>
        </w:rPr>
        <w:t>F-1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29" w:name="DSPFPageBreak74"/>
      <w:bookmarkStart w:id="930" w:name="DSPFPageBreak74"/>
      <w:bookmarkEnd w:id="9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931" w:name="DSPFPageHeader72"/>
        <w:bookmarkEnd w:id="931"/>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rPr>
      </w:pPr>
      <w:r>
        <w:rPr>
          <w:b/>
        </w:rPr>
        <w:t>Report of Independent Registered Public Accounting Firm</w:t>
      </w:r>
    </w:p>
    <w:p>
      <w:pPr>
        <w:pStyle w:val="TextBody"/>
        <w:spacing w:before="0" w:after="0"/>
        <w:ind w:left="1200" w:right="0" w:hanging="0"/>
        <w:jc w:val="center"/>
        <w:rPr/>
      </w:pPr>
      <w:r>
        <w:rPr/>
      </w:r>
    </w:p>
    <w:p>
      <w:pPr>
        <w:pStyle w:val="TextBody"/>
        <w:spacing w:before="0" w:after="0"/>
        <w:jc w:val="both"/>
        <w:rPr>
          <w:color w:val="000000"/>
        </w:rPr>
      </w:pPr>
      <w:r>
        <w:rPr>
          <w:color w:val="000000"/>
        </w:rPr>
        <w:t>To the Shareholders and the Board of Directors of</w:t>
      </w:r>
    </w:p>
    <w:p>
      <w:pPr>
        <w:pStyle w:val="TextBody"/>
        <w:spacing w:before="0" w:after="0"/>
        <w:jc w:val="left"/>
        <w:rPr>
          <w:color w:val="000000"/>
        </w:rPr>
      </w:pPr>
      <w:r>
        <w:rPr>
          <w:color w:val="000000"/>
        </w:rPr>
        <w:t>ARYA Sciences Acquisition Corp III</w:t>
      </w:r>
    </w:p>
    <w:p>
      <w:pPr>
        <w:pStyle w:val="TextBody"/>
        <w:spacing w:before="0" w:after="0"/>
        <w:jc w:val="center"/>
        <w:rPr/>
      </w:pPr>
      <w:r>
        <w:rPr/>
      </w:r>
    </w:p>
    <w:p>
      <w:pPr>
        <w:pStyle w:val="TextBody"/>
        <w:spacing w:before="0" w:after="0"/>
        <w:jc w:val="both"/>
        <w:rPr>
          <w:b/>
          <w:color w:val="000000"/>
        </w:rPr>
      </w:pPr>
      <w:r>
        <w:rPr>
          <w:b/>
          <w:color w:val="000000"/>
        </w:rPr>
        <w:t>Opinion on the Financial Statements</w:t>
      </w:r>
    </w:p>
    <w:p>
      <w:pPr>
        <w:pStyle w:val="TextBody"/>
        <w:spacing w:before="0" w:after="0"/>
        <w:jc w:val="center"/>
        <w:rPr/>
      </w:pPr>
      <w:r>
        <w:rPr/>
      </w:r>
    </w:p>
    <w:p>
      <w:pPr>
        <w:pStyle w:val="TextBody"/>
        <w:spacing w:before="0" w:after="0"/>
        <w:jc w:val="both"/>
        <w:rPr>
          <w:color w:val="000000"/>
        </w:rPr>
      </w:pPr>
      <w:r>
        <w:rPr>
          <w:color w:val="000000"/>
        </w:rPr>
        <w:t>We have audited the accompanying balance sheet of ARYA Sciences Acquisition Corp III (the “Company”) as of December 31, 2020, the related statement of operations, changes in shareholders’ equity and cash flows for the period from March 27,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March 27, 2020 (inception) through December 31, 2020, in conformity with accounting principles generally accepted in the United States of America.</w:t>
      </w:r>
    </w:p>
    <w:p>
      <w:pPr>
        <w:pStyle w:val="TextBody"/>
        <w:spacing w:before="0" w:after="0"/>
        <w:jc w:val="both"/>
        <w:rPr>
          <w:b/>
          <w:color w:val="000000"/>
        </w:rPr>
      </w:pPr>
      <w:r>
        <w:rPr>
          <w:b/>
          <w:color w:val="000000"/>
        </w:rPr>
      </w:r>
    </w:p>
    <w:p>
      <w:pPr>
        <w:pStyle w:val="TextBody"/>
        <w:spacing w:before="0" w:after="0"/>
        <w:jc w:val="both"/>
        <w:rPr>
          <w:b/>
          <w:color w:val="000000"/>
        </w:rPr>
      </w:pPr>
      <w:r>
        <w:rPr>
          <w:b/>
          <w:color w:val="000000"/>
        </w:rPr>
        <w:t>Basis for Opinion</w:t>
      </w:r>
    </w:p>
    <w:p>
      <w:pPr>
        <w:pStyle w:val="TextBody"/>
        <w:spacing w:before="0" w:after="0"/>
        <w:jc w:val="center"/>
        <w:rPr/>
      </w:pPr>
      <w:r>
        <w:rPr/>
      </w:r>
    </w:p>
    <w:p>
      <w:pPr>
        <w:pStyle w:val="TextBody"/>
        <w:spacing w:before="0" w:after="0"/>
        <w:jc w:val="both"/>
        <w:rPr>
          <w:color w:val="000000"/>
        </w:rPr>
      </w:pPr>
      <w:r>
        <w:rPr>
          <w:color w:val="00000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before="0" w:after="0"/>
        <w:jc w:val="both"/>
        <w:rPr>
          <w:color w:val="000000"/>
        </w:rPr>
      </w:pPr>
      <w:r>
        <w:rPr>
          <w:color w:val="000000"/>
        </w:rPr>
      </w:r>
    </w:p>
    <w:p>
      <w:pPr>
        <w:pStyle w:val="TextBody"/>
        <w:spacing w:before="0" w:after="0"/>
        <w:jc w:val="both"/>
        <w:rPr>
          <w:color w:val="000000"/>
        </w:rPr>
      </w:pPr>
      <w:r>
        <w:rPr>
          <w:color w:val="00000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jc w:val="both"/>
        <w:rPr>
          <w:color w:val="000000"/>
        </w:rPr>
      </w:pPr>
      <w:r>
        <w:rPr>
          <w:color w:val="000000"/>
        </w:rPr>
      </w:r>
    </w:p>
    <w:p>
      <w:pPr>
        <w:pStyle w:val="TextBody"/>
        <w:spacing w:before="0" w:after="0"/>
        <w:jc w:val="both"/>
        <w:rPr>
          <w:color w:val="000000"/>
        </w:rPr>
      </w:pPr>
      <w:r>
        <w:rPr>
          <w:color w:val="000000"/>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before="0" w:after="0"/>
        <w:jc w:val="center"/>
        <w:rPr/>
      </w:pPr>
      <w:r>
        <w:rPr/>
      </w:r>
    </w:p>
    <w:p>
      <w:pPr>
        <w:pStyle w:val="TextBody"/>
        <w:spacing w:before="0" w:after="0"/>
        <w:jc w:val="both"/>
        <w:rPr>
          <w:color w:val="000000"/>
        </w:rPr>
      </w:pPr>
      <w:r>
        <w:rPr>
          <w:color w:val="000000"/>
        </w:rPr>
        <w:t>/s/ WithumSmith+Brown, PC</w:t>
      </w:r>
    </w:p>
    <w:p>
      <w:pPr>
        <w:pStyle w:val="TextBody"/>
        <w:spacing w:before="0" w:after="0"/>
        <w:jc w:val="both"/>
        <w:rPr/>
      </w:pPr>
      <w:r>
        <w:rPr/>
      </w:r>
    </w:p>
    <w:p>
      <w:pPr>
        <w:pStyle w:val="TextBody"/>
        <w:spacing w:before="0" w:after="0"/>
        <w:jc w:val="both"/>
        <w:rPr/>
      </w:pPr>
      <w:r>
        <w:rPr>
          <w:color w:val="000000"/>
        </w:rPr>
        <w:t xml:space="preserve">We have served as the Company's auditor since </w:t>
      </w:r>
      <w:r>
        <w:rPr/>
        <w:t>2020.</w:t>
      </w:r>
    </w:p>
    <w:p>
      <w:pPr>
        <w:pStyle w:val="TextBody"/>
        <w:spacing w:before="0" w:after="0"/>
        <w:jc w:val="center"/>
        <w:rPr/>
      </w:pPr>
      <w:r>
        <w:rPr/>
      </w:r>
    </w:p>
    <w:p>
      <w:pPr>
        <w:pStyle w:val="TextBody"/>
        <w:spacing w:before="0" w:after="0"/>
        <w:jc w:val="both"/>
        <w:rPr/>
      </w:pPr>
      <w:r>
        <w:rPr/>
        <w:t>New York, New York</w:t>
      </w:r>
    </w:p>
    <w:p>
      <w:pPr>
        <w:pStyle w:val="TextBody"/>
        <w:spacing w:before="0" w:after="0"/>
        <w:jc w:val="left"/>
        <w:rPr/>
      </w:pPr>
      <w:r>
        <w:rPr/>
        <w:t>March 26, 2021</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32" w:name="DSPFPageBreakArea75"/>
      <w:bookmarkStart w:id="933" w:name="DSPFPageBreakArea75"/>
      <w:bookmarkEnd w:id="9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934" w:name="DSPFPageNumber74"/>
      <w:bookmarkStart w:id="935" w:name="DSPFPageNumberArea73"/>
      <w:bookmarkEnd w:id="934"/>
      <w:bookmarkEnd w:id="935"/>
      <w:r>
        <w:rPr>
          <w:b w:val="false"/>
          <w:i w:val="false"/>
          <w:caps w:val="false"/>
          <w:smallCaps w:val="false"/>
          <w:color w:val="000000"/>
          <w:sz w:val="16"/>
        </w:rPr>
        <w:t>F-2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36" w:name="DSPFPageBreak75"/>
      <w:bookmarkStart w:id="937" w:name="DSPFPageBreak75"/>
      <w:bookmarkEnd w:id="9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938" w:name="DSPFPageHeader73"/>
        <w:bookmarkEnd w:id="938"/>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rPr>
      </w:pPr>
      <w:r>
        <w:rPr>
          <w:b/>
        </w:rPr>
        <w:t>ARYA SCIENCES ACQUISITION CORP III</w:t>
      </w:r>
    </w:p>
    <w:p>
      <w:pPr>
        <w:pStyle w:val="TextBody"/>
        <w:spacing w:before="0" w:after="0"/>
        <w:jc w:val="center"/>
        <w:rPr>
          <w:b/>
        </w:rPr>
      </w:pPr>
      <w:r>
        <w:rPr>
          <w:b/>
        </w:rPr>
        <w:t>BALANCE SHEET</w:t>
      </w:r>
    </w:p>
    <w:p>
      <w:pPr>
        <w:pStyle w:val="TextBody"/>
        <w:spacing w:before="0" w:after="0"/>
        <w:jc w:val="center"/>
        <w:rPr>
          <w:b/>
        </w:rPr>
      </w:pPr>
      <w:r>
        <w:rPr>
          <w:b/>
        </w:rPr>
        <w:t>DECEMBER 31, 2020</w:t>
      </w:r>
    </w:p>
    <w:p>
      <w:pPr>
        <w:pStyle w:val="TextBody"/>
        <w:spacing w:before="0" w:after="0"/>
        <w:jc w:val="center"/>
        <w:rPr>
          <w:i w:val="false"/>
          <w:caps w:val="false"/>
          <w:smallCaps w:val="false"/>
        </w:rPr>
      </w:pPr>
      <w:r>
        <w:rPr>
          <w:i w:val="false"/>
          <w:caps w:val="false"/>
          <w:smallCaps w:val="false"/>
        </w:rPr>
      </w:r>
    </w:p>
    <w:p>
      <w:pPr>
        <w:pStyle w:val="Normal"/>
        <w:spacing w:before="0" w:after="0"/>
        <w:rPr>
          <w:sz w:val="4"/>
          <w:szCs w:val="4"/>
        </w:rPr>
      </w:pPr>
      <w:r>
        <w:rPr>
          <w:sz w:val="4"/>
          <w:szCs w:val="4"/>
        </w:rPr>
      </w:r>
      <w:bookmarkStart w:id="939" w:name="z60b9b0b7a37445c08c8df40f8bfde43a"/>
      <w:bookmarkStart w:id="940" w:name="z60b9b0b7a37445c08c8df40f8bfde43a"/>
      <w:bookmarkEnd w:id="940"/>
    </w:p>
    <w:tbl>
      <w:tblPr>
        <w:tblW w:w="10205" w:type="dxa"/>
        <w:jc w:val="center"/>
        <w:tblInd w:w="0" w:type="dxa"/>
        <w:tblCellMar>
          <w:top w:w="0" w:type="dxa"/>
          <w:left w:w="0" w:type="dxa"/>
          <w:bottom w:w="0" w:type="dxa"/>
          <w:right w:w="0" w:type="dxa"/>
        </w:tblCellMar>
      </w:tblPr>
      <w:tblGrid>
        <w:gridCol w:w="8675"/>
        <w:gridCol w:w="60"/>
        <w:gridCol w:w="140"/>
        <w:gridCol w:w="1220"/>
        <w:gridCol w:w="110"/>
      </w:tblGrid>
      <w:tr>
        <w:trPr/>
        <w:tc>
          <w:tcPr>
            <w:tcW w:w="8675" w:type="dxa"/>
            <w:tcBorders/>
            <w:shd w:fill="auto" w:val="clear"/>
            <w:vAlign w:val="bottom"/>
          </w:tcPr>
          <w:p>
            <w:pPr>
              <w:pStyle w:val="TableContents"/>
              <w:spacing w:before="0" w:after="0"/>
              <w:ind w:left="180" w:right="0" w:hanging="180"/>
              <w:rPr>
                <w:b/>
                <w:color w:val="000000"/>
              </w:rPr>
            </w:pPr>
            <w:r>
              <w:rPr>
                <w:b/>
                <w:color w:val="000000"/>
              </w:rPr>
              <w:t>Assets:</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8675" w:type="dxa"/>
            <w:tcBorders/>
            <w:shd w:fill="auto" w:val="clear"/>
            <w:vAlign w:val="bottom"/>
          </w:tcPr>
          <w:p>
            <w:pPr>
              <w:pStyle w:val="TableContents"/>
              <w:spacing w:before="0" w:after="0"/>
              <w:ind w:left="180" w:right="0" w:hanging="180"/>
              <w:rPr>
                <w:color w:val="000000"/>
              </w:rPr>
            </w:pPr>
            <w:r>
              <w:rPr>
                <w:color w:val="000000"/>
              </w:rPr>
              <w:t>Current assets:</w:t>
            </w:r>
          </w:p>
        </w:tc>
        <w:tc>
          <w:tcPr>
            <w:tcW w:w="60" w:type="dxa"/>
            <w:tcBorders/>
            <w:shd w:fill="auto" w:val="clear"/>
            <w:vAlign w:val="bottom"/>
          </w:tcPr>
          <w:p>
            <w:pPr>
              <w:pStyle w:val="TableContents"/>
              <w:spacing w:before="0" w:after="283"/>
              <w:rPr/>
            </w:pPr>
            <w:r>
              <w:rPr/>
              <w:t> </w:t>
            </w:r>
          </w:p>
        </w:tc>
        <w:tc>
          <w:tcPr>
            <w:tcW w:w="136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8675" w:type="dxa"/>
            <w:tcBorders/>
            <w:shd w:fill="CCEEFF" w:val="clear"/>
            <w:vAlign w:val="bottom"/>
          </w:tcPr>
          <w:p>
            <w:pPr>
              <w:pStyle w:val="TableContents"/>
              <w:spacing w:before="0" w:after="0"/>
              <w:ind w:left="360" w:right="0" w:hanging="180"/>
              <w:rPr>
                <w:color w:val="000000"/>
              </w:rPr>
            </w:pPr>
            <w:r>
              <w:rPr>
                <w:color w:val="000000"/>
              </w:rPr>
              <w:t>Cash</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1220" w:type="dxa"/>
            <w:tcBorders/>
            <w:shd w:fill="CCEEFF" w:val="clear"/>
            <w:vAlign w:val="bottom"/>
          </w:tcPr>
          <w:p>
            <w:pPr>
              <w:pStyle w:val="TableContents"/>
              <w:spacing w:before="0" w:after="0"/>
              <w:jc w:val="right"/>
              <w:rPr>
                <w:color w:val="000000"/>
              </w:rPr>
            </w:pPr>
            <w:r>
              <w:rPr>
                <w:color w:val="000000"/>
              </w:rPr>
              <w:t>1,001,032</w:t>
            </w:r>
          </w:p>
        </w:tc>
        <w:tc>
          <w:tcPr>
            <w:tcW w:w="110" w:type="dxa"/>
            <w:tcBorders/>
            <w:shd w:fill="CCEEFF" w:val="clear"/>
            <w:vAlign w:val="bottom"/>
          </w:tcPr>
          <w:p>
            <w:pPr>
              <w:pStyle w:val="TableContents"/>
              <w:spacing w:before="0" w:after="283"/>
              <w:rPr/>
            </w:pPr>
            <w:r>
              <w:rPr/>
              <w:t> </w:t>
            </w:r>
          </w:p>
        </w:tc>
      </w:tr>
      <w:tr>
        <w:trPr/>
        <w:tc>
          <w:tcPr>
            <w:tcW w:w="8675" w:type="dxa"/>
            <w:tcBorders/>
            <w:shd w:fill="auto" w:val="clear"/>
            <w:vAlign w:val="bottom"/>
          </w:tcPr>
          <w:p>
            <w:pPr>
              <w:pStyle w:val="TableContents"/>
              <w:spacing w:before="0" w:after="0"/>
              <w:ind w:left="360" w:right="0" w:hanging="180"/>
              <w:rPr>
                <w:color w:val="000000"/>
              </w:rPr>
            </w:pPr>
            <w:r>
              <w:rPr>
                <w:color w:val="000000"/>
              </w:rPr>
              <w:t>Prepaid expenses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303,759</w:t>
            </w:r>
          </w:p>
        </w:tc>
        <w:tc>
          <w:tcPr>
            <w:tcW w:w="110" w:type="dxa"/>
            <w:tcBorders/>
            <w:shd w:fill="auto" w:val="clear"/>
            <w:vAlign w:val="bottom"/>
          </w:tcPr>
          <w:p>
            <w:pPr>
              <w:pStyle w:val="TableContents"/>
              <w:spacing w:before="0" w:after="283"/>
              <w:rPr/>
            </w:pPr>
            <w:r>
              <w:rPr/>
              <w:t> </w:t>
            </w:r>
          </w:p>
        </w:tc>
      </w:tr>
      <w:tr>
        <w:trPr/>
        <w:tc>
          <w:tcPr>
            <w:tcW w:w="8675" w:type="dxa"/>
            <w:tcBorders/>
            <w:shd w:fill="CCEEFF" w:val="clear"/>
            <w:vAlign w:val="bottom"/>
          </w:tcPr>
          <w:p>
            <w:pPr>
              <w:pStyle w:val="TableContents"/>
              <w:spacing w:before="0" w:after="0"/>
              <w:ind w:left="180" w:right="0" w:hanging="180"/>
              <w:rPr>
                <w:b/>
                <w:color w:val="000000"/>
              </w:rPr>
            </w:pPr>
            <w:r>
              <w:rPr>
                <w:b/>
                <w:color w:val="000000"/>
              </w:rPr>
              <w:t>Total current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0"/>
              <w:jc w:val="right"/>
              <w:rPr>
                <w:color w:val="000000"/>
              </w:rPr>
            </w:pPr>
            <w:r>
              <w:rPr>
                <w:color w:val="000000"/>
              </w:rPr>
              <w:t>1,304,791</w:t>
            </w:r>
          </w:p>
        </w:tc>
        <w:tc>
          <w:tcPr>
            <w:tcW w:w="110" w:type="dxa"/>
            <w:tcBorders/>
            <w:shd w:fill="CCEEFF" w:val="clear"/>
            <w:vAlign w:val="bottom"/>
          </w:tcPr>
          <w:p>
            <w:pPr>
              <w:pStyle w:val="TableContents"/>
              <w:spacing w:before="0" w:after="283"/>
              <w:rPr/>
            </w:pPr>
            <w:r>
              <w:rPr/>
              <w:t> </w:t>
            </w:r>
          </w:p>
        </w:tc>
      </w:tr>
      <w:tr>
        <w:trPr/>
        <w:tc>
          <w:tcPr>
            <w:tcW w:w="8675" w:type="dxa"/>
            <w:tcBorders/>
            <w:shd w:fill="auto" w:val="clear"/>
            <w:vAlign w:val="bottom"/>
          </w:tcPr>
          <w:p>
            <w:pPr>
              <w:pStyle w:val="TableContents"/>
              <w:spacing w:before="0" w:after="0"/>
              <w:ind w:left="180" w:right="0" w:hanging="180"/>
              <w:rPr>
                <w:color w:val="000000"/>
              </w:rPr>
            </w:pPr>
            <w:r>
              <w:rPr>
                <w:color w:val="000000"/>
              </w:rPr>
              <w:t>Investments held in Trust Account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149,552,952</w:t>
            </w:r>
          </w:p>
        </w:tc>
        <w:tc>
          <w:tcPr>
            <w:tcW w:w="110" w:type="dxa"/>
            <w:tcBorders/>
            <w:shd w:fill="auto" w:val="clear"/>
            <w:vAlign w:val="bottom"/>
          </w:tcPr>
          <w:p>
            <w:pPr>
              <w:pStyle w:val="TableContents"/>
              <w:spacing w:before="0" w:after="283"/>
              <w:rPr/>
            </w:pPr>
            <w:r>
              <w:rPr/>
              <w:t> </w:t>
            </w:r>
          </w:p>
        </w:tc>
      </w:tr>
      <w:tr>
        <w:trPr/>
        <w:tc>
          <w:tcPr>
            <w:tcW w:w="8675" w:type="dxa"/>
            <w:tcBorders/>
            <w:shd w:fill="CCEEFF" w:val="clear"/>
            <w:vAlign w:val="bottom"/>
          </w:tcPr>
          <w:p>
            <w:pPr>
              <w:pStyle w:val="TableContents"/>
              <w:spacing w:before="0" w:after="0"/>
              <w:ind w:left="180" w:right="0" w:hanging="180"/>
              <w:rPr>
                <w:b/>
                <w:color w:val="000000"/>
              </w:rPr>
            </w:pPr>
            <w:r>
              <w:rPr>
                <w:b/>
                <w:color w:val="000000"/>
              </w:rPr>
              <w:t>Total assets</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b/>
                <w:color w:val="000000"/>
              </w:rPr>
            </w:pPr>
            <w:r>
              <w:rPr>
                <w:b/>
                <w:color w:val="000000"/>
              </w:rPr>
              <w:t>$</w:t>
            </w:r>
          </w:p>
        </w:tc>
        <w:tc>
          <w:tcPr>
            <w:tcW w:w="1220"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150,857,743</w:t>
            </w:r>
          </w:p>
        </w:tc>
        <w:tc>
          <w:tcPr>
            <w:tcW w:w="110" w:type="dxa"/>
            <w:tcBorders/>
            <w:shd w:fill="CCEEFF" w:val="clear"/>
            <w:vAlign w:val="bottom"/>
          </w:tcPr>
          <w:p>
            <w:pPr>
              <w:pStyle w:val="TableContents"/>
              <w:spacing w:before="0" w:after="283"/>
              <w:ind w:left="180" w:right="0" w:hanging="180"/>
              <w:rPr/>
            </w:pPr>
            <w:r>
              <w:rPr/>
              <w:t> </w:t>
            </w:r>
          </w:p>
        </w:tc>
      </w:tr>
      <w:tr>
        <w:trPr/>
        <w:tc>
          <w:tcPr>
            <w:tcW w:w="86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8675" w:type="dxa"/>
            <w:tcBorders/>
            <w:shd w:fill="CCEEFF" w:val="clear"/>
            <w:vAlign w:val="bottom"/>
          </w:tcPr>
          <w:p>
            <w:pPr>
              <w:pStyle w:val="TableContents"/>
              <w:spacing w:before="0" w:after="0"/>
              <w:ind w:left="180" w:right="0" w:hanging="180"/>
              <w:rPr>
                <w:b/>
                <w:color w:val="000000"/>
              </w:rPr>
            </w:pPr>
            <w:r>
              <w:rPr>
                <w:b/>
                <w:color w:val="000000"/>
              </w:rPr>
              <w:t>Liabilities and Shareholders' Equity:</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8675" w:type="dxa"/>
            <w:tcBorders/>
            <w:shd w:fill="auto" w:val="clear"/>
            <w:vAlign w:val="bottom"/>
          </w:tcPr>
          <w:p>
            <w:pPr>
              <w:pStyle w:val="TableContents"/>
              <w:spacing w:before="0" w:after="0"/>
              <w:ind w:left="180" w:right="0" w:hanging="180"/>
              <w:rPr>
                <w:color w:val="000000"/>
              </w:rPr>
            </w:pPr>
            <w:r>
              <w:rPr>
                <w:color w:val="000000"/>
              </w:rPr>
              <w:t>Current liabilities: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8675" w:type="dxa"/>
            <w:tcBorders/>
            <w:shd w:fill="CCEEFF" w:val="clear"/>
            <w:vAlign w:val="bottom"/>
          </w:tcPr>
          <w:p>
            <w:pPr>
              <w:pStyle w:val="TableContents"/>
              <w:spacing w:before="0" w:after="0"/>
              <w:ind w:left="360" w:right="0" w:hanging="180"/>
              <w:rPr>
                <w:color w:val="000000"/>
              </w:rPr>
            </w:pPr>
            <w:r>
              <w:rPr>
                <w:color w:val="000000"/>
              </w:rPr>
              <w:t>Accrued expenses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rPr>
                <w:color w:val="000000"/>
              </w:rPr>
            </w:pPr>
            <w:r>
              <w:rPr>
                <w:color w:val="000000"/>
              </w:rPr>
              <w:t>$</w:t>
            </w:r>
          </w:p>
        </w:tc>
        <w:tc>
          <w:tcPr>
            <w:tcW w:w="122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388,507</w:t>
            </w:r>
          </w:p>
        </w:tc>
        <w:tc>
          <w:tcPr>
            <w:tcW w:w="110" w:type="dxa"/>
            <w:tcBorders/>
            <w:shd w:fill="CCEEFF" w:val="clear"/>
            <w:vAlign w:val="bottom"/>
          </w:tcPr>
          <w:p>
            <w:pPr>
              <w:pStyle w:val="TableContents"/>
              <w:spacing w:before="0" w:after="283"/>
              <w:rPr/>
            </w:pPr>
            <w:r>
              <w:rPr/>
              <w:t> </w:t>
            </w:r>
          </w:p>
        </w:tc>
      </w:tr>
      <w:tr>
        <w:trPr/>
        <w:tc>
          <w:tcPr>
            <w:tcW w:w="8675" w:type="dxa"/>
            <w:tcBorders/>
            <w:shd w:fill="auto" w:val="clear"/>
            <w:vAlign w:val="bottom"/>
          </w:tcPr>
          <w:p>
            <w:pPr>
              <w:pStyle w:val="TableContents"/>
              <w:spacing w:before="0" w:after="0"/>
              <w:ind w:left="180" w:right="0" w:hanging="180"/>
              <w:rPr>
                <w:b/>
                <w:color w:val="000000"/>
              </w:rPr>
            </w:pPr>
            <w:r>
              <w:rPr>
                <w:b/>
                <w:color w:val="000000"/>
              </w:rPr>
              <w:t>Total current liabilities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0"/>
              <w:jc w:val="right"/>
              <w:rPr>
                <w:color w:val="000000"/>
              </w:rPr>
            </w:pPr>
            <w:r>
              <w:rPr>
                <w:color w:val="000000"/>
              </w:rPr>
              <w:t>388,507</w:t>
            </w:r>
          </w:p>
        </w:tc>
        <w:tc>
          <w:tcPr>
            <w:tcW w:w="110" w:type="dxa"/>
            <w:tcBorders/>
            <w:shd w:fill="auto" w:val="clear"/>
            <w:vAlign w:val="bottom"/>
          </w:tcPr>
          <w:p>
            <w:pPr>
              <w:pStyle w:val="TableContents"/>
              <w:spacing w:before="0" w:after="283"/>
              <w:rPr/>
            </w:pPr>
            <w:r>
              <w:rPr/>
              <w:t> </w:t>
            </w:r>
          </w:p>
        </w:tc>
      </w:tr>
      <w:tr>
        <w:trPr/>
        <w:tc>
          <w:tcPr>
            <w:tcW w:w="8675" w:type="dxa"/>
            <w:tcBorders/>
            <w:shd w:fill="CCEEFF" w:val="clear"/>
            <w:vAlign w:val="bottom"/>
          </w:tcPr>
          <w:p>
            <w:pPr>
              <w:pStyle w:val="TableContents"/>
              <w:spacing w:before="0" w:after="0"/>
              <w:ind w:left="180" w:right="0" w:hanging="180"/>
              <w:rPr>
                <w:color w:val="000000"/>
              </w:rPr>
            </w:pPr>
            <w:r>
              <w:rPr>
                <w:color w:val="000000"/>
              </w:rPr>
              <w:t>Deferred underwriting commissions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2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5,232,500</w:t>
            </w:r>
          </w:p>
        </w:tc>
        <w:tc>
          <w:tcPr>
            <w:tcW w:w="110" w:type="dxa"/>
            <w:tcBorders/>
            <w:shd w:fill="CCEEFF" w:val="clear"/>
            <w:vAlign w:val="bottom"/>
          </w:tcPr>
          <w:p>
            <w:pPr>
              <w:pStyle w:val="TableContents"/>
              <w:spacing w:before="0" w:after="283"/>
              <w:rPr/>
            </w:pPr>
            <w:r>
              <w:rPr/>
              <w:t> </w:t>
            </w:r>
          </w:p>
        </w:tc>
      </w:tr>
      <w:tr>
        <w:trPr/>
        <w:tc>
          <w:tcPr>
            <w:tcW w:w="8675" w:type="dxa"/>
            <w:tcBorders/>
            <w:shd w:fill="auto" w:val="clear"/>
            <w:vAlign w:val="bottom"/>
          </w:tcPr>
          <w:p>
            <w:pPr>
              <w:pStyle w:val="TableContents"/>
              <w:spacing w:before="0" w:after="0"/>
              <w:ind w:left="180" w:right="0" w:hanging="180"/>
              <w:rPr>
                <w:b/>
                <w:color w:val="000000"/>
              </w:rPr>
            </w:pPr>
            <w:r>
              <w:rPr>
                <w:b/>
                <w:color w:val="000000"/>
              </w:rPr>
              <w:t>Total liabilities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0"/>
              <w:jc w:val="right"/>
              <w:rPr>
                <w:color w:val="000000"/>
              </w:rPr>
            </w:pPr>
            <w:r>
              <w:rPr>
                <w:color w:val="000000"/>
              </w:rPr>
              <w:t>5,621,007</w:t>
            </w:r>
          </w:p>
        </w:tc>
        <w:tc>
          <w:tcPr>
            <w:tcW w:w="110" w:type="dxa"/>
            <w:tcBorders/>
            <w:shd w:fill="auto" w:val="clear"/>
            <w:vAlign w:val="bottom"/>
          </w:tcPr>
          <w:p>
            <w:pPr>
              <w:pStyle w:val="TableContents"/>
              <w:spacing w:before="0" w:after="283"/>
              <w:ind w:left="180" w:right="0" w:hanging="180"/>
              <w:rPr/>
            </w:pPr>
            <w:r>
              <w:rPr/>
              <w:t> </w:t>
            </w:r>
          </w:p>
        </w:tc>
      </w:tr>
      <w:tr>
        <w:trPr/>
        <w:tc>
          <w:tcPr>
            <w:tcW w:w="86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8675" w:type="dxa"/>
            <w:tcBorders/>
            <w:shd w:fill="auto" w:val="clear"/>
            <w:vAlign w:val="bottom"/>
          </w:tcPr>
          <w:p>
            <w:pPr>
              <w:pStyle w:val="TableContents"/>
              <w:spacing w:before="0" w:after="0"/>
              <w:ind w:left="180" w:right="0" w:hanging="180"/>
              <w:rPr>
                <w:b/>
                <w:color w:val="000000"/>
              </w:rPr>
            </w:pPr>
            <w:r>
              <w:rPr>
                <w:b/>
                <w:color w:val="000000"/>
              </w:rPr>
              <w:t>Commitments and Contingencies (Note 5)</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ind w:left="180" w:right="0" w:hanging="180"/>
              <w:rPr/>
            </w:pPr>
            <w:r>
              <w:rPr/>
              <w:t> </w:t>
            </w:r>
          </w:p>
        </w:tc>
      </w:tr>
      <w:tr>
        <w:trPr/>
        <w:tc>
          <w:tcPr>
            <w:tcW w:w="86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8675" w:type="dxa"/>
            <w:tcBorders/>
            <w:shd w:fill="auto" w:val="clear"/>
            <w:vAlign w:val="bottom"/>
          </w:tcPr>
          <w:p>
            <w:pPr>
              <w:pStyle w:val="TableContents"/>
              <w:spacing w:before="0" w:after="0"/>
              <w:ind w:left="180" w:right="0" w:hanging="180"/>
              <w:rPr>
                <w:color w:val="000000"/>
              </w:rPr>
            </w:pPr>
            <w:r>
              <w:rPr>
                <w:color w:val="000000"/>
              </w:rPr>
              <w:t>Class A ordinary shares, $0.0001 par value; 14,023,673 shares subject to possible redemption at $10.00 per share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0"/>
              <w:jc w:val="right"/>
              <w:rPr>
                <w:color w:val="000000"/>
              </w:rPr>
            </w:pPr>
            <w:r>
              <w:rPr>
                <w:color w:val="000000"/>
              </w:rPr>
              <w:t>140,236,730</w:t>
            </w:r>
          </w:p>
        </w:tc>
        <w:tc>
          <w:tcPr>
            <w:tcW w:w="110" w:type="dxa"/>
            <w:tcBorders/>
            <w:shd w:fill="auto" w:val="clear"/>
            <w:vAlign w:val="bottom"/>
          </w:tcPr>
          <w:p>
            <w:pPr>
              <w:pStyle w:val="TableContents"/>
              <w:spacing w:before="0" w:after="283"/>
              <w:ind w:left="180" w:right="0" w:hanging="180"/>
              <w:rPr/>
            </w:pPr>
            <w:r>
              <w:rPr/>
              <w:t> </w:t>
            </w:r>
          </w:p>
        </w:tc>
      </w:tr>
      <w:tr>
        <w:trPr/>
        <w:tc>
          <w:tcPr>
            <w:tcW w:w="86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8675" w:type="dxa"/>
            <w:tcBorders/>
            <w:shd w:fill="auto" w:val="clear"/>
            <w:vAlign w:val="bottom"/>
          </w:tcPr>
          <w:p>
            <w:pPr>
              <w:pStyle w:val="TableContents"/>
              <w:spacing w:before="0" w:after="0"/>
              <w:ind w:left="180" w:right="0" w:hanging="180"/>
              <w:rPr>
                <w:b/>
                <w:color w:val="000000"/>
              </w:rPr>
            </w:pPr>
            <w:r>
              <w:rPr>
                <w:b/>
                <w:color w:val="000000"/>
              </w:rPr>
              <w:t>Shareholders' Equity:</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8675" w:type="dxa"/>
            <w:tcBorders/>
            <w:shd w:fill="CCEEFF" w:val="clear"/>
            <w:vAlign w:val="bottom"/>
          </w:tcPr>
          <w:p>
            <w:pPr>
              <w:pStyle w:val="TableContents"/>
              <w:spacing w:before="0" w:after="0"/>
              <w:ind w:left="180" w:right="0" w:hanging="180"/>
              <w:rPr>
                <w:color w:val="000000"/>
              </w:rPr>
            </w:pPr>
            <w:r>
              <w:rPr>
                <w:color w:val="000000"/>
              </w:rPr>
              <w:t>Preference shares, $0.0001 par value; 1,000,000 shares authorized; none issued and outstanding</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0"/>
              <w:jc w:val="right"/>
              <w:rPr>
                <w:color w:val="000000"/>
              </w:rPr>
            </w:pPr>
            <w:r>
              <w:rPr>
                <w:color w:val="000000"/>
              </w:rPr>
              <w:t>-</w:t>
            </w:r>
          </w:p>
        </w:tc>
        <w:tc>
          <w:tcPr>
            <w:tcW w:w="110" w:type="dxa"/>
            <w:tcBorders/>
            <w:shd w:fill="CCEEFF" w:val="clear"/>
            <w:vAlign w:val="bottom"/>
          </w:tcPr>
          <w:p>
            <w:pPr>
              <w:pStyle w:val="TableContents"/>
              <w:spacing w:before="0" w:after="283"/>
              <w:rPr/>
            </w:pPr>
            <w:r>
              <w:rPr/>
              <w:t> </w:t>
            </w:r>
          </w:p>
        </w:tc>
      </w:tr>
      <w:tr>
        <w:trPr/>
        <w:tc>
          <w:tcPr>
            <w:tcW w:w="8675" w:type="dxa"/>
            <w:tcBorders/>
            <w:shd w:fill="auto" w:val="clear"/>
            <w:vAlign w:val="bottom"/>
          </w:tcPr>
          <w:p>
            <w:pPr>
              <w:pStyle w:val="TableContents"/>
              <w:spacing w:before="0" w:after="0"/>
              <w:ind w:left="180" w:right="0" w:hanging="180"/>
              <w:rPr>
                <w:color w:val="000000"/>
              </w:rPr>
            </w:pPr>
            <w:r>
              <w:rPr>
                <w:color w:val="000000"/>
              </w:rPr>
              <w:t>Class A ordinary shares, $0.0001 par value; 479,000,000 shares authorized; 1,425,327 shares issued and outstanding (excluding 14,023,673 shares subject to possible redemption)</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0"/>
              <w:jc w:val="right"/>
              <w:rPr>
                <w:color w:val="000000"/>
              </w:rPr>
            </w:pPr>
            <w:r>
              <w:rPr>
                <w:color w:val="000000"/>
              </w:rPr>
              <w:t>143</w:t>
            </w:r>
          </w:p>
        </w:tc>
        <w:tc>
          <w:tcPr>
            <w:tcW w:w="110" w:type="dxa"/>
            <w:tcBorders/>
            <w:shd w:fill="auto" w:val="clear"/>
            <w:vAlign w:val="bottom"/>
          </w:tcPr>
          <w:p>
            <w:pPr>
              <w:pStyle w:val="TableContents"/>
              <w:spacing w:before="0" w:after="283"/>
              <w:rPr/>
            </w:pPr>
            <w:r>
              <w:rPr/>
              <w:t> </w:t>
            </w:r>
          </w:p>
        </w:tc>
      </w:tr>
      <w:tr>
        <w:trPr/>
        <w:tc>
          <w:tcPr>
            <w:tcW w:w="8675" w:type="dxa"/>
            <w:tcBorders/>
            <w:shd w:fill="CCEEFF" w:val="clear"/>
            <w:vAlign w:val="bottom"/>
          </w:tcPr>
          <w:p>
            <w:pPr>
              <w:pStyle w:val="TableContents"/>
              <w:spacing w:before="0" w:after="0"/>
              <w:ind w:left="180" w:right="0" w:hanging="180"/>
              <w:rPr>
                <w:color w:val="000000"/>
              </w:rPr>
            </w:pPr>
            <w:r>
              <w:rPr>
                <w:color w:val="000000"/>
              </w:rPr>
              <w:t>Class B ordinary shares, $0.0001 par value; 20,000,000 shares authorized; 3,737,500 shares issued and outstanding</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0"/>
              <w:jc w:val="right"/>
              <w:rPr>
                <w:color w:val="000000"/>
              </w:rPr>
            </w:pPr>
            <w:r>
              <w:rPr>
                <w:color w:val="000000"/>
              </w:rPr>
              <w:t>374</w:t>
            </w:r>
          </w:p>
        </w:tc>
        <w:tc>
          <w:tcPr>
            <w:tcW w:w="110" w:type="dxa"/>
            <w:tcBorders/>
            <w:shd w:fill="CCEEFF" w:val="clear"/>
            <w:vAlign w:val="bottom"/>
          </w:tcPr>
          <w:p>
            <w:pPr>
              <w:pStyle w:val="TableContents"/>
              <w:spacing w:before="0" w:after="283"/>
              <w:rPr/>
            </w:pPr>
            <w:r>
              <w:rPr/>
              <w:t> </w:t>
            </w:r>
          </w:p>
        </w:tc>
      </w:tr>
      <w:tr>
        <w:trPr/>
        <w:tc>
          <w:tcPr>
            <w:tcW w:w="8675" w:type="dxa"/>
            <w:tcBorders/>
            <w:shd w:fill="auto" w:val="clear"/>
            <w:vAlign w:val="bottom"/>
          </w:tcPr>
          <w:p>
            <w:pPr>
              <w:pStyle w:val="TableContents"/>
              <w:spacing w:before="0" w:after="0"/>
              <w:ind w:left="180" w:right="0" w:hanging="180"/>
              <w:rPr>
                <w:color w:val="000000"/>
              </w:rPr>
            </w:pPr>
            <w:r>
              <w:rPr>
                <w:color w:val="000000"/>
              </w:rPr>
              <w:t>Additional paid-in capital</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0"/>
              <w:jc w:val="right"/>
              <w:rPr>
                <w:color w:val="000000"/>
              </w:rPr>
            </w:pPr>
            <w:r>
              <w:rPr>
                <w:color w:val="000000"/>
              </w:rPr>
              <w:t>5,522,572</w:t>
            </w:r>
          </w:p>
        </w:tc>
        <w:tc>
          <w:tcPr>
            <w:tcW w:w="110" w:type="dxa"/>
            <w:tcBorders/>
            <w:shd w:fill="auto" w:val="clear"/>
            <w:vAlign w:val="bottom"/>
          </w:tcPr>
          <w:p>
            <w:pPr>
              <w:pStyle w:val="TableContents"/>
              <w:spacing w:before="0" w:after="283"/>
              <w:rPr/>
            </w:pPr>
            <w:r>
              <w:rPr/>
              <w:t> </w:t>
            </w:r>
          </w:p>
        </w:tc>
      </w:tr>
      <w:tr>
        <w:trPr/>
        <w:tc>
          <w:tcPr>
            <w:tcW w:w="8675" w:type="dxa"/>
            <w:tcBorders/>
            <w:shd w:fill="CCEEFF" w:val="clear"/>
            <w:vAlign w:val="bottom"/>
          </w:tcPr>
          <w:p>
            <w:pPr>
              <w:pStyle w:val="TableContents"/>
              <w:spacing w:before="0" w:after="0"/>
              <w:ind w:left="180" w:right="0" w:hanging="180"/>
              <w:rPr>
                <w:color w:val="000000"/>
              </w:rPr>
            </w:pPr>
            <w:r>
              <w:rPr>
                <w:color w:val="000000"/>
              </w:rPr>
              <w:t>Accumulated deficit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2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(523,083</w:t>
            </w:r>
          </w:p>
        </w:tc>
        <w:tc>
          <w:tcPr>
            <w:tcW w:w="110" w:type="dxa"/>
            <w:tcBorders/>
            <w:shd w:fill="CCEEFF" w:val="clear"/>
            <w:vAlign w:val="bottom"/>
          </w:tcPr>
          <w:p>
            <w:pPr>
              <w:pStyle w:val="TableContents"/>
              <w:spacing w:before="0" w:after="0"/>
              <w:rPr>
                <w:color w:val="000000"/>
              </w:rPr>
            </w:pPr>
            <w:r>
              <w:rPr>
                <w:color w:val="000000"/>
              </w:rPr>
              <w:t>)</w:t>
            </w:r>
          </w:p>
        </w:tc>
      </w:tr>
      <w:tr>
        <w:trPr/>
        <w:tc>
          <w:tcPr>
            <w:tcW w:w="8675" w:type="dxa"/>
            <w:tcBorders/>
            <w:shd w:fill="auto" w:val="clear"/>
            <w:vAlign w:val="bottom"/>
          </w:tcPr>
          <w:p>
            <w:pPr>
              <w:pStyle w:val="TableContents"/>
              <w:spacing w:before="0" w:after="0"/>
              <w:ind w:left="180" w:right="0" w:hanging="180"/>
              <w:rPr>
                <w:b/>
                <w:color w:val="000000"/>
              </w:rPr>
            </w:pPr>
            <w:r>
              <w:rPr>
                <w:b/>
                <w:color w:val="000000"/>
              </w:rPr>
              <w:t>Total shareholders' equity</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122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5,000,006</w:t>
            </w:r>
          </w:p>
        </w:tc>
        <w:tc>
          <w:tcPr>
            <w:tcW w:w="110" w:type="dxa"/>
            <w:tcBorders/>
            <w:shd w:fill="auto" w:val="clear"/>
            <w:vAlign w:val="bottom"/>
          </w:tcPr>
          <w:p>
            <w:pPr>
              <w:pStyle w:val="TableContents"/>
              <w:spacing w:before="0" w:after="283"/>
              <w:rPr/>
            </w:pPr>
            <w:r>
              <w:rPr/>
              <w:t> </w:t>
            </w:r>
          </w:p>
        </w:tc>
      </w:tr>
      <w:tr>
        <w:trPr/>
        <w:tc>
          <w:tcPr>
            <w:tcW w:w="8675" w:type="dxa"/>
            <w:tcBorders/>
            <w:shd w:fill="CCEEFF" w:val="clear"/>
            <w:vAlign w:val="bottom"/>
          </w:tcPr>
          <w:p>
            <w:pPr>
              <w:pStyle w:val="TableContents"/>
              <w:spacing w:before="0" w:after="0"/>
              <w:ind w:left="180" w:right="0" w:hanging="180"/>
              <w:rPr>
                <w:b/>
                <w:color w:val="000000"/>
              </w:rPr>
            </w:pPr>
            <w:r>
              <w:rPr>
                <w:b/>
                <w:color w:val="000000"/>
              </w:rPr>
              <w:t>Total Liabilities and Shareholders' Equity</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b/>
                <w:color w:val="000000"/>
              </w:rPr>
            </w:pPr>
            <w:r>
              <w:rPr>
                <w:b/>
                <w:color w:val="000000"/>
              </w:rPr>
              <w:t>$</w:t>
            </w:r>
          </w:p>
        </w:tc>
        <w:tc>
          <w:tcPr>
            <w:tcW w:w="1220"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150,857,743</w:t>
            </w:r>
          </w:p>
        </w:tc>
        <w:tc>
          <w:tcPr>
            <w:tcW w:w="110" w:type="dxa"/>
            <w:tcBorders/>
            <w:shd w:fill="CCEEFF" w:val="clear"/>
            <w:vAlign w:val="bottom"/>
          </w:tcPr>
          <w:p>
            <w:pPr>
              <w:pStyle w:val="TableContents"/>
              <w:spacing w:before="0" w:after="283"/>
              <w:rPr/>
            </w:pPr>
            <w:r>
              <w:rPr/>
              <w:t> </w:t>
            </w:r>
          </w:p>
        </w:tc>
      </w:tr>
    </w:tbl>
    <w:p>
      <w:pPr>
        <w:pStyle w:val="TextBody"/>
        <w:spacing w:before="0" w:after="0"/>
        <w:jc w:val="center"/>
        <w:rPr>
          <w:i/>
        </w:rPr>
      </w:pPr>
      <w:r>
        <w:rPr>
          <w:i/>
        </w:rPr>
      </w:r>
    </w:p>
    <w:p>
      <w:pPr>
        <w:pStyle w:val="TextBody"/>
        <w:spacing w:before="0" w:after="0"/>
        <w:jc w:val="center"/>
        <w:rPr>
          <w:i/>
        </w:rPr>
      </w:pPr>
      <w:r>
        <w:rPr>
          <w:i/>
        </w:rPr>
        <w:t>The accompanying notes are an integral part of these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41" w:name="DSPFPageBreakArea76"/>
      <w:bookmarkStart w:id="942" w:name="DSPFPageBreakArea76"/>
      <w:bookmarkEnd w:id="9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943" w:name="DSPFPageNumber75"/>
      <w:bookmarkStart w:id="944" w:name="DSPFPageNumberArea74"/>
      <w:bookmarkEnd w:id="943"/>
      <w:bookmarkEnd w:id="944"/>
      <w:r>
        <w:rPr>
          <w:b w:val="false"/>
          <w:i w:val="false"/>
          <w:caps w:val="false"/>
          <w:smallCaps w:val="false"/>
          <w:color w:val="000000"/>
          <w:sz w:val="16"/>
        </w:rPr>
        <w:t>F-3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45" w:name="DSPFPageBreak76"/>
      <w:bookmarkStart w:id="946" w:name="DSPFPageBreak76"/>
      <w:bookmarkEnd w:id="9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947" w:name="DSPFPageHeader74"/>
        <w:bookmarkEnd w:id="947"/>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rPr>
      </w:pPr>
      <w:r>
        <w:rPr>
          <w:b/>
        </w:rPr>
        <w:t>ARYA SCIENCES ACQUISITION CORP III</w:t>
      </w:r>
    </w:p>
    <w:p>
      <w:pPr>
        <w:pStyle w:val="TextBody"/>
        <w:spacing w:before="0" w:after="0"/>
        <w:jc w:val="center"/>
        <w:rPr>
          <w:b/>
        </w:rPr>
      </w:pPr>
      <w:r>
        <w:rPr>
          <w:b/>
        </w:rPr>
        <w:t>STATEMENT OF OPERATIONS</w:t>
      </w:r>
    </w:p>
    <w:p>
      <w:pPr>
        <w:pStyle w:val="TextBody"/>
        <w:spacing w:before="0" w:after="0"/>
        <w:jc w:val="center"/>
        <w:rPr>
          <w:b/>
          <w:color w:val="000000"/>
        </w:rPr>
      </w:pPr>
      <w:r>
        <w:rPr>
          <w:b/>
          <w:color w:val="000000"/>
        </w:rPr>
        <w:t>FOR THE PERIOD FROM MARCH 27, 2020 (INCEPTION) THROUGH DECEMBER 31, 2020</w:t>
      </w:r>
    </w:p>
    <w:p>
      <w:pPr>
        <w:pStyle w:val="TextBody"/>
        <w:spacing w:before="0" w:after="0"/>
        <w:jc w:val="center"/>
        <w:rPr>
          <w:b/>
          <w:color w:val="000000"/>
        </w:rPr>
      </w:pPr>
      <w:r>
        <w:rPr>
          <w:b/>
          <w:color w:val="000000"/>
        </w:rPr>
      </w:r>
    </w:p>
    <w:p>
      <w:pPr>
        <w:pStyle w:val="Normal"/>
        <w:spacing w:before="0" w:after="0"/>
        <w:rPr>
          <w:sz w:val="4"/>
          <w:szCs w:val="4"/>
        </w:rPr>
      </w:pPr>
      <w:r>
        <w:rPr>
          <w:sz w:val="4"/>
          <w:szCs w:val="4"/>
        </w:rPr>
      </w:r>
      <w:bookmarkStart w:id="948" w:name="z94a40cd2fb5d4af08fa1b0f458fd5594"/>
      <w:bookmarkStart w:id="949" w:name="z94a40cd2fb5d4af08fa1b0f458fd5594"/>
      <w:bookmarkEnd w:id="949"/>
    </w:p>
    <w:tbl>
      <w:tblPr>
        <w:tblW w:w="12785" w:type="dxa"/>
        <w:jc w:val="center"/>
        <w:tblInd w:w="0" w:type="dxa"/>
        <w:tblCellMar>
          <w:top w:w="0" w:type="dxa"/>
          <w:left w:w="0" w:type="dxa"/>
          <w:bottom w:w="0" w:type="dxa"/>
          <w:right w:w="0" w:type="dxa"/>
        </w:tblCellMar>
      </w:tblPr>
      <w:tblGrid>
        <w:gridCol w:w="11375"/>
        <w:gridCol w:w="60"/>
        <w:gridCol w:w="140"/>
        <w:gridCol w:w="1100"/>
        <w:gridCol w:w="110"/>
      </w:tblGrid>
      <w:tr>
        <w:trPr/>
        <w:tc>
          <w:tcPr>
            <w:tcW w:w="11375" w:type="dxa"/>
            <w:tcBorders/>
            <w:shd w:fill="CCEEFF" w:val="clear"/>
            <w:vAlign w:val="bottom"/>
          </w:tcPr>
          <w:p>
            <w:pPr>
              <w:pStyle w:val="TableContents"/>
              <w:spacing w:before="0" w:after="0"/>
              <w:ind w:left="144" w:right="0" w:hanging="144"/>
              <w:rPr>
                <w:color w:val="000000"/>
              </w:rPr>
            </w:pPr>
            <w:r>
              <w:rPr>
                <w:color w:val="000000"/>
              </w:rPr>
              <w:t>General and administrative expenses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rPr>
                <w:color w:val="000000"/>
              </w:rPr>
            </w:pPr>
            <w:r>
              <w:rPr>
                <w:color w:val="000000"/>
              </w:rPr>
              <w:t>$</w:t>
            </w:r>
          </w:p>
        </w:tc>
        <w:tc>
          <w:tcPr>
            <w:tcW w:w="11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576,035</w:t>
            </w:r>
          </w:p>
        </w:tc>
        <w:tc>
          <w:tcPr>
            <w:tcW w:w="110" w:type="dxa"/>
            <w:tcBorders/>
            <w:shd w:fill="CCEEFF" w:val="clear"/>
            <w:vAlign w:val="bottom"/>
          </w:tcPr>
          <w:p>
            <w:pPr>
              <w:pStyle w:val="TableContents"/>
              <w:spacing w:before="0" w:after="283"/>
              <w:rPr/>
            </w:pPr>
            <w:r>
              <w:rPr/>
              <w:t> </w:t>
            </w:r>
          </w:p>
        </w:tc>
      </w:tr>
      <w:tr>
        <w:trPr/>
        <w:tc>
          <w:tcPr>
            <w:tcW w:w="11375" w:type="dxa"/>
            <w:tcBorders/>
            <w:shd w:fill="auto" w:val="clear"/>
            <w:vAlign w:val="bottom"/>
          </w:tcPr>
          <w:p>
            <w:pPr>
              <w:pStyle w:val="TableContents"/>
              <w:spacing w:before="0" w:after="0"/>
              <w:ind w:left="144" w:right="0" w:hanging="144"/>
              <w:rPr>
                <w:color w:val="000000"/>
              </w:rPr>
            </w:pPr>
            <w:r>
              <w:rPr>
                <w:color w:val="000000"/>
              </w:rPr>
              <w:t>Loss from operations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color w:val="000000"/>
              </w:rPr>
            </w:pPr>
            <w:r>
              <w:rPr>
                <w:color w:val="000000"/>
              </w:rPr>
              <w:t>(576,035</w:t>
            </w:r>
          </w:p>
        </w:tc>
        <w:tc>
          <w:tcPr>
            <w:tcW w:w="110" w:type="dxa"/>
            <w:tcBorders/>
            <w:shd w:fill="auto" w:val="clear"/>
            <w:vAlign w:val="bottom"/>
          </w:tcPr>
          <w:p>
            <w:pPr>
              <w:pStyle w:val="TableContents"/>
              <w:spacing w:before="0" w:after="0"/>
              <w:rPr>
                <w:color w:val="000000"/>
              </w:rPr>
            </w:pPr>
            <w:r>
              <w:rPr>
                <w:color w:val="000000"/>
              </w:rPr>
              <w:t>)</w:t>
            </w:r>
          </w:p>
        </w:tc>
      </w:tr>
      <w:tr>
        <w:trPr/>
        <w:tc>
          <w:tcPr>
            <w:tcW w:w="113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11375" w:type="dxa"/>
            <w:tcBorders/>
            <w:shd w:fill="auto" w:val="clear"/>
            <w:vAlign w:val="bottom"/>
          </w:tcPr>
          <w:p>
            <w:pPr>
              <w:pStyle w:val="TableContents"/>
              <w:spacing w:before="0" w:after="0"/>
              <w:ind w:left="144" w:right="0" w:hanging="144"/>
              <w:rPr>
                <w:color w:val="000000"/>
              </w:rPr>
            </w:pPr>
            <w:r>
              <w:rPr>
                <w:color w:val="000000"/>
              </w:rPr>
              <w:t>Other income: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11375" w:type="dxa"/>
            <w:tcBorders/>
            <w:shd w:fill="CCEEFF" w:val="clear"/>
            <w:vAlign w:val="bottom"/>
          </w:tcPr>
          <w:p>
            <w:pPr>
              <w:pStyle w:val="TableContents"/>
              <w:spacing w:before="0" w:after="0"/>
              <w:ind w:left="324" w:right="0" w:hanging="144"/>
              <w:rPr>
                <w:color w:val="000000"/>
              </w:rPr>
            </w:pPr>
            <w:r>
              <w:rPr>
                <w:color w:val="000000"/>
              </w:rPr>
              <w:t>Net gain, dividends and interest on investments held in Trust Account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52,952</w:t>
            </w:r>
          </w:p>
        </w:tc>
        <w:tc>
          <w:tcPr>
            <w:tcW w:w="110" w:type="dxa"/>
            <w:tcBorders/>
            <w:shd w:fill="CCEEFF" w:val="clear"/>
            <w:vAlign w:val="bottom"/>
          </w:tcPr>
          <w:p>
            <w:pPr>
              <w:pStyle w:val="TableContents"/>
              <w:spacing w:before="0" w:after="283"/>
              <w:rPr/>
            </w:pPr>
            <w:r>
              <w:rPr/>
              <w:t> </w:t>
            </w:r>
          </w:p>
        </w:tc>
      </w:tr>
      <w:tr>
        <w:trPr/>
        <w:tc>
          <w:tcPr>
            <w:tcW w:w="11375" w:type="dxa"/>
            <w:tcBorders/>
            <w:shd w:fill="auto" w:val="clear"/>
            <w:vAlign w:val="bottom"/>
          </w:tcPr>
          <w:p>
            <w:pPr>
              <w:pStyle w:val="TableContents"/>
              <w:spacing w:before="0" w:after="0"/>
              <w:ind w:left="144" w:right="0" w:hanging="144"/>
              <w:rPr>
                <w:b/>
                <w:color w:val="000000"/>
              </w:rPr>
            </w:pPr>
            <w:r>
              <w:rPr>
                <w:b/>
                <w:color w:val="000000"/>
              </w:rPr>
              <w:t>Net loss</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b/>
                <w:color w:val="000000"/>
              </w:rPr>
            </w:pPr>
            <w:r>
              <w:rPr>
                <w:b/>
                <w:color w:val="000000"/>
              </w:rPr>
              <w:t>$</w:t>
            </w:r>
          </w:p>
        </w:tc>
        <w:tc>
          <w:tcPr>
            <w:tcW w:w="1100"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(523,083</w:t>
            </w:r>
          </w:p>
        </w:tc>
        <w:tc>
          <w:tcPr>
            <w:tcW w:w="110" w:type="dxa"/>
            <w:tcBorders/>
            <w:shd w:fill="auto" w:val="clear"/>
            <w:vAlign w:val="bottom"/>
          </w:tcPr>
          <w:p>
            <w:pPr>
              <w:pStyle w:val="TableContents"/>
              <w:spacing w:before="0" w:after="0"/>
              <w:rPr>
                <w:b/>
                <w:color w:val="000000"/>
              </w:rPr>
            </w:pPr>
            <w:r>
              <w:rPr>
                <w:b/>
                <w:color w:val="000000"/>
              </w:rPr>
              <w:t>)</w:t>
            </w:r>
          </w:p>
        </w:tc>
      </w:tr>
      <w:tr>
        <w:trPr/>
        <w:tc>
          <w:tcPr>
            <w:tcW w:w="113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11375" w:type="dxa"/>
            <w:tcBorders/>
            <w:shd w:fill="auto" w:val="clear"/>
            <w:vAlign w:val="bottom"/>
          </w:tcPr>
          <w:p>
            <w:pPr>
              <w:pStyle w:val="TableContents"/>
              <w:spacing w:before="0" w:after="0"/>
              <w:ind w:left="144" w:right="0" w:hanging="144"/>
              <w:rPr>
                <w:b/>
                <w:color w:val="000000"/>
              </w:rPr>
            </w:pPr>
            <w:r>
              <w:rPr>
                <w:b/>
                <w:color w:val="000000"/>
              </w:rPr>
              <w:t>Basic and diluted weighted average shares outstanding of Class A ordinary shares subject to redemption</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rPr/>
            </w:pPr>
            <w:r>
              <w:rPr/>
              <w:t> </w:t>
            </w:r>
          </w:p>
        </w:tc>
        <w:tc>
          <w:tcPr>
            <w:tcW w:w="11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14,950,000</w:t>
            </w:r>
          </w:p>
        </w:tc>
        <w:tc>
          <w:tcPr>
            <w:tcW w:w="110" w:type="dxa"/>
            <w:tcBorders/>
            <w:shd w:fill="auto" w:val="clear"/>
            <w:vAlign w:val="bottom"/>
          </w:tcPr>
          <w:p>
            <w:pPr>
              <w:pStyle w:val="TableContents"/>
              <w:spacing w:before="0" w:after="283"/>
              <w:rPr/>
            </w:pPr>
            <w:r>
              <w:rPr/>
              <w:t> </w:t>
            </w:r>
          </w:p>
        </w:tc>
      </w:tr>
      <w:tr>
        <w:trPr/>
        <w:tc>
          <w:tcPr>
            <w:tcW w:w="11375" w:type="dxa"/>
            <w:tcBorders/>
            <w:shd w:fill="CCEEFF" w:val="clear"/>
            <w:vAlign w:val="bottom"/>
          </w:tcPr>
          <w:p>
            <w:pPr>
              <w:pStyle w:val="TableContents"/>
              <w:spacing w:before="0" w:after="0"/>
              <w:ind w:left="144" w:right="0" w:hanging="144"/>
              <w:rPr>
                <w:b/>
                <w:color w:val="000000"/>
              </w:rPr>
            </w:pPr>
            <w:r>
              <w:rPr>
                <w:b/>
                <w:color w:val="000000"/>
              </w:rPr>
              <w:t>Basic and diluted net income per share, Class A ordinary share subject to redemption</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0.00</w:t>
            </w:r>
          </w:p>
        </w:tc>
        <w:tc>
          <w:tcPr>
            <w:tcW w:w="110" w:type="dxa"/>
            <w:tcBorders/>
            <w:shd w:fill="CCEEFF" w:val="clear"/>
            <w:vAlign w:val="bottom"/>
          </w:tcPr>
          <w:p>
            <w:pPr>
              <w:pStyle w:val="TableContents"/>
              <w:spacing w:before="0" w:after="283"/>
              <w:rPr/>
            </w:pPr>
            <w:r>
              <w:rPr/>
              <w:t> </w:t>
            </w:r>
          </w:p>
        </w:tc>
      </w:tr>
      <w:tr>
        <w:trPr/>
        <w:tc>
          <w:tcPr>
            <w:tcW w:w="11375" w:type="dxa"/>
            <w:tcBorders/>
            <w:shd w:fill="auto" w:val="clear"/>
            <w:vAlign w:val="bottom"/>
          </w:tcPr>
          <w:p>
            <w:pPr>
              <w:pStyle w:val="TableContents"/>
              <w:spacing w:before="0" w:after="0"/>
              <w:ind w:left="144" w:right="0" w:hanging="144"/>
              <w:rPr>
                <w:b/>
                <w:color w:val="000000"/>
              </w:rPr>
            </w:pPr>
            <w:r>
              <w:rPr>
                <w:b/>
                <w:color w:val="000000"/>
              </w:rPr>
              <w:t>Basic and diluted weighted average shares outstanding of Class A ordinary shares not subject to redemption and Class B ordinary shares</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rPr/>
            </w:pPr>
            <w:r>
              <w:rPr/>
              <w:t> </w:t>
            </w:r>
          </w:p>
        </w:tc>
        <w:tc>
          <w:tcPr>
            <w:tcW w:w="110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3,764,852</w:t>
            </w:r>
          </w:p>
        </w:tc>
        <w:tc>
          <w:tcPr>
            <w:tcW w:w="110" w:type="dxa"/>
            <w:tcBorders/>
            <w:shd w:fill="auto" w:val="clear"/>
            <w:vAlign w:val="bottom"/>
          </w:tcPr>
          <w:p>
            <w:pPr>
              <w:pStyle w:val="TableContents"/>
              <w:spacing w:before="0" w:after="283"/>
              <w:rPr/>
            </w:pPr>
            <w:r>
              <w:rPr/>
              <w:t> </w:t>
            </w:r>
          </w:p>
        </w:tc>
      </w:tr>
      <w:tr>
        <w:trPr/>
        <w:tc>
          <w:tcPr>
            <w:tcW w:w="11375" w:type="dxa"/>
            <w:tcBorders/>
            <w:shd w:fill="CCEEFF" w:val="clear"/>
            <w:vAlign w:val="bottom"/>
          </w:tcPr>
          <w:p>
            <w:pPr>
              <w:pStyle w:val="TableContents"/>
              <w:spacing w:before="0" w:after="0"/>
              <w:ind w:left="144" w:right="0" w:hanging="144"/>
              <w:rPr>
                <w:b/>
                <w:color w:val="000000"/>
              </w:rPr>
            </w:pPr>
            <w:r>
              <w:rPr>
                <w:b/>
                <w:color w:val="000000"/>
              </w:rPr>
              <w:t>Basic and diluted net loss per share, Class A ordinary shares subject to redemption and Class B ordinary shares</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(0.15</w:t>
            </w:r>
          </w:p>
        </w:tc>
        <w:tc>
          <w:tcPr>
            <w:tcW w:w="110"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center"/>
        <w:rPr/>
      </w:pPr>
      <w:r>
        <w:rPr/>
      </w:r>
    </w:p>
    <w:p>
      <w:pPr>
        <w:pStyle w:val="TextBody"/>
        <w:spacing w:before="0" w:after="0"/>
        <w:jc w:val="center"/>
        <w:rPr>
          <w:i/>
        </w:rPr>
      </w:pPr>
      <w:r>
        <w:rPr>
          <w:i/>
        </w:rPr>
        <w:t>The accompanying notes are an integral part of these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50" w:name="DSPFPageBreakArea77"/>
      <w:bookmarkStart w:id="951" w:name="DSPFPageBreakArea77"/>
      <w:bookmarkEnd w:id="9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952" w:name="DSPFPageNumber76"/>
      <w:bookmarkStart w:id="953" w:name="DSPFPageNumberArea75"/>
      <w:bookmarkEnd w:id="952"/>
      <w:bookmarkEnd w:id="953"/>
      <w:r>
        <w:rPr>
          <w:b w:val="false"/>
          <w:i w:val="false"/>
          <w:caps w:val="false"/>
          <w:smallCaps w:val="false"/>
          <w:color w:val="000000"/>
          <w:sz w:val="16"/>
        </w:rPr>
        <w:t>F-4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54" w:name="DSPFPageBreak77"/>
      <w:bookmarkStart w:id="955" w:name="DSPFPageBreak77"/>
      <w:bookmarkEnd w:id="9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956" w:name="DSPFPageHeader75"/>
        <w:bookmarkEnd w:id="956"/>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rPr>
      </w:pPr>
      <w:r>
        <w:rPr>
          <w:b/>
        </w:rPr>
        <w:t>ARYA SCIENCES ACQUISITION CORP III</w:t>
      </w:r>
    </w:p>
    <w:p>
      <w:pPr>
        <w:pStyle w:val="TextBody"/>
        <w:spacing w:before="0" w:after="0"/>
        <w:jc w:val="center"/>
        <w:rPr>
          <w:b/>
        </w:rPr>
      </w:pPr>
      <w:r>
        <w:rPr>
          <w:b/>
        </w:rPr>
        <w:t>STATEMENT OF CHANGES IN SHAREHOLDERS’ EQUITY</w:t>
      </w:r>
    </w:p>
    <w:p>
      <w:pPr>
        <w:pStyle w:val="TextBody"/>
        <w:spacing w:before="0" w:after="0"/>
        <w:jc w:val="center"/>
        <w:rPr>
          <w:b/>
          <w:color w:val="000000"/>
        </w:rPr>
      </w:pPr>
      <w:r>
        <w:rPr>
          <w:b/>
          <w:color w:val="000000"/>
        </w:rPr>
        <w:t>FOR THE PERIOD FROM MARCH 27, 2020 (INCEPTION) THROUGH DECEMBER 31, 2020</w:t>
      </w:r>
    </w:p>
    <w:p>
      <w:pPr>
        <w:pStyle w:val="TextBody"/>
        <w:spacing w:before="0" w:after="0"/>
        <w:jc w:val="center"/>
        <w:rPr>
          <w:b/>
          <w:color w:val="000000"/>
        </w:rPr>
      </w:pPr>
      <w:r>
        <w:rPr>
          <w:b/>
          <w:color w:val="000000"/>
        </w:rPr>
      </w:r>
    </w:p>
    <w:p>
      <w:pPr>
        <w:pStyle w:val="Normal"/>
        <w:spacing w:before="0" w:after="0"/>
        <w:rPr>
          <w:sz w:val="4"/>
          <w:szCs w:val="4"/>
        </w:rPr>
      </w:pPr>
      <w:r>
        <w:rPr>
          <w:sz w:val="4"/>
          <w:szCs w:val="4"/>
        </w:rPr>
      </w:r>
      <w:bookmarkStart w:id="957" w:name="z48a9b0b84c634e8f91baa5c96fd00eb3"/>
      <w:bookmarkStart w:id="958" w:name="z48a9b0b84c634e8f91baa5c96fd00eb3"/>
      <w:bookmarkEnd w:id="958"/>
    </w:p>
    <w:tbl>
      <w:tblPr>
        <w:tblW w:w="13740" w:type="dxa"/>
        <w:jc w:val="left"/>
        <w:tblInd w:w="0" w:type="dxa"/>
        <w:tblCellMar>
          <w:top w:w="0" w:type="dxa"/>
          <w:left w:w="0" w:type="dxa"/>
          <w:bottom w:w="0" w:type="dxa"/>
          <w:right w:w="0" w:type="dxa"/>
        </w:tblCellMar>
      </w:tblPr>
      <w:tblGrid>
        <w:gridCol w:w="4475"/>
        <w:gridCol w:w="60"/>
        <w:gridCol w:w="60"/>
        <w:gridCol w:w="1175"/>
        <w:gridCol w:w="95"/>
        <w:gridCol w:w="60"/>
        <w:gridCol w:w="155"/>
        <w:gridCol w:w="705"/>
        <w:gridCol w:w="95"/>
        <w:gridCol w:w="60"/>
        <w:gridCol w:w="60"/>
        <w:gridCol w:w="980"/>
        <w:gridCol w:w="60"/>
        <w:gridCol w:w="60"/>
        <w:gridCol w:w="231"/>
        <w:gridCol w:w="629"/>
        <w:gridCol w:w="60"/>
        <w:gridCol w:w="60"/>
        <w:gridCol w:w="140"/>
        <w:gridCol w:w="1295"/>
        <w:gridCol w:w="95"/>
        <w:gridCol w:w="60"/>
        <w:gridCol w:w="188"/>
        <w:gridCol w:w="1182"/>
        <w:gridCol w:w="95"/>
        <w:gridCol w:w="60"/>
        <w:gridCol w:w="140"/>
        <w:gridCol w:w="1295"/>
        <w:gridCol w:w="110"/>
      </w:tblGrid>
      <w:tr>
        <w:trPr/>
        <w:tc>
          <w:tcPr>
            <w:tcW w:w="44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25" w:type="dxa"/>
            <w:gridSpan w:val="14"/>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Ordinary Shares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5" w:type="dxa"/>
            <w:gridSpan w:val="2"/>
            <w:tcBorders/>
            <w:shd w:fill="auto" w:val="clear"/>
            <w:vAlign w:val="bottom"/>
          </w:tcPr>
          <w:p>
            <w:pPr>
              <w:pStyle w:val="TableContents"/>
              <w:spacing w:before="0" w:after="0"/>
              <w:jc w:val="center"/>
              <w:rPr>
                <w:b/>
                <w:color w:val="000000"/>
              </w:rPr>
            </w:pPr>
            <w:r>
              <w:rPr>
                <w:b/>
                <w:color w:val="000000"/>
              </w:rPr>
              <w:t>Additional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5" w:type="dxa"/>
            <w:gridSpan w:val="2"/>
            <w:tcBorders/>
            <w:shd w:fill="auto" w:val="clear"/>
            <w:vAlign w:val="bottom"/>
          </w:tcPr>
          <w:p>
            <w:pPr>
              <w:pStyle w:val="TableContents"/>
              <w:spacing w:before="0" w:after="0"/>
              <w:jc w:val="center"/>
              <w:rPr>
                <w:b/>
                <w:color w:val="000000"/>
              </w:rPr>
            </w:pPr>
            <w:r>
              <w:rPr>
                <w:b/>
                <w:color w:val="000000"/>
              </w:rPr>
              <w:t>Total</w:t>
            </w:r>
          </w:p>
        </w:tc>
        <w:tc>
          <w:tcPr>
            <w:tcW w:w="110" w:type="dxa"/>
            <w:tcBorders/>
            <w:shd w:fill="auto" w:val="clear"/>
            <w:vAlign w:val="bottom"/>
          </w:tcPr>
          <w:p>
            <w:pPr>
              <w:pStyle w:val="TableContents"/>
              <w:spacing w:before="0" w:after="283"/>
              <w:rPr/>
            </w:pPr>
            <w:r>
              <w:rPr/>
              <w:t> </w:t>
            </w:r>
          </w:p>
        </w:tc>
      </w:tr>
      <w:tr>
        <w:trPr/>
        <w:tc>
          <w:tcPr>
            <w:tcW w:w="44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5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Class A</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Class B</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5" w:type="dxa"/>
            <w:gridSpan w:val="2"/>
            <w:tcBorders/>
            <w:shd w:fill="auto" w:val="clear"/>
            <w:vAlign w:val="bottom"/>
          </w:tcPr>
          <w:p>
            <w:pPr>
              <w:pStyle w:val="TableContents"/>
              <w:spacing w:before="0" w:after="0"/>
              <w:jc w:val="center"/>
              <w:rPr>
                <w:b/>
                <w:color w:val="000000"/>
              </w:rPr>
            </w:pPr>
            <w:r>
              <w:rPr>
                <w:b/>
                <w:color w:val="000000"/>
              </w:rPr>
              <w:t>Paid-in</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shd w:fill="auto" w:val="clear"/>
            <w:vAlign w:val="bottom"/>
          </w:tcPr>
          <w:p>
            <w:pPr>
              <w:pStyle w:val="TableContents"/>
              <w:spacing w:before="0" w:after="0"/>
              <w:jc w:val="center"/>
              <w:rPr>
                <w:b/>
                <w:color w:val="000000"/>
              </w:rPr>
            </w:pPr>
            <w:r>
              <w:rPr>
                <w:b/>
                <w:color w:val="000000"/>
              </w:rPr>
              <w:t>Accumulated</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5" w:type="dxa"/>
            <w:gridSpan w:val="2"/>
            <w:tcBorders/>
            <w:shd w:fill="auto" w:val="clear"/>
            <w:vAlign w:val="bottom"/>
          </w:tcPr>
          <w:p>
            <w:pPr>
              <w:pStyle w:val="TableContents"/>
              <w:spacing w:before="0" w:after="0"/>
              <w:jc w:val="center"/>
              <w:rPr>
                <w:b/>
                <w:color w:val="000000"/>
              </w:rPr>
            </w:pPr>
            <w:r>
              <w:rPr>
                <w:b/>
                <w:color w:val="000000"/>
              </w:rPr>
              <w:t>Shareholders'</w:t>
            </w:r>
          </w:p>
        </w:tc>
        <w:tc>
          <w:tcPr>
            <w:tcW w:w="110" w:type="dxa"/>
            <w:tcBorders/>
            <w:shd w:fill="auto" w:val="clear"/>
            <w:vAlign w:val="bottom"/>
          </w:tcPr>
          <w:p>
            <w:pPr>
              <w:pStyle w:val="TableContents"/>
              <w:spacing w:before="0" w:after="283"/>
              <w:rPr/>
            </w:pPr>
            <w:r>
              <w:rPr/>
              <w:t> </w:t>
            </w:r>
          </w:p>
        </w:tc>
      </w:tr>
      <w:tr>
        <w:trPr/>
        <w:tc>
          <w:tcPr>
            <w:tcW w:w="44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Shares</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Shares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Capital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Deficit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3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Equity</w:t>
            </w:r>
          </w:p>
        </w:tc>
        <w:tc>
          <w:tcPr>
            <w:tcW w:w="110" w:type="dxa"/>
            <w:tcBorders/>
            <w:shd w:fill="auto" w:val="clear"/>
            <w:vAlign w:val="bottom"/>
          </w:tcPr>
          <w:p>
            <w:pPr>
              <w:pStyle w:val="TableContents"/>
              <w:spacing w:before="0" w:after="283"/>
              <w:rPr/>
            </w:pPr>
            <w:r>
              <w:rPr/>
              <w:t> </w:t>
            </w:r>
          </w:p>
        </w:tc>
      </w:tr>
      <w:tr>
        <w:trPr/>
        <w:tc>
          <w:tcPr>
            <w:tcW w:w="4475" w:type="dxa"/>
            <w:tcBorders/>
            <w:shd w:fill="CCEEFF" w:val="clear"/>
            <w:vAlign w:val="bottom"/>
          </w:tcPr>
          <w:p>
            <w:pPr>
              <w:pStyle w:val="TableContents"/>
              <w:spacing w:before="0" w:after="0"/>
              <w:ind w:left="144" w:right="0" w:hanging="144"/>
              <w:rPr>
                <w:b/>
                <w:color w:val="000000"/>
              </w:rPr>
            </w:pPr>
            <w:r>
              <w:rPr>
                <w:b/>
                <w:color w:val="000000"/>
              </w:rPr>
              <w:t>Balance - March 27, 2020 (inception)</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0"/>
              <w:jc w:val="right"/>
              <w:rPr>
                <w:b/>
                <w:color w:val="000000"/>
              </w:rPr>
            </w:pPr>
            <w:r>
              <w:rPr>
                <w:b/>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0"/>
              <w:rPr>
                <w:b/>
                <w:color w:val="000000"/>
              </w:rPr>
            </w:pPr>
            <w:r>
              <w:rPr>
                <w:b/>
                <w:color w:val="000000"/>
              </w:rPr>
              <w:t>$</w:t>
            </w:r>
          </w:p>
        </w:tc>
        <w:tc>
          <w:tcPr>
            <w:tcW w:w="705" w:type="dxa"/>
            <w:tcBorders/>
            <w:shd w:fill="CCEEFF" w:val="clear"/>
            <w:vAlign w:val="bottom"/>
          </w:tcPr>
          <w:p>
            <w:pPr>
              <w:pStyle w:val="TableContents"/>
              <w:spacing w:before="0" w:after="0"/>
              <w:jc w:val="right"/>
              <w:rPr>
                <w:b/>
                <w:color w:val="000000"/>
              </w:rPr>
            </w:pPr>
            <w:r>
              <w:rPr>
                <w:b/>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b/>
                <w:color w:val="000000"/>
              </w:rPr>
            </w:pPr>
            <w:r>
              <w:rPr>
                <w:b/>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0"/>
              <w:rPr>
                <w:b/>
                <w:color w:val="000000"/>
              </w:rPr>
            </w:pPr>
            <w:r>
              <w:rPr>
                <w:b/>
                <w:color w:val="000000"/>
              </w:rPr>
              <w:t>$</w:t>
            </w:r>
          </w:p>
        </w:tc>
        <w:tc>
          <w:tcPr>
            <w:tcW w:w="629" w:type="dxa"/>
            <w:tcBorders/>
            <w:shd w:fill="CCEEFF" w:val="clear"/>
            <w:vAlign w:val="bottom"/>
          </w:tcPr>
          <w:p>
            <w:pPr>
              <w:pStyle w:val="TableContents"/>
              <w:spacing w:before="0" w:after="0"/>
              <w:jc w:val="right"/>
              <w:rPr>
                <w:b/>
                <w:color w:val="000000"/>
              </w:rPr>
            </w:pPr>
            <w:r>
              <w:rPr>
                <w:b/>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b/>
                <w:color w:val="000000"/>
              </w:rPr>
            </w:pPr>
            <w:r>
              <w:rPr>
                <w:b/>
                <w:color w:val="000000"/>
              </w:rPr>
              <w:t>$</w:t>
            </w:r>
          </w:p>
        </w:tc>
        <w:tc>
          <w:tcPr>
            <w:tcW w:w="1295" w:type="dxa"/>
            <w:tcBorders/>
            <w:shd w:fill="CCEEFF" w:val="clear"/>
            <w:vAlign w:val="bottom"/>
          </w:tcPr>
          <w:p>
            <w:pPr>
              <w:pStyle w:val="TableContents"/>
              <w:spacing w:before="0" w:after="0"/>
              <w:jc w:val="right"/>
              <w:rPr>
                <w:b/>
                <w:color w:val="000000"/>
              </w:rPr>
            </w:pPr>
            <w:r>
              <w:rPr>
                <w:b/>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0"/>
              <w:rPr>
                <w:b/>
                <w:color w:val="000000"/>
              </w:rPr>
            </w:pPr>
            <w:r>
              <w:rPr>
                <w:b/>
                <w:color w:val="000000"/>
              </w:rPr>
              <w:t>$</w:t>
            </w:r>
          </w:p>
        </w:tc>
        <w:tc>
          <w:tcPr>
            <w:tcW w:w="1182" w:type="dxa"/>
            <w:tcBorders/>
            <w:shd w:fill="CCEEFF" w:val="clear"/>
            <w:vAlign w:val="bottom"/>
          </w:tcPr>
          <w:p>
            <w:pPr>
              <w:pStyle w:val="TableContents"/>
              <w:spacing w:before="0" w:after="0"/>
              <w:jc w:val="right"/>
              <w:rPr>
                <w:b/>
                <w:color w:val="000000"/>
              </w:rPr>
            </w:pPr>
            <w:r>
              <w:rPr>
                <w:b/>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b/>
                <w:color w:val="000000"/>
              </w:rPr>
            </w:pPr>
            <w:r>
              <w:rPr>
                <w:b/>
                <w:color w:val="000000"/>
              </w:rPr>
              <w:t>$</w:t>
            </w:r>
          </w:p>
        </w:tc>
        <w:tc>
          <w:tcPr>
            <w:tcW w:w="1295" w:type="dxa"/>
            <w:tcBorders/>
            <w:shd w:fill="CCEEFF" w:val="clear"/>
            <w:vAlign w:val="bottom"/>
          </w:tcPr>
          <w:p>
            <w:pPr>
              <w:pStyle w:val="TableContents"/>
              <w:spacing w:before="0" w:after="0"/>
              <w:jc w:val="right"/>
              <w:rPr>
                <w:b/>
                <w:color w:val="000000"/>
              </w:rPr>
            </w:pPr>
            <w:r>
              <w:rPr>
                <w:b/>
                <w:color w:val="000000"/>
              </w:rPr>
              <w:t>-</w:t>
            </w:r>
          </w:p>
        </w:tc>
        <w:tc>
          <w:tcPr>
            <w:tcW w:w="110" w:type="dxa"/>
            <w:tcBorders/>
            <w:shd w:fill="CCEEFF" w:val="clear"/>
            <w:vAlign w:val="bottom"/>
          </w:tcPr>
          <w:p>
            <w:pPr>
              <w:pStyle w:val="TableContents"/>
              <w:spacing w:before="0" w:after="283"/>
              <w:rPr/>
            </w:pPr>
            <w:r>
              <w:rPr/>
              <w:t> </w:t>
            </w:r>
          </w:p>
        </w:tc>
      </w:tr>
      <w:tr>
        <w:trPr/>
        <w:tc>
          <w:tcPr>
            <w:tcW w:w="4475" w:type="dxa"/>
            <w:tcBorders/>
            <w:shd w:fill="auto" w:val="clear"/>
            <w:vAlign w:val="bottom"/>
          </w:tcPr>
          <w:p>
            <w:pPr>
              <w:pStyle w:val="TableContents"/>
              <w:spacing w:before="0" w:after="0"/>
              <w:ind w:left="144" w:right="0" w:hanging="144"/>
              <w:rPr>
                <w:color w:val="000000"/>
              </w:rPr>
            </w:pPr>
            <w:r>
              <w:rPr>
                <w:color w:val="000000"/>
              </w:rPr>
              <w:t>Issuance of Class B ordinary shares to Sponsor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3,737,500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0"/>
              <w:jc w:val="right"/>
              <w:rPr>
                <w:color w:val="000000"/>
              </w:rPr>
            </w:pPr>
            <w:r>
              <w:rPr>
                <w:color w:val="000000"/>
              </w:rPr>
              <w:t>374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0"/>
              <w:jc w:val="right"/>
              <w:rPr>
                <w:color w:val="000000"/>
              </w:rPr>
            </w:pPr>
            <w:r>
              <w:rPr>
                <w:color w:val="000000"/>
              </w:rPr>
              <w:t>24,626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0"/>
              <w:jc w:val="right"/>
              <w:rPr>
                <w:color w:val="000000"/>
              </w:rPr>
            </w:pPr>
            <w:r>
              <w:rPr>
                <w:color w:val="000000"/>
              </w:rPr>
              <w:t>25,000</w:t>
            </w:r>
          </w:p>
        </w:tc>
        <w:tc>
          <w:tcPr>
            <w:tcW w:w="110" w:type="dxa"/>
            <w:tcBorders/>
            <w:shd w:fill="auto" w:val="clear"/>
            <w:vAlign w:val="bottom"/>
          </w:tcPr>
          <w:p>
            <w:pPr>
              <w:pStyle w:val="TableContents"/>
              <w:spacing w:before="0" w:after="283"/>
              <w:rPr/>
            </w:pPr>
            <w:r>
              <w:rPr/>
              <w:t> </w:t>
            </w:r>
          </w:p>
        </w:tc>
      </w:tr>
      <w:tr>
        <w:trPr/>
        <w:tc>
          <w:tcPr>
            <w:tcW w:w="4475" w:type="dxa"/>
            <w:tcBorders/>
            <w:shd w:fill="CCEEFF" w:val="clear"/>
            <w:vAlign w:val="bottom"/>
          </w:tcPr>
          <w:p>
            <w:pPr>
              <w:pStyle w:val="TableContents"/>
              <w:spacing w:before="0" w:after="0"/>
              <w:ind w:left="144" w:right="0" w:hanging="144"/>
              <w:rPr>
                <w:color w:val="000000"/>
              </w:rPr>
            </w:pPr>
            <w:r>
              <w:rPr>
                <w:color w:val="000000"/>
              </w:rPr>
              <w:t>Sale of units in initial public offering, gross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0"/>
              <w:jc w:val="right"/>
              <w:rPr>
                <w:color w:val="000000"/>
              </w:rPr>
            </w:pPr>
            <w:r>
              <w:rPr>
                <w:color w:val="000000"/>
              </w:rPr>
              <w:t>14,950,000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0"/>
              <w:jc w:val="right"/>
              <w:rPr>
                <w:color w:val="000000"/>
              </w:rPr>
            </w:pPr>
            <w:r>
              <w:rPr>
                <w:color w:val="000000"/>
              </w:rPr>
              <w:t>1,495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0"/>
              <w:jc w:val="right"/>
              <w:rPr>
                <w:color w:val="000000"/>
              </w:rPr>
            </w:pPr>
            <w:r>
              <w:rPr>
                <w:color w:val="000000"/>
              </w:rPr>
              <w:t>149,498,505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0"/>
              <w:jc w:val="right"/>
              <w:rPr>
                <w:color w:val="000000"/>
              </w:rPr>
            </w:pPr>
            <w:r>
              <w:rPr>
                <w:color w:val="000000"/>
              </w:rPr>
              <w:t>149,500,000</w:t>
            </w:r>
          </w:p>
        </w:tc>
        <w:tc>
          <w:tcPr>
            <w:tcW w:w="110" w:type="dxa"/>
            <w:tcBorders/>
            <w:shd w:fill="CCEEFF" w:val="clear"/>
            <w:vAlign w:val="bottom"/>
          </w:tcPr>
          <w:p>
            <w:pPr>
              <w:pStyle w:val="TableContents"/>
              <w:spacing w:before="0" w:after="283"/>
              <w:rPr/>
            </w:pPr>
            <w:r>
              <w:rPr/>
              <w:t> </w:t>
            </w:r>
          </w:p>
        </w:tc>
      </w:tr>
      <w:tr>
        <w:trPr/>
        <w:tc>
          <w:tcPr>
            <w:tcW w:w="4475" w:type="dxa"/>
            <w:tcBorders/>
            <w:shd w:fill="auto" w:val="clear"/>
            <w:vAlign w:val="bottom"/>
          </w:tcPr>
          <w:p>
            <w:pPr>
              <w:pStyle w:val="TableContents"/>
              <w:spacing w:before="0" w:after="0"/>
              <w:ind w:left="144" w:right="0" w:hanging="144"/>
              <w:rPr>
                <w:color w:val="000000"/>
              </w:rPr>
            </w:pPr>
            <w:r>
              <w:rPr>
                <w:color w:val="000000"/>
              </w:rPr>
              <w:t>Offering costs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0"/>
              <w:jc w:val="right"/>
              <w:rPr>
                <w:color w:val="000000"/>
              </w:rPr>
            </w:pPr>
            <w:r>
              <w:rPr>
                <w:color w:val="000000"/>
              </w:rPr>
              <w:t>(8,755,181</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0"/>
              <w:jc w:val="right"/>
              <w:rPr>
                <w:color w:val="000000"/>
              </w:rPr>
            </w:pPr>
            <w:r>
              <w:rPr>
                <w:color w:val="000000"/>
              </w:rPr>
              <w:t>(8,755,181</w:t>
            </w:r>
          </w:p>
        </w:tc>
        <w:tc>
          <w:tcPr>
            <w:tcW w:w="110" w:type="dxa"/>
            <w:tcBorders/>
            <w:shd w:fill="auto" w:val="clear"/>
            <w:vAlign w:val="bottom"/>
          </w:tcPr>
          <w:p>
            <w:pPr>
              <w:pStyle w:val="TableContents"/>
              <w:spacing w:before="0" w:after="0"/>
              <w:rPr>
                <w:color w:val="000000"/>
              </w:rPr>
            </w:pPr>
            <w:r>
              <w:rPr>
                <w:color w:val="000000"/>
              </w:rPr>
              <w:t>)</w:t>
            </w:r>
          </w:p>
        </w:tc>
      </w:tr>
      <w:tr>
        <w:trPr/>
        <w:tc>
          <w:tcPr>
            <w:tcW w:w="4475" w:type="dxa"/>
            <w:tcBorders/>
            <w:shd w:fill="CCEEFF" w:val="clear"/>
            <w:vAlign w:val="bottom"/>
          </w:tcPr>
          <w:p>
            <w:pPr>
              <w:pStyle w:val="TableContents"/>
              <w:spacing w:before="0" w:after="0"/>
              <w:ind w:left="144" w:right="0" w:hanging="144"/>
              <w:rPr>
                <w:color w:val="000000"/>
              </w:rPr>
            </w:pPr>
            <w:r>
              <w:rPr>
                <w:color w:val="000000"/>
              </w:rPr>
              <w:t>Sale of private placement units to Sponsor in private placement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75" w:type="dxa"/>
            <w:tcBorders/>
            <w:shd w:fill="CCEEFF" w:val="clear"/>
            <w:vAlign w:val="bottom"/>
          </w:tcPr>
          <w:p>
            <w:pPr>
              <w:pStyle w:val="TableContents"/>
              <w:spacing w:before="0" w:after="0"/>
              <w:jc w:val="right"/>
              <w:rPr>
                <w:color w:val="000000"/>
              </w:rPr>
            </w:pPr>
            <w:r>
              <w:rPr>
                <w:color w:val="000000"/>
              </w:rPr>
              <w:t>499,000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05" w:type="dxa"/>
            <w:tcBorders/>
            <w:shd w:fill="CCEEFF" w:val="clear"/>
            <w:vAlign w:val="bottom"/>
          </w:tcPr>
          <w:p>
            <w:pPr>
              <w:pStyle w:val="TableContents"/>
              <w:spacing w:before="0" w:after="0"/>
              <w:jc w:val="right"/>
              <w:rPr>
                <w:color w:val="000000"/>
              </w:rPr>
            </w:pPr>
            <w:r>
              <w:rPr>
                <w:color w:val="000000"/>
              </w:rPr>
              <w:t>50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629"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0"/>
              <w:jc w:val="right"/>
              <w:rPr>
                <w:color w:val="000000"/>
              </w:rPr>
            </w:pPr>
            <w:r>
              <w:rPr>
                <w:color w:val="000000"/>
              </w:rPr>
              <w:t>4,989,950</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8" w:type="dxa"/>
            <w:tcBorders/>
            <w:shd w:fill="CCEEFF" w:val="clear"/>
            <w:vAlign w:val="bottom"/>
          </w:tcPr>
          <w:p>
            <w:pPr>
              <w:pStyle w:val="TableContents"/>
              <w:spacing w:before="0" w:after="283"/>
              <w:rPr/>
            </w:pPr>
            <w:r>
              <w:rPr/>
              <w:t> </w:t>
            </w:r>
          </w:p>
        </w:tc>
        <w:tc>
          <w:tcPr>
            <w:tcW w:w="1182" w:type="dxa"/>
            <w:tcBorders/>
            <w:shd w:fill="CCEEFF" w:val="cle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0"/>
              <w:jc w:val="right"/>
              <w:rPr>
                <w:color w:val="000000"/>
              </w:rPr>
            </w:pPr>
            <w:r>
              <w:rPr>
                <w:color w:val="000000"/>
              </w:rPr>
              <w:t>4,990,000</w:t>
            </w:r>
          </w:p>
        </w:tc>
        <w:tc>
          <w:tcPr>
            <w:tcW w:w="110" w:type="dxa"/>
            <w:tcBorders/>
            <w:shd w:fill="CCEEFF" w:val="clear"/>
            <w:vAlign w:val="bottom"/>
          </w:tcPr>
          <w:p>
            <w:pPr>
              <w:pStyle w:val="TableContents"/>
              <w:spacing w:before="0" w:after="283"/>
              <w:rPr/>
            </w:pPr>
            <w:r>
              <w:rPr/>
              <w:t> </w:t>
            </w:r>
          </w:p>
        </w:tc>
      </w:tr>
      <w:tr>
        <w:trPr/>
        <w:tc>
          <w:tcPr>
            <w:tcW w:w="4475" w:type="dxa"/>
            <w:tcBorders/>
            <w:shd w:fill="auto" w:val="clear"/>
            <w:vAlign w:val="bottom"/>
          </w:tcPr>
          <w:p>
            <w:pPr>
              <w:pStyle w:val="TableContents"/>
              <w:spacing w:before="0" w:after="0"/>
              <w:ind w:left="144" w:right="0" w:hanging="144"/>
              <w:rPr>
                <w:color w:val="000000"/>
              </w:rPr>
            </w:pPr>
            <w:r>
              <w:rPr>
                <w:color w:val="000000"/>
              </w:rPr>
              <w:t>Shares subject to possible redemption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0"/>
              <w:jc w:val="right"/>
              <w:rPr>
                <w:color w:val="000000"/>
              </w:rPr>
            </w:pPr>
            <w:r>
              <w:rPr>
                <w:color w:val="000000"/>
              </w:rPr>
              <w:t>(14,023,673</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0"/>
              <w:jc w:val="right"/>
              <w:rPr>
                <w:color w:val="000000"/>
              </w:rPr>
            </w:pPr>
            <w:r>
              <w:rPr>
                <w:color w:val="000000"/>
              </w:rPr>
              <w:t>(1,402</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62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0"/>
              <w:jc w:val="right"/>
              <w:rPr>
                <w:color w:val="000000"/>
              </w:rPr>
            </w:pPr>
            <w:r>
              <w:rPr>
                <w:color w:val="000000"/>
              </w:rPr>
              <w:t>(140,235,328</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88" w:type="dxa"/>
            <w:tcBorders/>
            <w:shd w:fill="auto" w:val="clear"/>
            <w:vAlign w:val="bottom"/>
          </w:tcPr>
          <w:p>
            <w:pPr>
              <w:pStyle w:val="TableContents"/>
              <w:spacing w:before="0" w:after="283"/>
              <w:rPr/>
            </w:pPr>
            <w:r>
              <w:rPr/>
              <w:t> </w:t>
            </w:r>
          </w:p>
        </w:tc>
        <w:tc>
          <w:tcPr>
            <w:tcW w:w="1182" w:type="dxa"/>
            <w:tcBorders/>
            <w:shd w:fill="auto" w:val="clear"/>
            <w:vAlign w:val="bottom"/>
          </w:tcPr>
          <w:p>
            <w:pPr>
              <w:pStyle w:val="TableContents"/>
              <w:spacing w:before="0" w:after="0"/>
              <w:jc w:val="right"/>
              <w:rPr>
                <w:color w:val="000000"/>
              </w:rPr>
            </w:pPr>
            <w:r>
              <w:rPr>
                <w:color w:val="000000"/>
              </w:rPr>
              <w:t>-</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0"/>
              <w:jc w:val="right"/>
              <w:rPr>
                <w:color w:val="000000"/>
              </w:rPr>
            </w:pPr>
            <w:r>
              <w:rPr>
                <w:color w:val="000000"/>
              </w:rPr>
              <w:t>(140,236,730</w:t>
            </w:r>
          </w:p>
        </w:tc>
        <w:tc>
          <w:tcPr>
            <w:tcW w:w="110" w:type="dxa"/>
            <w:tcBorders/>
            <w:shd w:fill="auto" w:val="clear"/>
            <w:vAlign w:val="bottom"/>
          </w:tcPr>
          <w:p>
            <w:pPr>
              <w:pStyle w:val="TableContents"/>
              <w:spacing w:before="0" w:after="0"/>
              <w:rPr>
                <w:color w:val="000000"/>
              </w:rPr>
            </w:pPr>
            <w:r>
              <w:rPr>
                <w:color w:val="000000"/>
              </w:rPr>
              <w:t>)</w:t>
            </w:r>
          </w:p>
        </w:tc>
      </w:tr>
      <w:tr>
        <w:trPr/>
        <w:tc>
          <w:tcPr>
            <w:tcW w:w="4475" w:type="dxa"/>
            <w:tcBorders/>
            <w:shd w:fill="CCEEFF" w:val="clear"/>
            <w:vAlign w:val="bottom"/>
          </w:tcPr>
          <w:p>
            <w:pPr>
              <w:pStyle w:val="TableContents"/>
              <w:spacing w:before="0" w:after="0"/>
              <w:ind w:left="144" w:right="0" w:hanging="144"/>
              <w:rPr>
                <w:color w:val="000000"/>
              </w:rPr>
            </w:pPr>
            <w:r>
              <w:rPr>
                <w:color w:val="000000"/>
              </w:rPr>
              <w:t>Net loss</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7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0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29"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9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182"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(523,083</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9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(523,083</w:t>
            </w:r>
          </w:p>
        </w:tc>
        <w:tc>
          <w:tcPr>
            <w:tcW w:w="110" w:type="dxa"/>
            <w:tcBorders/>
            <w:shd w:fill="CCEEFF" w:val="clear"/>
            <w:vAlign w:val="bottom"/>
          </w:tcPr>
          <w:p>
            <w:pPr>
              <w:pStyle w:val="TableContents"/>
              <w:spacing w:before="0" w:after="0"/>
              <w:rPr>
                <w:color w:val="000000"/>
              </w:rPr>
            </w:pPr>
            <w:r>
              <w:rPr>
                <w:color w:val="000000"/>
              </w:rPr>
              <w:t>)</w:t>
            </w:r>
          </w:p>
        </w:tc>
      </w:tr>
      <w:tr>
        <w:trPr/>
        <w:tc>
          <w:tcPr>
            <w:tcW w:w="4475" w:type="dxa"/>
            <w:tcBorders/>
            <w:shd w:fill="auto" w:val="clear"/>
            <w:vAlign w:val="bottom"/>
          </w:tcPr>
          <w:p>
            <w:pPr>
              <w:pStyle w:val="TableContents"/>
              <w:spacing w:before="0" w:after="0"/>
              <w:ind w:left="144" w:right="0" w:hanging="144"/>
              <w:rPr>
                <w:b/>
                <w:color w:val="000000"/>
              </w:rPr>
            </w:pPr>
            <w:r>
              <w:rPr>
                <w:b/>
                <w:color w:val="000000"/>
              </w:rPr>
              <w:t>Balance - December 31, 2020</w:t>
            </w:r>
          </w:p>
        </w:tc>
        <w:tc>
          <w:tcPr>
            <w:tcW w:w="60" w:type="dxa"/>
            <w:tcBorders/>
            <w:shd w:fill="auto" w:val="clear"/>
            <w:vAlign w:val="bottom"/>
          </w:tcPr>
          <w:p>
            <w:pPr>
              <w:pStyle w:val="TableContents"/>
              <w:spacing w:before="0" w:after="283"/>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rPr/>
            </w:pPr>
            <w:r>
              <w:rPr/>
              <w:t> </w:t>
            </w:r>
          </w:p>
        </w:tc>
        <w:tc>
          <w:tcPr>
            <w:tcW w:w="1175"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1,425,327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5" w:type="dxa"/>
            <w:tcBorders>
              <w:bottom w:val="double" w:sz="8" w:space="0" w:color="000000"/>
            </w:tcBorders>
            <w:shd w:fill="auto" w:val="clear"/>
            <w:tcMar>
              <w:bottom w:w="28" w:type="dxa"/>
            </w:tcMar>
            <w:vAlign w:val="bottom"/>
          </w:tcPr>
          <w:p>
            <w:pPr>
              <w:pStyle w:val="TableContents"/>
              <w:spacing w:before="0" w:after="0"/>
              <w:rPr>
                <w:b/>
                <w:color w:val="000000"/>
              </w:rPr>
            </w:pPr>
            <w:r>
              <w:rPr>
                <w:b/>
                <w:color w:val="000000"/>
              </w:rPr>
              <w:t>$</w:t>
            </w:r>
          </w:p>
        </w:tc>
        <w:tc>
          <w:tcPr>
            <w:tcW w:w="705"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143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rPr/>
            </w:pPr>
            <w:r>
              <w:rPr/>
              <w:t> </w:t>
            </w:r>
          </w:p>
        </w:tc>
        <w:tc>
          <w:tcPr>
            <w:tcW w:w="980"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3,737,500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1" w:type="dxa"/>
            <w:tcBorders>
              <w:bottom w:val="double" w:sz="8" w:space="0" w:color="000000"/>
            </w:tcBorders>
            <w:shd w:fill="auto" w:val="clear"/>
            <w:tcMar>
              <w:bottom w:w="28" w:type="dxa"/>
            </w:tcMar>
            <w:vAlign w:val="bottom"/>
          </w:tcPr>
          <w:p>
            <w:pPr>
              <w:pStyle w:val="TableContents"/>
              <w:spacing w:before="0" w:after="0"/>
              <w:rPr>
                <w:b/>
                <w:color w:val="000000"/>
              </w:rPr>
            </w:pPr>
            <w:r>
              <w:rPr>
                <w:b/>
                <w:color w:val="000000"/>
              </w:rPr>
              <w:t>$</w:t>
            </w:r>
          </w:p>
        </w:tc>
        <w:tc>
          <w:tcPr>
            <w:tcW w:w="629"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374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b/>
                <w:color w:val="000000"/>
              </w:rPr>
            </w:pPr>
            <w:r>
              <w:rPr>
                <w:b/>
                <w:color w:val="000000"/>
              </w:rPr>
              <w:t>$</w:t>
            </w:r>
          </w:p>
        </w:tc>
        <w:tc>
          <w:tcPr>
            <w:tcW w:w="1295"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5,522,572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 w:type="dxa"/>
            <w:tcBorders>
              <w:bottom w:val="double" w:sz="8" w:space="0" w:color="000000"/>
            </w:tcBorders>
            <w:shd w:fill="auto" w:val="clear"/>
            <w:tcMar>
              <w:bottom w:w="28" w:type="dxa"/>
            </w:tcMar>
            <w:vAlign w:val="bottom"/>
          </w:tcPr>
          <w:p>
            <w:pPr>
              <w:pStyle w:val="TableContents"/>
              <w:spacing w:before="0" w:after="0"/>
              <w:rPr>
                <w:b/>
                <w:color w:val="000000"/>
              </w:rPr>
            </w:pPr>
            <w:r>
              <w:rPr>
                <w:b/>
                <w:color w:val="000000"/>
              </w:rPr>
              <w:t>$</w:t>
            </w:r>
          </w:p>
        </w:tc>
        <w:tc>
          <w:tcPr>
            <w:tcW w:w="1182"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(523,083</w:t>
            </w:r>
          </w:p>
        </w:tc>
        <w:tc>
          <w:tcPr>
            <w:tcW w:w="95" w:type="dxa"/>
            <w:tcBorders/>
            <w:shd w:fill="auto" w:val="clear"/>
            <w:vAlign w:val="bottom"/>
          </w:tcPr>
          <w:p>
            <w:pPr>
              <w:pStyle w:val="TableContents"/>
              <w:spacing w:before="0" w:after="0"/>
              <w:rPr>
                <w:b/>
                <w:color w:val="000000"/>
              </w:rPr>
            </w:pPr>
            <w:r>
              <w:rPr>
                <w:b/>
                <w:color w:val="000000"/>
              </w:rPr>
              <w:t>)</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b/>
                <w:color w:val="000000"/>
              </w:rPr>
            </w:pPr>
            <w:r>
              <w:rPr>
                <w:b/>
                <w:color w:val="000000"/>
              </w:rPr>
              <w:t>$</w:t>
            </w:r>
          </w:p>
        </w:tc>
        <w:tc>
          <w:tcPr>
            <w:tcW w:w="1295" w:type="dxa"/>
            <w:tcBorders>
              <w:bottom w:val="double" w:sz="8" w:space="0" w:color="000000"/>
            </w:tcBorders>
            <w:shd w:fill="auto" w:val="clear"/>
            <w:tcMar>
              <w:bottom w:w="28" w:type="dxa"/>
            </w:tcMar>
            <w:vAlign w:val="bottom"/>
          </w:tcPr>
          <w:p>
            <w:pPr>
              <w:pStyle w:val="TableContents"/>
              <w:spacing w:before="0" w:after="0"/>
              <w:jc w:val="right"/>
              <w:rPr>
                <w:b/>
                <w:color w:val="000000"/>
              </w:rPr>
            </w:pPr>
            <w:r>
              <w:rPr>
                <w:b/>
                <w:color w:val="000000"/>
              </w:rPr>
              <w:t>5,000,006</w:t>
            </w:r>
          </w:p>
        </w:tc>
        <w:tc>
          <w:tcPr>
            <w:tcW w:w="110" w:type="dxa"/>
            <w:tcBorders/>
            <w:shd w:fill="auto" w:val="clear"/>
            <w:vAlign w:val="bottom"/>
          </w:tcPr>
          <w:p>
            <w:pPr>
              <w:pStyle w:val="TableContents"/>
              <w:spacing w:before="0" w:after="283"/>
              <w:rPr/>
            </w:pPr>
            <w:r>
              <w:rPr/>
              <w:t> </w:t>
            </w:r>
          </w:p>
        </w:tc>
      </w:tr>
    </w:tbl>
    <w:p>
      <w:pPr>
        <w:pStyle w:val="TextBody"/>
        <w:spacing w:before="0" w:after="0"/>
        <w:jc w:val="center"/>
        <w:rPr>
          <w:i/>
        </w:rPr>
      </w:pPr>
      <w:r>
        <w:rPr>
          <w:i/>
        </w:rPr>
        <w:br/>
        <w:t>The accompanying notes are an integral part of these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59" w:name="DSPFPageBreakArea78"/>
      <w:bookmarkStart w:id="960" w:name="DSPFPageBreakArea78"/>
      <w:bookmarkEnd w:id="9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961" w:name="DSPFPageNumber77"/>
      <w:bookmarkStart w:id="962" w:name="DSPFPageNumberArea76"/>
      <w:bookmarkEnd w:id="961"/>
      <w:bookmarkEnd w:id="962"/>
      <w:r>
        <w:rPr>
          <w:b w:val="false"/>
          <w:i w:val="false"/>
          <w:caps w:val="false"/>
          <w:smallCaps w:val="false"/>
          <w:color w:val="000000"/>
          <w:sz w:val="16"/>
        </w:rPr>
        <w:t>F-5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63" w:name="DSPFPageBreak78"/>
      <w:bookmarkStart w:id="964" w:name="DSPFPageBreak78"/>
      <w:bookmarkEnd w:id="9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965" w:name="DSPFPageHeader76"/>
        <w:bookmarkEnd w:id="965"/>
        <w:r>
          <w:rPr>
            <w:rStyle w:val="InternetLink"/>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b/>
        </w:rPr>
      </w:pPr>
      <w:r>
        <w:rPr>
          <w:b/>
        </w:rPr>
        <w:t>ARYA SCIENCES ACQUISITION CORP III</w:t>
      </w:r>
    </w:p>
    <w:p>
      <w:pPr>
        <w:pStyle w:val="TextBody"/>
        <w:spacing w:before="0" w:after="0"/>
        <w:jc w:val="center"/>
        <w:rPr>
          <w:b/>
        </w:rPr>
      </w:pPr>
      <w:r>
        <w:rPr>
          <w:b/>
        </w:rPr>
        <w:t>STATEMENT OF CASH FLOWS</w:t>
      </w:r>
    </w:p>
    <w:p>
      <w:pPr>
        <w:pStyle w:val="TextBody"/>
        <w:spacing w:before="0" w:after="0"/>
        <w:jc w:val="center"/>
        <w:rPr>
          <w:b/>
          <w:color w:val="000000"/>
        </w:rPr>
      </w:pPr>
      <w:r>
        <w:rPr>
          <w:b/>
          <w:color w:val="000000"/>
        </w:rPr>
        <w:t>FOR THE PERIOD FROM MARCH 27, 2020 (INCEPTION) THROUGH DECEMBER 31, 2020</w:t>
      </w:r>
    </w:p>
    <w:p>
      <w:pPr>
        <w:pStyle w:val="TextBody"/>
        <w:spacing w:before="0" w:after="0"/>
        <w:jc w:val="center"/>
        <w:rPr>
          <w:b/>
          <w:color w:val="000000"/>
        </w:rPr>
      </w:pPr>
      <w:r>
        <w:rPr>
          <w:b/>
          <w:color w:val="000000"/>
        </w:rPr>
      </w:r>
    </w:p>
    <w:p>
      <w:pPr>
        <w:pStyle w:val="Normal"/>
        <w:spacing w:before="0" w:after="0"/>
        <w:rPr>
          <w:sz w:val="4"/>
          <w:szCs w:val="4"/>
        </w:rPr>
      </w:pPr>
      <w:r>
        <w:rPr>
          <w:sz w:val="4"/>
          <w:szCs w:val="4"/>
        </w:rPr>
      </w:r>
      <w:bookmarkStart w:id="966" w:name="zf7763ca4e71a4564a146a18462c1dc97"/>
      <w:bookmarkStart w:id="967" w:name="zf7763ca4e71a4564a146a18462c1dc97"/>
      <w:bookmarkEnd w:id="967"/>
    </w:p>
    <w:tbl>
      <w:tblPr>
        <w:tblW w:w="10205" w:type="dxa"/>
        <w:jc w:val="left"/>
        <w:tblInd w:w="0" w:type="dxa"/>
        <w:tblCellMar>
          <w:top w:w="0" w:type="dxa"/>
          <w:left w:w="0" w:type="dxa"/>
          <w:bottom w:w="0" w:type="dxa"/>
          <w:right w:w="0" w:type="dxa"/>
        </w:tblCellMar>
      </w:tblPr>
      <w:tblGrid>
        <w:gridCol w:w="8600"/>
        <w:gridCol w:w="60"/>
        <w:gridCol w:w="140"/>
        <w:gridCol w:w="1295"/>
        <w:gridCol w:w="110"/>
      </w:tblGrid>
      <w:tr>
        <w:trPr/>
        <w:tc>
          <w:tcPr>
            <w:tcW w:w="8600" w:type="dxa"/>
            <w:tcBorders/>
            <w:shd w:fill="auto" w:val="clear"/>
            <w:vAlign w:val="bottom"/>
          </w:tcPr>
          <w:p>
            <w:pPr>
              <w:pStyle w:val="TableContents"/>
              <w:spacing w:before="0" w:after="0"/>
              <w:ind w:left="180" w:right="0" w:hanging="180"/>
              <w:rPr>
                <w:b/>
                <w:color w:val="000000"/>
              </w:rPr>
            </w:pPr>
            <w:r>
              <w:rPr>
                <w:b/>
                <w:color w:val="000000"/>
              </w:rPr>
              <w:t>Cash Flows from Operating Activities:</w:t>
            </w:r>
          </w:p>
        </w:tc>
        <w:tc>
          <w:tcPr>
            <w:tcW w:w="60" w:type="dxa"/>
            <w:tcBorders/>
            <w:shd w:fill="auto" w:val="clear"/>
            <w:vAlign w:val="bottom"/>
          </w:tcPr>
          <w:p>
            <w:pPr>
              <w:pStyle w:val="TableContents"/>
              <w:spacing w:before="0" w:after="283"/>
              <w:rPr/>
            </w:pPr>
            <w:r>
              <w:rPr/>
              <w:t> </w:t>
            </w:r>
          </w:p>
        </w:tc>
        <w:tc>
          <w:tcPr>
            <w:tcW w:w="1435"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180" w:right="0" w:hanging="180"/>
              <w:rPr>
                <w:color w:val="000000"/>
              </w:rPr>
            </w:pPr>
            <w:r>
              <w:rPr>
                <w:color w:val="000000"/>
              </w:rPr>
              <w:t>Net loss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1295" w:type="dxa"/>
            <w:tcBorders/>
            <w:shd w:fill="CCEEFF" w:val="clear"/>
            <w:vAlign w:val="bottom"/>
          </w:tcPr>
          <w:p>
            <w:pPr>
              <w:pStyle w:val="TableContents"/>
              <w:spacing w:before="0" w:after="0"/>
              <w:jc w:val="right"/>
              <w:rPr>
                <w:color w:val="000000"/>
              </w:rPr>
            </w:pPr>
            <w:r>
              <w:rPr>
                <w:color w:val="000000"/>
              </w:rPr>
              <w:t>(523,083</w:t>
            </w:r>
          </w:p>
        </w:tc>
        <w:tc>
          <w:tcPr>
            <w:tcW w:w="110" w:type="dxa"/>
            <w:tcBorders/>
            <w:shd w:fill="CCEEFF" w:val="clear"/>
            <w:vAlign w:val="bottom"/>
          </w:tcPr>
          <w:p>
            <w:pPr>
              <w:pStyle w:val="TableContents"/>
              <w:spacing w:before="0" w:after="0"/>
              <w:rPr>
                <w:color w:val="000000"/>
              </w:rPr>
            </w:pPr>
            <w:r>
              <w:rPr>
                <w:color w:val="000000"/>
              </w:rPr>
              <w:t>)</w:t>
            </w:r>
          </w:p>
        </w:tc>
      </w:tr>
      <w:tr>
        <w:trPr/>
        <w:tc>
          <w:tcPr>
            <w:tcW w:w="8600" w:type="dxa"/>
            <w:tcBorders/>
            <w:shd w:fill="auto" w:val="clear"/>
            <w:vAlign w:val="bottom"/>
          </w:tcPr>
          <w:p>
            <w:pPr>
              <w:pStyle w:val="TableContents"/>
              <w:spacing w:before="0" w:after="0"/>
              <w:ind w:left="180" w:right="0" w:hanging="180"/>
              <w:rPr>
                <w:color w:val="000000"/>
              </w:rPr>
            </w:pPr>
            <w:r>
              <w:rPr>
                <w:color w:val="000000"/>
              </w:rPr>
              <w:t>Adjustments to reconcile net loss to net cash used in operating activities: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360" w:right="0" w:hanging="180"/>
              <w:rPr>
                <w:color w:val="000000"/>
              </w:rPr>
            </w:pPr>
            <w:r>
              <w:rPr>
                <w:color w:val="000000"/>
              </w:rPr>
              <w:t>Net gain, dividends and interest on investments held in Trust Account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0"/>
              <w:jc w:val="right"/>
              <w:rPr>
                <w:color w:val="000000"/>
              </w:rPr>
            </w:pPr>
            <w:r>
              <w:rPr>
                <w:color w:val="000000"/>
              </w:rPr>
              <w:t>(52,952</w:t>
            </w:r>
          </w:p>
        </w:tc>
        <w:tc>
          <w:tcPr>
            <w:tcW w:w="110" w:type="dxa"/>
            <w:tcBorders/>
            <w:shd w:fill="CCEEFF" w:val="clear"/>
            <w:vAlign w:val="bottom"/>
          </w:tcPr>
          <w:p>
            <w:pPr>
              <w:pStyle w:val="TableContents"/>
              <w:spacing w:before="0" w:after="0"/>
              <w:rPr>
                <w:color w:val="000000"/>
              </w:rPr>
            </w:pPr>
            <w:r>
              <w:rPr>
                <w:color w:val="000000"/>
              </w:rPr>
              <w:t>)</w:t>
            </w:r>
          </w:p>
        </w:tc>
      </w:tr>
      <w:tr>
        <w:trPr/>
        <w:tc>
          <w:tcPr>
            <w:tcW w:w="8600" w:type="dxa"/>
            <w:tcBorders/>
            <w:shd w:fill="auto" w:val="clear"/>
            <w:vAlign w:val="bottom"/>
          </w:tcPr>
          <w:p>
            <w:pPr>
              <w:pStyle w:val="TableContents"/>
              <w:spacing w:before="0" w:after="0"/>
              <w:ind w:left="360" w:right="0" w:hanging="180"/>
              <w:rPr>
                <w:color w:val="000000"/>
              </w:rPr>
            </w:pPr>
            <w:r>
              <w:rPr>
                <w:color w:val="000000"/>
              </w:rPr>
              <w:t>General and adminsitrative expenses paid by related party under note payable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0"/>
              <w:jc w:val="right"/>
              <w:rPr>
                <w:color w:val="000000"/>
              </w:rPr>
            </w:pPr>
            <w:r>
              <w:rPr>
                <w:color w:val="000000"/>
              </w:rPr>
              <w:t>11,717</w:t>
            </w:r>
          </w:p>
        </w:tc>
        <w:tc>
          <w:tcPr>
            <w:tcW w:w="110"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180" w:right="0" w:hanging="180"/>
              <w:rPr>
                <w:color w:val="000000"/>
              </w:rPr>
            </w:pPr>
            <w:r>
              <w:rPr>
                <w:color w:val="000000"/>
              </w:rPr>
              <w:t>Changes in operating assets and liabilities: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360" w:right="0" w:hanging="180"/>
              <w:rPr>
                <w:color w:val="000000"/>
              </w:rPr>
            </w:pPr>
            <w:r>
              <w:rPr>
                <w:color w:val="000000"/>
              </w:rPr>
              <w:t>Prepaid expenses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0"/>
              <w:jc w:val="right"/>
              <w:rPr>
                <w:color w:val="000000"/>
              </w:rPr>
            </w:pPr>
            <w:r>
              <w:rPr>
                <w:color w:val="000000"/>
              </w:rPr>
              <w:t>(303,759</w:t>
            </w:r>
          </w:p>
        </w:tc>
        <w:tc>
          <w:tcPr>
            <w:tcW w:w="110" w:type="dxa"/>
            <w:tcBorders/>
            <w:shd w:fill="auto" w:val="clear"/>
            <w:vAlign w:val="bottom"/>
          </w:tcPr>
          <w:p>
            <w:pPr>
              <w:pStyle w:val="TableContents"/>
              <w:spacing w:before="0" w:after="0"/>
              <w:rPr>
                <w:color w:val="000000"/>
              </w:rPr>
            </w:pPr>
            <w:r>
              <w:rPr>
                <w:color w:val="000000"/>
              </w:rPr>
              <w:t>)</w:t>
            </w:r>
          </w:p>
        </w:tc>
      </w:tr>
      <w:tr>
        <w:trPr/>
        <w:tc>
          <w:tcPr>
            <w:tcW w:w="8600" w:type="dxa"/>
            <w:tcBorders/>
            <w:shd w:fill="CCEEFF" w:val="clear"/>
            <w:vAlign w:val="bottom"/>
          </w:tcPr>
          <w:p>
            <w:pPr>
              <w:pStyle w:val="TableContents"/>
              <w:spacing w:before="0" w:after="0"/>
              <w:ind w:left="360" w:right="0" w:hanging="180"/>
              <w:rPr>
                <w:color w:val="000000"/>
              </w:rPr>
            </w:pPr>
            <w:r>
              <w:rPr>
                <w:color w:val="000000"/>
              </w:rPr>
              <w:t>Accrued expenses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9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318,507</w:t>
            </w:r>
          </w:p>
        </w:tc>
        <w:tc>
          <w:tcPr>
            <w:tcW w:w="110"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360" w:right="0" w:hanging="180"/>
              <w:rPr>
                <w:b/>
                <w:color w:val="000000"/>
              </w:rPr>
            </w:pPr>
            <w:r>
              <w:rPr>
                <w:b/>
                <w:color w:val="000000"/>
              </w:rPr>
              <w:t>Net cash used in operating activities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129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(549,570</w:t>
            </w:r>
          </w:p>
        </w:tc>
        <w:tc>
          <w:tcPr>
            <w:tcW w:w="110" w:type="dxa"/>
            <w:tcBorders/>
            <w:shd w:fill="auto" w:val="clear"/>
            <w:vAlign w:val="bottom"/>
          </w:tcPr>
          <w:p>
            <w:pPr>
              <w:pStyle w:val="TableContents"/>
              <w:spacing w:before="0" w:after="0"/>
              <w:ind w:left="180" w:right="0" w:hanging="180"/>
              <w:rPr>
                <w:color w:val="000000"/>
              </w:rPr>
            </w:pPr>
            <w:r>
              <w:rPr>
                <w:color w:val="000000"/>
              </w:rPr>
              <w:t>)</w:t>
            </w:r>
          </w:p>
        </w:tc>
      </w:tr>
      <w:tr>
        <w:trPr/>
        <w:tc>
          <w:tcPr>
            <w:tcW w:w="86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180" w:right="0" w:hanging="180"/>
              <w:rPr>
                <w:b/>
                <w:color w:val="000000"/>
              </w:rPr>
            </w:pPr>
            <w:r>
              <w:rPr>
                <w:b/>
                <w:color w:val="000000"/>
              </w:rPr>
              <w:t>Cash Flows from Investing Activities: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180" w:right="0" w:hanging="180"/>
              <w:rPr>
                <w:color w:val="000000"/>
              </w:rPr>
            </w:pPr>
            <w:r>
              <w:rPr>
                <w:color w:val="000000"/>
              </w:rPr>
              <w:t>Cash deposited in Trust Account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9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(149,500,000</w:t>
            </w:r>
          </w:p>
        </w:tc>
        <w:tc>
          <w:tcPr>
            <w:tcW w:w="110" w:type="dxa"/>
            <w:tcBorders/>
            <w:shd w:fill="CCEEFF" w:val="clear"/>
            <w:vAlign w:val="bottom"/>
          </w:tcPr>
          <w:p>
            <w:pPr>
              <w:pStyle w:val="TableContents"/>
              <w:spacing w:before="0" w:after="0"/>
              <w:rPr>
                <w:color w:val="000000"/>
              </w:rPr>
            </w:pPr>
            <w:r>
              <w:rPr>
                <w:color w:val="000000"/>
              </w:rPr>
              <w:t>)</w:t>
            </w:r>
          </w:p>
        </w:tc>
      </w:tr>
      <w:tr>
        <w:trPr/>
        <w:tc>
          <w:tcPr>
            <w:tcW w:w="8600" w:type="dxa"/>
            <w:tcBorders/>
            <w:shd w:fill="auto" w:val="clear"/>
            <w:vAlign w:val="bottom"/>
          </w:tcPr>
          <w:p>
            <w:pPr>
              <w:pStyle w:val="TableContents"/>
              <w:spacing w:before="0" w:after="0"/>
              <w:ind w:left="360" w:right="0" w:hanging="180"/>
              <w:rPr>
                <w:b/>
                <w:color w:val="000000"/>
              </w:rPr>
            </w:pPr>
            <w:r>
              <w:rPr>
                <w:b/>
                <w:color w:val="000000"/>
              </w:rPr>
              <w:t>Net cash used in investing activities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129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(149,500,000</w:t>
            </w:r>
          </w:p>
        </w:tc>
        <w:tc>
          <w:tcPr>
            <w:tcW w:w="110" w:type="dxa"/>
            <w:tcBorders/>
            <w:shd w:fill="auto" w:val="clear"/>
            <w:vAlign w:val="bottom"/>
          </w:tcPr>
          <w:p>
            <w:pPr>
              <w:pStyle w:val="TableContents"/>
              <w:spacing w:before="0" w:after="0"/>
              <w:ind w:left="180" w:right="0" w:hanging="180"/>
              <w:rPr>
                <w:color w:val="000000"/>
              </w:rPr>
            </w:pPr>
            <w:r>
              <w:rPr>
                <w:color w:val="000000"/>
              </w:rPr>
              <w:t>)</w:t>
            </w:r>
          </w:p>
        </w:tc>
      </w:tr>
      <w:tr>
        <w:trPr/>
        <w:tc>
          <w:tcPr>
            <w:tcW w:w="86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180" w:right="0" w:hanging="180"/>
              <w:rPr>
                <w:b/>
                <w:color w:val="000000"/>
              </w:rPr>
            </w:pPr>
            <w:r>
              <w:rPr>
                <w:b/>
                <w:color w:val="000000"/>
              </w:rPr>
              <w:t>Cash Flows from Financing Activities: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180" w:right="0" w:hanging="180"/>
              <w:rPr>
                <w:color w:val="000000"/>
              </w:rPr>
            </w:pPr>
            <w:r>
              <w:rPr>
                <w:color w:val="000000"/>
              </w:rPr>
              <w:t>Proceeds from note payable to related party</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0"/>
              <w:jc w:val="right"/>
              <w:rPr>
                <w:color w:val="000000"/>
              </w:rPr>
            </w:pPr>
            <w:r>
              <w:rPr>
                <w:color w:val="000000"/>
              </w:rPr>
              <w:t>136,590</w:t>
            </w:r>
          </w:p>
        </w:tc>
        <w:tc>
          <w:tcPr>
            <w:tcW w:w="110"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180" w:right="0" w:hanging="180"/>
              <w:rPr>
                <w:color w:val="000000"/>
              </w:rPr>
            </w:pPr>
            <w:r>
              <w:rPr>
                <w:color w:val="000000"/>
              </w:rPr>
              <w:t>Repayment of note payable to related party</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0"/>
              <w:jc w:val="right"/>
              <w:rPr>
                <w:color w:val="000000"/>
              </w:rPr>
            </w:pPr>
            <w:r>
              <w:rPr>
                <w:color w:val="000000"/>
              </w:rPr>
              <w:t>(200,000</w:t>
            </w:r>
          </w:p>
        </w:tc>
        <w:tc>
          <w:tcPr>
            <w:tcW w:w="110" w:type="dxa"/>
            <w:tcBorders/>
            <w:shd w:fill="auto" w:val="clear"/>
            <w:vAlign w:val="bottom"/>
          </w:tcPr>
          <w:p>
            <w:pPr>
              <w:pStyle w:val="TableContents"/>
              <w:spacing w:before="0" w:after="0"/>
              <w:rPr>
                <w:color w:val="000000"/>
              </w:rPr>
            </w:pPr>
            <w:r>
              <w:rPr>
                <w:color w:val="000000"/>
              </w:rPr>
              <w:t>)</w:t>
            </w:r>
          </w:p>
        </w:tc>
      </w:tr>
      <w:tr>
        <w:trPr/>
        <w:tc>
          <w:tcPr>
            <w:tcW w:w="8600" w:type="dxa"/>
            <w:tcBorders/>
            <w:shd w:fill="CCEEFF" w:val="clear"/>
            <w:vAlign w:val="bottom"/>
          </w:tcPr>
          <w:p>
            <w:pPr>
              <w:pStyle w:val="TableContents"/>
              <w:spacing w:before="0" w:after="0"/>
              <w:ind w:left="180" w:right="0" w:hanging="180"/>
              <w:rPr>
                <w:color w:val="000000"/>
              </w:rPr>
            </w:pPr>
            <w:r>
              <w:rPr>
                <w:color w:val="000000"/>
              </w:rPr>
              <w:t>Proceeds received from initial public offering, gross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0"/>
              <w:jc w:val="right"/>
              <w:rPr>
                <w:color w:val="000000"/>
              </w:rPr>
            </w:pPr>
            <w:r>
              <w:rPr>
                <w:color w:val="000000"/>
              </w:rPr>
              <w:t>149,500,000</w:t>
            </w:r>
          </w:p>
        </w:tc>
        <w:tc>
          <w:tcPr>
            <w:tcW w:w="110"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180" w:right="0" w:hanging="180"/>
              <w:rPr>
                <w:color w:val="000000"/>
              </w:rPr>
            </w:pPr>
            <w:r>
              <w:rPr>
                <w:color w:val="000000"/>
              </w:rPr>
              <w:t>Proceeds received from private placement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0"/>
              <w:jc w:val="right"/>
              <w:rPr>
                <w:color w:val="000000"/>
              </w:rPr>
            </w:pPr>
            <w:r>
              <w:rPr>
                <w:color w:val="000000"/>
              </w:rPr>
              <w:t>4,990,000</w:t>
            </w:r>
          </w:p>
        </w:tc>
        <w:tc>
          <w:tcPr>
            <w:tcW w:w="110"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180" w:right="0" w:hanging="180"/>
              <w:rPr>
                <w:color w:val="000000"/>
              </w:rPr>
            </w:pPr>
            <w:r>
              <w:rPr>
                <w:color w:val="000000"/>
              </w:rPr>
              <w:t>Offering costs paid</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9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(3,375,988</w:t>
            </w:r>
          </w:p>
        </w:tc>
        <w:tc>
          <w:tcPr>
            <w:tcW w:w="110" w:type="dxa"/>
            <w:tcBorders/>
            <w:shd w:fill="CCEEFF" w:val="clear"/>
            <w:vAlign w:val="bottom"/>
          </w:tcPr>
          <w:p>
            <w:pPr>
              <w:pStyle w:val="TableContents"/>
              <w:spacing w:before="0" w:after="0"/>
              <w:rPr>
                <w:color w:val="000000"/>
              </w:rPr>
            </w:pPr>
            <w:r>
              <w:rPr>
                <w:color w:val="000000"/>
              </w:rPr>
              <w:t>)</w:t>
            </w:r>
          </w:p>
        </w:tc>
      </w:tr>
      <w:tr>
        <w:trPr/>
        <w:tc>
          <w:tcPr>
            <w:tcW w:w="8600" w:type="dxa"/>
            <w:tcBorders/>
            <w:shd w:fill="auto" w:val="clear"/>
            <w:vAlign w:val="bottom"/>
          </w:tcPr>
          <w:p>
            <w:pPr>
              <w:pStyle w:val="TableContents"/>
              <w:spacing w:before="0" w:after="0"/>
              <w:ind w:left="360" w:right="0" w:hanging="180"/>
              <w:rPr>
                <w:b/>
                <w:color w:val="000000"/>
              </w:rPr>
            </w:pPr>
            <w:r>
              <w:rPr>
                <w:b/>
                <w:color w:val="000000"/>
              </w:rPr>
              <w:t>Net cash provided by financing activities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129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151,050,602</w:t>
            </w:r>
          </w:p>
        </w:tc>
        <w:tc>
          <w:tcPr>
            <w:tcW w:w="110" w:type="dxa"/>
            <w:tcBorders/>
            <w:shd w:fill="auto" w:val="clear"/>
            <w:vAlign w:val="bottom"/>
          </w:tcPr>
          <w:p>
            <w:pPr>
              <w:pStyle w:val="TableContents"/>
              <w:spacing w:before="0" w:after="283"/>
              <w:ind w:left="180" w:right="0" w:hanging="180"/>
              <w:rPr/>
            </w:pPr>
            <w:r>
              <w:rPr/>
              <w:t> </w:t>
            </w:r>
          </w:p>
        </w:tc>
      </w:tr>
      <w:tr>
        <w:trPr/>
        <w:tc>
          <w:tcPr>
            <w:tcW w:w="86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180" w:right="0" w:hanging="180"/>
              <w:rPr>
                <w:b/>
                <w:color w:val="000000"/>
              </w:rPr>
            </w:pPr>
            <w:r>
              <w:rPr>
                <w:b/>
                <w:color w:val="000000"/>
              </w:rPr>
              <w:t>Net change in cash</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0"/>
              <w:jc w:val="right"/>
              <w:rPr>
                <w:color w:val="000000"/>
              </w:rPr>
            </w:pPr>
            <w:r>
              <w:rPr>
                <w:color w:val="000000"/>
              </w:rPr>
              <w:t>1,001,032</w:t>
            </w:r>
          </w:p>
        </w:tc>
        <w:tc>
          <w:tcPr>
            <w:tcW w:w="110" w:type="dxa"/>
            <w:tcBorders/>
            <w:shd w:fill="auto" w:val="clear"/>
            <w:vAlign w:val="bottom"/>
          </w:tcPr>
          <w:p>
            <w:pPr>
              <w:pStyle w:val="TableContents"/>
              <w:spacing w:before="0" w:after="283"/>
              <w:ind w:left="180" w:right="0" w:hanging="180"/>
              <w:rPr/>
            </w:pPr>
            <w:r>
              <w:rPr/>
              <w:t> </w:t>
            </w:r>
          </w:p>
        </w:tc>
      </w:tr>
      <w:tr>
        <w:trPr/>
        <w:tc>
          <w:tcPr>
            <w:tcW w:w="86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180" w:right="0" w:hanging="180"/>
              <w:rPr>
                <w:b/>
                <w:color w:val="000000"/>
              </w:rPr>
            </w:pPr>
            <w:r>
              <w:rPr>
                <w:b/>
                <w:color w:val="000000"/>
              </w:rPr>
              <w:t>Cash - beginning of the period</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129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110"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180" w:right="0" w:hanging="180"/>
              <w:rPr>
                <w:b/>
                <w:color w:val="000000"/>
              </w:rPr>
            </w:pPr>
            <w:r>
              <w:rPr>
                <w:b/>
                <w:color w:val="000000"/>
              </w:rPr>
              <w:t>Cash - end of the period</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b/>
                <w:color w:val="000000"/>
              </w:rPr>
            </w:pPr>
            <w:r>
              <w:rPr>
                <w:b/>
                <w:color w:val="000000"/>
              </w:rPr>
              <w:t>$</w:t>
            </w:r>
          </w:p>
        </w:tc>
        <w:tc>
          <w:tcPr>
            <w:tcW w:w="1295" w:type="dxa"/>
            <w:tcBorders>
              <w:bottom w:val="double" w:sz="8" w:space="0" w:color="000000"/>
            </w:tcBorders>
            <w:shd w:fill="CCEEFF" w:val="clear"/>
            <w:tcMar>
              <w:bottom w:w="28" w:type="dxa"/>
            </w:tcMar>
            <w:vAlign w:val="bottom"/>
          </w:tcPr>
          <w:p>
            <w:pPr>
              <w:pStyle w:val="TableContents"/>
              <w:spacing w:before="0" w:after="0"/>
              <w:jc w:val="right"/>
              <w:rPr>
                <w:b/>
                <w:color w:val="000000"/>
              </w:rPr>
            </w:pPr>
            <w:r>
              <w:rPr>
                <w:b/>
                <w:color w:val="000000"/>
              </w:rPr>
              <w:t>1,001,032</w:t>
            </w:r>
          </w:p>
        </w:tc>
        <w:tc>
          <w:tcPr>
            <w:tcW w:w="110" w:type="dxa"/>
            <w:tcBorders/>
            <w:shd w:fill="CCEEFF" w:val="clear"/>
            <w:vAlign w:val="bottom"/>
          </w:tcPr>
          <w:p>
            <w:pPr>
              <w:pStyle w:val="TableContents"/>
              <w:spacing w:before="0" w:after="283"/>
              <w:ind w:left="180" w:right="0" w:hanging="180"/>
              <w:rPr/>
            </w:pPr>
            <w:r>
              <w:rPr/>
              <w:t> </w:t>
            </w:r>
          </w:p>
        </w:tc>
      </w:tr>
      <w:tr>
        <w:trPr/>
        <w:tc>
          <w:tcPr>
            <w:tcW w:w="86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295" w:type="dxa"/>
            <w:tcBorders/>
            <w:shd w:fill="auto" w:val="clear"/>
            <w:vAlign w:val="bottom"/>
          </w:tcPr>
          <w:p>
            <w:pPr>
              <w:pStyle w:val="TableContents"/>
              <w:spacing w:before="0" w:after="283"/>
              <w:jc w:val="right"/>
              <w:rPr/>
            </w:pPr>
            <w:r>
              <w:rPr/>
              <w:t> </w:t>
            </w:r>
          </w:p>
        </w:tc>
        <w:tc>
          <w:tcPr>
            <w:tcW w:w="110"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180" w:right="0" w:hanging="180"/>
              <w:rPr>
                <w:b/>
                <w:color w:val="000000"/>
              </w:rPr>
            </w:pPr>
            <w:r>
              <w:rPr>
                <w:b/>
                <w:color w:val="000000"/>
              </w:rPr>
              <w:t>Supplemental disclosure of noncash investing and financing activities: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29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360" w:right="0" w:hanging="180"/>
              <w:rPr>
                <w:color w:val="000000"/>
              </w:rPr>
            </w:pPr>
            <w:r>
              <w:rPr>
                <w:color w:val="000000"/>
              </w:rPr>
              <w:t>Deferred offering costs paid by Sponsor in exchange for issuance of Class B ordinary shares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1295" w:type="dxa"/>
            <w:tcBorders/>
            <w:shd w:fill="auto" w:val="clear"/>
            <w:vAlign w:val="bottom"/>
          </w:tcPr>
          <w:p>
            <w:pPr>
              <w:pStyle w:val="TableContents"/>
              <w:spacing w:before="0" w:after="0"/>
              <w:jc w:val="right"/>
              <w:rPr>
                <w:color w:val="000000"/>
              </w:rPr>
            </w:pPr>
            <w:r>
              <w:rPr>
                <w:color w:val="000000"/>
              </w:rPr>
              <w:t>25,000</w:t>
            </w:r>
          </w:p>
        </w:tc>
        <w:tc>
          <w:tcPr>
            <w:tcW w:w="110"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360" w:right="0" w:hanging="180"/>
              <w:rPr>
                <w:color w:val="000000"/>
              </w:rPr>
            </w:pPr>
            <w:r>
              <w:rPr>
                <w:color w:val="000000"/>
              </w:rPr>
              <w:t>Offering costs included in accrued expenses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1295" w:type="dxa"/>
            <w:tcBorders/>
            <w:shd w:fill="CCEEFF" w:val="clear"/>
            <w:vAlign w:val="bottom"/>
          </w:tcPr>
          <w:p>
            <w:pPr>
              <w:pStyle w:val="TableContents"/>
              <w:spacing w:before="0" w:after="0"/>
              <w:jc w:val="right"/>
              <w:rPr>
                <w:color w:val="000000"/>
              </w:rPr>
            </w:pPr>
            <w:r>
              <w:rPr>
                <w:color w:val="000000"/>
              </w:rPr>
              <w:t>70,000</w:t>
            </w:r>
          </w:p>
        </w:tc>
        <w:tc>
          <w:tcPr>
            <w:tcW w:w="110"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360" w:right="0" w:hanging="180"/>
              <w:rPr>
                <w:color w:val="000000"/>
              </w:rPr>
            </w:pPr>
            <w:r>
              <w:rPr>
                <w:color w:val="000000"/>
              </w:rPr>
              <w:t>Offering costs funded with note payable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1295" w:type="dxa"/>
            <w:tcBorders/>
            <w:shd w:fill="auto" w:val="clear"/>
            <w:vAlign w:val="bottom"/>
          </w:tcPr>
          <w:p>
            <w:pPr>
              <w:pStyle w:val="TableContents"/>
              <w:spacing w:before="0" w:after="0"/>
              <w:jc w:val="right"/>
              <w:rPr>
                <w:color w:val="000000"/>
              </w:rPr>
            </w:pPr>
            <w:r>
              <w:rPr>
                <w:color w:val="000000"/>
              </w:rPr>
              <w:t>51,693</w:t>
            </w:r>
          </w:p>
        </w:tc>
        <w:tc>
          <w:tcPr>
            <w:tcW w:w="110"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360" w:right="0" w:hanging="180"/>
              <w:rPr>
                <w:color w:val="000000"/>
              </w:rPr>
            </w:pPr>
            <w:r>
              <w:rPr>
                <w:color w:val="000000"/>
              </w:rPr>
              <w:t>Deferred underwriting commissions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1295" w:type="dxa"/>
            <w:tcBorders/>
            <w:shd w:fill="CCEEFF" w:val="clear"/>
            <w:vAlign w:val="bottom"/>
          </w:tcPr>
          <w:p>
            <w:pPr>
              <w:pStyle w:val="TableContents"/>
              <w:spacing w:before="0" w:after="0"/>
              <w:jc w:val="right"/>
              <w:rPr>
                <w:color w:val="000000"/>
              </w:rPr>
            </w:pPr>
            <w:r>
              <w:rPr>
                <w:color w:val="000000"/>
              </w:rPr>
              <w:t>5,232,500</w:t>
            </w:r>
          </w:p>
        </w:tc>
        <w:tc>
          <w:tcPr>
            <w:tcW w:w="110" w:type="dxa"/>
            <w:tcBorders/>
            <w:shd w:fill="CCEEFF" w:val="clear"/>
            <w:vAlign w:val="bottom"/>
          </w:tcPr>
          <w:p>
            <w:pPr>
              <w:pStyle w:val="TableContents"/>
              <w:spacing w:before="0" w:after="283"/>
              <w:rPr/>
            </w:pPr>
            <w:r>
              <w:rPr/>
              <w:t> </w:t>
            </w:r>
          </w:p>
        </w:tc>
      </w:tr>
      <w:tr>
        <w:trPr/>
        <w:tc>
          <w:tcPr>
            <w:tcW w:w="8600" w:type="dxa"/>
            <w:tcBorders/>
            <w:shd w:fill="auto" w:val="clear"/>
            <w:vAlign w:val="bottom"/>
          </w:tcPr>
          <w:p>
            <w:pPr>
              <w:pStyle w:val="TableContents"/>
              <w:spacing w:before="0" w:after="0"/>
              <w:ind w:left="360" w:right="0" w:hanging="180"/>
              <w:rPr>
                <w:color w:val="000000"/>
              </w:rPr>
            </w:pPr>
            <w:r>
              <w:rPr>
                <w:color w:val="000000"/>
              </w:rPr>
              <w:t>Initial value of Class A ordinary shares subject to possible redemption</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1295" w:type="dxa"/>
            <w:tcBorders/>
            <w:shd w:fill="auto" w:val="clear"/>
            <w:vAlign w:val="bottom"/>
          </w:tcPr>
          <w:p>
            <w:pPr>
              <w:pStyle w:val="TableContents"/>
              <w:spacing w:before="0" w:after="0"/>
              <w:jc w:val="right"/>
              <w:rPr>
                <w:color w:val="000000"/>
              </w:rPr>
            </w:pPr>
            <w:r>
              <w:rPr>
                <w:color w:val="000000"/>
              </w:rPr>
              <w:t>140,714,240</w:t>
            </w:r>
          </w:p>
        </w:tc>
        <w:tc>
          <w:tcPr>
            <w:tcW w:w="110" w:type="dxa"/>
            <w:tcBorders/>
            <w:shd w:fill="auto" w:val="clear"/>
            <w:vAlign w:val="bottom"/>
          </w:tcPr>
          <w:p>
            <w:pPr>
              <w:pStyle w:val="TableContents"/>
              <w:spacing w:before="0" w:after="283"/>
              <w:rPr/>
            </w:pPr>
            <w:r>
              <w:rPr/>
              <w:t> </w:t>
            </w:r>
          </w:p>
        </w:tc>
      </w:tr>
      <w:tr>
        <w:trPr/>
        <w:tc>
          <w:tcPr>
            <w:tcW w:w="8600" w:type="dxa"/>
            <w:tcBorders/>
            <w:shd w:fill="CCEEFF" w:val="clear"/>
            <w:vAlign w:val="bottom"/>
          </w:tcPr>
          <w:p>
            <w:pPr>
              <w:pStyle w:val="TableContents"/>
              <w:spacing w:before="0" w:after="0"/>
              <w:ind w:left="360" w:right="0" w:hanging="180"/>
              <w:rPr>
                <w:color w:val="000000"/>
              </w:rPr>
            </w:pPr>
            <w:r>
              <w:rPr>
                <w:color w:val="000000"/>
              </w:rPr>
              <w:t>Change in value of Class A ordinary shares subject to possible redemption</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1295" w:type="dxa"/>
            <w:tcBorders/>
            <w:shd w:fill="CCEEFF" w:val="clear"/>
            <w:vAlign w:val="bottom"/>
          </w:tcPr>
          <w:p>
            <w:pPr>
              <w:pStyle w:val="TableContents"/>
              <w:spacing w:before="0" w:after="0"/>
              <w:jc w:val="right"/>
              <w:rPr>
                <w:color w:val="000000"/>
              </w:rPr>
            </w:pPr>
            <w:r>
              <w:rPr>
                <w:color w:val="000000"/>
              </w:rPr>
              <w:t>(477,510</w:t>
            </w:r>
          </w:p>
        </w:tc>
        <w:tc>
          <w:tcPr>
            <w:tcW w:w="110" w:type="dxa"/>
            <w:tcBorders/>
            <w:shd w:fill="CCEEFF" w:val="clear"/>
            <w:vAlign w:val="bottom"/>
          </w:tcPr>
          <w:p>
            <w:pPr>
              <w:pStyle w:val="TableContents"/>
              <w:spacing w:before="0" w:after="0"/>
              <w:rPr>
                <w:color w:val="000000"/>
              </w:rPr>
            </w:pPr>
            <w:r>
              <w:rPr>
                <w:color w:val="000000"/>
              </w:rPr>
              <w:t>)</w:t>
            </w:r>
          </w:p>
        </w:tc>
      </w:tr>
    </w:tbl>
    <w:p>
      <w:pPr>
        <w:pStyle w:val="TextBody"/>
        <w:spacing w:before="0" w:after="0"/>
        <w:rPr/>
      </w:pPr>
      <w:r>
        <w:rPr/>
      </w:r>
    </w:p>
    <w:p>
      <w:pPr>
        <w:pStyle w:val="TextBody"/>
        <w:spacing w:before="0" w:after="0"/>
        <w:jc w:val="center"/>
        <w:rPr>
          <w:i/>
        </w:rPr>
      </w:pPr>
      <w:r>
        <w:rPr>
          <w:i/>
        </w:rPr>
        <w:t>The accompanying notes are an integral part of these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68" w:name="DSPFPageBreakArea79"/>
      <w:bookmarkStart w:id="969" w:name="DSPFPageBreakArea79"/>
      <w:bookmarkEnd w:id="9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970" w:name="DSPFPageNumber78"/>
      <w:bookmarkStart w:id="971" w:name="DSPFPageNumberArea77"/>
      <w:bookmarkEnd w:id="970"/>
      <w:bookmarkEnd w:id="971"/>
      <w:r>
        <w:rPr>
          <w:b w:val="false"/>
          <w:i w:val="false"/>
          <w:caps w:val="false"/>
          <w:smallCaps w:val="false"/>
          <w:color w:val="000000"/>
          <w:sz w:val="16"/>
        </w:rPr>
        <w:t>F-6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72" w:name="DSPFPageBreak79"/>
      <w:bookmarkStart w:id="973" w:name="DSPFPageBreak79"/>
      <w:bookmarkEnd w:id="9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974" w:name="DSPFPageHeader77"/>
        <w:bookmarkEnd w:id="974"/>
        <w:r>
          <w:rPr>
            <w:rStyle w:val="InternetLink"/>
            <w:i/>
            <w:sz w:val="16"/>
          </w:rPr>
          <w:t>Table of Contents</w:t>
        </w:r>
      </w:hyperlink>
      <w:r>
        <w:rPr/>
        <w:t xml:space="preserve"> </w:t>
      </w:r>
    </w:p>
    <w:p>
      <w:pPr>
        <w:pStyle w:val="TextBody"/>
        <w:spacing w:before="200" w:after="200"/>
        <w:jc w:val="center"/>
        <w:rPr>
          <w:b/>
        </w:rPr>
      </w:pPr>
      <w:r>
        <w:rPr>
          <w:b/>
        </w:rPr>
        <w:t>ARYA SCIENCES ACQUISITION CORP III</w:t>
      </w:r>
    </w:p>
    <w:p>
      <w:pPr>
        <w:pStyle w:val="TextBody"/>
        <w:spacing w:before="200" w:after="200"/>
        <w:jc w:val="center"/>
        <w:rPr>
          <w:b/>
        </w:rPr>
      </w:pPr>
      <w:r>
        <w:rPr>
          <w:b/>
        </w:rPr>
        <w:t>NOTES TO FINANCIAL STATEMENTS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b/>
        </w:rPr>
      </w:pPr>
      <w:r>
        <w:rPr>
          <w:b/>
        </w:rPr>
        <w:t>Note 1 — Description of Organization and Business Operations</w:t>
      </w:r>
    </w:p>
    <w:p>
      <w:pPr>
        <w:pStyle w:val="TextBody"/>
        <w:spacing w:before="0" w:after="0"/>
        <w:rPr/>
      </w:pPr>
      <w:r>
        <w:rPr/>
      </w:r>
    </w:p>
    <w:p>
      <w:pPr>
        <w:pStyle w:val="TextBody"/>
        <w:spacing w:before="0" w:after="0"/>
        <w:jc w:val="both"/>
        <w:rPr>
          <w:b/>
          <w:i/>
        </w:rPr>
      </w:pPr>
      <w:r>
        <w:rPr>
          <w:b/>
          <w:i/>
        </w:rPr>
        <w:t>Organization and General</w:t>
      </w:r>
    </w:p>
    <w:p>
      <w:pPr>
        <w:pStyle w:val="TextBody"/>
        <w:spacing w:before="0" w:after="0"/>
        <w:rPr/>
      </w:pPr>
      <w:r>
        <w:rPr/>
      </w:r>
    </w:p>
    <w:p>
      <w:pPr>
        <w:pStyle w:val="TextBody"/>
        <w:spacing w:before="0" w:after="0"/>
        <w:jc w:val="both"/>
        <w:rPr>
          <w:color w:val="000000"/>
        </w:rPr>
      </w:pPr>
      <w:r>
        <w:rPr>
          <w:color w:val="000000"/>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pStyle w:val="TextBody"/>
        <w:spacing w:before="0" w:after="0"/>
        <w:rPr/>
      </w:pPr>
      <w:r>
        <w:rPr/>
      </w:r>
    </w:p>
    <w:p>
      <w:pPr>
        <w:pStyle w:val="TextBody"/>
        <w:spacing w:before="0" w:after="0"/>
        <w:jc w:val="both"/>
        <w:rPr/>
      </w:pPr>
      <w:r>
        <w:rPr>
          <w:color w:val="000000"/>
        </w:rPr>
        <w:t>All activity for the period from March 27, 2020 (inception) through December 31, 2020 relates to the Company’s formation and its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and gains on investments from the proceeds derived from the Initial Public Offering. The Company has selected December 31 as its fiscal year end</w:t>
      </w:r>
      <w:r>
        <w:rPr/>
        <w:t>.</w:t>
      </w:r>
    </w:p>
    <w:p>
      <w:pPr>
        <w:pStyle w:val="TextBody"/>
        <w:spacing w:before="0" w:after="0"/>
        <w:rPr/>
      </w:pPr>
      <w:r>
        <w:rPr/>
      </w:r>
    </w:p>
    <w:p>
      <w:pPr>
        <w:pStyle w:val="TextBody"/>
        <w:spacing w:before="0" w:after="0"/>
        <w:jc w:val="both"/>
        <w:rPr>
          <w:b/>
          <w:i/>
        </w:rPr>
      </w:pPr>
      <w:r>
        <w:rPr>
          <w:b/>
          <w:i/>
        </w:rPr>
        <w:t>Sponsor and Initial Public Offering</w:t>
      </w:r>
    </w:p>
    <w:p>
      <w:pPr>
        <w:pStyle w:val="TextBody"/>
        <w:spacing w:before="0" w:after="0"/>
        <w:rPr/>
      </w:pPr>
      <w:r>
        <w:rPr/>
      </w:r>
    </w:p>
    <w:p>
      <w:pPr>
        <w:pStyle w:val="TextBody"/>
        <w:spacing w:before="0" w:after="0"/>
        <w:jc w:val="both"/>
        <w:rPr>
          <w:color w:val="000000"/>
        </w:rPr>
      </w:pPr>
      <w:r>
        <w:rPr>
          <w:color w:val="000000"/>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5).</w:t>
      </w:r>
    </w:p>
    <w:p>
      <w:pPr>
        <w:pStyle w:val="TextBody"/>
        <w:spacing w:before="0" w:after="0"/>
        <w:rPr/>
      </w:pPr>
      <w:r>
        <w:rPr/>
      </w:r>
    </w:p>
    <w:p>
      <w:pPr>
        <w:pStyle w:val="TextBody"/>
        <w:spacing w:before="0" w:after="0"/>
        <w:jc w:val="both"/>
        <w:rPr/>
      </w:pPr>
      <w:r>
        <w:rPr>
          <w:color w:val="000000"/>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r>
        <w:rPr/>
        <w:t>.</w:t>
      </w:r>
    </w:p>
    <w:p>
      <w:pPr>
        <w:pStyle w:val="TextBody"/>
        <w:spacing w:before="0" w:after="0"/>
        <w:rPr/>
      </w:pPr>
      <w:r>
        <w:rPr/>
      </w:r>
    </w:p>
    <w:p>
      <w:pPr>
        <w:pStyle w:val="TextBody"/>
        <w:spacing w:before="0" w:after="0"/>
        <w:jc w:val="both"/>
        <w:rPr>
          <w:b/>
          <w:i/>
        </w:rPr>
      </w:pPr>
      <w:r>
        <w:rPr>
          <w:b/>
          <w:i/>
        </w:rPr>
        <w:t>Trust Account</w:t>
      </w:r>
    </w:p>
    <w:p>
      <w:pPr>
        <w:pStyle w:val="TextBody"/>
        <w:spacing w:before="0" w:after="0"/>
        <w:rPr/>
      </w:pPr>
      <w:r>
        <w:rPr/>
      </w:r>
    </w:p>
    <w:p>
      <w:pPr>
        <w:pStyle w:val="TextBody"/>
        <w:spacing w:before="0" w:after="0"/>
        <w:jc w:val="both"/>
        <w:rPr>
          <w:color w:val="000000"/>
        </w:rPr>
      </w:pPr>
      <w:r>
        <w:rPr>
          <w:color w:val="000000"/>
        </w:rPr>
        <w:t>Upon the closing of the Initial Public Offering and the Private Placement, $149.5 million ($10.00 per Unit) of the net proceeds of the Initial Public Offering and certain of the proceeds of the Private Placement were placed in a trust account (“Trust Account”), located in the United States at J.P. Morgan Chase Bank, N.A., with Continental Stock Transfer &amp; Trust Company acting as trustee, and were invested only in U.S. government securities, within the meaning set forth in Section 2(a)(16) of the Investment Company Act of 1940, as amended (the “Investment Company Act”), with a maturity of 185 days or less or in money market funds meeting the conditions of paragraphs (d)(1), (d)(2), (d)(3) and (d)(4) of Rule 2a-7 of the Investment Company Act, as determined by the Company, until the earlier of:(i) the completion of a Business Combination, and then only in connection with those Class A ordinary shares that the holders of public shares (the “Public Shareholders”) properly elected to redeem, subject to certain limitations described in the IPO Registration Statement, (ii) the redemption of any Public Shares properly tendered in connection with a shareholder vote to amend the Company’s amended and restated memorandum and articles of association (the “Amended and Restated Memorandum and Articles of Association”) (A) to modify the substance or timing of the Company’s obligation to provide holders of Class A ordinary shares the right to have their shares redeemed in connection with the Company’s initial Business Combination or to redeem 100% of the Company’s Public Shares if the Company does not complete its initial Business Combination within 24 months from the closing of the Initial Public Offering, or October 26, 2022 (the “Combination Period”) or (B) with respect to any other provision relating to the rights of holders of Class A ordinary shares, and (iii) the redemption of the Class A ordinary shares if the Company has not consummated its Business Combination within the Combination Period, subject to applicable law. The remaining net proceeds (not held in the Trust Account) may be used to pay for business, legal and accounting due diligence on prospective acquisitions and continuing general and administrative expenses. The Company may use the interest income generated by the assets in the Trust Account to pay for taxes that were paid by the Company or are payable by the Company and, in case the Company does not complete its initial Business Combination within the Combination Period, $100,000 of the interest income may be used to pay dissolution expenses.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75" w:name="DSPFPageBreakArea80"/>
      <w:bookmarkStart w:id="976" w:name="DSPFPageBreakArea80"/>
      <w:bookmarkEnd w:id="9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977" w:name="DSPFPageNumber79"/>
      <w:bookmarkStart w:id="978" w:name="DSPFPageNumberArea78"/>
      <w:bookmarkEnd w:id="977"/>
      <w:bookmarkEnd w:id="978"/>
      <w:r>
        <w:rPr>
          <w:b w:val="false"/>
          <w:i w:val="false"/>
          <w:caps w:val="false"/>
          <w:smallCaps w:val="false"/>
          <w:color w:val="000000"/>
          <w:sz w:val="16"/>
        </w:rPr>
        <w:t>F-7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79" w:name="DSPFPageBreak80"/>
      <w:bookmarkStart w:id="980" w:name="DSPFPageBreak80"/>
      <w:bookmarkEnd w:id="9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981" w:name="DSPFPageHeader78"/>
        <w:bookmarkEnd w:id="981"/>
        <w:r>
          <w:rPr>
            <w:rStyle w:val="InternetLink"/>
            <w:i/>
            <w:sz w:val="16"/>
          </w:rPr>
          <w:t>Table of Contents</w:t>
        </w:r>
      </w:hyperlink>
      <w:r>
        <w:rPr/>
        <w:t xml:space="preserve"> </w:t>
      </w:r>
    </w:p>
    <w:p>
      <w:pPr>
        <w:pStyle w:val="TextBody"/>
        <w:spacing w:before="200" w:after="200"/>
        <w:jc w:val="center"/>
        <w:rPr>
          <w:b/>
        </w:rPr>
      </w:pPr>
      <w:r>
        <w:rPr>
          <w:b/>
        </w:rPr>
        <w:t>ARYA SCIENCES ACQUISITION CORP III</w:t>
      </w:r>
    </w:p>
    <w:p>
      <w:pPr>
        <w:pStyle w:val="TextBody"/>
        <w:spacing w:before="200" w:after="200"/>
        <w:jc w:val="center"/>
        <w:rPr>
          <w:b/>
        </w:rPr>
      </w:pPr>
      <w:r>
        <w:rPr>
          <w:b/>
        </w:rPr>
        <w:t>NOTES TO FINANCIAL STATEMENTS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i/>
        </w:rPr>
      </w:pPr>
      <w:r>
        <w:rPr>
          <w:b/>
          <w:i/>
        </w:rPr>
        <w:t>Initial Business Combination</w:t>
      </w:r>
    </w:p>
    <w:p>
      <w:pPr>
        <w:pStyle w:val="TextBody"/>
        <w:spacing w:before="0" w:after="0"/>
        <w:rPr/>
      </w:pPr>
      <w:r>
        <w:rPr/>
      </w:r>
    </w:p>
    <w:p>
      <w:pPr>
        <w:pStyle w:val="TextBody"/>
        <w:spacing w:before="0" w:after="0"/>
        <w:jc w:val="both"/>
        <w:rPr>
          <w:color w:val="000000"/>
        </w:rPr>
      </w:pPr>
      <w:r>
        <w:rPr>
          <w:color w:val="000000"/>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pStyle w:val="TextBody"/>
        <w:spacing w:before="0" w:after="0"/>
        <w:rPr/>
      </w:pPr>
      <w:r>
        <w:rPr/>
      </w:r>
    </w:p>
    <w:p>
      <w:pPr>
        <w:pStyle w:val="TextBody"/>
        <w:spacing w:before="0" w:after="0"/>
        <w:jc w:val="both"/>
        <w:rPr>
          <w:color w:val="000000"/>
        </w:rPr>
      </w:pPr>
      <w:r>
        <w:rPr>
          <w:color w:val="000000"/>
        </w:rPr>
        <w:t>The Company will provide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Goldman Sachs &amp; Co. LLC and Jeffries LLC, as underwriters of the Company’s Initial Public Offering (as discussed in Note 5).</w:t>
      </w:r>
    </w:p>
    <w:p>
      <w:pPr>
        <w:pStyle w:val="TextBody"/>
        <w:spacing w:before="0" w:after="0"/>
        <w:rPr/>
      </w:pPr>
      <w:r>
        <w:rPr/>
      </w:r>
    </w:p>
    <w:p>
      <w:pPr>
        <w:pStyle w:val="TextBody"/>
        <w:spacing w:before="0" w:after="0"/>
        <w:jc w:val="both"/>
        <w:rPr>
          <w:color w:val="000000"/>
        </w:rPr>
      </w:pPr>
      <w:r>
        <w:rPr>
          <w:color w:val="000000"/>
        </w:rPr>
        <w:t>The Public Shares are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has adopted an insider trading policy which requires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pStyle w:val="TextBody"/>
        <w:spacing w:before="0" w:after="0"/>
        <w:rPr/>
      </w:pPr>
      <w:r>
        <w:rPr/>
      </w:r>
    </w:p>
    <w:p>
      <w:pPr>
        <w:pStyle w:val="TextBody"/>
        <w:spacing w:before="0" w:after="0"/>
        <w:jc w:val="both"/>
        <w:rPr>
          <w:color w:val="000000"/>
        </w:rPr>
      </w:pPr>
      <w:r>
        <w:rPr>
          <w:color w:val="000000"/>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82" w:name="DSPFPageBreakArea81"/>
      <w:bookmarkStart w:id="983" w:name="DSPFPageBreakArea81"/>
      <w:bookmarkEnd w:id="9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984" w:name="DSPFPageNumber80"/>
      <w:bookmarkStart w:id="985" w:name="DSPFPageNumberArea79"/>
      <w:bookmarkEnd w:id="984"/>
      <w:bookmarkEnd w:id="985"/>
      <w:r>
        <w:rPr>
          <w:b w:val="false"/>
          <w:i w:val="false"/>
          <w:caps w:val="false"/>
          <w:smallCaps w:val="false"/>
          <w:color w:val="000000"/>
          <w:sz w:val="16"/>
        </w:rPr>
        <w:t>F-8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86" w:name="DSPFPageBreak81"/>
      <w:bookmarkStart w:id="987" w:name="DSPFPageBreak81"/>
      <w:bookmarkEnd w:id="9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988" w:name="DSPFPageHeader79"/>
        <w:bookmarkEnd w:id="988"/>
        <w:r>
          <w:rPr>
            <w:rStyle w:val="InternetLink"/>
            <w:i/>
            <w:sz w:val="16"/>
          </w:rPr>
          <w:t>Table of Contents</w:t>
        </w:r>
      </w:hyperlink>
      <w:r>
        <w:rPr/>
        <w:t xml:space="preserve"> </w:t>
      </w:r>
    </w:p>
    <w:p>
      <w:pPr>
        <w:pStyle w:val="TextBody"/>
        <w:spacing w:before="200" w:after="200"/>
        <w:jc w:val="center"/>
        <w:rPr>
          <w:b/>
        </w:rPr>
      </w:pPr>
      <w:r>
        <w:rPr>
          <w:b/>
        </w:rPr>
        <w:t>ARYA SCIENCES ACQUISITION CORP III</w:t>
      </w:r>
    </w:p>
    <w:p>
      <w:pPr>
        <w:pStyle w:val="TextBody"/>
        <w:spacing w:before="200" w:after="200"/>
        <w:jc w:val="center"/>
        <w:rPr>
          <w:b/>
        </w:rPr>
      </w:pPr>
      <w:r>
        <w:rPr>
          <w:b/>
        </w:rPr>
        <w:t>NOTES TO FINANCIAL STATEMENTS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 with respect to any other provision relating to the rights of Public Shareholders, unless the Company provides the Public Shareholders with the opportunity to redeem their Class A ordinary shares in conjunction with any such amendment.</w:t>
      </w:r>
    </w:p>
    <w:p>
      <w:pPr>
        <w:pStyle w:val="TextBody"/>
        <w:spacing w:before="0" w:after="0"/>
        <w:rPr/>
      </w:pPr>
      <w:r>
        <w:rPr/>
      </w:r>
    </w:p>
    <w:p>
      <w:pPr>
        <w:pStyle w:val="TextBody"/>
        <w:spacing w:before="0" w:after="0"/>
        <w:jc w:val="both"/>
        <w:rPr>
          <w:color w:val="000000"/>
        </w:rPr>
      </w:pPr>
      <w:r>
        <w:rPr>
          <w:color w:val="000000"/>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pStyle w:val="TextBody"/>
        <w:spacing w:before="0" w:after="0"/>
        <w:rPr/>
      </w:pPr>
      <w:r>
        <w:rPr/>
      </w:r>
    </w:p>
    <w:p>
      <w:pPr>
        <w:pStyle w:val="TextBody"/>
        <w:spacing w:before="0" w:after="0"/>
        <w:jc w:val="both"/>
        <w:rPr>
          <w:color w:val="000000"/>
        </w:rPr>
      </w:pPr>
      <w:r>
        <w:rPr>
          <w:color w:val="000000"/>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(excluding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assets in the Trust Account, in each case net of the interest that may be withdrawn to pay for the Company’s tax obligations..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w:t>
      </w:r>
    </w:p>
    <w:p>
      <w:pPr>
        <w:pStyle w:val="TextBody"/>
        <w:spacing w:before="0" w:after="0"/>
        <w:rPr/>
      </w:pPr>
      <w:r>
        <w:rPr/>
      </w:r>
    </w:p>
    <w:p>
      <w:pPr>
        <w:pStyle w:val="TextBody"/>
        <w:spacing w:before="0" w:after="0"/>
        <w:jc w:val="both"/>
        <w:rPr>
          <w:color w:val="000000"/>
        </w:rPr>
      </w:pPr>
      <w:r>
        <w:rPr>
          <w:color w:val="000000"/>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 The Company has not asked the Sponsor to reserve for such indemnification obligations, nor has the Company independently verified whether the Sponsor has sufficient funds to satisfy its indemnity obligations and the Company believes that the Sponsor’s only assets are securities of the Company. The Sponsor may not be able to satisfy those obligations. None of the Company’s officers or directors will indemnify the Company for claims by third parties including, without limitation, claims by vendors and prospective target businesses.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89" w:name="DSPFPageBreakArea82"/>
      <w:bookmarkStart w:id="990" w:name="DSPFPageBreakArea82"/>
      <w:bookmarkEnd w:id="9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991" w:name="DSPFPageNumber81"/>
      <w:bookmarkStart w:id="992" w:name="DSPFPageNumberArea80"/>
      <w:bookmarkEnd w:id="991"/>
      <w:bookmarkEnd w:id="992"/>
      <w:r>
        <w:rPr>
          <w:b w:val="false"/>
          <w:i w:val="false"/>
          <w:caps w:val="false"/>
          <w:smallCaps w:val="false"/>
          <w:color w:val="000000"/>
          <w:sz w:val="16"/>
        </w:rPr>
        <w:t>F-9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993" w:name="DSPFPageBreak82"/>
      <w:bookmarkStart w:id="994" w:name="DSPFPageBreak82"/>
      <w:bookmarkEnd w:id="9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995" w:name="DSPFPageHeader80"/>
        <w:bookmarkEnd w:id="995"/>
        <w:r>
          <w:rPr>
            <w:rStyle w:val="InternetLink"/>
            <w:i/>
            <w:sz w:val="16"/>
          </w:rPr>
          <w:t>Table of Contents</w:t>
        </w:r>
      </w:hyperlink>
      <w:r>
        <w:rPr/>
        <w:t xml:space="preserve"> </w:t>
      </w:r>
    </w:p>
    <w:p>
      <w:pPr>
        <w:pStyle w:val="TextBody"/>
        <w:spacing w:before="200" w:after="200"/>
        <w:jc w:val="center"/>
        <w:rPr>
          <w:b/>
        </w:rPr>
      </w:pPr>
      <w:r>
        <w:rPr>
          <w:b/>
        </w:rPr>
        <w:t>ARYA SCIENCES ACQUISITION CORP III</w:t>
      </w:r>
    </w:p>
    <w:p>
      <w:pPr>
        <w:pStyle w:val="TextBody"/>
        <w:spacing w:before="200" w:after="200"/>
        <w:jc w:val="center"/>
        <w:rPr>
          <w:b/>
        </w:rPr>
      </w:pPr>
      <w:r>
        <w:rPr>
          <w:b/>
        </w:rPr>
        <w:t>NOTES TO FINANCIAL STATEMENTS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i/>
          <w:color w:val="000000"/>
        </w:rPr>
      </w:pPr>
      <w:r>
        <w:rPr>
          <w:b/>
          <w:i/>
          <w:color w:val="000000"/>
        </w:rPr>
        <w:t>Proposed Nautilus Business Combination and related Proposed Transactions</w:t>
      </w:r>
    </w:p>
    <w:p>
      <w:pPr>
        <w:pStyle w:val="TextBody"/>
        <w:spacing w:before="0" w:after="0"/>
        <w:rPr/>
      </w:pPr>
      <w:r>
        <w:rPr/>
      </w:r>
    </w:p>
    <w:p>
      <w:pPr>
        <w:pStyle w:val="TextBody"/>
        <w:spacing w:before="0" w:after="0"/>
        <w:jc w:val="both"/>
        <w:rPr>
          <w:color w:val="000000"/>
        </w:rPr>
      </w:pPr>
      <w:r>
        <w:rPr>
          <w:color w:val="000000"/>
        </w:rPr>
        <w:t>On February 7, 2021, we entered into a business combination agreement (“Business Combination Agreement”), by and among the Company, Mako Merger Sub, Inc., a Delaware corporation (“Merger Sub”), and Nautilus Biotechnology, Inc., a Delaware corporation (“Nautilus”).</w:t>
      </w:r>
    </w:p>
    <w:p>
      <w:pPr>
        <w:pStyle w:val="TextBody"/>
        <w:spacing w:before="0" w:after="0"/>
        <w:rPr/>
      </w:pPr>
      <w:r>
        <w:rPr/>
      </w:r>
    </w:p>
    <w:p>
      <w:pPr>
        <w:pStyle w:val="TextBody"/>
        <w:spacing w:before="0" w:after="0"/>
        <w:jc w:val="both"/>
        <w:rPr>
          <w:color w:val="000000"/>
        </w:rPr>
      </w:pPr>
      <w:r>
        <w:rPr>
          <w:color w:val="000000"/>
        </w:rPr>
        <w:t>The Business Combination Agreement provides for, among other things, the following transactions: (i) Nautilus will changes its name to “Nautilus Subsidiary, Inc.” (or another name mutually agreed to by us and Nautilus); (ii) we will become a Delaware corporation (the “Domestication”) and, in connection with the Domestication, (A) our name will be changed to “Nautilus Biotechnology, Inc.” (“New Nautilus”) and (B) each of our outstanding Class A ordinary shares and outstanding Class B ordinary shares will become one share of common stock of New Nautilus (the “New Nautilus Common Stock”); and (iii) following the Domestication, Merger Sub will merge with and into Nautilus, with Nautilus as the surviving company in the merger and, after giving effect to such merger, continuing as a wholly-owned subsidiary of New Nautilus (the “Merger”). The Domestication, the Merger and the other transactions contemplated by the Business Combination Agreement are hereinafter referred to as the “Nautilus Business Combination.”</w:t>
      </w:r>
    </w:p>
    <w:p>
      <w:pPr>
        <w:pStyle w:val="TextBody"/>
        <w:spacing w:before="0" w:after="0"/>
        <w:rPr/>
      </w:pPr>
      <w:r>
        <w:rPr/>
      </w:r>
    </w:p>
    <w:p>
      <w:pPr>
        <w:pStyle w:val="TextBody"/>
        <w:spacing w:before="0" w:after="0"/>
        <w:jc w:val="both"/>
        <w:rPr>
          <w:color w:val="000000"/>
        </w:rPr>
      </w:pPr>
      <w:r>
        <w:rPr>
          <w:color w:val="000000"/>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before="0" w:after="0"/>
        <w:rPr/>
      </w:pPr>
      <w:r>
        <w:rPr/>
      </w:r>
    </w:p>
    <w:p>
      <w:pPr>
        <w:pStyle w:val="TextBody"/>
        <w:spacing w:before="0" w:after="0"/>
        <w:jc w:val="both"/>
        <w:rPr>
          <w:color w:val="000000"/>
        </w:rPr>
      </w:pPr>
      <w:r>
        <w:rPr>
          <w:color w:val="000000"/>
        </w:rPr>
        <w:t>The Nautilus Business Combination is expected to close in the second quarter of 2021, following the receipt of the required approval by our shareholders and the fulfillment of other customary closing conditions.</w:t>
      </w:r>
    </w:p>
    <w:p>
      <w:pPr>
        <w:pStyle w:val="TextBody"/>
        <w:spacing w:before="0" w:after="0"/>
        <w:rPr/>
      </w:pPr>
      <w:r>
        <w:rPr/>
      </w:r>
    </w:p>
    <w:p>
      <w:pPr>
        <w:pStyle w:val="TextBody"/>
        <w:spacing w:before="0" w:after="0"/>
        <w:jc w:val="both"/>
        <w:rPr>
          <w:color w:val="000000"/>
        </w:rPr>
      </w:pPr>
      <w:r>
        <w:rPr>
          <w:color w:val="000000"/>
        </w:rPr>
        <w:t>Concurrently with the execution of the Business Combination Agreement, the Company, the Sponsor, and each other holder of Class B ordinary shares of ARYA (the “</w:t>
      </w:r>
      <w:r>
        <w:rPr>
          <w:i/>
          <w:color w:val="000000"/>
        </w:rPr>
        <w:t>Other Class B Shareholders</w:t>
      </w:r>
      <w:r>
        <w:rPr>
          <w:color w:val="000000"/>
        </w:rPr>
        <w:t>”) and Nautilus entered into the Sponsor Letter Agreement (the “</w:t>
      </w:r>
      <w:r>
        <w:rPr>
          <w:i/>
          <w:color w:val="000000"/>
        </w:rPr>
        <w:t>Sponsor Letter Agreement</w:t>
      </w:r>
      <w:r>
        <w:rPr>
          <w:color w:val="000000"/>
        </w:rPr>
        <w: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 (ii) 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and (iii) be bound by certain transfer restrictions with respect to his, her or its shares in the Company prior to the closing of the Nautilus Business Combination, in each case, on the terms and subject to the conditions set forth in the Sponsor Letter Agreement.</w:t>
      </w:r>
    </w:p>
    <w:p>
      <w:pPr>
        <w:pStyle w:val="TextBody"/>
        <w:spacing w:before="0" w:after="0"/>
        <w:rPr/>
      </w:pPr>
      <w:r>
        <w:rPr/>
      </w:r>
    </w:p>
    <w:p>
      <w:pPr>
        <w:pStyle w:val="TextBody"/>
        <w:spacing w:before="0" w:after="0"/>
        <w:jc w:val="both"/>
        <w:rPr>
          <w:color w:val="000000"/>
        </w:rPr>
      </w:pPr>
      <w:r>
        <w:rPr>
          <w:color w:val="000000"/>
        </w:rPr>
        <w:t>Concurrently with the execution of the Business Combination Agreement, we entered into subscription agreements (the “Subscription Agreements”) with certain investors, including, among others, Perceptive Life Sciences Master Fund Ltd., a fund managed by Perceptive Advisors, an affiliate of the Sponsor, as well as certain equity holders of Nautilus and additional third party investors. Pursuant to the Subscription Agreements, each investor agreed to subscribe for and purchase, and the Company agreed to issue and sell to such investors, on the Closing Date (as defined in the Business Combination Agreement) immediately prior to the Closing (as defined in the Business Combination Agreement), an aggregate of 20,000,000 shares of the New Nautilus Common Stock for a purchase price of $10.00 per share, for aggregate gross proceeds of $200,000,000.</w:t>
      </w:r>
    </w:p>
    <w:p>
      <w:pPr>
        <w:pStyle w:val="TextBody"/>
        <w:spacing w:before="0" w:after="0"/>
        <w:jc w:val="both"/>
        <w:rPr/>
      </w:pPr>
      <w:r>
        <w:rPr/>
      </w:r>
    </w:p>
    <w:p>
      <w:pPr>
        <w:pStyle w:val="TextBody"/>
        <w:spacing w:before="0" w:after="0"/>
        <w:jc w:val="both"/>
        <w:rPr>
          <w:color w:val="000000"/>
        </w:rPr>
      </w:pPr>
      <w:r>
        <w:rPr>
          <w:color w:val="000000"/>
        </w:rPr>
        <w:t>Within 24 hours of the signing of the Business Combination Agreement, certain directors, officers and stockholders of Nautilus entered into a Transaction Support Agreement with the Company, pursuant to which such parties have agreed to, among other things, (i) support and vote in favor of the Business Combination Agreement and the transactions contemplated thereby (including the Merger), and (ii) be bound by certain other covenants and agreements related to the Nautilus Business Combination, including a restriction on transfers with respect to his, her or its shares in Nautilus prior to the closing of the Nautilus Business Combination.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996" w:name="DSPFPageBreakArea83"/>
      <w:bookmarkStart w:id="997" w:name="DSPFPageBreakArea83"/>
      <w:bookmarkEnd w:id="9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998" w:name="DSPFPageNumber82"/>
      <w:bookmarkStart w:id="999" w:name="DSPFPageNumberArea81"/>
      <w:bookmarkEnd w:id="998"/>
      <w:bookmarkEnd w:id="999"/>
      <w:r>
        <w:rPr>
          <w:b w:val="false"/>
          <w:i w:val="false"/>
          <w:caps w:val="false"/>
          <w:smallCaps w:val="false"/>
          <w:color w:val="000000"/>
          <w:sz w:val="16"/>
        </w:rPr>
        <w:t>F-10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00" w:name="DSPFPageBreak83"/>
      <w:bookmarkStart w:id="1001" w:name="DSPFPageBreak83"/>
      <w:bookmarkEnd w:id="10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002" w:name="DSPFPageHeader81"/>
        <w:bookmarkEnd w:id="1002"/>
        <w:r>
          <w:rPr>
            <w:rStyle w:val="InternetLink"/>
            <w:i/>
            <w:sz w:val="16"/>
          </w:rPr>
          <w:t>Table of Contents</w:t>
        </w:r>
      </w:hyperlink>
      <w:r>
        <w:rPr/>
        <w:t xml:space="preserve"> </w:t>
      </w:r>
    </w:p>
    <w:p>
      <w:pPr>
        <w:pStyle w:val="TextBody"/>
        <w:spacing w:before="200" w:after="200"/>
        <w:jc w:val="center"/>
        <w:rPr>
          <w:b/>
        </w:rPr>
      </w:pPr>
      <w:r>
        <w:rPr>
          <w:b/>
        </w:rPr>
        <w:t>ARYA SCIENCES ACQUISITION CORP III</w:t>
      </w:r>
    </w:p>
    <w:p>
      <w:pPr>
        <w:pStyle w:val="TextBody"/>
        <w:spacing w:before="200" w:after="200"/>
        <w:jc w:val="center"/>
        <w:rPr>
          <w:b/>
        </w:rPr>
      </w:pPr>
      <w:r>
        <w:rPr>
          <w:b/>
        </w:rPr>
        <w:t>NOTES TO FINANCIAL STATEMENTS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The Company, the Perceptive Shareholders (as defined in the Business Combination Agreement), the Other Class B Shareholders and certain Nautilus shareholders entered into an amended and restated registration rights and lock-up agreement, pursuant to which, among other things, the Perceptive Shareholders, the Other Class B Shareholders and the certain Nautilus shareholders agreed not to effect any sale or distribution of the company equity securities during the lock-up period described therein and will be granted certain customary registration rights, in each case subject to, and conditioned upon and effective as of, the effective time of the Merger.</w:t>
      </w:r>
    </w:p>
    <w:p>
      <w:pPr>
        <w:pStyle w:val="TextBody"/>
        <w:spacing w:before="0" w:after="0"/>
        <w:jc w:val="both"/>
        <w:rPr/>
      </w:pPr>
      <w:r>
        <w:rPr/>
      </w:r>
    </w:p>
    <w:p>
      <w:pPr>
        <w:pStyle w:val="TextBody"/>
        <w:spacing w:before="0" w:after="0"/>
        <w:jc w:val="both"/>
        <w:rPr>
          <w:color w:val="000000"/>
        </w:rPr>
      </w:pPr>
      <w:r>
        <w:rPr>
          <w:color w:val="000000"/>
        </w:rPr>
        <w:t>A copy of each of the above referenced agreements is filed as exhibits with a Current Report on Form 8-K, filed with the SEC on February 8, 2021.</w:t>
      </w:r>
    </w:p>
    <w:p>
      <w:pPr>
        <w:pStyle w:val="TextBody"/>
        <w:spacing w:before="0" w:after="0"/>
        <w:rPr/>
      </w:pPr>
      <w:r>
        <w:rPr/>
      </w:r>
    </w:p>
    <w:p>
      <w:pPr>
        <w:pStyle w:val="TextBody"/>
        <w:spacing w:before="0" w:after="0"/>
        <w:jc w:val="both"/>
        <w:rPr>
          <w:b/>
          <w:i/>
        </w:rPr>
      </w:pPr>
      <w:r>
        <w:rPr>
          <w:b/>
          <w:i/>
        </w:rPr>
        <w:t>Liquidity and Capital Resources</w:t>
      </w:r>
    </w:p>
    <w:p>
      <w:pPr>
        <w:pStyle w:val="TextBody"/>
        <w:spacing w:before="0" w:after="0"/>
        <w:rPr/>
      </w:pPr>
      <w:r>
        <w:rPr/>
      </w:r>
    </w:p>
    <w:p>
      <w:pPr>
        <w:pStyle w:val="TextBody"/>
        <w:spacing w:before="0" w:after="0"/>
        <w:jc w:val="both"/>
        <w:rPr>
          <w:color w:val="000000"/>
        </w:rPr>
      </w:pPr>
      <w:r>
        <w:rPr>
          <w:color w:val="000000"/>
        </w:rPr>
        <w:t>As of December 31, 2020, the Company had approximately $1.0 million in its operating bank account and working capital of approximately $916,000.</w:t>
      </w:r>
    </w:p>
    <w:p>
      <w:pPr>
        <w:pStyle w:val="TextBody"/>
        <w:spacing w:before="0" w:after="0"/>
        <w:rPr/>
      </w:pPr>
      <w:r>
        <w:rPr/>
      </w:r>
    </w:p>
    <w:p>
      <w:pPr>
        <w:pStyle w:val="TextBody"/>
        <w:spacing w:before="0" w:after="0"/>
        <w:jc w:val="both"/>
        <w:rPr>
          <w:color w:val="000000"/>
        </w:rPr>
      </w:pPr>
      <w:r>
        <w:rPr>
          <w:color w:val="000000"/>
        </w:rPr>
        <w:t>The Company’s liquidity needs to date have been satisfied through a contribution of $25,000 from the Sponsor to cover certain of the Company’s offering costs in exchange for the issuance of the Founder Shares, the loan proceeds of $200,000 from the Sponsor pursuant to the Note (see Note 4), and the proceeds from the consummation of the Private Placement not held in the Trust Account. The Company fully repaid the Note on August 11, 2020.  In addition, in order to finance transaction costs in connection with a Business Combination, the Sponsor or an affiliate of the Sponsor, or certain of the Company’s officers and directors may, but are not obligated to, provide the Company Working Capital Loans (see Note 4). As of December 31, 2020, there were no amounts outstanding under any Working Capital Loan.</w:t>
      </w:r>
    </w:p>
    <w:p>
      <w:pPr>
        <w:pStyle w:val="TextBody"/>
        <w:spacing w:before="0" w:after="0"/>
        <w:rPr/>
      </w:pPr>
      <w:r>
        <w:rPr/>
      </w:r>
    </w:p>
    <w:p>
      <w:pPr>
        <w:pStyle w:val="TextBody"/>
        <w:spacing w:before="0" w:after="0"/>
        <w:jc w:val="both"/>
        <w:rPr>
          <w:color w:val="000000"/>
        </w:rPr>
      </w:pPr>
      <w:r>
        <w:rPr>
          <w:color w:val="000000"/>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pStyle w:val="TextBody"/>
        <w:spacing w:before="0" w:after="0"/>
        <w:rPr/>
      </w:pPr>
      <w:r>
        <w:rPr/>
      </w:r>
    </w:p>
    <w:p>
      <w:pPr>
        <w:pStyle w:val="TextBody"/>
        <w:spacing w:before="0" w:after="0"/>
        <w:jc w:val="both"/>
        <w:rPr>
          <w:b/>
          <w:i/>
          <w:color w:val="000000"/>
        </w:rPr>
      </w:pPr>
      <w:r>
        <w:rPr>
          <w:b/>
          <w:i/>
          <w:color w:val="000000"/>
        </w:rPr>
        <w:t>Risk and Uncertainties</w:t>
      </w:r>
    </w:p>
    <w:p>
      <w:pPr>
        <w:pStyle w:val="TextBody"/>
        <w:spacing w:before="0" w:after="0"/>
        <w:rPr/>
      </w:pPr>
      <w:r>
        <w:rPr/>
      </w:r>
    </w:p>
    <w:p>
      <w:pPr>
        <w:pStyle w:val="TextBody"/>
        <w:spacing w:before="0" w:after="0"/>
        <w:jc w:val="both"/>
        <w:rPr>
          <w:color w:val="000000"/>
        </w:rPr>
      </w:pPr>
      <w:r>
        <w:rPr>
          <w:color w:val="000000"/>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statements do not include any adjustments that might result from the outcome of this uncertainty.</w:t>
      </w:r>
    </w:p>
    <w:p>
      <w:pPr>
        <w:pStyle w:val="TextBody"/>
        <w:spacing w:before="0" w:after="0"/>
        <w:rPr/>
      </w:pPr>
      <w:r>
        <w:rPr/>
      </w:r>
    </w:p>
    <w:p>
      <w:pPr>
        <w:pStyle w:val="TextBody"/>
        <w:spacing w:before="0" w:after="0"/>
        <w:jc w:val="both"/>
        <w:rPr>
          <w:b/>
        </w:rPr>
      </w:pPr>
      <w:r>
        <w:rPr>
          <w:b/>
        </w:rPr>
        <w:t>Note 2 — Summary of Significant Accounting Policies</w:t>
      </w:r>
    </w:p>
    <w:p>
      <w:pPr>
        <w:pStyle w:val="TextBody"/>
        <w:spacing w:before="0" w:after="0"/>
        <w:jc w:val="both"/>
        <w:rPr/>
      </w:pPr>
      <w:r>
        <w:rPr/>
      </w:r>
    </w:p>
    <w:p>
      <w:pPr>
        <w:pStyle w:val="TextBody"/>
        <w:spacing w:before="0" w:after="0"/>
        <w:jc w:val="both"/>
        <w:rPr>
          <w:i/>
        </w:rPr>
      </w:pPr>
      <w:r>
        <w:rPr>
          <w:i/>
        </w:rPr>
        <w:t>Basis of Presentation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03" w:name="DSPFPageBreakArea84"/>
      <w:bookmarkStart w:id="1004" w:name="DSPFPageBreakArea84"/>
      <w:bookmarkEnd w:id="10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005" w:name="DSPFPageNumber83"/>
      <w:bookmarkStart w:id="1006" w:name="DSPFPageNumberArea82"/>
      <w:bookmarkEnd w:id="1005"/>
      <w:bookmarkEnd w:id="1006"/>
      <w:r>
        <w:rPr>
          <w:b w:val="false"/>
          <w:i w:val="false"/>
          <w:caps w:val="false"/>
          <w:smallCaps w:val="false"/>
          <w:color w:val="000000"/>
          <w:sz w:val="16"/>
        </w:rPr>
        <w:t>F-11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07" w:name="DSPFPageBreak84"/>
      <w:bookmarkStart w:id="1008" w:name="DSPFPageBreak84"/>
      <w:bookmarkEnd w:id="10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009" w:name="DSPFPageHeader82"/>
        <w:bookmarkEnd w:id="1009"/>
        <w:r>
          <w:rPr>
            <w:rStyle w:val="InternetLink"/>
            <w:i/>
            <w:sz w:val="16"/>
          </w:rPr>
          <w:t>Table of Contents</w:t>
        </w:r>
      </w:hyperlink>
      <w:r>
        <w:rPr/>
        <w:t xml:space="preserve"> </w:t>
      </w:r>
    </w:p>
    <w:p>
      <w:pPr>
        <w:pStyle w:val="TextBody"/>
        <w:spacing w:before="200" w:after="200"/>
        <w:jc w:val="center"/>
        <w:rPr>
          <w:b/>
        </w:rPr>
      </w:pPr>
      <w:r>
        <w:rPr>
          <w:b/>
        </w:rPr>
        <w:t>ARYA SCIENCES ACQUISITION CORP III</w:t>
      </w:r>
    </w:p>
    <w:p>
      <w:pPr>
        <w:pStyle w:val="TextBody"/>
        <w:spacing w:before="200" w:after="200"/>
        <w:jc w:val="center"/>
        <w:rPr>
          <w:b/>
        </w:rPr>
      </w:pPr>
      <w:r>
        <w:rPr>
          <w:b/>
        </w:rPr>
        <w:t>NOTES TO FINANCIAL STATEMENTS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The accompanying financial statements are presented in U.S. dollars in conformity with accounting principles generally accepted in the United States of America (“U.S. GAAP”) and pursuant to the rules and regulations of the SEC.</w:t>
      </w:r>
    </w:p>
    <w:p>
      <w:pPr>
        <w:pStyle w:val="TextBody"/>
        <w:spacing w:before="0" w:after="0"/>
        <w:rPr/>
      </w:pPr>
      <w:r>
        <w:rPr/>
      </w:r>
    </w:p>
    <w:p>
      <w:pPr>
        <w:pStyle w:val="TextBody"/>
        <w:spacing w:before="0" w:after="0"/>
        <w:jc w:val="both"/>
        <w:rPr>
          <w:i/>
        </w:rPr>
      </w:pPr>
      <w:r>
        <w:rPr>
          <w:i/>
        </w:rPr>
        <w:t>Use of Estimates</w:t>
      </w:r>
    </w:p>
    <w:p>
      <w:pPr>
        <w:pStyle w:val="TextBody"/>
        <w:spacing w:before="0" w:after="0"/>
        <w:rPr/>
      </w:pPr>
      <w:r>
        <w:rPr/>
      </w:r>
    </w:p>
    <w:p>
      <w:pPr>
        <w:pStyle w:val="TextBody"/>
        <w:spacing w:before="0" w:after="0"/>
        <w:jc w:val="both"/>
        <w:rPr/>
      </w:pPr>
      <w:r>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pStyle w:val="TextBody"/>
        <w:spacing w:before="0" w:after="0"/>
        <w:rPr/>
      </w:pPr>
      <w:r>
        <w:rPr/>
      </w:r>
    </w:p>
    <w:p>
      <w:pPr>
        <w:pStyle w:val="TextBody"/>
        <w:spacing w:before="0" w:after="0"/>
        <w:jc w:val="both"/>
        <w:rPr/>
      </w:pPr>
      <w:r>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pStyle w:val="TextBody"/>
        <w:spacing w:before="0" w:after="0"/>
        <w:rPr/>
      </w:pPr>
      <w:r>
        <w:rPr/>
      </w:r>
    </w:p>
    <w:p>
      <w:pPr>
        <w:pStyle w:val="TextBody"/>
        <w:spacing w:before="0" w:after="0"/>
        <w:jc w:val="both"/>
        <w:rPr>
          <w:i/>
        </w:rPr>
      </w:pPr>
      <w:r>
        <w:rPr>
          <w:i/>
        </w:rPr>
        <w:t>Emerging Growth Company</w:t>
      </w:r>
    </w:p>
    <w:p>
      <w:pPr>
        <w:pStyle w:val="TextBody"/>
        <w:spacing w:before="0" w:after="0"/>
        <w:rPr/>
      </w:pPr>
      <w:r>
        <w:rPr/>
      </w:r>
    </w:p>
    <w:p>
      <w:pPr>
        <w:pStyle w:val="TextBody"/>
        <w:spacing w:before="0" w:after="0"/>
        <w:jc w:val="both"/>
        <w:rPr/>
      </w:pPr>
      <w:r>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spacing w:before="0" w:after="0"/>
        <w:rPr/>
      </w:pPr>
      <w:r>
        <w:rPr/>
      </w:r>
    </w:p>
    <w:p>
      <w:pPr>
        <w:pStyle w:val="TextBody"/>
        <w:spacing w:before="0" w:after="0"/>
        <w:jc w:val="both"/>
        <w:rPr/>
      </w:pPr>
      <w:r>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pStyle w:val="TextBody"/>
        <w:spacing w:before="0" w:after="0"/>
        <w:rPr/>
      </w:pPr>
      <w:r>
        <w:rPr/>
      </w:r>
    </w:p>
    <w:p>
      <w:pPr>
        <w:pStyle w:val="TextBody"/>
        <w:spacing w:before="0" w:after="0"/>
        <w:jc w:val="both"/>
        <w:rPr/>
      </w:pPr>
      <w:r>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spacing w:before="0" w:after="0"/>
        <w:rPr/>
      </w:pPr>
      <w:r>
        <w:rPr/>
      </w:r>
    </w:p>
    <w:p>
      <w:pPr>
        <w:pStyle w:val="TextBody"/>
        <w:spacing w:before="0" w:after="0"/>
        <w:jc w:val="both"/>
        <w:rPr>
          <w:i/>
          <w:color w:val="000000"/>
        </w:rPr>
      </w:pPr>
      <w:r>
        <w:rPr>
          <w:i/>
          <w:color w:val="000000"/>
        </w:rPr>
        <w:t>Cash and Cash Equivalents</w:t>
      </w:r>
    </w:p>
    <w:p>
      <w:pPr>
        <w:pStyle w:val="TextBody"/>
        <w:spacing w:before="0" w:after="0"/>
        <w:rPr/>
      </w:pPr>
      <w:r>
        <w:rPr/>
      </w:r>
    </w:p>
    <w:p>
      <w:pPr>
        <w:pStyle w:val="TextBody"/>
        <w:spacing w:before="0" w:after="0"/>
        <w:jc w:val="both"/>
        <w:rPr>
          <w:color w:val="000000"/>
        </w:rPr>
      </w:pPr>
      <w:r>
        <w:rPr>
          <w:color w:val="000000"/>
        </w:rPr>
        <w:t>The Company considers all short-term investments with an original maturity of three months or less when purchased to be cash equivalents. The Company had $1,926 in cash equivalents as of December 31, 2020 held in the Trust Account.</w:t>
      </w:r>
    </w:p>
    <w:p>
      <w:pPr>
        <w:pStyle w:val="TextBody"/>
        <w:spacing w:before="0" w:after="0"/>
        <w:rPr/>
      </w:pPr>
      <w:r>
        <w:rPr/>
      </w:r>
    </w:p>
    <w:p>
      <w:pPr>
        <w:pStyle w:val="TextBody"/>
        <w:spacing w:before="0" w:after="0"/>
        <w:jc w:val="both"/>
        <w:rPr>
          <w:i/>
        </w:rPr>
      </w:pPr>
      <w:r>
        <w:rPr>
          <w:i/>
        </w:rPr>
        <w:t>Concentration of Credit Risk</w:t>
      </w:r>
    </w:p>
    <w:p>
      <w:pPr>
        <w:pStyle w:val="TextBody"/>
        <w:spacing w:before="0" w:after="0"/>
        <w:rPr/>
      </w:pPr>
      <w:r>
        <w:rPr/>
      </w:r>
    </w:p>
    <w:p>
      <w:pPr>
        <w:pStyle w:val="TextBody"/>
        <w:spacing w:before="0" w:after="0"/>
        <w:jc w:val="both"/>
        <w:rPr/>
      </w:pPr>
      <w:r>
        <w:rPr>
          <w:color w:val="000000"/>
        </w:rPr>
        <w:t>Financial instruments that potentially subject the Company to concentrations of credit risk consist of cash accounts in a financial institution, which, at times, may exceed the Federal Depository Insurance Coverage of $250,000, and investments held in Trust Account. At December 31, 2020, the Company has not experienced losses on these accounts and management believes the Company is not exposed to significant risks on such accounts</w:t>
      </w:r>
      <w:r>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10" w:name="DSPFPageBreakArea85"/>
      <w:bookmarkStart w:id="1011" w:name="DSPFPageBreakArea85"/>
      <w:bookmarkEnd w:id="10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012" w:name="DSPFPageNumber84"/>
      <w:bookmarkStart w:id="1013" w:name="DSPFPageNumberArea83"/>
      <w:bookmarkEnd w:id="1012"/>
      <w:bookmarkEnd w:id="1013"/>
      <w:r>
        <w:rPr>
          <w:b w:val="false"/>
          <w:i w:val="false"/>
          <w:caps w:val="false"/>
          <w:smallCaps w:val="false"/>
          <w:color w:val="000000"/>
          <w:sz w:val="16"/>
        </w:rPr>
        <w:t>F-12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14" w:name="DSPFPageBreak85"/>
      <w:bookmarkStart w:id="1015" w:name="DSPFPageBreak85"/>
      <w:bookmarkEnd w:id="10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016" w:name="DSPFPageHeader83"/>
        <w:bookmarkEnd w:id="1016"/>
        <w:r>
          <w:rPr>
            <w:rStyle w:val="InternetLink"/>
            <w:i/>
            <w:sz w:val="16"/>
          </w:rPr>
          <w:t>Table of Contents</w:t>
        </w:r>
      </w:hyperlink>
      <w:r>
        <w:rPr/>
        <w:t xml:space="preserve"> </w:t>
      </w:r>
    </w:p>
    <w:p>
      <w:pPr>
        <w:pStyle w:val="TextBody"/>
        <w:spacing w:before="200" w:after="200"/>
        <w:jc w:val="center"/>
        <w:rPr>
          <w:b/>
        </w:rPr>
      </w:pPr>
      <w:r>
        <w:rPr>
          <w:b/>
        </w:rPr>
        <w:t>ARYA SCIENCES ACQUISITION CORP III</w:t>
      </w:r>
    </w:p>
    <w:p>
      <w:pPr>
        <w:pStyle w:val="TextBody"/>
        <w:spacing w:before="200" w:after="200"/>
        <w:jc w:val="center"/>
        <w:rPr>
          <w:b/>
        </w:rPr>
      </w:pPr>
      <w:r>
        <w:rPr>
          <w:b/>
        </w:rPr>
        <w:t>NOTES TO FINANCIAL STATEMENTS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i/>
          <w:color w:val="000000"/>
        </w:rPr>
      </w:pPr>
      <w:r>
        <w:rPr>
          <w:i/>
          <w:color w:val="000000"/>
        </w:rPr>
        <w:t>Investment Securities Held in Trust Account</w:t>
      </w:r>
    </w:p>
    <w:p>
      <w:pPr>
        <w:pStyle w:val="TextBody"/>
        <w:spacing w:before="0" w:after="0"/>
        <w:rPr/>
      </w:pPr>
      <w:r>
        <w:rPr/>
      </w:r>
    </w:p>
    <w:p>
      <w:pPr>
        <w:pStyle w:val="TextBody"/>
        <w:spacing w:before="0" w:after="0"/>
        <w:jc w:val="both"/>
        <w:rPr>
          <w:color w:val="000000"/>
        </w:rPr>
      </w:pPr>
      <w:r>
        <w:rPr>
          <w:color w:val="000000"/>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 Investments held in Trust Account are classified as trading securities, which are presented on the balance sheet at fair value at the end of the reporting period. Gains and losses resulting from the change in fair value of trading securities is included in investment income on Trust Account in the accompanying statement of operations.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pStyle w:val="TextBody"/>
        <w:spacing w:before="0" w:after="0"/>
        <w:jc w:val="both"/>
        <w:rPr/>
      </w:pPr>
      <w:r>
        <w:rPr/>
      </w:r>
    </w:p>
    <w:p>
      <w:pPr>
        <w:pStyle w:val="TextBody"/>
        <w:spacing w:before="0" w:after="0"/>
        <w:jc w:val="both"/>
        <w:rPr>
          <w:i/>
        </w:rPr>
      </w:pPr>
      <w:r>
        <w:rPr>
          <w:i/>
        </w:rPr>
        <w:t>Fair Value Measurements</w:t>
      </w:r>
    </w:p>
    <w:p>
      <w:pPr>
        <w:pStyle w:val="TextBody"/>
        <w:spacing w:before="0" w:after="0"/>
        <w:rPr/>
      </w:pPr>
      <w:r>
        <w:rPr/>
      </w:r>
    </w:p>
    <w:p>
      <w:pPr>
        <w:pStyle w:val="TextBody"/>
        <w:spacing w:before="0" w:after="0"/>
        <w:jc w:val="both"/>
        <w:rPr/>
      </w:pPr>
      <w:r>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pStyle w:val="TextBody"/>
        <w:spacing w:before="0" w:after="0"/>
        <w:rPr/>
      </w:pPr>
      <w:r>
        <w:rPr/>
      </w:r>
    </w:p>
    <w:p>
      <w:pPr>
        <w:pStyle w:val="Normal"/>
        <w:spacing w:before="0" w:after="0"/>
        <w:rPr>
          <w:sz w:val="4"/>
          <w:szCs w:val="4"/>
        </w:rPr>
      </w:pPr>
      <w:r>
        <w:rPr>
          <w:sz w:val="4"/>
          <w:szCs w:val="4"/>
        </w:rPr>
      </w:r>
      <w:bookmarkStart w:id="1017" w:name="z76825a827a2748319711d7f1f5f11ee6"/>
      <w:bookmarkStart w:id="1018" w:name="z76825a827a2748319711d7f1f5f11ee6"/>
      <w:bookmarkEnd w:id="101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Level 1, defined as observable inputs such as quoted prices (unadjusted) for identical instruments in active markets;</w:t>
            </w:r>
          </w:p>
        </w:tc>
      </w:tr>
    </w:tbl>
    <w:p>
      <w:pPr>
        <w:pStyle w:val="TextBody"/>
        <w:spacing w:before="0" w:after="0"/>
        <w:rPr/>
      </w:pPr>
      <w:r>
        <w:rPr/>
      </w:r>
    </w:p>
    <w:p>
      <w:pPr>
        <w:pStyle w:val="Normal"/>
        <w:spacing w:before="0" w:after="0"/>
        <w:rPr>
          <w:sz w:val="4"/>
          <w:szCs w:val="4"/>
        </w:rPr>
      </w:pPr>
      <w:r>
        <w:rPr>
          <w:sz w:val="4"/>
          <w:szCs w:val="4"/>
        </w:rPr>
      </w:r>
      <w:bookmarkStart w:id="1019" w:name="zcde4e5207e2540f188d96b71a972b9df"/>
      <w:bookmarkStart w:id="1020" w:name="zcde4e5207e2540f188d96b71a972b9df"/>
      <w:bookmarkEnd w:id="102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tc>
      </w:tr>
    </w:tbl>
    <w:p>
      <w:pPr>
        <w:pStyle w:val="TextBody"/>
        <w:spacing w:before="0" w:after="0"/>
        <w:rPr/>
      </w:pPr>
      <w:r>
        <w:rPr/>
      </w:r>
    </w:p>
    <w:p>
      <w:pPr>
        <w:pStyle w:val="Normal"/>
        <w:spacing w:before="0" w:after="0"/>
        <w:rPr>
          <w:sz w:val="4"/>
          <w:szCs w:val="4"/>
        </w:rPr>
      </w:pPr>
      <w:r>
        <w:rPr>
          <w:sz w:val="4"/>
          <w:szCs w:val="4"/>
        </w:rPr>
      </w:r>
      <w:bookmarkStart w:id="1021" w:name="zda6202926a6242ccbab23adba0677b8e"/>
      <w:bookmarkStart w:id="1022" w:name="zda6202926a6242ccbab23adba0677b8e"/>
      <w:bookmarkEnd w:id="102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tc>
      </w:tr>
    </w:tbl>
    <w:p>
      <w:pPr>
        <w:pStyle w:val="TextBody"/>
        <w:spacing w:before="0" w:after="0"/>
        <w:rPr/>
      </w:pPr>
      <w:r>
        <w:rPr/>
      </w:r>
    </w:p>
    <w:p>
      <w:pPr>
        <w:pStyle w:val="TextBody"/>
        <w:spacing w:before="0" w:after="0"/>
        <w:jc w:val="both"/>
        <w:rPr/>
      </w:pPr>
      <w:r>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spacing w:before="0" w:after="0"/>
        <w:rPr/>
      </w:pPr>
      <w:r>
        <w:rPr/>
      </w:r>
    </w:p>
    <w:p>
      <w:pPr>
        <w:pStyle w:val="TextBody"/>
        <w:spacing w:before="0" w:after="0"/>
        <w:jc w:val="both"/>
        <w:rPr/>
      </w:pPr>
      <w:r>
        <w:rPr/>
        <w:t>As of December 31, 2020,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pStyle w:val="TextBody"/>
        <w:spacing w:before="0" w:after="0"/>
        <w:rPr/>
      </w:pPr>
      <w:r>
        <w:rPr/>
      </w:r>
    </w:p>
    <w:p>
      <w:pPr>
        <w:pStyle w:val="TextBody"/>
        <w:spacing w:before="0" w:after="0"/>
        <w:jc w:val="both"/>
        <w:rPr>
          <w:i/>
          <w:color w:val="000000"/>
        </w:rPr>
      </w:pPr>
      <w:r>
        <w:rPr>
          <w:i/>
          <w:color w:val="000000"/>
        </w:rPr>
        <w:t>Offering Costs Associated with the Initial Public Offering</w:t>
      </w:r>
    </w:p>
    <w:p>
      <w:pPr>
        <w:pStyle w:val="TextBody"/>
        <w:spacing w:before="0" w:after="0"/>
        <w:rPr/>
      </w:pPr>
      <w:r>
        <w:rPr/>
      </w:r>
    </w:p>
    <w:p>
      <w:pPr>
        <w:pStyle w:val="TextBody"/>
        <w:spacing w:before="0" w:after="0"/>
        <w:jc w:val="both"/>
        <w:rPr>
          <w:color w:val="000000"/>
        </w:rPr>
      </w:pPr>
      <w:r>
        <w:rPr>
          <w:color w:val="000000"/>
        </w:rPr>
        <w:t>Offering costs consisted of underwriters’ commissions, legal, accounting, and other costs incurred that were directly related to the Initial Public Offering and that were charged to shareholders’ equity upon the completion of the Initial Public Offering.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23" w:name="DSPFPageBreakArea86"/>
      <w:bookmarkStart w:id="1024" w:name="DSPFPageBreakArea86"/>
      <w:bookmarkEnd w:id="10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025" w:name="DSPFPageNumber85"/>
      <w:bookmarkStart w:id="1026" w:name="DSPFPageNumberArea84"/>
      <w:bookmarkEnd w:id="1025"/>
      <w:bookmarkEnd w:id="1026"/>
      <w:r>
        <w:rPr>
          <w:b w:val="false"/>
          <w:i w:val="false"/>
          <w:caps w:val="false"/>
          <w:smallCaps w:val="false"/>
          <w:color w:val="000000"/>
          <w:sz w:val="16"/>
        </w:rPr>
        <w:t>F-13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27" w:name="DSPFPageBreak86"/>
      <w:bookmarkStart w:id="1028" w:name="DSPFPageBreak86"/>
      <w:bookmarkEnd w:id="1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029" w:name="DSPFPageHeader84"/>
        <w:bookmarkEnd w:id="1029"/>
        <w:r>
          <w:rPr>
            <w:rStyle w:val="InternetLink"/>
            <w:i/>
            <w:sz w:val="16"/>
          </w:rPr>
          <w:t>Table of Contents</w:t>
        </w:r>
      </w:hyperlink>
      <w:r>
        <w:rPr/>
        <w:t xml:space="preserve"> </w:t>
      </w:r>
    </w:p>
    <w:p>
      <w:pPr>
        <w:pStyle w:val="TextBody"/>
        <w:spacing w:before="200" w:after="200"/>
        <w:jc w:val="center"/>
        <w:rPr>
          <w:b/>
        </w:rPr>
      </w:pPr>
      <w:r>
        <w:rPr>
          <w:b/>
        </w:rPr>
        <w:t>ARYA SCIENCES ACQUISITION CORP III</w:t>
      </w:r>
    </w:p>
    <w:p>
      <w:pPr>
        <w:pStyle w:val="TextBody"/>
        <w:spacing w:before="200" w:after="200"/>
        <w:jc w:val="center"/>
        <w:rPr>
          <w:b/>
        </w:rPr>
      </w:pPr>
      <w:r>
        <w:rPr>
          <w:b/>
        </w:rPr>
        <w:t>NOTES TO FINANCIAL STATEMENTS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i/>
        </w:rPr>
      </w:pPr>
      <w:r>
        <w:rPr>
          <w:i/>
        </w:rPr>
        <w:t>Class A Ordinary Shares subject to possible redemption</w:t>
      </w:r>
    </w:p>
    <w:p>
      <w:pPr>
        <w:pStyle w:val="TextBody"/>
        <w:spacing w:before="0" w:after="0"/>
        <w:rPr/>
      </w:pPr>
      <w:r>
        <w:rPr/>
      </w:r>
    </w:p>
    <w:p>
      <w:pPr>
        <w:pStyle w:val="TextBody"/>
        <w:spacing w:before="0" w:after="0"/>
        <w:jc w:val="both"/>
        <w:rPr/>
      </w:pPr>
      <w:r>
        <w:rPr>
          <w:color w:val="000000"/>
        </w:rPr>
        <w:t>The Company accounts for its Class A ordinary shares subject to possible redemption in accordance with the guidance in FASB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December 31, 2020, 14,023,673 Class A ordinary shares subject to possible redemption are presented as temporary equity, outside of the shareholders’ equity section of the Company’s balance sheet</w:t>
      </w:r>
      <w:r>
        <w:rPr/>
        <w:t>.</w:t>
      </w:r>
    </w:p>
    <w:p>
      <w:pPr>
        <w:pStyle w:val="TextBody"/>
        <w:spacing w:before="0" w:after="0"/>
        <w:rPr/>
      </w:pPr>
      <w:r>
        <w:rPr/>
      </w:r>
    </w:p>
    <w:p>
      <w:pPr>
        <w:pStyle w:val="TextBody"/>
        <w:spacing w:before="0" w:after="0"/>
        <w:jc w:val="both"/>
        <w:rPr>
          <w:i/>
        </w:rPr>
      </w:pPr>
      <w:r>
        <w:rPr>
          <w:i/>
        </w:rPr>
        <w:t>Net Income (Loss) Per Ordinary Share</w:t>
      </w:r>
    </w:p>
    <w:p>
      <w:pPr>
        <w:pStyle w:val="TextBody"/>
        <w:spacing w:before="0" w:after="0"/>
        <w:rPr/>
      </w:pPr>
      <w:r>
        <w:rPr/>
      </w:r>
    </w:p>
    <w:p>
      <w:pPr>
        <w:pStyle w:val="TextBody"/>
        <w:spacing w:before="0" w:after="0"/>
        <w:jc w:val="both"/>
        <w:rPr>
          <w:color w:val="000000"/>
        </w:rPr>
      </w:pPr>
      <w:r>
        <w:rPr>
          <w:color w:val="000000"/>
        </w:rPr>
        <w:t>Net income (loss) per share is computed by dividing net income by the weighted-average number of ordinary shares outstanding during the period. The Company’s statement of operations includes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approximately $53,000 for the period from March 27, 2020 (inception) through December 31, 2020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w:t>
      </w:r>
    </w:p>
    <w:p>
      <w:pPr>
        <w:pStyle w:val="TextBody"/>
        <w:spacing w:before="0" w:after="0"/>
        <w:rPr/>
      </w:pPr>
      <w:r>
        <w:rPr/>
      </w:r>
    </w:p>
    <w:p>
      <w:pPr>
        <w:pStyle w:val="TextBody"/>
        <w:spacing w:before="0" w:after="0"/>
        <w:jc w:val="both"/>
        <w:rPr>
          <w:i/>
        </w:rPr>
      </w:pPr>
      <w:r>
        <w:rPr>
          <w:i/>
        </w:rPr>
        <w:t>Income Taxes</w:t>
      </w:r>
    </w:p>
    <w:p>
      <w:pPr>
        <w:pStyle w:val="TextBody"/>
        <w:spacing w:before="0" w:after="0"/>
        <w:jc w:val="both"/>
        <w:rPr/>
      </w:pPr>
      <w:r>
        <w:rPr/>
      </w:r>
    </w:p>
    <w:p>
      <w:pPr>
        <w:pStyle w:val="TextBody"/>
        <w:spacing w:before="0" w:after="0"/>
        <w:jc w:val="both"/>
        <w:rPr/>
      </w:pPr>
      <w:r>
        <w:rPr/>
        <w:t>The Company follows the asset and liability method of accounting for income taxes under FASB ASC Topic 740, “</w:t>
      </w:r>
      <w:r>
        <w:rPr>
          <w:i/>
        </w:rPr>
        <w:t>Income Taxes</w:t>
      </w:r>
      <w:r>
        <w:rPr/>
        <w:t xml:space="preserve">,”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2020.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w:t>
      </w:r>
      <w:r>
        <w:rPr>
          <w:color w:val="000000"/>
        </w:rPr>
        <w:t>period from March 27, 2020 (inception) through December 31, 2020</w:t>
      </w:r>
      <w:r>
        <w:rPr/>
        <w:t>. The Company is currently not aware of any issues under review that could result in significant payments, accruals or material deviation from its position.</w:t>
      </w:r>
    </w:p>
    <w:p>
      <w:pPr>
        <w:pStyle w:val="TextBody"/>
        <w:spacing w:before="0" w:after="0"/>
        <w:ind w:left="0" w:right="0" w:firstLine="360"/>
        <w:jc w:val="both"/>
        <w:rPr/>
      </w:pPr>
      <w:r>
        <w:rPr/>
      </w:r>
    </w:p>
    <w:p>
      <w:pPr>
        <w:pStyle w:val="TextBody"/>
        <w:spacing w:before="0" w:after="0"/>
        <w:jc w:val="both"/>
        <w:rPr/>
      </w:pPr>
      <w:r>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financial statements. The Company’s management does not expect that the total amount of unrecognized tax benefits will materially change over the next twelve months.</w:t>
      </w:r>
    </w:p>
    <w:p>
      <w:pPr>
        <w:pStyle w:val="TextBody"/>
        <w:spacing w:before="0" w:after="0"/>
        <w:ind w:left="0" w:right="0" w:firstLine="360"/>
        <w:jc w:val="both"/>
        <w:rPr/>
      </w:pPr>
      <w:r>
        <w:rPr/>
      </w:r>
    </w:p>
    <w:p>
      <w:pPr>
        <w:pStyle w:val="TextBody"/>
        <w:spacing w:before="0" w:after="0"/>
        <w:jc w:val="both"/>
        <w:rPr>
          <w:i/>
        </w:rPr>
      </w:pPr>
      <w:r>
        <w:rPr>
          <w:i/>
        </w:rPr>
        <w:t>Recent Accounting Pronouncements</w:t>
      </w:r>
    </w:p>
    <w:p>
      <w:pPr>
        <w:pStyle w:val="TextBody"/>
        <w:spacing w:before="0" w:after="0"/>
        <w:rPr/>
      </w:pPr>
      <w:r>
        <w:rPr/>
      </w:r>
    </w:p>
    <w:p>
      <w:pPr>
        <w:pStyle w:val="TextBody"/>
        <w:spacing w:before="0" w:after="0"/>
        <w:jc w:val="both"/>
        <w:rPr/>
      </w:pPr>
      <w:r>
        <w:rPr/>
        <w:t>The Company’s management does not believe that any recently issued, but not yet effective, accounting pronouncements, if currently adopted, would have a material effect on the Company’s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30" w:name="DSPFPageBreakArea87"/>
      <w:bookmarkStart w:id="1031" w:name="DSPFPageBreakArea87"/>
      <w:bookmarkEnd w:id="10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032" w:name="DSPFPageNumber86"/>
      <w:bookmarkStart w:id="1033" w:name="DSPFPageNumberArea85"/>
      <w:bookmarkEnd w:id="1032"/>
      <w:bookmarkEnd w:id="1033"/>
      <w:r>
        <w:rPr>
          <w:b w:val="false"/>
          <w:i w:val="false"/>
          <w:caps w:val="false"/>
          <w:smallCaps w:val="false"/>
          <w:color w:val="000000"/>
          <w:sz w:val="16"/>
        </w:rPr>
        <w:t>F-14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34" w:name="DSPFPageBreak87"/>
      <w:bookmarkStart w:id="1035" w:name="DSPFPageBreak87"/>
      <w:bookmarkEnd w:id="10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036" w:name="DSPFPageHeader85"/>
        <w:bookmarkEnd w:id="1036"/>
        <w:r>
          <w:rPr>
            <w:rStyle w:val="InternetLink"/>
            <w:i/>
            <w:sz w:val="16"/>
          </w:rPr>
          <w:t>Table of Contents</w:t>
        </w:r>
      </w:hyperlink>
      <w:r>
        <w:rPr/>
        <w:t xml:space="preserve"> </w:t>
      </w:r>
    </w:p>
    <w:p>
      <w:pPr>
        <w:pStyle w:val="TextBody"/>
        <w:spacing w:before="200" w:after="200"/>
        <w:jc w:val="center"/>
        <w:rPr>
          <w:b/>
        </w:rPr>
      </w:pPr>
      <w:r>
        <w:rPr>
          <w:b/>
        </w:rPr>
        <w:t>ARYA SCIENCES ACQUISITION CORP III</w:t>
      </w:r>
    </w:p>
    <w:p>
      <w:pPr>
        <w:pStyle w:val="TextBody"/>
        <w:spacing w:before="200" w:after="200"/>
        <w:jc w:val="center"/>
        <w:rPr>
          <w:b/>
        </w:rPr>
      </w:pPr>
      <w:r>
        <w:rPr>
          <w:b/>
        </w:rPr>
        <w:t>NOTES TO FINANCIAL STATEMENTS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rPr>
      </w:pPr>
      <w:r>
        <w:rPr>
          <w:b/>
        </w:rPr>
        <w:t>Note 3 — Initial Public Offering</w:t>
      </w:r>
    </w:p>
    <w:p>
      <w:pPr>
        <w:pStyle w:val="TextBody"/>
        <w:spacing w:before="0" w:after="0"/>
        <w:rPr/>
      </w:pPr>
      <w:r>
        <w:rPr/>
      </w:r>
    </w:p>
    <w:p>
      <w:pPr>
        <w:pStyle w:val="TextBody"/>
        <w:spacing w:before="0" w:after="0"/>
        <w:jc w:val="both"/>
        <w:rPr/>
      </w:pPr>
      <w:r>
        <w:rPr>
          <w:color w:val="000000"/>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r>
        <w:rPr/>
        <w:t>.</w:t>
      </w:r>
    </w:p>
    <w:p>
      <w:pPr>
        <w:pStyle w:val="TextBody"/>
        <w:spacing w:before="0" w:after="0"/>
        <w:rPr/>
      </w:pPr>
      <w:r>
        <w:rPr/>
      </w:r>
    </w:p>
    <w:p>
      <w:pPr>
        <w:pStyle w:val="TextBody"/>
        <w:spacing w:before="0" w:after="0"/>
        <w:jc w:val="both"/>
        <w:rPr>
          <w:b/>
        </w:rPr>
      </w:pPr>
      <w:r>
        <w:rPr>
          <w:b/>
        </w:rPr>
        <w:t>Note 4 — Related Party Transactions</w:t>
      </w:r>
    </w:p>
    <w:p>
      <w:pPr>
        <w:pStyle w:val="TextBody"/>
        <w:spacing w:before="0" w:after="0"/>
        <w:jc w:val="both"/>
        <w:rPr/>
      </w:pPr>
      <w:r>
        <w:rPr/>
      </w:r>
    </w:p>
    <w:p>
      <w:pPr>
        <w:pStyle w:val="TextBody"/>
        <w:spacing w:before="0" w:after="0"/>
        <w:jc w:val="both"/>
        <w:rPr>
          <w:i/>
        </w:rPr>
      </w:pPr>
      <w:r>
        <w:rPr>
          <w:i/>
        </w:rPr>
        <w:t>Founder Shares</w:t>
      </w:r>
    </w:p>
    <w:p>
      <w:pPr>
        <w:pStyle w:val="TextBody"/>
        <w:spacing w:before="0" w:after="0"/>
        <w:jc w:val="both"/>
        <w:rPr/>
      </w:pPr>
      <w:r>
        <w:rPr/>
      </w:r>
    </w:p>
    <w:p>
      <w:pPr>
        <w:pStyle w:val="TextBody"/>
        <w:spacing w:before="0" w:after="0"/>
        <w:jc w:val="both"/>
        <w:rPr>
          <w:color w:val="000000"/>
        </w:rPr>
      </w:pPr>
      <w:r>
        <w:rPr>
          <w:color w:val="000000"/>
        </w:rPr>
        <w:t>On April 2, 2020, the Sponsor paid $25,000 to cover certain offering costs of the Company in consideration of 3,593,750 Class B ordinary shares, par value $0.0001, (the “Founder Shares”). In July 2020, the Sponsor transferred an aggregate of 90,000 Founder Shares to the Company’s independent directors.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pStyle w:val="TextBody"/>
        <w:spacing w:before="0" w:after="0"/>
        <w:rPr/>
      </w:pPr>
      <w:r>
        <w:rPr/>
      </w:r>
    </w:p>
    <w:p>
      <w:pPr>
        <w:pStyle w:val="TextBody"/>
        <w:spacing w:before="0" w:after="0"/>
        <w:jc w:val="both"/>
        <w:rPr/>
      </w:pPr>
      <w:r>
        <w:rPr>
          <w:color w:val="000000"/>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r>
        <w:rPr/>
        <w:t>.</w:t>
      </w:r>
    </w:p>
    <w:p>
      <w:pPr>
        <w:pStyle w:val="TextBody"/>
        <w:spacing w:before="0" w:after="0"/>
        <w:ind w:left="0" w:right="0" w:firstLine="360"/>
        <w:jc w:val="both"/>
        <w:rPr/>
      </w:pPr>
      <w:r>
        <w:rPr/>
      </w:r>
    </w:p>
    <w:p>
      <w:pPr>
        <w:pStyle w:val="TextBody"/>
        <w:spacing w:before="0" w:after="0"/>
        <w:jc w:val="both"/>
        <w:rPr>
          <w:i/>
        </w:rPr>
      </w:pPr>
      <w:r>
        <w:rPr>
          <w:i/>
        </w:rPr>
        <w:t>Private Placement Warrants</w:t>
      </w:r>
    </w:p>
    <w:p>
      <w:pPr>
        <w:pStyle w:val="TextBody"/>
        <w:spacing w:before="0" w:after="0"/>
        <w:rPr/>
      </w:pPr>
      <w:r>
        <w:rPr/>
      </w:r>
    </w:p>
    <w:p>
      <w:pPr>
        <w:pStyle w:val="TextBody"/>
        <w:spacing w:before="0" w:after="0"/>
        <w:jc w:val="both"/>
        <w:rPr>
          <w:color w:val="000000"/>
        </w:rPr>
      </w:pPr>
      <w:r>
        <w:rPr>
          <w:color w:val="000000"/>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pStyle w:val="TextBody"/>
        <w:spacing w:before="0" w:after="0"/>
        <w:rPr/>
      </w:pPr>
      <w:r>
        <w:rPr/>
      </w:r>
    </w:p>
    <w:p>
      <w:pPr>
        <w:pStyle w:val="TextBody"/>
        <w:spacing w:before="0" w:after="0"/>
        <w:jc w:val="both"/>
        <w:rPr/>
      </w:pPr>
      <w:r>
        <w:rPr>
          <w:color w:val="000000"/>
        </w:rPr>
        <w:t>The Sponsor and the Company’s officers and directors agreed, subject to limited exceptions, not to transfer, assign or sell any of their Private Placement Shares until 30 days after the completion of the initial Business Combination</w:t>
      </w:r>
      <w:r>
        <w:rPr/>
        <w:t>.</w:t>
      </w:r>
    </w:p>
    <w:p>
      <w:pPr>
        <w:pStyle w:val="TextBody"/>
        <w:spacing w:before="0" w:after="0"/>
        <w:ind w:left="0" w:right="0" w:firstLine="360"/>
        <w:jc w:val="both"/>
        <w:rPr/>
      </w:pPr>
      <w:r>
        <w:rPr/>
      </w:r>
    </w:p>
    <w:p>
      <w:pPr>
        <w:pStyle w:val="TextBody"/>
        <w:spacing w:before="0" w:after="0"/>
        <w:jc w:val="both"/>
        <w:rPr>
          <w:i/>
        </w:rPr>
      </w:pPr>
      <w:r>
        <w:rPr>
          <w:i/>
        </w:rPr>
        <w:t>Related Party Loans</w:t>
      </w:r>
    </w:p>
    <w:p>
      <w:pPr>
        <w:pStyle w:val="TextBody"/>
        <w:spacing w:before="0" w:after="0"/>
        <w:rPr/>
      </w:pPr>
      <w:r>
        <w:rPr/>
      </w:r>
    </w:p>
    <w:p>
      <w:pPr>
        <w:pStyle w:val="TextBody"/>
        <w:spacing w:before="0" w:after="0"/>
        <w:jc w:val="both"/>
        <w:rPr/>
      </w:pPr>
      <w:r>
        <w:rPr>
          <w:color w:val="000000"/>
        </w:rPr>
        <w:t>On April 2, 2020,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$200,000 under the Note and fully repaid this Note on August 11, 2020</w:t>
      </w:r>
      <w:r>
        <w:rPr/>
        <w:t>.</w:t>
      </w:r>
    </w:p>
    <w:p>
      <w:pPr>
        <w:pStyle w:val="TextBody"/>
        <w:spacing w:before="0" w:after="0"/>
        <w:rPr/>
      </w:pPr>
      <w:r>
        <w:rPr/>
      </w:r>
    </w:p>
    <w:p>
      <w:pPr>
        <w:pStyle w:val="TextBody"/>
        <w:spacing w:before="0" w:after="0"/>
        <w:jc w:val="both"/>
        <w:rPr/>
      </w:pPr>
      <w:r>
        <w:rPr>
          <w:color w:val="000000"/>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As of December 31, 2020, the Company had no outstanding borrowings under the Working Capital Loans</w:t>
      </w:r>
      <w:r>
        <w:rPr/>
        <w:t>.</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37" w:name="DSPFPageBreakArea88"/>
      <w:bookmarkStart w:id="1038" w:name="DSPFPageBreakArea88"/>
      <w:bookmarkEnd w:id="10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039" w:name="DSPFPageNumber87"/>
      <w:bookmarkStart w:id="1040" w:name="DSPFPageNumberArea86"/>
      <w:bookmarkEnd w:id="1039"/>
      <w:bookmarkEnd w:id="1040"/>
      <w:r>
        <w:rPr>
          <w:b w:val="false"/>
          <w:i w:val="false"/>
          <w:caps w:val="false"/>
          <w:smallCaps w:val="false"/>
          <w:color w:val="000000"/>
          <w:sz w:val="16"/>
        </w:rPr>
        <w:t>F-15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41" w:name="DSPFPageBreak88"/>
      <w:bookmarkStart w:id="1042" w:name="DSPFPageBreak88"/>
      <w:bookmarkEnd w:id="10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043" w:name="DSPFPageHeader86"/>
        <w:bookmarkEnd w:id="1043"/>
        <w:r>
          <w:rPr>
            <w:rStyle w:val="InternetLink"/>
            <w:i/>
            <w:sz w:val="16"/>
          </w:rPr>
          <w:t>Table of Contents</w:t>
        </w:r>
      </w:hyperlink>
      <w:r>
        <w:rPr/>
        <w:t xml:space="preserve"> </w:t>
      </w:r>
    </w:p>
    <w:p>
      <w:pPr>
        <w:pStyle w:val="TextBody"/>
        <w:spacing w:before="200" w:after="200"/>
        <w:jc w:val="center"/>
        <w:rPr>
          <w:b/>
        </w:rPr>
      </w:pPr>
      <w:r>
        <w:rPr>
          <w:b/>
        </w:rPr>
        <w:t>ARYA SCIENCES ACQUISITION CORP III</w:t>
      </w:r>
    </w:p>
    <w:p>
      <w:pPr>
        <w:pStyle w:val="TextBody"/>
        <w:spacing w:before="200" w:after="200"/>
        <w:jc w:val="center"/>
        <w:rPr>
          <w:b/>
        </w:rPr>
      </w:pPr>
      <w:r>
        <w:rPr>
          <w:b/>
        </w:rPr>
        <w:t>NOTES TO FINANCIAL STATEMENTS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i/>
        </w:rPr>
      </w:pPr>
      <w:r>
        <w:rPr>
          <w:i/>
        </w:rPr>
        <w:t>Administrative Support Agreement</w:t>
      </w:r>
    </w:p>
    <w:p>
      <w:pPr>
        <w:pStyle w:val="TextBody"/>
        <w:spacing w:before="0" w:after="0"/>
        <w:rPr/>
      </w:pPr>
      <w:r>
        <w:rPr/>
      </w:r>
    </w:p>
    <w:p>
      <w:pPr>
        <w:pStyle w:val="TextBody"/>
        <w:spacing w:before="0" w:after="0"/>
        <w:jc w:val="both"/>
        <w:rPr/>
      </w:pPr>
      <w:r>
        <w:rPr>
          <w:color w:val="000000"/>
        </w:rPr>
        <w:t xml:space="preserve">Commencing on the date that the Company’s securities were first listed on the Nasdaq through the earlier of consummation of the initial Business Combination and the Company’s liquidation, the Company reimburses the Sponsor for office space, secretarial and administrative services provided to the Company in the amount of $10,000 per month.  The Company incurred approximately $48,000 </w:t>
      </w:r>
      <w:r>
        <w:rPr/>
        <w:t>for these services and are</w:t>
      </w:r>
      <w:r>
        <w:rPr>
          <w:color w:val="000000"/>
        </w:rPr>
        <w:t xml:space="preserve"> in general and administrative expenses in the accompanying statement of operations for the period from March 27, 2020 (inception) through December 31, 2020</w:t>
      </w:r>
      <w:r>
        <w:rPr/>
        <w:t>.</w:t>
      </w:r>
    </w:p>
    <w:p>
      <w:pPr>
        <w:pStyle w:val="TextBody"/>
        <w:spacing w:before="0" w:after="0"/>
        <w:rPr/>
      </w:pPr>
      <w:r>
        <w:rPr/>
      </w:r>
    </w:p>
    <w:p>
      <w:pPr>
        <w:pStyle w:val="TextBody"/>
        <w:spacing w:before="0" w:after="0"/>
        <w:jc w:val="both"/>
        <w:rPr>
          <w:b/>
        </w:rPr>
      </w:pPr>
      <w:r>
        <w:rPr>
          <w:b/>
        </w:rPr>
        <w:t>Note 5 — Commitments &amp; Contingencies</w:t>
      </w:r>
    </w:p>
    <w:p>
      <w:pPr>
        <w:pStyle w:val="TextBody"/>
        <w:spacing w:before="0" w:after="0"/>
        <w:jc w:val="both"/>
        <w:rPr/>
      </w:pPr>
      <w:r>
        <w:rPr/>
      </w:r>
    </w:p>
    <w:p>
      <w:pPr>
        <w:pStyle w:val="TextBody"/>
        <w:spacing w:before="0" w:after="0"/>
        <w:jc w:val="both"/>
        <w:rPr>
          <w:i/>
          <w:color w:val="000000"/>
        </w:rPr>
      </w:pPr>
      <w:r>
        <w:rPr>
          <w:i/>
          <w:color w:val="000000"/>
        </w:rPr>
        <w:t>Registration Rights</w:t>
      </w:r>
    </w:p>
    <w:p>
      <w:pPr>
        <w:pStyle w:val="TextBody"/>
        <w:spacing w:before="0" w:after="0"/>
        <w:rPr/>
      </w:pPr>
      <w:r>
        <w:rPr/>
      </w:r>
    </w:p>
    <w:p>
      <w:pPr>
        <w:pStyle w:val="TextBody"/>
        <w:spacing w:before="0" w:after="0"/>
        <w:jc w:val="both"/>
        <w:rPr>
          <w:color w:val="000000"/>
        </w:rPr>
      </w:pPr>
      <w:r>
        <w:rPr>
          <w:color w:val="000000"/>
        </w:rPr>
        <w:t>The holders of Founder Shares, Private Placement Shares and Private Placement Shares that may be issued upon conversion of Working Capital Loans, are entitled to registration rights pursuant to a registration and shareholder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Company’s Business Combination. The Company will bear the expenses incurred in connection with the filing of any such registration statements.</w:t>
      </w:r>
    </w:p>
    <w:p>
      <w:pPr>
        <w:pStyle w:val="TextBody"/>
        <w:spacing w:before="0" w:after="0"/>
        <w:rPr/>
      </w:pPr>
      <w:r>
        <w:rPr/>
      </w:r>
    </w:p>
    <w:p>
      <w:pPr>
        <w:pStyle w:val="TextBody"/>
        <w:spacing w:before="0" w:after="0"/>
        <w:jc w:val="both"/>
        <w:rPr>
          <w:i/>
        </w:rPr>
      </w:pPr>
      <w:r>
        <w:rPr>
          <w:i/>
        </w:rPr>
        <w:t>Underwriting Agreement</w:t>
      </w:r>
    </w:p>
    <w:p>
      <w:pPr>
        <w:pStyle w:val="TextBody"/>
        <w:spacing w:before="0" w:after="0"/>
        <w:rPr/>
      </w:pPr>
      <w:r>
        <w:rPr/>
      </w:r>
    </w:p>
    <w:p>
      <w:pPr>
        <w:pStyle w:val="TextBody"/>
        <w:spacing w:before="0" w:after="0"/>
        <w:jc w:val="both"/>
        <w:rPr>
          <w:color w:val="000000"/>
        </w:rPr>
      </w:pPr>
      <w:r>
        <w:rPr>
          <w:color w:val="000000"/>
        </w:rPr>
        <w:t>The Company granted the underwriters a 45-day option from the final prospectus relating to the Initial Public Offering to purchase up to 1,950,000 additional Public Shares to cover over-allotments, at the Initial Public Offering price less the underwriting discounts and commissions.  On August 11, 2020, the underwriters fully exercised the over-allotment option.</w:t>
      </w:r>
    </w:p>
    <w:p>
      <w:pPr>
        <w:pStyle w:val="TextBody"/>
        <w:spacing w:before="0" w:after="0"/>
        <w:rPr/>
      </w:pPr>
      <w:r>
        <w:rPr/>
      </w:r>
    </w:p>
    <w:p>
      <w:pPr>
        <w:pStyle w:val="TextBody"/>
        <w:spacing w:before="0" w:after="0"/>
        <w:jc w:val="both"/>
        <w:rPr/>
      </w:pPr>
      <w:r>
        <w:rPr>
          <w:color w:val="000000"/>
        </w:rPr>
        <w:t>The underwriters were entitled to an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r>
        <w:rPr/>
        <w:t>.</w:t>
      </w:r>
    </w:p>
    <w:p>
      <w:pPr>
        <w:pStyle w:val="TextBody"/>
        <w:spacing w:before="0" w:after="0"/>
        <w:rPr/>
      </w:pPr>
      <w:r>
        <w:rPr/>
      </w:r>
    </w:p>
    <w:p>
      <w:pPr>
        <w:pStyle w:val="TextBody"/>
        <w:spacing w:before="0" w:after="0"/>
        <w:jc w:val="both"/>
        <w:rPr>
          <w:b/>
        </w:rPr>
      </w:pPr>
      <w:r>
        <w:rPr>
          <w:b/>
        </w:rPr>
        <w:t>Note 6 — Shareholders’ Equity</w:t>
      </w:r>
    </w:p>
    <w:p>
      <w:pPr>
        <w:pStyle w:val="TextBody"/>
        <w:spacing w:before="0" w:after="0"/>
        <w:rPr/>
      </w:pPr>
      <w:r>
        <w:rPr/>
      </w:r>
    </w:p>
    <w:p>
      <w:pPr>
        <w:pStyle w:val="TextBody"/>
        <w:spacing w:before="0" w:after="0"/>
        <w:jc w:val="both"/>
        <w:rPr>
          <w:color w:val="000000"/>
        </w:rPr>
      </w:pPr>
      <w:r>
        <w:rPr>
          <w:b/>
          <w:i/>
          <w:color w:val="000000"/>
        </w:rPr>
        <w:t>Class A Ordinary Shares —</w:t>
      </w:r>
      <w:r>
        <w:rPr>
          <w:color w:val="000000"/>
        </w:rPr>
        <w:t xml:space="preserve"> The Company is authorized to issue 479,000,000 Class A ordinary shares with a par value of $0.0001 per share. As of December 31, 2020, there were 15,449,000 Class A common shares outstanding, including 14,023,673 Class A ordinary shares common stock subject to possible redemption that were classified as temporary equity in the accompanying balance sheet.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44" w:name="DSPFPageBreakArea89"/>
      <w:bookmarkStart w:id="1045" w:name="DSPFPageBreakArea89"/>
      <w:bookmarkEnd w:id="10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046" w:name="DSPFPageNumber88"/>
      <w:bookmarkStart w:id="1047" w:name="DSPFPageNumberArea87"/>
      <w:bookmarkEnd w:id="1046"/>
      <w:bookmarkEnd w:id="1047"/>
      <w:r>
        <w:rPr>
          <w:b w:val="false"/>
          <w:i w:val="false"/>
          <w:caps w:val="false"/>
          <w:smallCaps w:val="false"/>
          <w:color w:val="000000"/>
          <w:sz w:val="16"/>
        </w:rPr>
        <w:t>F-16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48" w:name="DSPFPageBreak89"/>
      <w:bookmarkStart w:id="1049" w:name="DSPFPageBreak89"/>
      <w:bookmarkEnd w:id="10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050" w:name="DSPFPageHeader87"/>
        <w:bookmarkEnd w:id="1050"/>
        <w:r>
          <w:rPr>
            <w:rStyle w:val="InternetLink"/>
            <w:i/>
            <w:sz w:val="16"/>
          </w:rPr>
          <w:t>Table of Contents</w:t>
        </w:r>
      </w:hyperlink>
      <w:r>
        <w:rPr/>
        <w:t xml:space="preserve"> </w:t>
      </w:r>
    </w:p>
    <w:p>
      <w:pPr>
        <w:pStyle w:val="TextBody"/>
        <w:spacing w:before="200" w:after="200"/>
        <w:jc w:val="center"/>
        <w:rPr>
          <w:b/>
        </w:rPr>
      </w:pPr>
      <w:r>
        <w:rPr>
          <w:b/>
        </w:rPr>
        <w:t>ARYA SCIENCES ACQUISITION CORP III</w:t>
      </w:r>
    </w:p>
    <w:p>
      <w:pPr>
        <w:pStyle w:val="TextBody"/>
        <w:spacing w:before="200" w:after="200"/>
        <w:jc w:val="center"/>
        <w:rPr>
          <w:b/>
        </w:rPr>
      </w:pPr>
      <w:r>
        <w:rPr>
          <w:b/>
        </w:rPr>
        <w:t>NOTES TO FINANCIAL STATEMENTS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b/>
          <w:i/>
          <w:color w:val="000000"/>
        </w:rPr>
        <w:t>Class B Ordinary Shares —</w:t>
      </w:r>
      <w:r>
        <w:rPr>
          <w:color w:val="000000"/>
        </w:rPr>
        <w:t xml:space="preserve"> The Company is authorized to issue 20,000,000 Class B ordinary shares with a par value of $0.0001 per share. On April 2, 2020, the Company issued 3,593,750 Class B ordinary shares. On August 6, 2020, the Company effected a share capitalization resulting in the initial shareholders holding 3,737,500 Founder Shares, of which up to 487,500 shares were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All shares and the associated amounts have been retroactively restated to reflect the share capitalization.  The underwriters fully exercised the over-allotment option on August 11, 2020; thus, the 487,500 Founder Shares were no longer subject to forfeiture.</w:t>
      </w:r>
    </w:p>
    <w:p>
      <w:pPr>
        <w:pStyle w:val="TextBody"/>
        <w:spacing w:before="0" w:after="0"/>
        <w:rPr/>
      </w:pPr>
      <w:r>
        <w:rPr/>
      </w:r>
    </w:p>
    <w:p>
      <w:pPr>
        <w:pStyle w:val="TextBody"/>
        <w:spacing w:before="0" w:after="0"/>
        <w:jc w:val="both"/>
        <w:rPr>
          <w:color w:val="000000"/>
        </w:rPr>
      </w:pPr>
      <w:r>
        <w:rPr>
          <w:color w:val="000000"/>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pStyle w:val="TextBody"/>
        <w:spacing w:before="0" w:after="0"/>
        <w:rPr/>
      </w:pPr>
      <w:r>
        <w:rPr/>
      </w:r>
    </w:p>
    <w:p>
      <w:pPr>
        <w:pStyle w:val="TextBody"/>
        <w:spacing w:before="0" w:after="0"/>
        <w:jc w:val="both"/>
        <w:rPr>
          <w:color w:val="000000"/>
        </w:rPr>
      </w:pPr>
      <w:r>
        <w:rPr>
          <w:color w:val="000000"/>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pStyle w:val="TextBody"/>
        <w:spacing w:before="0" w:after="0"/>
        <w:rPr/>
      </w:pPr>
      <w:r>
        <w:rPr/>
      </w:r>
    </w:p>
    <w:p>
      <w:pPr>
        <w:pStyle w:val="TextBody"/>
        <w:spacing w:before="0" w:after="0"/>
        <w:jc w:val="both"/>
        <w:rPr/>
      </w:pPr>
      <w:r>
        <w:rPr>
          <w:b/>
          <w:i/>
          <w:color w:val="000000"/>
        </w:rPr>
        <w:t>Preference Shares —</w:t>
      </w:r>
      <w:r>
        <w:rPr>
          <w:color w:val="000000"/>
        </w:rPr>
        <w:t xml:space="preserve"> The Company is authorized to issue 1,000,000 preference shares with a par value of $0.0001 per share and with such designations, voting and other rights and preferences as may be determined from time to time by the Company’s board of directors. As of December 31, 2020, there were no preference shares issued or outstanding</w:t>
      </w:r>
      <w:r>
        <w:rPr/>
        <w:t>.</w:t>
      </w:r>
    </w:p>
    <w:p>
      <w:pPr>
        <w:pStyle w:val="TextBody"/>
        <w:spacing w:before="0" w:after="0"/>
        <w:jc w:val="both"/>
        <w:rPr/>
      </w:pPr>
      <w:r>
        <w:rPr/>
      </w:r>
    </w:p>
    <w:p>
      <w:pPr>
        <w:pStyle w:val="TextBody"/>
        <w:spacing w:before="0" w:after="0"/>
        <w:jc w:val="both"/>
        <w:rPr>
          <w:b/>
        </w:rPr>
      </w:pPr>
      <w:r>
        <w:rPr>
          <w:b/>
        </w:rPr>
        <w:t>Note 7 — Fair Value Measurements</w:t>
      </w:r>
    </w:p>
    <w:p>
      <w:pPr>
        <w:pStyle w:val="TextBody"/>
        <w:spacing w:before="0" w:after="0"/>
        <w:rPr/>
      </w:pPr>
      <w:r>
        <w:rPr/>
      </w:r>
    </w:p>
    <w:p>
      <w:pPr>
        <w:pStyle w:val="TextBody"/>
        <w:spacing w:before="0" w:after="0"/>
        <w:jc w:val="both"/>
        <w:rPr>
          <w:color w:val="000000"/>
        </w:rPr>
      </w:pPr>
      <w:r>
        <w:rPr>
          <w:color w:val="000000"/>
        </w:rPr>
        <w:t>The following table presents information about the Company’s assets that are measured at fair value on a recurring basis as of December 31, 2020 and indicates the fair value hierarchy of the valuation techniques that the Company utilized to determine such fair value.</w:t>
      </w:r>
    </w:p>
    <w:p>
      <w:pPr>
        <w:pStyle w:val="TextBody"/>
        <w:spacing w:before="0" w:after="0"/>
        <w:rPr/>
      </w:pPr>
      <w:r>
        <w:rPr/>
      </w:r>
    </w:p>
    <w:p>
      <w:pPr>
        <w:pStyle w:val="TextBody"/>
        <w:spacing w:before="0" w:after="0"/>
        <w:jc w:val="both"/>
        <w:rPr>
          <w:b/>
          <w:color w:val="000000"/>
        </w:rPr>
      </w:pPr>
      <w:r>
        <w:rPr>
          <w:b/>
          <w:color w:val="000000"/>
        </w:rPr>
        <w:t>December 31, 2020</w:t>
      </w:r>
    </w:p>
    <w:p>
      <w:pPr>
        <w:pStyle w:val="TextBody"/>
        <w:spacing w:before="0" w:after="0"/>
        <w:jc w:val="both"/>
        <w:rPr/>
      </w:pPr>
      <w:r>
        <w:rPr/>
      </w:r>
    </w:p>
    <w:p>
      <w:pPr>
        <w:pStyle w:val="Normal"/>
        <w:spacing w:before="0" w:after="0"/>
        <w:rPr>
          <w:sz w:val="4"/>
          <w:szCs w:val="4"/>
        </w:rPr>
      </w:pPr>
      <w:r>
        <w:rPr>
          <w:sz w:val="4"/>
          <w:szCs w:val="4"/>
        </w:rPr>
      </w:r>
      <w:bookmarkStart w:id="1051" w:name="zea391170546847e6af677cc3aaa4162e"/>
      <w:bookmarkStart w:id="1052" w:name="zea391170546847e6af677cc3aaa4162e"/>
      <w:bookmarkEnd w:id="1052"/>
    </w:p>
    <w:tbl>
      <w:tblPr>
        <w:tblW w:w="8125" w:type="dxa"/>
        <w:jc w:val="center"/>
        <w:tblInd w:w="0" w:type="dxa"/>
        <w:tblCellMar>
          <w:top w:w="0" w:type="dxa"/>
          <w:left w:w="0" w:type="dxa"/>
          <w:bottom w:w="28" w:type="dxa"/>
          <w:right w:w="0" w:type="dxa"/>
        </w:tblCellMar>
      </w:tblPr>
      <w:tblGrid>
        <w:gridCol w:w="3800"/>
        <w:gridCol w:w="60"/>
        <w:gridCol w:w="140"/>
        <w:gridCol w:w="1220"/>
        <w:gridCol w:w="60"/>
        <w:gridCol w:w="60"/>
        <w:gridCol w:w="220"/>
        <w:gridCol w:w="955"/>
        <w:gridCol w:w="60"/>
        <w:gridCol w:w="60"/>
        <w:gridCol w:w="268"/>
        <w:gridCol w:w="1162"/>
        <w:gridCol w:w="60"/>
      </w:tblGrid>
      <w:tr>
        <w:trPr/>
        <w:tc>
          <w:tcPr>
            <w:tcW w:w="3800" w:type="dxa"/>
            <w:tcBorders>
              <w:bottom w:val="single" w:sz="12" w:space="0" w:color="000000"/>
            </w:tcBorders>
            <w:shd w:fill="auto" w:val="clear"/>
            <w:vAlign w:val="bottom"/>
          </w:tcPr>
          <w:p>
            <w:pPr>
              <w:pStyle w:val="TableContents"/>
              <w:spacing w:before="0" w:after="0"/>
              <w:jc w:val="both"/>
              <w:rPr>
                <w:b/>
              </w:rPr>
            </w:pPr>
            <w:r>
              <w:rPr>
                <w:b/>
              </w:rPr>
              <w:t>Description</w:t>
            </w:r>
          </w:p>
        </w:tc>
        <w:tc>
          <w:tcPr>
            <w:tcW w:w="60" w:type="dxa"/>
            <w:tcBorders/>
            <w:shd w:fill="auto" w:val="clear"/>
            <w:tcMar>
              <w:bottom w:w="0" w:type="dxa"/>
            </w:tcMar>
            <w:vAlign w:val="bottom"/>
          </w:tcPr>
          <w:p>
            <w:pPr>
              <w:pStyle w:val="TableContents"/>
              <w:spacing w:before="0" w:after="283"/>
              <w:rPr/>
            </w:pPr>
            <w:r>
              <w:rPr/>
              <w:t> </w:t>
            </w:r>
          </w:p>
        </w:tc>
        <w:tc>
          <w:tcPr>
            <w:tcW w:w="1360" w:type="dxa"/>
            <w:gridSpan w:val="2"/>
            <w:tcBorders>
              <w:bottom w:val="single" w:sz="12" w:space="0" w:color="000000"/>
            </w:tcBorders>
            <w:shd w:fill="auto" w:val="clear"/>
            <w:vAlign w:val="bottom"/>
          </w:tcPr>
          <w:p>
            <w:pPr>
              <w:pStyle w:val="TableContents"/>
              <w:spacing w:before="0" w:after="0"/>
              <w:jc w:val="both"/>
              <w:rPr>
                <w:b/>
              </w:rPr>
            </w:pPr>
            <w:r>
              <w:rPr>
                <w:b/>
              </w:rPr>
              <w:t>Quoted</w:t>
            </w:r>
          </w:p>
          <w:p>
            <w:pPr>
              <w:pStyle w:val="TableContents"/>
              <w:spacing w:before="0" w:after="0"/>
              <w:jc w:val="both"/>
              <w:rPr>
                <w:b/>
              </w:rPr>
            </w:pPr>
            <w:r>
              <w:rPr>
                <w:b/>
              </w:rPr>
              <w:t>Prices</w:t>
            </w:r>
          </w:p>
          <w:p>
            <w:pPr>
              <w:pStyle w:val="TableContents"/>
              <w:spacing w:before="0" w:after="0"/>
              <w:jc w:val="both"/>
              <w:rPr>
                <w:b/>
              </w:rPr>
            </w:pPr>
            <w:r>
              <w:rPr>
                <w:b/>
              </w:rPr>
              <w:t>in Active</w:t>
            </w:r>
          </w:p>
          <w:p>
            <w:pPr>
              <w:pStyle w:val="TableContents"/>
              <w:spacing w:before="0" w:after="0"/>
              <w:jc w:val="both"/>
              <w:rPr>
                <w:b/>
              </w:rPr>
            </w:pPr>
            <w:r>
              <w:rPr>
                <w:b/>
              </w:rPr>
              <w:t>Markets</w:t>
            </w:r>
          </w:p>
          <w:p>
            <w:pPr>
              <w:pStyle w:val="TableContents"/>
              <w:spacing w:before="0" w:after="0"/>
              <w:jc w:val="both"/>
              <w:rPr>
                <w:b/>
              </w:rPr>
            </w:pPr>
            <w:r>
              <w:rPr>
                <w:b/>
              </w:rPr>
              <w:t>(Level 1)</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175" w:type="dxa"/>
            <w:gridSpan w:val="2"/>
            <w:tcBorders>
              <w:bottom w:val="single" w:sz="12" w:space="0" w:color="000000"/>
            </w:tcBorders>
            <w:shd w:fill="auto" w:val="clear"/>
            <w:vAlign w:val="bottom"/>
          </w:tcPr>
          <w:p>
            <w:pPr>
              <w:pStyle w:val="TableContents"/>
              <w:spacing w:before="0" w:after="0"/>
              <w:jc w:val="both"/>
              <w:rPr>
                <w:b/>
              </w:rPr>
            </w:pPr>
            <w:r>
              <w:rPr>
                <w:b/>
              </w:rPr>
              <w:t>Significant</w:t>
            </w:r>
          </w:p>
          <w:p>
            <w:pPr>
              <w:pStyle w:val="TableContents"/>
              <w:spacing w:before="0" w:after="0"/>
              <w:jc w:val="both"/>
              <w:rPr>
                <w:b/>
              </w:rPr>
            </w:pPr>
            <w:r>
              <w:rPr>
                <w:b/>
              </w:rPr>
              <w:t>Other</w:t>
            </w:r>
          </w:p>
          <w:p>
            <w:pPr>
              <w:pStyle w:val="TableContents"/>
              <w:spacing w:before="0" w:after="0"/>
              <w:jc w:val="both"/>
              <w:rPr>
                <w:b/>
              </w:rPr>
            </w:pPr>
            <w:r>
              <w:rPr>
                <w:b/>
              </w:rPr>
              <w:t>Observable</w:t>
            </w:r>
          </w:p>
          <w:p>
            <w:pPr>
              <w:pStyle w:val="TableContents"/>
              <w:spacing w:before="0" w:after="0"/>
              <w:jc w:val="both"/>
              <w:rPr>
                <w:b/>
              </w:rPr>
            </w:pPr>
            <w:r>
              <w:rPr>
                <w:b/>
              </w:rPr>
              <w:t>Inputs</w:t>
            </w:r>
          </w:p>
          <w:p>
            <w:pPr>
              <w:pStyle w:val="TableContents"/>
              <w:spacing w:before="0" w:after="0"/>
              <w:jc w:val="both"/>
              <w:rPr>
                <w:b/>
              </w:rPr>
            </w:pPr>
            <w:r>
              <w:rPr>
                <w:b/>
              </w:rPr>
              <w:t>(Level 2)</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430" w:type="dxa"/>
            <w:gridSpan w:val="2"/>
            <w:tcBorders>
              <w:bottom w:val="single" w:sz="12" w:space="0" w:color="000000"/>
            </w:tcBorders>
            <w:shd w:fill="auto" w:val="clear"/>
            <w:vAlign w:val="bottom"/>
          </w:tcPr>
          <w:p>
            <w:pPr>
              <w:pStyle w:val="TableContents"/>
              <w:spacing w:before="0" w:after="0"/>
              <w:jc w:val="both"/>
              <w:rPr>
                <w:b/>
              </w:rPr>
            </w:pPr>
            <w:r>
              <w:rPr>
                <w:b/>
              </w:rPr>
              <w:t>Significant</w:t>
            </w:r>
          </w:p>
          <w:p>
            <w:pPr>
              <w:pStyle w:val="TableContents"/>
              <w:spacing w:before="0" w:after="0"/>
              <w:jc w:val="both"/>
              <w:rPr>
                <w:b/>
              </w:rPr>
            </w:pPr>
            <w:r>
              <w:rPr>
                <w:b/>
              </w:rPr>
              <w:t>Other</w:t>
            </w:r>
          </w:p>
          <w:p>
            <w:pPr>
              <w:pStyle w:val="TableContents"/>
              <w:spacing w:before="0" w:after="0"/>
              <w:jc w:val="both"/>
              <w:rPr>
                <w:b/>
              </w:rPr>
            </w:pPr>
            <w:r>
              <w:rPr>
                <w:b/>
              </w:rPr>
              <w:t>Unobservable</w:t>
            </w:r>
          </w:p>
          <w:p>
            <w:pPr>
              <w:pStyle w:val="TableContents"/>
              <w:spacing w:before="0" w:after="0"/>
              <w:jc w:val="both"/>
              <w:rPr>
                <w:b/>
              </w:rPr>
            </w:pPr>
            <w:r>
              <w:rPr>
                <w:b/>
              </w:rPr>
              <w:t>Inputs</w:t>
            </w:r>
          </w:p>
          <w:p>
            <w:pPr>
              <w:pStyle w:val="TableContents"/>
              <w:spacing w:before="0" w:after="0"/>
              <w:jc w:val="both"/>
              <w:rPr>
                <w:b/>
              </w:rPr>
            </w:pPr>
            <w:r>
              <w:rPr>
                <w:b/>
              </w:rPr>
              <w:t>(Level 3)</w:t>
            </w:r>
          </w:p>
        </w:tc>
        <w:tc>
          <w:tcPr>
            <w:tcW w:w="60" w:type="dxa"/>
            <w:tcBorders/>
            <w:shd w:fill="auto" w:val="clear"/>
            <w:tcMar>
              <w:bottom w:w="0" w:type="dxa"/>
            </w:tcMar>
            <w:vAlign w:val="bottom"/>
          </w:tcPr>
          <w:p>
            <w:pPr>
              <w:pStyle w:val="TableContents"/>
              <w:spacing w:before="0" w:after="283"/>
              <w:rPr/>
            </w:pPr>
            <w:r>
              <w:rPr/>
              <w:t> </w:t>
            </w:r>
          </w:p>
        </w:tc>
      </w:tr>
      <w:tr>
        <w:trPr/>
        <w:tc>
          <w:tcPr>
            <w:tcW w:w="3800" w:type="dxa"/>
            <w:tcBorders/>
            <w:shd w:fill="auto" w:val="clear"/>
            <w:tcMar>
              <w:bottom w:w="0" w:type="dxa"/>
            </w:tcMar>
            <w:vAlign w:val="bottom"/>
          </w:tcPr>
          <w:p>
            <w:pPr>
              <w:pStyle w:val="TableContents"/>
              <w:spacing w:before="0" w:after="0"/>
              <w:ind w:left="240" w:right="0" w:hanging="240"/>
              <w:jc w:val="both"/>
              <w:rPr/>
            </w:pPr>
            <w:r>
              <w:rPr/>
              <w:t>Investments held in Trust Account:</w:t>
            </w:r>
          </w:p>
        </w:tc>
        <w:tc>
          <w:tcPr>
            <w:tcW w:w="60" w:type="dxa"/>
            <w:tcBorders/>
            <w:shd w:fill="auto" w:val="clear"/>
            <w:tcMar>
              <w:bottom w:w="0" w:type="dxa"/>
            </w:tcMar>
            <w:vAlign w:val="bottom"/>
          </w:tcPr>
          <w:p>
            <w:pPr>
              <w:pStyle w:val="TableContents"/>
              <w:spacing w:before="0" w:after="283"/>
              <w:rPr/>
            </w:pPr>
            <w:r>
              <w:rPr/>
              <w:t> </w:t>
            </w:r>
          </w:p>
        </w:tc>
        <w:tc>
          <w:tcPr>
            <w:tcW w:w="136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175"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430" w:type="dxa"/>
            <w:gridSpan w:val="2"/>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r>
      <w:tr>
        <w:trPr/>
        <w:tc>
          <w:tcPr>
            <w:tcW w:w="3800" w:type="dxa"/>
            <w:tcBorders/>
            <w:shd w:fill="CCEEFF" w:val="clear"/>
            <w:tcMar>
              <w:bottom w:w="0" w:type="dxa"/>
            </w:tcMar>
            <w:vAlign w:val="bottom"/>
          </w:tcPr>
          <w:p>
            <w:pPr>
              <w:pStyle w:val="TableContents"/>
              <w:spacing w:before="0" w:after="0"/>
              <w:ind w:left="240" w:right="0" w:hanging="240"/>
              <w:jc w:val="both"/>
              <w:rPr/>
            </w:pPr>
            <w:r>
              <w:rPr/>
              <w:t>U.S. Treasury Securities</w:t>
            </w:r>
          </w:p>
        </w:tc>
        <w:tc>
          <w:tcPr>
            <w:tcW w:w="60" w:type="dxa"/>
            <w:tcBorders/>
            <w:shd w:fill="CCEEFF" w:val="clear"/>
            <w:tcMar>
              <w:bottom w:w="0" w:type="dxa"/>
            </w:tcMar>
            <w:vAlign w:val="bottom"/>
          </w:tcPr>
          <w:p>
            <w:pPr>
              <w:pStyle w:val="TableContents"/>
              <w:spacing w:before="0" w:after="283"/>
              <w:rPr/>
            </w:pPr>
            <w:r>
              <w:rPr/>
              <w:t> </w:t>
            </w:r>
          </w:p>
        </w:tc>
        <w:tc>
          <w:tcPr>
            <w:tcW w:w="140" w:type="dxa"/>
            <w:tcBorders/>
            <w:shd w:fill="CCEEFF" w:val="clear"/>
            <w:tcMar>
              <w:bottom w:w="0" w:type="dxa"/>
            </w:tcMar>
            <w:vAlign w:val="bottom"/>
          </w:tcPr>
          <w:p>
            <w:pPr>
              <w:pStyle w:val="TableContents"/>
              <w:spacing w:before="0" w:after="0"/>
              <w:rPr/>
            </w:pPr>
            <w:r>
              <w:rPr/>
              <w:t>$</w:t>
            </w:r>
          </w:p>
        </w:tc>
        <w:tc>
          <w:tcPr>
            <w:tcW w:w="1220" w:type="dxa"/>
            <w:tcBorders/>
            <w:shd w:fill="CCEEFF" w:val="clear"/>
            <w:tcMar>
              <w:bottom w:w="0" w:type="dxa"/>
            </w:tcMar>
            <w:vAlign w:val="bottom"/>
          </w:tcPr>
          <w:p>
            <w:pPr>
              <w:pStyle w:val="TableContents"/>
              <w:spacing w:before="0" w:after="0"/>
              <w:jc w:val="right"/>
              <w:rPr/>
            </w:pPr>
            <w:r>
              <w:rPr/>
              <w:t>149,551,026</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20" w:type="dxa"/>
            <w:tcBorders/>
            <w:shd w:fill="CCEEFF" w:val="clear"/>
            <w:tcMar>
              <w:bottom w:w="0" w:type="dxa"/>
            </w:tcMar>
            <w:vAlign w:val="bottom"/>
          </w:tcPr>
          <w:p>
            <w:pPr>
              <w:pStyle w:val="TableContents"/>
              <w:spacing w:before="0" w:after="283"/>
              <w:rPr/>
            </w:pPr>
            <w:r>
              <w:rPr/>
              <w:t> </w:t>
            </w:r>
          </w:p>
        </w:tc>
        <w:tc>
          <w:tcPr>
            <w:tcW w:w="955" w:type="dxa"/>
            <w:tcBorders/>
            <w:shd w:fill="CCEEFF" w:val="clear"/>
            <w:tcMar>
              <w:bottom w:w="0" w:type="dxa"/>
            </w:tcMar>
            <w:vAlign w:val="bottom"/>
          </w:tcPr>
          <w:p>
            <w:pPr>
              <w:pStyle w:val="TableContents"/>
              <w:spacing w:before="0" w:after="0"/>
              <w:jc w:val="right"/>
              <w:rPr/>
            </w:pPr>
            <w:r>
              <w:rPr/>
              <w:t>—</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68" w:type="dxa"/>
            <w:tcBorders/>
            <w:shd w:fill="CCEEFF" w:val="clear"/>
            <w:tcMar>
              <w:bottom w:w="0" w:type="dxa"/>
            </w:tcMar>
            <w:vAlign w:val="bottom"/>
          </w:tcPr>
          <w:p>
            <w:pPr>
              <w:pStyle w:val="TableContents"/>
              <w:spacing w:before="0" w:after="283"/>
              <w:rPr/>
            </w:pPr>
            <w:r>
              <w:rPr/>
              <w:t> </w:t>
            </w:r>
          </w:p>
        </w:tc>
        <w:tc>
          <w:tcPr>
            <w:tcW w:w="1162" w:type="dxa"/>
            <w:tcBorders/>
            <w:shd w:fill="CCEEFF" w:val="clear"/>
            <w:tcMar>
              <w:bottom w:w="0" w:type="dxa"/>
            </w:tcMar>
            <w:vAlign w:val="bottom"/>
          </w:tcPr>
          <w:p>
            <w:pPr>
              <w:pStyle w:val="TableContents"/>
              <w:spacing w:before="0" w:after="0"/>
              <w:jc w:val="right"/>
              <w:rPr/>
            </w:pPr>
            <w:r>
              <w:rPr/>
              <w:t>—</w:t>
            </w:r>
          </w:p>
        </w:tc>
        <w:tc>
          <w:tcPr>
            <w:tcW w:w="60" w:type="dxa"/>
            <w:tcBorders/>
            <w:shd w:fill="CCEEFF" w:val="clear"/>
            <w:tcMar>
              <w:bottom w:w="0" w:type="dxa"/>
            </w:tcMar>
            <w:vAlign w:val="bottom"/>
          </w:tcPr>
          <w:p>
            <w:pPr>
              <w:pStyle w:val="TableContents"/>
              <w:spacing w:before="0" w:after="283"/>
              <w:rPr/>
            </w:pPr>
            <w:r>
              <w:rPr/>
              <w:t> </w:t>
            </w:r>
          </w:p>
        </w:tc>
      </w:tr>
      <w:tr>
        <w:trPr/>
        <w:tc>
          <w:tcPr>
            <w:tcW w:w="3800" w:type="dxa"/>
            <w:tcBorders/>
            <w:shd w:fill="auto" w:val="clear"/>
            <w:tcMar>
              <w:bottom w:w="0" w:type="dxa"/>
            </w:tcMar>
            <w:vAlign w:val="bottom"/>
          </w:tcPr>
          <w:p>
            <w:pPr>
              <w:pStyle w:val="TableContents"/>
              <w:spacing w:before="0" w:after="0"/>
              <w:ind w:left="240" w:right="0" w:hanging="240"/>
              <w:jc w:val="both"/>
              <w:rPr/>
            </w:pPr>
            <w:r>
              <w:rPr/>
              <w:t>Cash equivalents – money market funds</w:t>
            </w:r>
          </w:p>
        </w:tc>
        <w:tc>
          <w:tcPr>
            <w:tcW w:w="60" w:type="dxa"/>
            <w:tcBorders/>
            <w:shd w:fill="auto" w:val="clear"/>
            <w:tcMar>
              <w:bottom w:w="0" w:type="dxa"/>
            </w:tcMar>
            <w:vAlign w:val="bottom"/>
          </w:tcPr>
          <w:p>
            <w:pPr>
              <w:pStyle w:val="TableContents"/>
              <w:spacing w:before="0" w:after="283"/>
              <w:rPr/>
            </w:pPr>
            <w:r>
              <w:rPr/>
              <w:t> </w:t>
            </w:r>
          </w:p>
        </w:tc>
        <w:tc>
          <w:tcPr>
            <w:tcW w:w="140" w:type="dxa"/>
            <w:tcBorders>
              <w:bottom w:val="single" w:sz="12" w:space="0" w:color="000000"/>
            </w:tcBorders>
            <w:shd w:fill="auto" w:val="clear"/>
            <w:vAlign w:val="bottom"/>
          </w:tcPr>
          <w:p>
            <w:pPr>
              <w:pStyle w:val="TableContents"/>
              <w:spacing w:before="0" w:after="283"/>
              <w:rPr/>
            </w:pPr>
            <w:r>
              <w:rPr/>
              <w:t> </w:t>
            </w:r>
          </w:p>
        </w:tc>
        <w:tc>
          <w:tcPr>
            <w:tcW w:w="1220" w:type="dxa"/>
            <w:tcBorders>
              <w:bottom w:val="single" w:sz="12" w:space="0" w:color="000000"/>
            </w:tcBorders>
            <w:shd w:fill="auto" w:val="clear"/>
            <w:vAlign w:val="bottom"/>
          </w:tcPr>
          <w:p>
            <w:pPr>
              <w:pStyle w:val="TableContents"/>
              <w:spacing w:before="0" w:after="0"/>
              <w:jc w:val="right"/>
              <w:rPr/>
            </w:pPr>
            <w:r>
              <w:rPr/>
              <w:t>1,926</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220" w:type="dxa"/>
            <w:tcBorders>
              <w:bottom w:val="single" w:sz="12" w:space="0" w:color="000000"/>
            </w:tcBorders>
            <w:shd w:fill="auto" w:val="clear"/>
            <w:vAlign w:val="bottom"/>
          </w:tcPr>
          <w:p>
            <w:pPr>
              <w:pStyle w:val="TableContents"/>
              <w:spacing w:before="0" w:after="283"/>
              <w:rPr/>
            </w:pPr>
            <w:r>
              <w:rPr/>
              <w:t> </w:t>
            </w:r>
          </w:p>
        </w:tc>
        <w:tc>
          <w:tcPr>
            <w:tcW w:w="955" w:type="dxa"/>
            <w:tcBorders>
              <w:bottom w:val="single" w:sz="12" w:space="0" w:color="000000"/>
            </w:tcBorders>
            <w:shd w:fill="auto" w:val="clear"/>
            <w:vAlign w:val="bottom"/>
          </w:tcPr>
          <w:p>
            <w:pPr>
              <w:pStyle w:val="TableContents"/>
              <w:spacing w:before="0" w:after="0"/>
              <w:jc w:val="right"/>
              <w:rPr/>
            </w:pPr>
            <w:r>
              <w:rPr/>
              <w:t>—</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268" w:type="dxa"/>
            <w:tcBorders>
              <w:bottom w:val="single" w:sz="12" w:space="0" w:color="000000"/>
            </w:tcBorders>
            <w:shd w:fill="auto" w:val="clear"/>
            <w:vAlign w:val="bottom"/>
          </w:tcPr>
          <w:p>
            <w:pPr>
              <w:pStyle w:val="TableContents"/>
              <w:spacing w:before="0" w:after="283"/>
              <w:rPr/>
            </w:pPr>
            <w:r>
              <w:rPr/>
              <w:t> </w:t>
            </w:r>
          </w:p>
        </w:tc>
        <w:tc>
          <w:tcPr>
            <w:tcW w:w="1162" w:type="dxa"/>
            <w:tcBorders>
              <w:bottom w:val="single" w:sz="12" w:space="0" w:color="000000"/>
            </w:tcBorders>
            <w:shd w:fill="auto" w:val="clear"/>
            <w:vAlign w:val="bottom"/>
          </w:tcPr>
          <w:p>
            <w:pPr>
              <w:pStyle w:val="TableContents"/>
              <w:spacing w:before="0" w:after="0"/>
              <w:jc w:val="right"/>
              <w:rPr/>
            </w:pPr>
            <w:r>
              <w:rPr/>
              <w:t>—</w:t>
            </w:r>
          </w:p>
        </w:tc>
        <w:tc>
          <w:tcPr>
            <w:tcW w:w="60" w:type="dxa"/>
            <w:tcBorders/>
            <w:shd w:fill="auto" w:val="clear"/>
            <w:tcMar>
              <w:bottom w:w="0" w:type="dxa"/>
            </w:tcMar>
            <w:vAlign w:val="bottom"/>
          </w:tcPr>
          <w:p>
            <w:pPr>
              <w:pStyle w:val="TableContents"/>
              <w:spacing w:before="0" w:after="283"/>
              <w:rPr/>
            </w:pPr>
            <w:r>
              <w:rPr/>
              <w:t> </w:t>
            </w:r>
          </w:p>
        </w:tc>
      </w:tr>
      <w:tr>
        <w:trPr/>
        <w:tc>
          <w:tcPr>
            <w:tcW w:w="380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40" w:type="dxa"/>
            <w:tcBorders>
              <w:bottom w:val="double" w:sz="8" w:space="0" w:color="000000"/>
            </w:tcBorders>
            <w:shd w:fill="CCEEFF" w:val="clear"/>
            <w:vAlign w:val="bottom"/>
          </w:tcPr>
          <w:p>
            <w:pPr>
              <w:pStyle w:val="TableContents"/>
              <w:spacing w:before="0" w:after="0"/>
              <w:rPr/>
            </w:pPr>
            <w:r>
              <w:rPr/>
              <w:t>$</w:t>
            </w:r>
          </w:p>
        </w:tc>
        <w:tc>
          <w:tcPr>
            <w:tcW w:w="1220" w:type="dxa"/>
            <w:tcBorders>
              <w:bottom w:val="double" w:sz="8" w:space="0" w:color="000000"/>
            </w:tcBorders>
            <w:shd w:fill="CCEEFF" w:val="clear"/>
            <w:vAlign w:val="bottom"/>
          </w:tcPr>
          <w:p>
            <w:pPr>
              <w:pStyle w:val="TableContents"/>
              <w:spacing w:before="0" w:after="0"/>
              <w:jc w:val="right"/>
              <w:rPr/>
            </w:pPr>
            <w:r>
              <w:rPr/>
              <w:t>149,552,952</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20" w:type="dxa"/>
            <w:tcBorders>
              <w:bottom w:val="double" w:sz="8" w:space="0" w:color="000000"/>
            </w:tcBorders>
            <w:shd w:fill="CCEEFF" w:val="clear"/>
            <w:vAlign w:val="bottom"/>
          </w:tcPr>
          <w:p>
            <w:pPr>
              <w:pStyle w:val="TableContents"/>
              <w:spacing w:before="0" w:after="283"/>
              <w:rPr/>
            </w:pPr>
            <w:r>
              <w:rPr/>
              <w:t> </w:t>
            </w:r>
          </w:p>
        </w:tc>
        <w:tc>
          <w:tcPr>
            <w:tcW w:w="955" w:type="dxa"/>
            <w:tcBorders>
              <w:bottom w:val="double" w:sz="8" w:space="0" w:color="000000"/>
            </w:tcBorders>
            <w:shd w:fill="CCEEFF" w:val="clear"/>
            <w:vAlign w:val="bottom"/>
          </w:tcPr>
          <w:p>
            <w:pPr>
              <w:pStyle w:val="TableContents"/>
              <w:spacing w:before="0" w:after="0"/>
              <w:jc w:val="right"/>
              <w:rPr/>
            </w:pPr>
            <w:r>
              <w:rPr/>
              <w:t>—</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68" w:type="dxa"/>
            <w:tcBorders>
              <w:bottom w:val="double" w:sz="8" w:space="0" w:color="000000"/>
            </w:tcBorders>
            <w:shd w:fill="CCEEFF" w:val="clear"/>
            <w:vAlign w:val="bottom"/>
          </w:tcPr>
          <w:p>
            <w:pPr>
              <w:pStyle w:val="TableContents"/>
              <w:spacing w:before="0" w:after="283"/>
              <w:rPr/>
            </w:pPr>
            <w:r>
              <w:rPr/>
              <w:t> </w:t>
            </w:r>
          </w:p>
        </w:tc>
        <w:tc>
          <w:tcPr>
            <w:tcW w:w="1162" w:type="dxa"/>
            <w:tcBorders>
              <w:bottom w:val="double" w:sz="8" w:space="0" w:color="000000"/>
            </w:tcBorders>
            <w:shd w:fill="CCEEFF" w:val="clear"/>
            <w:vAlign w:val="bottom"/>
          </w:tcPr>
          <w:p>
            <w:pPr>
              <w:pStyle w:val="TableContents"/>
              <w:spacing w:before="0" w:after="0"/>
              <w:jc w:val="right"/>
              <w:rPr/>
            </w:pPr>
            <w:r>
              <w:rPr/>
              <w:t>—</w:t>
            </w:r>
          </w:p>
        </w:tc>
        <w:tc>
          <w:tcPr>
            <w:tcW w:w="60" w:type="dxa"/>
            <w:tcBorders/>
            <w:shd w:fill="CCEEFF" w:val="clear"/>
            <w:tcMar>
              <w:bottom w:w="0" w:type="dxa"/>
            </w:tcMar>
            <w:vAlign w:val="bottom"/>
          </w:tcPr>
          <w:p>
            <w:pPr>
              <w:pStyle w:val="TableContents"/>
              <w:spacing w:before="0" w:after="283"/>
              <w:rPr/>
            </w:pPr>
            <w:r>
              <w:rPr/>
              <w:t> </w:t>
            </w:r>
          </w:p>
        </w:tc>
      </w:tr>
    </w:tbl>
    <w:p>
      <w:pPr>
        <w:pStyle w:val="TextBody"/>
        <w:spacing w:before="0" w:after="0"/>
        <w:rPr/>
      </w:pPr>
      <w:r>
        <w:rPr/>
      </w:r>
    </w:p>
    <w:p>
      <w:pPr>
        <w:pStyle w:val="TextBody"/>
        <w:spacing w:before="0" w:after="0"/>
        <w:jc w:val="both"/>
        <w:rPr>
          <w:color w:val="000000"/>
        </w:rPr>
      </w:pPr>
      <w:r>
        <w:rPr>
          <w:color w:val="000000"/>
        </w:rPr>
        <w:t>Transfers to/from Levels 1, 2, and 3 are recognized at the end of the reporting period. There were no transfers between levels for the period from March 27, 2020 (inception) through December 31, 2020.</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53" w:name="DSPFPageBreakArea90"/>
      <w:bookmarkStart w:id="1054" w:name="DSPFPageBreakArea90"/>
      <w:bookmarkEnd w:id="10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055" w:name="DSPFPageNumber89"/>
      <w:bookmarkStart w:id="1056" w:name="DSPFPageNumberArea88"/>
      <w:bookmarkEnd w:id="1055"/>
      <w:bookmarkEnd w:id="1056"/>
      <w:r>
        <w:rPr>
          <w:b w:val="false"/>
          <w:i w:val="false"/>
          <w:caps w:val="false"/>
          <w:smallCaps w:val="false"/>
          <w:color w:val="000000"/>
          <w:sz w:val="16"/>
        </w:rPr>
        <w:t>F-17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57" w:name="DSPFPageBreak90"/>
      <w:bookmarkStart w:id="1058" w:name="DSPFPageBreak90"/>
      <w:bookmarkEnd w:id="10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rPr/>
      </w:pPr>
      <w:hyperlink w:anchor="TABLEOFCONTENTS">
        <w:bookmarkStart w:id="1059" w:name="DSPFPageHeader88"/>
        <w:bookmarkEnd w:id="1059"/>
        <w:r>
          <w:rPr>
            <w:rStyle w:val="InternetLink"/>
            <w:i/>
            <w:sz w:val="16"/>
          </w:rPr>
          <w:t>Table of Contents</w:t>
        </w:r>
      </w:hyperlink>
      <w:r>
        <w:rPr/>
        <w:t xml:space="preserve"> </w:t>
      </w:r>
    </w:p>
    <w:p>
      <w:pPr>
        <w:pStyle w:val="TextBody"/>
        <w:spacing w:before="200" w:after="200"/>
        <w:jc w:val="center"/>
        <w:rPr>
          <w:b/>
        </w:rPr>
      </w:pPr>
      <w:r>
        <w:rPr>
          <w:b/>
        </w:rPr>
        <w:t>ARYA SCIENCES ACQUISITION CORP III</w:t>
      </w:r>
    </w:p>
    <w:p>
      <w:pPr>
        <w:pStyle w:val="TextBody"/>
        <w:spacing w:before="200" w:after="200"/>
        <w:jc w:val="center"/>
        <w:rPr>
          <w:b/>
        </w:rPr>
      </w:pPr>
      <w:r>
        <w:rPr>
          <w:b/>
        </w:rPr>
        <w:t>NOTES TO FINANCIAL STATEMENTS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color w:val="000000"/>
        </w:rPr>
      </w:pPr>
      <w:r>
        <w:rPr>
          <w:color w:val="000000"/>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pStyle w:val="TextBody"/>
        <w:spacing w:before="0" w:after="0"/>
        <w:jc w:val="both"/>
        <w:rPr/>
      </w:pPr>
      <w:r>
        <w:rPr/>
      </w:r>
    </w:p>
    <w:p>
      <w:pPr>
        <w:pStyle w:val="TextBody"/>
        <w:spacing w:before="0" w:after="0"/>
        <w:jc w:val="both"/>
        <w:rPr>
          <w:b/>
        </w:rPr>
      </w:pPr>
      <w:r>
        <w:rPr>
          <w:b/>
        </w:rPr>
        <w:t>Note 8 — Subsequent Events</w:t>
      </w:r>
    </w:p>
    <w:p>
      <w:pPr>
        <w:pStyle w:val="TextBody"/>
        <w:spacing w:before="0" w:after="0"/>
        <w:rPr/>
      </w:pPr>
      <w:r>
        <w:rPr/>
      </w:r>
    </w:p>
    <w:p>
      <w:pPr>
        <w:pStyle w:val="TextBody"/>
        <w:spacing w:before="0" w:after="0"/>
        <w:jc w:val="both"/>
        <w:rPr/>
      </w:pPr>
      <w:r>
        <w:rPr/>
        <w:t>As discussed in Note 1, on February 7, 2021, the Company entered into the Business Combination Agreement and a series of other agreements related to the Business Combination.</w:t>
      </w:r>
    </w:p>
    <w:p>
      <w:pPr>
        <w:pStyle w:val="TextBody"/>
        <w:spacing w:before="0" w:after="0"/>
        <w:rPr/>
      </w:pPr>
      <w:r>
        <w:rPr/>
      </w:r>
    </w:p>
    <w:p>
      <w:pPr>
        <w:pStyle w:val="TextBody"/>
        <w:spacing w:before="0" w:after="0"/>
        <w:jc w:val="both"/>
        <w:rPr/>
      </w:pPr>
      <w:r>
        <w:rPr/>
        <w:t>The Company evaluated subsequent events and transactions that occurred up to the date financial statements were available to be issued. Based upon this review, the Company determined that there have been no events that have occurred that would require adjustments to the disclosures in the financial statements, except as disclosed in Note 1.</w:t>
      </w:r>
    </w:p>
    <w:p>
      <w:pPr>
        <w:pStyle w:val="TextBody"/>
        <w:spacing w:before="0" w:after="0"/>
        <w:rPr/>
      </w:pPr>
      <w:r>
        <w:rPr/>
      </w:r>
    </w:p>
    <w:p>
      <w:pPr>
        <w:pStyle w:val="TextBody"/>
        <w:spacing w:before="0" w:after="0"/>
        <w:rPr/>
      </w:pPr>
      <w:r>
        <w:rPr/>
      </w:r>
    </w:p>
    <w:p>
      <w:pPr>
        <w:pStyle w:val="TextBody"/>
        <w:spacing w:before="0" w:after="0"/>
        <w:jc w:val="center"/>
        <w:rPr>
          <w:b w:val="false"/>
          <w:i w:val="false"/>
          <w:caps w:val="false"/>
          <w:smallCaps w:val="false"/>
          <w:color w:val="000000"/>
          <w:sz w:val="16"/>
        </w:rPr>
      </w:pPr>
      <w:bookmarkStart w:id="1060" w:name="DSPFPageNumber90"/>
      <w:bookmarkEnd w:id="1060"/>
      <w:r>
        <w:rPr>
          <w:b w:val="false"/>
          <w:i w:val="false"/>
          <w:caps w:val="false"/>
          <w:smallCaps w:val="false"/>
          <w:color w:val="000000"/>
          <w:sz w:val="16"/>
        </w:rPr>
        <w:t>F-18</w:t>
      </w:r>
    </w:p>
    <w:p>
      <w:pPr>
        <w:pStyle w:val="HorizontalLine"/>
        <w:pBdr>
          <w:bottom w:val="single" w:sz="20" w:space="0" w:color="808080"/>
        </w:pBdr>
        <w:rPr/>
      </w:pPr>
      <w:r>
        <w:rPr/>
      </w:r>
      <w:r>
        <w:br w:type="page"/>
      </w:r>
    </w:p>
    <w:p>
      <w:pPr>
        <w:pStyle w:val="HorizontalLine"/>
        <w:pBdr>
          <w:bottom w:val="single" w:sz="20" w:space="0" w:color="808080"/>
        </w:pBdr>
        <w:rPr/>
      </w:pPr>
      <w:r>
        <w:rPr/>
      </w:r>
      <w:bookmarkStart w:id="1061" w:name="brhc10021542_ex4-2.htm"/>
      <w:bookmarkStart w:id="1062" w:name="ksbrhc10021542_ex42"/>
      <w:bookmarkStart w:id="1063" w:name="brhc10021542_ex4-2.htm"/>
      <w:bookmarkStart w:id="1064" w:name="ksbrhc10021542_ex42"/>
      <w:bookmarkEnd w:id="1063"/>
      <w:bookmarkEnd w:id="1064"/>
    </w:p>
    <w:p>
      <w:pPr>
        <w:pStyle w:val="TextBody"/>
        <w:spacing w:before="0" w:after="0"/>
        <w:jc w:val="right"/>
        <w:rPr>
          <w:b/>
        </w:rPr>
      </w:pPr>
      <w:r>
        <w:rPr>
          <w:b/>
        </w:rPr>
        <w:t>Exhibit 4.2</w:t>
      </w:r>
    </w:p>
    <w:p>
      <w:pPr>
        <w:pStyle w:val="TextBody"/>
        <w:spacing w:before="0" w:after="0"/>
        <w:jc w:val="center"/>
        <w:rPr>
          <w:b/>
        </w:rPr>
      </w:pPr>
      <w:r>
        <w:rPr>
          <w:b/>
        </w:rPr>
      </w:r>
    </w:p>
    <w:p>
      <w:pPr>
        <w:pStyle w:val="TextBody"/>
        <w:spacing w:before="0" w:after="0"/>
        <w:jc w:val="center"/>
        <w:rPr>
          <w:b/>
        </w:rPr>
      </w:pPr>
      <w:r>
        <w:rPr>
          <w:b/>
        </w:rPr>
        <w:t>ARYA SCIENCES ACQUISITION CORP III</w:t>
      </w:r>
    </w:p>
    <w:p>
      <w:pPr>
        <w:pStyle w:val="TextBody"/>
        <w:spacing w:before="0" w:after="0"/>
        <w:jc w:val="center"/>
        <w:rPr>
          <w:b/>
        </w:rPr>
      </w:pPr>
      <w:r>
        <w:rPr>
          <w:b/>
        </w:rPr>
        <w:t>DESCRIPTION OF SECURITIES</w:t>
      </w:r>
    </w:p>
    <w:p>
      <w:pPr>
        <w:pStyle w:val="TextBody"/>
        <w:spacing w:before="0" w:after="0"/>
        <w:rPr/>
      </w:pPr>
      <w:r>
        <w:rPr/>
      </w:r>
    </w:p>
    <w:p>
      <w:pPr>
        <w:pStyle w:val="TextBody"/>
        <w:spacing w:before="0" w:after="0"/>
        <w:jc w:val="both"/>
        <w:rPr/>
      </w:pPr>
      <w:r>
        <w:rPr/>
        <w:t>The following summary of the material terms of the securities of ARYA Sciences Acquisition Corp III is not intended to be a complete summary of the rights and preferences of such securities and is subject to and qualified by reference to our amended and restated memorandum and articles of association incorporated by reference as an exhibit to the company’s Annual Report on Form 10-K (the “Report”) for the year ended December 31, 2020, and applicable Cayman Islands law. We urge you to read our amended and restated memorandum and articles of association in their entirety for a complete description of the rights and preferences of our securities.</w:t>
      </w:r>
    </w:p>
    <w:p>
      <w:pPr>
        <w:pStyle w:val="TextBody"/>
        <w:spacing w:before="0" w:after="0"/>
        <w:rPr/>
      </w:pPr>
      <w:r>
        <w:rPr/>
      </w:r>
    </w:p>
    <w:p>
      <w:pPr>
        <w:pStyle w:val="TextBody"/>
        <w:spacing w:before="0" w:after="0"/>
        <w:jc w:val="both"/>
        <w:rPr>
          <w:b/>
        </w:rPr>
      </w:pPr>
      <w:r>
        <w:rPr>
          <w:b/>
        </w:rPr>
        <w:t>Certain Terms</w:t>
      </w:r>
    </w:p>
    <w:p>
      <w:pPr>
        <w:pStyle w:val="TextBody"/>
        <w:spacing w:before="0" w:after="0"/>
        <w:rPr/>
      </w:pPr>
      <w:r>
        <w:rPr/>
      </w:r>
    </w:p>
    <w:p>
      <w:pPr>
        <w:pStyle w:val="TextBody"/>
        <w:spacing w:before="0" w:after="0"/>
        <w:jc w:val="both"/>
        <w:rPr/>
      </w:pPr>
      <w:r>
        <w:rPr/>
        <w:t>Unless otherwise stated in this exhibit to the Report or the context otherwise requires, references to:</w:t>
      </w:r>
    </w:p>
    <w:p>
      <w:pPr>
        <w:pStyle w:val="TextBody"/>
        <w:spacing w:before="0" w:after="0"/>
        <w:rPr/>
      </w:pPr>
      <w:r>
        <w:rPr/>
      </w:r>
    </w:p>
    <w:p>
      <w:pPr>
        <w:pStyle w:val="Normal"/>
        <w:spacing w:before="0" w:after="0"/>
        <w:rPr>
          <w:sz w:val="4"/>
          <w:szCs w:val="4"/>
        </w:rPr>
      </w:pPr>
      <w:r>
        <w:rPr>
          <w:sz w:val="4"/>
          <w:szCs w:val="4"/>
        </w:rPr>
      </w:r>
      <w:bookmarkStart w:id="1065" w:name="za5f5346c46d34dccab0fb10d5b63a7d8"/>
      <w:bookmarkStart w:id="1066" w:name="za5f5346c46d34dccab0fb10d5b63a7d8"/>
      <w:bookmarkEnd w:id="106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t>
            </w:r>
            <w:r>
              <w:rPr/>
              <w:t>Companies Act” are to the Companies Act (As Revised) of the Cayman Islands as the same may be amended from time to time;“company,” “we,” “us,” “our,” or “our company” are to ARYA Sciences Acquisition Corp III, a Cayman Islands exempted company;</w:t>
            </w:r>
          </w:p>
        </w:tc>
      </w:tr>
    </w:tbl>
    <w:p>
      <w:pPr>
        <w:pStyle w:val="TextBody"/>
        <w:spacing w:before="0" w:after="0"/>
        <w:rPr/>
      </w:pPr>
      <w:r>
        <w:rPr/>
        <w:t> </w:t>
      </w:r>
    </w:p>
    <w:p>
      <w:pPr>
        <w:pStyle w:val="Normal"/>
        <w:spacing w:before="0" w:after="0"/>
        <w:rPr>
          <w:sz w:val="4"/>
          <w:szCs w:val="4"/>
        </w:rPr>
      </w:pPr>
      <w:r>
        <w:rPr>
          <w:sz w:val="4"/>
          <w:szCs w:val="4"/>
        </w:rPr>
      </w:r>
      <w:bookmarkStart w:id="1067" w:name="z932581f5af8647258b1f4ac4082b0022"/>
      <w:bookmarkStart w:id="1068" w:name="z932581f5af8647258b1f4ac4082b0022"/>
      <w:bookmarkEnd w:id="106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t>
            </w:r>
            <w:r>
              <w:rPr/>
              <w:t>founder shares” are to our Class B ordinary shares initially issued to our sponsor in a private placement prior to our Initial Public Offering and the Class A ordinary shares that will be issued upon the automatic conversion of the Class B ordinary shares at the time of our initial business combination (for the avoidance of doubt, such Class A ordinary shares will not be “public shares”);</w:t>
            </w:r>
          </w:p>
        </w:tc>
      </w:tr>
    </w:tbl>
    <w:p>
      <w:pPr>
        <w:pStyle w:val="TextBody"/>
        <w:spacing w:before="0" w:after="0"/>
        <w:rPr/>
      </w:pPr>
      <w:r>
        <w:rPr/>
        <w:t> </w:t>
      </w:r>
    </w:p>
    <w:p>
      <w:pPr>
        <w:pStyle w:val="Normal"/>
        <w:spacing w:before="0" w:after="0"/>
        <w:rPr>
          <w:sz w:val="4"/>
          <w:szCs w:val="4"/>
        </w:rPr>
      </w:pPr>
      <w:r>
        <w:rPr>
          <w:sz w:val="4"/>
          <w:szCs w:val="4"/>
        </w:rPr>
      </w:r>
      <w:bookmarkStart w:id="1069" w:name="z56c1b1e762c84d138d140bfc37adf392"/>
      <w:bookmarkStart w:id="1070" w:name="z56c1b1e762c84d138d140bfc37adf392"/>
      <w:bookmarkEnd w:id="1070"/>
    </w:p>
    <w:tbl>
      <w:tblPr>
        <w:tblW w:w="6468" w:type="dxa"/>
        <w:jc w:val="left"/>
        <w:tblInd w:w="0" w:type="dxa"/>
        <w:tblCellMar>
          <w:top w:w="0" w:type="dxa"/>
          <w:left w:w="0" w:type="dxa"/>
          <w:bottom w:w="0" w:type="dxa"/>
          <w:right w:w="0" w:type="dxa"/>
        </w:tblCellMar>
      </w:tblPr>
      <w:tblGrid>
        <w:gridCol w:w="38"/>
        <w:gridCol w:w="110"/>
        <w:gridCol w:w="63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320" w:type="dxa"/>
            <w:tcBorders/>
            <w:shd w:fill="auto" w:val="clear"/>
            <w:vAlign w:val="center"/>
          </w:tcPr>
          <w:p>
            <w:pPr>
              <w:pStyle w:val="TableContents"/>
              <w:spacing w:before="0" w:after="0"/>
              <w:rPr/>
            </w:pPr>
            <w:r>
              <w:rPr/>
              <w:t>“</w:t>
            </w:r>
            <w:r>
              <w:rPr/>
              <w:t>initial shareholders” are to our sponsor and independent directors;</w:t>
            </w:r>
          </w:p>
        </w:tc>
      </w:tr>
    </w:tbl>
    <w:p>
      <w:pPr>
        <w:pStyle w:val="TextBody"/>
        <w:spacing w:before="0" w:after="0"/>
        <w:rPr/>
      </w:pPr>
      <w:r>
        <w:rPr/>
        <w:t> </w:t>
      </w:r>
    </w:p>
    <w:p>
      <w:pPr>
        <w:pStyle w:val="Normal"/>
        <w:spacing w:before="0" w:after="0"/>
        <w:rPr>
          <w:sz w:val="4"/>
          <w:szCs w:val="4"/>
        </w:rPr>
      </w:pPr>
      <w:r>
        <w:rPr>
          <w:sz w:val="4"/>
          <w:szCs w:val="4"/>
        </w:rPr>
      </w:r>
      <w:bookmarkStart w:id="1071" w:name="zceb5399a27cb4d189101d7b1130d52f0"/>
      <w:bookmarkStart w:id="1072" w:name="zceb5399a27cb4d189101d7b1130d52f0"/>
      <w:bookmarkEnd w:id="1072"/>
    </w:p>
    <w:tbl>
      <w:tblPr>
        <w:tblW w:w="8778" w:type="dxa"/>
        <w:jc w:val="left"/>
        <w:tblInd w:w="0" w:type="dxa"/>
        <w:tblCellMar>
          <w:top w:w="0" w:type="dxa"/>
          <w:left w:w="0" w:type="dxa"/>
          <w:bottom w:w="0" w:type="dxa"/>
          <w:right w:w="0" w:type="dxa"/>
        </w:tblCellMar>
      </w:tblPr>
      <w:tblGrid>
        <w:gridCol w:w="38"/>
        <w:gridCol w:w="110"/>
        <w:gridCol w:w="86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630" w:type="dxa"/>
            <w:tcBorders/>
            <w:shd w:fill="auto" w:val="clear"/>
            <w:vAlign w:val="center"/>
          </w:tcPr>
          <w:p>
            <w:pPr>
              <w:pStyle w:val="TableContents"/>
              <w:spacing w:before="0" w:after="0"/>
              <w:rPr/>
            </w:pPr>
            <w:r>
              <w:rPr/>
              <w:t>“</w:t>
            </w:r>
            <w:r>
              <w:rPr/>
              <w:t>Initial Public Offering” refers to our initial public offering for our Class A ordinary shares;</w:t>
            </w:r>
          </w:p>
        </w:tc>
      </w:tr>
    </w:tbl>
    <w:p>
      <w:pPr>
        <w:pStyle w:val="TextBody"/>
        <w:spacing w:before="0" w:after="0"/>
        <w:rPr/>
      </w:pPr>
      <w:r>
        <w:rPr/>
        <w:t> </w:t>
      </w:r>
    </w:p>
    <w:p>
      <w:pPr>
        <w:pStyle w:val="Normal"/>
        <w:spacing w:before="0" w:after="0"/>
        <w:rPr>
          <w:sz w:val="4"/>
          <w:szCs w:val="4"/>
        </w:rPr>
      </w:pPr>
      <w:r>
        <w:rPr>
          <w:sz w:val="4"/>
          <w:szCs w:val="4"/>
        </w:rPr>
      </w:r>
      <w:bookmarkStart w:id="1073" w:name="zf9f31b2788ad4d97bb8560d9648c4441"/>
      <w:bookmarkStart w:id="1074" w:name="zf9f31b2788ad4d97bb8560d9648c4441"/>
      <w:bookmarkEnd w:id="107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t>
            </w:r>
            <w:r>
              <w:rPr/>
              <w:t>management” or “our management team” are to our executive officers and directors (including our directors who became directors at the consummation of our Initial Public Offering);</w:t>
            </w:r>
          </w:p>
        </w:tc>
      </w:tr>
    </w:tbl>
    <w:p>
      <w:pPr>
        <w:pStyle w:val="TextBody"/>
        <w:spacing w:before="0" w:after="0"/>
        <w:rPr/>
      </w:pPr>
      <w:r>
        <w:rPr/>
        <w:t> </w:t>
      </w:r>
    </w:p>
    <w:p>
      <w:pPr>
        <w:pStyle w:val="Normal"/>
        <w:spacing w:before="0" w:after="0"/>
        <w:rPr>
          <w:sz w:val="4"/>
          <w:szCs w:val="4"/>
        </w:rPr>
      </w:pPr>
      <w:r>
        <w:rPr>
          <w:sz w:val="4"/>
          <w:szCs w:val="4"/>
        </w:rPr>
      </w:r>
      <w:bookmarkStart w:id="1075" w:name="z2d4edff6ffbd432ebad11578f9522cdd"/>
      <w:bookmarkStart w:id="1076" w:name="z2d4edff6ffbd432ebad11578f9522cdd"/>
      <w:bookmarkEnd w:id="1076"/>
    </w:p>
    <w:tbl>
      <w:tblPr>
        <w:tblW w:w="8238" w:type="dxa"/>
        <w:jc w:val="left"/>
        <w:tblInd w:w="0" w:type="dxa"/>
        <w:tblCellMar>
          <w:top w:w="0" w:type="dxa"/>
          <w:left w:w="0" w:type="dxa"/>
          <w:bottom w:w="0" w:type="dxa"/>
          <w:right w:w="0" w:type="dxa"/>
        </w:tblCellMar>
      </w:tblPr>
      <w:tblGrid>
        <w:gridCol w:w="38"/>
        <w:gridCol w:w="110"/>
        <w:gridCol w:w="80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090" w:type="dxa"/>
            <w:tcBorders/>
            <w:shd w:fill="auto" w:val="clear"/>
            <w:vAlign w:val="center"/>
          </w:tcPr>
          <w:p>
            <w:pPr>
              <w:pStyle w:val="TableContents"/>
              <w:spacing w:before="0" w:after="0"/>
              <w:rPr/>
            </w:pPr>
            <w:r>
              <w:rPr/>
              <w:t>“</w:t>
            </w:r>
            <w:r>
              <w:rPr/>
              <w:t>ordinary shares” are to our Class A ordinary shares and our Class B ordinary shares;</w:t>
            </w:r>
          </w:p>
        </w:tc>
      </w:tr>
    </w:tbl>
    <w:p>
      <w:pPr>
        <w:pStyle w:val="TextBody"/>
        <w:spacing w:before="0" w:after="0"/>
        <w:rPr/>
      </w:pPr>
      <w:r>
        <w:rPr/>
        <w:t> </w:t>
      </w:r>
    </w:p>
    <w:p>
      <w:pPr>
        <w:pStyle w:val="Normal"/>
        <w:spacing w:before="0" w:after="0"/>
        <w:rPr>
          <w:sz w:val="4"/>
          <w:szCs w:val="4"/>
        </w:rPr>
      </w:pPr>
      <w:r>
        <w:rPr>
          <w:sz w:val="4"/>
          <w:szCs w:val="4"/>
        </w:rPr>
      </w:r>
      <w:bookmarkStart w:id="1077" w:name="zcf9bb1811d324c9da2809ffc145e5243"/>
      <w:bookmarkStart w:id="1078" w:name="zcf9bb1811d324c9da2809ffc145e5243"/>
      <w:bookmarkEnd w:id="107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t>
            </w:r>
            <w:r>
              <w:rPr/>
              <w:t>private placement shares” are to the Class A ordinary shares issued to our sponsor in a private placement simultaneously with the closing of our Initial Public Offering (which private placement shares are identical to the shares sold in our Initial Public Offering, subject to certain limited exceptions) and upon conversion of working capital loans;</w:t>
            </w:r>
          </w:p>
        </w:tc>
      </w:tr>
    </w:tbl>
    <w:p>
      <w:pPr>
        <w:pStyle w:val="TextBody"/>
        <w:spacing w:before="0" w:after="0"/>
        <w:rPr/>
      </w:pPr>
      <w:r>
        <w:rPr/>
        <w:t> </w:t>
      </w:r>
    </w:p>
    <w:p>
      <w:pPr>
        <w:pStyle w:val="Normal"/>
        <w:spacing w:before="0" w:after="0"/>
        <w:rPr>
          <w:sz w:val="4"/>
          <w:szCs w:val="4"/>
        </w:rPr>
      </w:pPr>
      <w:r>
        <w:rPr>
          <w:sz w:val="4"/>
          <w:szCs w:val="4"/>
        </w:rPr>
      </w:r>
      <w:bookmarkStart w:id="1079" w:name="z42576da538b84a4ba784252a9954f5ba"/>
      <w:bookmarkStart w:id="1080" w:name="z42576da538b84a4ba784252a9954f5ba"/>
      <w:bookmarkEnd w:id="108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t>
            </w:r>
            <w:r>
              <w:rPr/>
              <w:t xml:space="preserve">public shareholders” are to the holders of our public shares, including our sponsor and management team to the extent our sponsor and/or members of our management team purchase public shares, </w:t>
            </w:r>
            <w:r>
              <w:rPr>
                <w:i/>
              </w:rPr>
              <w:t>provided</w:t>
            </w:r>
            <w:r>
              <w:rPr/>
              <w:t xml:space="preserve"> that our sponsor’s and each member of our management team’s status as a “public shareholder” will only exist with respect to such public shares;</w:t>
            </w:r>
          </w:p>
        </w:tc>
      </w:tr>
    </w:tbl>
    <w:p>
      <w:pPr>
        <w:pStyle w:val="TextBody"/>
        <w:spacing w:before="0" w:after="0"/>
        <w:rPr/>
      </w:pPr>
      <w:r>
        <w:rPr/>
        <w:t> </w:t>
      </w:r>
    </w:p>
    <w:p>
      <w:pPr>
        <w:pStyle w:val="Normal"/>
        <w:spacing w:before="0" w:after="0"/>
        <w:rPr>
          <w:sz w:val="4"/>
          <w:szCs w:val="4"/>
        </w:rPr>
      </w:pPr>
      <w:r>
        <w:rPr>
          <w:sz w:val="4"/>
          <w:szCs w:val="4"/>
        </w:rPr>
      </w:r>
      <w:bookmarkStart w:id="1081" w:name="z73b637f56ada4b1c96142defdbe0a95e"/>
      <w:bookmarkStart w:id="1082" w:name="z73b637f56ada4b1c96142defdbe0a95e"/>
      <w:bookmarkEnd w:id="108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t>
            </w:r>
            <w:r>
              <w:rPr/>
              <w:t>public shares” are to our Class A ordinary shares to be sold in our Initial Public Offering (whether they are purchased in our Initial Public Offering or thereafter in the open market); and</w:t>
            </w:r>
          </w:p>
        </w:tc>
      </w:tr>
    </w:tbl>
    <w:p>
      <w:pPr>
        <w:pStyle w:val="TextBody"/>
        <w:spacing w:before="0" w:after="0"/>
        <w:rPr/>
      </w:pPr>
      <w:r>
        <w:rPr/>
        <w:t> </w:t>
      </w:r>
    </w:p>
    <w:p>
      <w:pPr>
        <w:pStyle w:val="Normal"/>
        <w:spacing w:before="0" w:after="0"/>
        <w:rPr>
          <w:sz w:val="4"/>
          <w:szCs w:val="4"/>
        </w:rPr>
      </w:pPr>
      <w:r>
        <w:rPr>
          <w:sz w:val="4"/>
          <w:szCs w:val="4"/>
        </w:rPr>
      </w:r>
      <w:bookmarkStart w:id="1083" w:name="z142b96ed45374297b6a9e0edde78d52e"/>
      <w:bookmarkStart w:id="1084" w:name="z142b96ed45374297b6a9e0edde78d52e"/>
      <w:bookmarkEnd w:id="1084"/>
    </w:p>
    <w:tbl>
      <w:tblPr>
        <w:tblW w:w="9528" w:type="dxa"/>
        <w:jc w:val="left"/>
        <w:tblInd w:w="0" w:type="dxa"/>
        <w:tblCellMar>
          <w:top w:w="0" w:type="dxa"/>
          <w:left w:w="0" w:type="dxa"/>
          <w:bottom w:w="0" w:type="dxa"/>
          <w:right w:w="0" w:type="dxa"/>
        </w:tblCellMar>
      </w:tblPr>
      <w:tblGrid>
        <w:gridCol w:w="38"/>
        <w:gridCol w:w="110"/>
        <w:gridCol w:w="938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380" w:type="dxa"/>
            <w:tcBorders/>
            <w:shd w:fill="auto" w:val="clear"/>
            <w:vAlign w:val="center"/>
          </w:tcPr>
          <w:p>
            <w:pPr>
              <w:pStyle w:val="TableContents"/>
              <w:spacing w:before="0" w:after="0"/>
              <w:rPr/>
            </w:pPr>
            <w:r>
              <w:rPr/>
              <w:t>“</w:t>
            </w:r>
            <w:r>
              <w:rPr/>
              <w:t>sponsor” refers to to ARYA Sciences Holdings III, a Cayman Islands exempted limited company.</w:t>
            </w:r>
          </w:p>
        </w:tc>
      </w:tr>
    </w:tbl>
    <w:p>
      <w:pPr>
        <w:pStyle w:val="TextBody"/>
        <w:spacing w:before="0" w:after="0"/>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85" w:name="DSPFPageBreakArea91"/>
      <w:bookmarkStart w:id="1086" w:name="DSPFPageBreakArea91"/>
      <w:bookmarkEnd w:id="1086"/>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87" w:name="DSPFPageBreak91"/>
      <w:bookmarkStart w:id="1088" w:name="DSPFPageBreak91"/>
      <w:bookmarkEnd w:id="10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rPr>
      </w:pPr>
      <w:r>
        <w:rPr>
          <w:b/>
        </w:rPr>
        <w:t>General</w:t>
      </w:r>
    </w:p>
    <w:p>
      <w:pPr>
        <w:pStyle w:val="TextBody"/>
        <w:spacing w:before="0" w:after="0"/>
        <w:rPr/>
      </w:pPr>
      <w:r>
        <w:rPr/>
      </w:r>
    </w:p>
    <w:p>
      <w:pPr>
        <w:pStyle w:val="TextBody"/>
        <w:spacing w:before="0" w:after="0"/>
        <w:jc w:val="both"/>
        <w:rPr/>
      </w:pPr>
      <w:r>
        <w:rPr/>
        <w:t>We are a Cayman Islands exempted company and our affairs are governed by our amended and restated memorandum and articles of association, the Companies Act and the common law of the Cayman Islands. Pursuant to our amended and restated memorandum and articles of association, we are authorized to issue 479,000,000 Class A ordinary shares and 20,000,000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pStyle w:val="TextBody"/>
        <w:spacing w:before="0" w:after="0"/>
        <w:rPr/>
      </w:pPr>
      <w:r>
        <w:rPr/>
      </w:r>
    </w:p>
    <w:p>
      <w:pPr>
        <w:pStyle w:val="TextBody"/>
        <w:spacing w:before="0" w:after="0"/>
        <w:jc w:val="both"/>
        <w:rPr>
          <w:b/>
        </w:rPr>
      </w:pPr>
      <w:r>
        <w:rPr>
          <w:b/>
        </w:rPr>
        <w:t>Ordinary Shares</w:t>
      </w:r>
    </w:p>
    <w:p>
      <w:pPr>
        <w:pStyle w:val="TextBody"/>
        <w:spacing w:before="0" w:after="0"/>
        <w:rPr/>
      </w:pPr>
      <w:r>
        <w:rPr/>
      </w:r>
    </w:p>
    <w:p>
      <w:pPr>
        <w:pStyle w:val="TextBody"/>
        <w:spacing w:before="0" w:after="0"/>
        <w:jc w:val="both"/>
        <w:rPr/>
      </w:pPr>
      <w:r>
        <w:rPr/>
        <w:t>Upon the closing of the Initial Public Offering, 19,186,500 of our ordinary shares were outstanding, including:</w:t>
      </w:r>
    </w:p>
    <w:p>
      <w:pPr>
        <w:pStyle w:val="TextBody"/>
        <w:spacing w:before="0" w:after="0"/>
        <w:rPr/>
      </w:pPr>
      <w:r>
        <w:rPr/>
      </w:r>
    </w:p>
    <w:p>
      <w:pPr>
        <w:pStyle w:val="Normal"/>
        <w:spacing w:before="0" w:after="0"/>
        <w:rPr>
          <w:sz w:val="4"/>
          <w:szCs w:val="4"/>
        </w:rPr>
      </w:pPr>
      <w:r>
        <w:rPr>
          <w:sz w:val="4"/>
          <w:szCs w:val="4"/>
        </w:rPr>
      </w:r>
      <w:bookmarkStart w:id="1089" w:name="z8a5de48cd14b4e1b97f0875b6c9a9c91"/>
      <w:bookmarkStart w:id="1090" w:name="z8a5de48cd14b4e1b97f0875b6c9a9c91"/>
      <w:bookmarkEnd w:id="1090"/>
    </w:p>
    <w:tbl>
      <w:tblPr>
        <w:tblW w:w="7968" w:type="dxa"/>
        <w:jc w:val="left"/>
        <w:tblInd w:w="0" w:type="dxa"/>
        <w:tblCellMar>
          <w:top w:w="0" w:type="dxa"/>
          <w:left w:w="0" w:type="dxa"/>
          <w:bottom w:w="0" w:type="dxa"/>
          <w:right w:w="0" w:type="dxa"/>
        </w:tblCellMar>
      </w:tblPr>
      <w:tblGrid>
        <w:gridCol w:w="38"/>
        <w:gridCol w:w="110"/>
        <w:gridCol w:w="78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820" w:type="dxa"/>
            <w:tcBorders/>
            <w:shd w:fill="auto" w:val="clear"/>
            <w:vAlign w:val="center"/>
          </w:tcPr>
          <w:p>
            <w:pPr>
              <w:pStyle w:val="TableContents"/>
              <w:spacing w:before="0" w:after="0"/>
              <w:rPr/>
            </w:pPr>
            <w:r>
              <w:rPr/>
              <w:t>14,950,000 Class A ordinary shares issued as as part of our Initial Public Offering;</w:t>
            </w:r>
          </w:p>
        </w:tc>
      </w:tr>
    </w:tbl>
    <w:p>
      <w:pPr>
        <w:pStyle w:val="TextBody"/>
        <w:spacing w:before="0" w:after="0"/>
        <w:rPr/>
      </w:pPr>
      <w:r>
        <w:rPr/>
      </w:r>
    </w:p>
    <w:p>
      <w:pPr>
        <w:pStyle w:val="Normal"/>
        <w:spacing w:before="0" w:after="0"/>
        <w:rPr>
          <w:sz w:val="4"/>
          <w:szCs w:val="4"/>
        </w:rPr>
      </w:pPr>
      <w:r>
        <w:rPr>
          <w:sz w:val="4"/>
          <w:szCs w:val="4"/>
        </w:rPr>
      </w:r>
      <w:bookmarkStart w:id="1091" w:name="z5b3799bc646d42b8a5c67d28915f94d4"/>
      <w:bookmarkStart w:id="1092" w:name="z5b3799bc646d42b8a5c67d28915f94d4"/>
      <w:bookmarkEnd w:id="109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499,000 private placement shares issued simultaneously with the closing of our Initial Public Offering; and</w:t>
            </w:r>
          </w:p>
        </w:tc>
      </w:tr>
    </w:tbl>
    <w:p>
      <w:pPr>
        <w:pStyle w:val="TextBody"/>
        <w:spacing w:before="0" w:after="0"/>
        <w:rPr/>
      </w:pPr>
      <w:r>
        <w:rPr/>
      </w:r>
    </w:p>
    <w:p>
      <w:pPr>
        <w:pStyle w:val="Normal"/>
        <w:spacing w:before="0" w:after="0"/>
        <w:rPr>
          <w:sz w:val="4"/>
          <w:szCs w:val="4"/>
        </w:rPr>
      </w:pPr>
      <w:r>
        <w:rPr>
          <w:sz w:val="4"/>
          <w:szCs w:val="4"/>
        </w:rPr>
      </w:r>
      <w:bookmarkStart w:id="1093" w:name="z66c88b26e1034f7bbd12b68ed063dce7"/>
      <w:bookmarkStart w:id="1094" w:name="z66c88b26e1034f7bbd12b68ed063dce7"/>
      <w:bookmarkEnd w:id="1094"/>
    </w:p>
    <w:tbl>
      <w:tblPr>
        <w:tblW w:w="6468" w:type="dxa"/>
        <w:jc w:val="left"/>
        <w:tblInd w:w="0" w:type="dxa"/>
        <w:tblCellMar>
          <w:top w:w="0" w:type="dxa"/>
          <w:left w:w="0" w:type="dxa"/>
          <w:bottom w:w="0" w:type="dxa"/>
          <w:right w:w="0" w:type="dxa"/>
        </w:tblCellMar>
      </w:tblPr>
      <w:tblGrid>
        <w:gridCol w:w="38"/>
        <w:gridCol w:w="110"/>
        <w:gridCol w:w="632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320" w:type="dxa"/>
            <w:tcBorders/>
            <w:shd w:fill="auto" w:val="clear"/>
            <w:vAlign w:val="center"/>
          </w:tcPr>
          <w:p>
            <w:pPr>
              <w:pStyle w:val="TableContents"/>
              <w:spacing w:before="0" w:after="0"/>
              <w:rPr/>
            </w:pPr>
            <w:r>
              <w:rPr/>
              <w:t>3,737,500 Class B ordinary shares held by our initial shareholders.</w:t>
            </w:r>
          </w:p>
        </w:tc>
      </w:tr>
    </w:tbl>
    <w:p>
      <w:pPr>
        <w:pStyle w:val="TextBody"/>
        <w:spacing w:before="0" w:after="0"/>
        <w:rPr/>
      </w:pPr>
      <w:r>
        <w:rPr/>
      </w:r>
    </w:p>
    <w:p>
      <w:pPr>
        <w:pStyle w:val="TextBody"/>
        <w:spacing w:before="0" w:after="0"/>
        <w:jc w:val="both"/>
        <w:rPr/>
      </w:pPr>
      <w:r>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Act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terms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 provisions of our amended and restated memorandum and articles of association governing the appointment or removal of directors prior to our initial business combination may only be amended by a special resolution passed by holders representing at least two-thirds of our outstanding Class B ordinary shares.</w:t>
      </w:r>
    </w:p>
    <w:p>
      <w:pPr>
        <w:pStyle w:val="TextBody"/>
        <w:spacing w:before="0" w:after="0"/>
        <w:rPr/>
      </w:pPr>
      <w:r>
        <w:rPr/>
      </w:r>
    </w:p>
    <w:p>
      <w:pPr>
        <w:pStyle w:val="TextBody"/>
        <w:spacing w:before="0" w:after="0"/>
        <w:jc w:val="both"/>
        <w:rPr/>
      </w:pPr>
      <w:r>
        <w:rPr/>
        <w:t>Because our amended and restated memorandum and articles of association authorize the issuance of up to 479,000,000 Class A ordinary shares, if we were to enter into a business combination, we may (depending on the terms of such a business combination) be required to increase the number of Class A ordinary shares which we are authorized to issue at the same time as our shareholders vote on the business combination to the extent we seek shareholder approval in connection with our initial business combination.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095" w:name="DSPFPageBreakArea92"/>
      <w:bookmarkStart w:id="1096" w:name="DSPFPageBreakArea92"/>
      <w:bookmarkEnd w:id="10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097" w:name="DSPFPageNumber91"/>
      <w:bookmarkStart w:id="1098" w:name="DSPFPageNumberArea89"/>
      <w:bookmarkEnd w:id="1097"/>
      <w:bookmarkEnd w:id="1098"/>
      <w:r>
        <w:rPr>
          <w:b w:val="false"/>
          <w:i w:val="false"/>
          <w:caps w:val="false"/>
          <w:smallCaps w:val="false"/>
          <w:color w:val="000000"/>
          <w:sz w:val="16"/>
        </w:rPr>
        <w:t>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099" w:name="DSPFPageBreak92"/>
      <w:bookmarkStart w:id="1100" w:name="DSPFPageBreak92"/>
      <w:bookmarkEnd w:id="1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Our board of directors is divided into three classes with only one class of directors being elected in each year and each class (except for those directors appointed prior to our first annual meeting of shareholders) serving a three-year term. In accordance with the corporate governance requirements of The Nasdaq Capital Market (“Nasdaq”), we are not required to hold an annual meeting until one year after our first fiscal year end following our listing on Nasdaq. As an exempted company, there is no requirement under the Companies Act for us to hold annual or shareholder meetings to elect directors. We may not hold an annual meeting of shareholders to elect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pStyle w:val="TextBody"/>
        <w:spacing w:before="0" w:after="0"/>
        <w:rPr/>
      </w:pPr>
      <w:r>
        <w:rPr/>
      </w:r>
    </w:p>
    <w:p>
      <w:pPr>
        <w:pStyle w:val="TextBody"/>
        <w:spacing w:before="0" w:after="0"/>
        <w:jc w:val="both"/>
        <w:rPr/>
      </w:pPr>
      <w:r>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 redemption rights may include the requirement that a beneficial owner must identify itself in order to valid redeem its shares. Our sponsor and our management team have entered into an agreement with us, pursuant to which they have agreed to waive their redemption rights with respect to their founder shares, private placement shares and any public shares purchased during or after our Initial Public Offering in connection with (i) the completion of our initial business combination and (ii)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(B) with respect to any other provision relating to the rights of holders of our Class A ordinary shares.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applicable law or stock exchange rule and we do not decide to hold a shareholder vote for business or other reasons, we will, pursuant to our amended and restated memorandum and articles of association, conduct the redemptions pursuant to the tender offer rules of the SEC, and file tender offer documents with the SEC prior to completing our initial business combination. Our amended and restated memorandum and articles of association require these tender offer documents to contain substantially the same financial and other information about the initial business combination and the redemption rights as is required under the SEC’s proxy rules. If, however, a shareholder approval of the transaction is required by applicable law or stock exchange rule, or we decide to obtain shareholder approval for business or other reasons, we will, like many blank check companies, offer to redeem shares in conjunction with a proxy solicitation pursuant to the proxy rules and not pursuant to the tender offer rules. If we seek shareholder approval, we will complete our initial business combination only if a majority of the ordinary shares, represented in person or by proxy and entitled to vote thereon, voted at a shareholder meeting are voted in favor of the business combination. However, the participation of our sponsor, officers, directors, advisors or their affiliates in privately-negotiated transactions (as described in the final prospectus), if any, could result in the approval of our initial business combination even if a majority of our public shareholders vote, or indicate their intention to vote, against such initial business combination unless restricted by applicable Nasdaq rules. For purposes of seeking approval of the majority of our issued and outstanding ordinary shares, non-votes will have no effect on the approval of our initial business combination once a quorum is obtained. Our amended and restated memorandum and articles of association require that at least five clear days’ notice will be given of any shareholder meeting.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01" w:name="DSPFPageBreakArea93"/>
      <w:bookmarkStart w:id="1102" w:name="DSPFPageBreakArea93"/>
      <w:bookmarkEnd w:id="1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103" w:name="DSPFPageNumber92"/>
      <w:bookmarkStart w:id="1104" w:name="DSPFPageNumberArea90"/>
      <w:bookmarkEnd w:id="1103"/>
      <w:bookmarkEnd w:id="1104"/>
      <w:r>
        <w:rPr>
          <w:b w:val="false"/>
          <w:i w:val="false"/>
          <w:caps w:val="false"/>
          <w:smallCaps w:val="false"/>
          <w:color w:val="000000"/>
          <w:sz w:val="16"/>
        </w:rPr>
        <w:t>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05" w:name="DSPFPageBreak93"/>
      <w:bookmarkStart w:id="1106" w:name="DSPFPageBreak93"/>
      <w:bookmarkEnd w:id="1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If we seek shareholder approval of our initial business combination and we do not conduct redemptions in connection with our initial business combination pursuant to the tender offer rules, our amended and restated memorandum and articles of association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our Initial Public Offering, without our prior consent, which we refer to as the “Excess Shares.”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pStyle w:val="TextBody"/>
        <w:spacing w:before="0" w:after="0"/>
        <w:rPr/>
      </w:pPr>
      <w:r>
        <w:rPr/>
      </w:r>
    </w:p>
    <w:p>
      <w:pPr>
        <w:pStyle w:val="TextBody"/>
        <w:spacing w:before="0" w:after="0"/>
        <w:jc w:val="both"/>
        <w:rPr/>
      </w:pPr>
      <w:r>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public shares purchased during or after our Initial Public Offering in favor of our initial business combination. As a result, in addition to our initial shareholders’ founder shares and private placement shares, we would need 5,356,751, or 35.83%, of the 14,950,000 public shares sold in our Initial Public Offering to be voted in favor of an initial business combination in order to have our initial business combination approved (assuming all issued and outstanding shares are voted). The other members of our management team are subject to the same arrangements with respect to any public shares acquired by them in or after our Initial Public Offering. Additionally, each public shareholder may elect to redeem their public shares irrespective of whether they vote for or against the proposed transaction or vote at all.</w:t>
      </w:r>
    </w:p>
    <w:p>
      <w:pPr>
        <w:pStyle w:val="TextBody"/>
        <w:spacing w:before="0" w:after="0"/>
        <w:rPr/>
      </w:pPr>
      <w:r>
        <w:rPr/>
      </w:r>
    </w:p>
    <w:p>
      <w:pPr>
        <w:pStyle w:val="TextBody"/>
        <w:spacing w:before="0" w:after="0"/>
        <w:jc w:val="both"/>
        <w:rPr/>
      </w:pPr>
      <w:r>
        <w:rPr/>
        <w:t>Pursuant to our amended and restated memorandum and articles of association, if we do not consummate an initial business combination within 24 months from the closing of our Initial Public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each case of clause (ii) and (iii), to our obligations under Cayman Islands law to provide for claims of creditors and the requirements of other applicable law. 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within 24 months from the closing of our Initial Public Offering (although they will be entitled to liquidating distributions from the trust account with respect to any public shares they hold if we fail to complete our initial business combination within 24 months from the closing of our Initial Public Offering).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07" w:name="DSPFPageBreakArea94"/>
      <w:bookmarkStart w:id="1108" w:name="DSPFPageBreakArea94"/>
      <w:bookmarkEnd w:id="1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109" w:name="DSPFPageNumber93"/>
      <w:bookmarkStart w:id="1110" w:name="DSPFPageNumberArea91"/>
      <w:bookmarkEnd w:id="1109"/>
      <w:bookmarkEnd w:id="1110"/>
      <w:r>
        <w:rPr>
          <w:b w:val="false"/>
          <w:i w:val="false"/>
          <w:caps w:val="false"/>
          <w:smallCaps w:val="false"/>
          <w:color w:val="000000"/>
          <w:sz w:val="16"/>
        </w:rPr>
        <w:t>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11" w:name="DSPFPageBreak94"/>
      <w:bookmarkStart w:id="1112" w:name="DSPFPageBreak94"/>
      <w:bookmarkEnd w:id="1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divided by the number of the then-outstanding public shares, upon the completion of our initial business combination, subject to the limitations described herein.</w:t>
      </w:r>
    </w:p>
    <w:p>
      <w:pPr>
        <w:pStyle w:val="TextBody"/>
        <w:spacing w:before="0" w:after="0"/>
        <w:rPr/>
      </w:pPr>
      <w:r>
        <w:rPr/>
      </w:r>
    </w:p>
    <w:p>
      <w:pPr>
        <w:pStyle w:val="TextBody"/>
        <w:spacing w:before="0" w:after="0"/>
        <w:jc w:val="both"/>
        <w:rPr>
          <w:b/>
        </w:rPr>
      </w:pPr>
      <w:r>
        <w:rPr>
          <w:b/>
        </w:rPr>
        <w:t>Private Placement Shares</w:t>
      </w:r>
    </w:p>
    <w:p>
      <w:pPr>
        <w:pStyle w:val="TextBody"/>
        <w:spacing w:before="0" w:after="0"/>
        <w:rPr/>
      </w:pPr>
      <w:r>
        <w:rPr/>
      </w:r>
    </w:p>
    <w:p>
      <w:pPr>
        <w:pStyle w:val="TextBody"/>
        <w:spacing w:before="0" w:after="0"/>
        <w:jc w:val="both"/>
        <w:rPr/>
      </w:pPr>
      <w:r>
        <w:rPr/>
        <w:t>The private placement shares are not transferable or salable until 30 days after the completion of our initial business combination (except, among other limited exceptions, to our officers and directors and other persons or entities affiliated with our sponsor). Holders of our private placement shares are entitled to certain registration rights. If we do not consummate an initial business combination within 24 months from the closing of our Initial Public Offering, the proceeds from the sale of the private placement shares held in the trust account will be used to fund the redemption of our public shares (subject to the requirements of applicable law) and the private placement shares will be worthless. Further, 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any public shares purchased during or after our Initial Public Offering in favor of our initial business combination. Otherwise, the private placement shares are identical to the Class A ordinary shares sold in our Initial Public Offering.</w:t>
      </w:r>
    </w:p>
    <w:p>
      <w:pPr>
        <w:pStyle w:val="TextBody"/>
        <w:spacing w:before="0" w:after="0"/>
        <w:rPr/>
      </w:pPr>
      <w:r>
        <w:rPr/>
      </w:r>
    </w:p>
    <w:p>
      <w:pPr>
        <w:pStyle w:val="TextBody"/>
        <w:spacing w:before="0" w:after="0"/>
        <w:jc w:val="both"/>
        <w:rPr/>
      </w:pPr>
      <w:r>
        <w:rPr/>
        <w:t>Our sponsor and our management team have agreed not to transfer, assign or sell any of their private placement shares, until 30 days after the completion of our initial business combination, except that, among other limited exceptions, to our officers and directors and other persons or entities affiliated with our sponsor” made to our officers and directors and other persons or entities affiliated with our sponsor.</w:t>
      </w:r>
    </w:p>
    <w:p>
      <w:pPr>
        <w:pStyle w:val="TextBody"/>
        <w:spacing w:before="0" w:after="0"/>
        <w:rPr/>
      </w:pPr>
      <w:r>
        <w:rPr/>
      </w:r>
    </w:p>
    <w:p>
      <w:pPr>
        <w:pStyle w:val="TextBody"/>
        <w:spacing w:before="0" w:after="0"/>
        <w:jc w:val="both"/>
        <w:rPr/>
      </w:pPr>
      <w:r>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shares of the post-business combination company at a price of $10.00 per share at the option of the lender. Such shares would be identical to the private placement shares.</w:t>
      </w:r>
    </w:p>
    <w:p>
      <w:pPr>
        <w:pStyle w:val="TextBody"/>
        <w:spacing w:before="0" w:after="0"/>
        <w:rPr/>
      </w:pPr>
      <w:r>
        <w:rPr/>
      </w:r>
    </w:p>
    <w:p>
      <w:pPr>
        <w:pStyle w:val="TextBody"/>
        <w:spacing w:before="0" w:after="0"/>
        <w:jc w:val="both"/>
        <w:rPr>
          <w:b/>
        </w:rPr>
      </w:pPr>
      <w:r>
        <w:rPr>
          <w:b/>
        </w:rPr>
        <w:t>Founder Shares</w:t>
      </w:r>
    </w:p>
    <w:p>
      <w:pPr>
        <w:pStyle w:val="TextBody"/>
        <w:spacing w:before="0" w:after="0"/>
        <w:rPr/>
      </w:pPr>
      <w:r>
        <w:rPr/>
      </w:r>
    </w:p>
    <w:p>
      <w:pPr>
        <w:pStyle w:val="TextBody"/>
        <w:spacing w:before="0" w:after="0"/>
        <w:jc w:val="both"/>
        <w:rPr/>
      </w:pPr>
      <w:r>
        <w:rPr/>
        <w:t>The founder shares are designated as Class B ordinary shares and, except as described below, are identical to the Class A ordinary shares sold in our Initial Public Offering, and holders of founder shares have the same shareholder rights as public shareholders, except that:</w:t>
      </w:r>
    </w:p>
    <w:p>
      <w:pPr>
        <w:pStyle w:val="TextBody"/>
        <w:spacing w:before="0" w:after="0"/>
        <w:rPr/>
      </w:pPr>
      <w:r>
        <w:rPr/>
      </w:r>
    </w:p>
    <w:p>
      <w:pPr>
        <w:pStyle w:val="Normal"/>
        <w:spacing w:before="0" w:after="0"/>
        <w:rPr>
          <w:sz w:val="4"/>
          <w:szCs w:val="4"/>
        </w:rPr>
      </w:pPr>
      <w:r>
        <w:rPr>
          <w:sz w:val="4"/>
          <w:szCs w:val="4"/>
        </w:rPr>
      </w:r>
      <w:bookmarkStart w:id="1113" w:name="zb3518477a986449cb161e94ae688e533"/>
      <w:bookmarkStart w:id="1114" w:name="zb3518477a986449cb161e94ae688e533"/>
      <w:bookmarkEnd w:id="1114"/>
    </w:p>
    <w:tbl>
      <w:tblPr>
        <w:tblW w:w="9078" w:type="dxa"/>
        <w:jc w:val="left"/>
        <w:tblInd w:w="0" w:type="dxa"/>
        <w:tblCellMar>
          <w:top w:w="0" w:type="dxa"/>
          <w:left w:w="0" w:type="dxa"/>
          <w:bottom w:w="0" w:type="dxa"/>
          <w:right w:w="0" w:type="dxa"/>
        </w:tblCellMar>
      </w:tblPr>
      <w:tblGrid>
        <w:gridCol w:w="38"/>
        <w:gridCol w:w="110"/>
        <w:gridCol w:w="893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930" w:type="dxa"/>
            <w:tcBorders/>
            <w:shd w:fill="auto" w:val="clear"/>
            <w:vAlign w:val="center"/>
          </w:tcPr>
          <w:p>
            <w:pPr>
              <w:pStyle w:val="TableContents"/>
              <w:spacing w:before="0" w:after="0"/>
              <w:rPr/>
            </w:pPr>
            <w:r>
              <w:rPr/>
              <w:t>the founder shares are subject to certain transfer restrictions, as described in more detail below;</w:t>
            </w:r>
          </w:p>
        </w:tc>
      </w:tr>
    </w:tbl>
    <w:p>
      <w:pPr>
        <w:pStyle w:val="TextBody"/>
        <w:spacing w:before="0" w:after="0"/>
        <w:rPr/>
      </w:pPr>
      <w:r>
        <w:rPr/>
      </w:r>
    </w:p>
    <w:p>
      <w:pPr>
        <w:pStyle w:val="Normal"/>
        <w:spacing w:before="0" w:after="0"/>
        <w:rPr>
          <w:sz w:val="4"/>
          <w:szCs w:val="4"/>
        </w:rPr>
      </w:pPr>
      <w:r>
        <w:rPr>
          <w:sz w:val="4"/>
          <w:szCs w:val="4"/>
        </w:rPr>
      </w:r>
      <w:bookmarkStart w:id="1115" w:name="z54f05d401afd448dab6bd60441acbf59"/>
      <w:bookmarkStart w:id="1116" w:name="z54f05d401afd448dab6bd60441acbf59"/>
      <w:bookmarkEnd w:id="111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our sponsor and our management team have entered into an agreement with us, pursuant to which they have agreed to (i) waive their redemption rights with respect to any founder shares, private placement shares and public shares they hold, (ii) to waive their redemption rights with respect to any founder shares, private placement shares and any public shares purchased during or after our Initial Public Offering in connection with a shareholder vote to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(B) with respect to any other provision relating to the rights of holders of our Class A ordinary shares and (iii) waive their rights to liquidating distributions from the trust account with respect to any founder shares or private placement shares they hold if we fail to consummate an initial business combination within 24 months from the closing of our Initial Public Offering (although they will be entitled to liquidating distributions from the trust account with respect to any public shares they hold if we fail to complete our initial business combination within 24 months from the closing of our Initial Public Offering);</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17" w:name="DSPFPageBreakArea95"/>
      <w:bookmarkStart w:id="1118" w:name="DSPFPageBreakArea95"/>
      <w:bookmarkEnd w:id="1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119" w:name="DSPFPageNumber94"/>
      <w:bookmarkStart w:id="1120" w:name="DSPFPageNumberArea92"/>
      <w:bookmarkEnd w:id="1119"/>
      <w:bookmarkEnd w:id="1120"/>
      <w:r>
        <w:rPr>
          <w:b w:val="false"/>
          <w:i w:val="false"/>
          <w:caps w:val="false"/>
          <w:smallCaps w:val="false"/>
          <w:color w:val="000000"/>
          <w:sz w:val="16"/>
        </w:rPr>
        <w:t>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21" w:name="DSPFPageBreak95"/>
      <w:bookmarkStart w:id="1122" w:name="DSPFPageBreak95"/>
      <w:bookmarkEnd w:id="1122"/>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1123" w:name="zfa5a9058eae3402b8b403b4de1a6abd6"/>
      <w:bookmarkStart w:id="1124" w:name="zfa5a9058eae3402b8b403b4de1a6abd6"/>
      <w:bookmarkEnd w:id="112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the founder shares will automatically convert into our Class A ordinary shares at the time of our initial business combination as described in our amended and restated memorandum and articles of association; and</w:t>
            </w:r>
          </w:p>
        </w:tc>
      </w:tr>
    </w:tbl>
    <w:p>
      <w:pPr>
        <w:pStyle w:val="TextBody"/>
        <w:spacing w:before="0" w:after="0"/>
        <w:rPr/>
      </w:pPr>
      <w:r>
        <w:rPr/>
      </w:r>
    </w:p>
    <w:p>
      <w:pPr>
        <w:pStyle w:val="Normal"/>
        <w:spacing w:before="0" w:after="0"/>
        <w:rPr>
          <w:sz w:val="4"/>
          <w:szCs w:val="4"/>
        </w:rPr>
      </w:pPr>
      <w:r>
        <w:rPr>
          <w:sz w:val="4"/>
          <w:szCs w:val="4"/>
        </w:rPr>
      </w:r>
      <w:bookmarkStart w:id="1125" w:name="z93c6bc0bcdbf48eab13b8c77fcd2530e"/>
      <w:bookmarkStart w:id="1126" w:name="z93c6bc0bcdbf48eab13b8c77fcd2530e"/>
      <w:bookmarkEnd w:id="1126"/>
    </w:p>
    <w:tbl>
      <w:tblPr>
        <w:tblW w:w="4998" w:type="dxa"/>
        <w:jc w:val="left"/>
        <w:tblInd w:w="0" w:type="dxa"/>
        <w:tblCellMar>
          <w:top w:w="0" w:type="dxa"/>
          <w:left w:w="0" w:type="dxa"/>
          <w:bottom w:w="0" w:type="dxa"/>
          <w:right w:w="0" w:type="dxa"/>
        </w:tblCellMar>
      </w:tblPr>
      <w:tblGrid>
        <w:gridCol w:w="38"/>
        <w:gridCol w:w="110"/>
        <w:gridCol w:w="48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4850" w:type="dxa"/>
            <w:tcBorders/>
            <w:shd w:fill="auto" w:val="clear"/>
            <w:vAlign w:val="center"/>
          </w:tcPr>
          <w:p>
            <w:pPr>
              <w:pStyle w:val="TableContents"/>
              <w:spacing w:before="0" w:after="0"/>
              <w:rPr/>
            </w:pPr>
            <w:r>
              <w:rPr/>
              <w:t>the founder shares are entitled to registration rights.</w:t>
            </w:r>
          </w:p>
        </w:tc>
      </w:tr>
    </w:tbl>
    <w:p>
      <w:pPr>
        <w:pStyle w:val="TextBody"/>
        <w:spacing w:before="0" w:after="0"/>
        <w:rPr/>
      </w:pPr>
      <w:r>
        <w:rPr/>
      </w:r>
    </w:p>
    <w:p>
      <w:pPr>
        <w:pStyle w:val="TextBody"/>
        <w:spacing w:before="0" w:after="0"/>
        <w:jc w:val="both"/>
        <w:rPr/>
      </w:pPr>
      <w:r>
        <w:rPr/>
        <w:t>If we submit our initial business combination to our public shareholders for a vote, our sponsor and our management team have agreed to vote their founder shares, private placement shares and any public shares purchased during or after our Initial Public Offering in favor of our initial business combination. 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private placement shares and any public shares purchased during or after our Initial Public Offering in favor of our initial business combination. As a result, in addition to our initial shareholders’ founder shares and private placement shares, we would need 5,356,751, or 35.83%, of the 14,950,000 public shares sold in our Initial Public Offering to be voted in favor of an initial business combination in order to have our initial business combination approved (assuming all issued and outstanding shares are voted and the private placement shares to be issued to our sponsor are voted in favor of the transaction).</w:t>
      </w:r>
    </w:p>
    <w:p>
      <w:pPr>
        <w:pStyle w:val="TextBody"/>
        <w:spacing w:before="0" w:after="0"/>
        <w:rPr/>
      </w:pPr>
      <w:r>
        <w:rPr/>
      </w:r>
    </w:p>
    <w:p>
      <w:pPr>
        <w:pStyle w:val="TextBody"/>
        <w:spacing w:before="0" w:after="0"/>
        <w:jc w:val="both"/>
        <w:rPr/>
      </w:pPr>
      <w:r>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completion of our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our sponsor, members of our management team or any of their affiliates upon conversion of working capital loans. In no event will the Class B ordinary shares convert into Class A ordinary shares at a rate of less than one to one.</w:t>
      </w:r>
    </w:p>
    <w:p>
      <w:pPr>
        <w:pStyle w:val="TextBody"/>
        <w:spacing w:before="0" w:after="0"/>
        <w:rPr/>
      </w:pPr>
      <w:r>
        <w:rPr/>
      </w:r>
    </w:p>
    <w:p>
      <w:pPr>
        <w:pStyle w:val="TextBody"/>
        <w:spacing w:before="0" w:after="0"/>
        <w:jc w:val="both"/>
        <w:rPr/>
      </w:pPr>
      <w:r>
        <w:rPr/>
        <w:t>Except as described herein, our sponsor and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Any permitted transferees will be subject to the same restrictions and other agreements of our sponsor and management team with respect to any founder shares and private placement shares. We refer to such transfer restrictions throughout this exhibit as the lock-up. Notwithstanding the foregoing,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the founder shares will be released from the lock-up.</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27" w:name="DSPFPageBreakArea96"/>
      <w:bookmarkStart w:id="1128" w:name="DSPFPageBreakArea96"/>
      <w:bookmarkEnd w:id="11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129" w:name="DSPFPageNumber95"/>
      <w:bookmarkStart w:id="1130" w:name="DSPFPageNumberArea93"/>
      <w:bookmarkEnd w:id="1129"/>
      <w:bookmarkEnd w:id="1130"/>
      <w:r>
        <w:rPr>
          <w:b w:val="false"/>
          <w:i w:val="false"/>
          <w:caps w:val="false"/>
          <w:smallCaps w:val="false"/>
          <w:color w:val="000000"/>
          <w:sz w:val="16"/>
        </w:rPr>
        <w:t>6</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31" w:name="DSPFPageBreak96"/>
      <w:bookmarkStart w:id="1132" w:name="DSPFPageBreak96"/>
      <w:bookmarkEnd w:id="1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Prior to the completion of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holders representing at least two-thirds of our outstanding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pStyle w:val="TextBody"/>
        <w:spacing w:before="0" w:after="0"/>
        <w:rPr/>
      </w:pPr>
      <w:r>
        <w:rPr/>
      </w:r>
    </w:p>
    <w:p>
      <w:pPr>
        <w:pStyle w:val="TextBody"/>
        <w:spacing w:before="0" w:after="0"/>
        <w:jc w:val="both"/>
        <w:rPr>
          <w:b/>
        </w:rPr>
      </w:pPr>
      <w:r>
        <w:rPr>
          <w:b/>
        </w:rPr>
        <w:t>Preference Shares</w:t>
      </w:r>
    </w:p>
    <w:p>
      <w:pPr>
        <w:pStyle w:val="TextBody"/>
        <w:spacing w:before="0" w:after="0"/>
        <w:rPr/>
      </w:pPr>
      <w:r>
        <w:rPr/>
      </w:r>
    </w:p>
    <w:p>
      <w:pPr>
        <w:pStyle w:val="TextBody"/>
        <w:spacing w:before="0" w:after="0"/>
        <w:jc w:val="both"/>
        <w:rPr/>
      </w:pPr>
      <w:r>
        <w:rPr/>
        <w:t>Our amended and restated memorandum and articles of association authorize 1,000,000 preference shares and provide that preference shares may be issued from time to time in one or more series. Our board of directors is authorized to fix the voting rights, if any, designations, powers, preferences, the relative, participating, optional or other special rights and any qualifications, limitations and restrictions thereof, applicable to the shares of each series. Our board of directors is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were issued or registered in our Initial Public Offering.</w:t>
      </w:r>
    </w:p>
    <w:p>
      <w:pPr>
        <w:pStyle w:val="TextBody"/>
        <w:spacing w:before="0" w:after="0"/>
        <w:rPr/>
      </w:pPr>
      <w:r>
        <w:rPr/>
      </w:r>
    </w:p>
    <w:p>
      <w:pPr>
        <w:pStyle w:val="TextBody"/>
        <w:spacing w:before="0" w:after="0"/>
        <w:jc w:val="both"/>
        <w:rPr>
          <w:b/>
        </w:rPr>
      </w:pPr>
      <w:r>
        <w:rPr>
          <w:b/>
        </w:rPr>
        <w:t>Dividends</w:t>
      </w:r>
    </w:p>
    <w:p>
      <w:pPr>
        <w:pStyle w:val="TextBody"/>
        <w:spacing w:before="0" w:after="0"/>
        <w:rPr/>
      </w:pPr>
      <w:r>
        <w:rPr/>
      </w:r>
    </w:p>
    <w:p>
      <w:pPr>
        <w:pStyle w:val="TextBody"/>
        <w:spacing w:before="0" w:after="0"/>
        <w:jc w:val="both"/>
        <w:rPr/>
      </w:pPr>
      <w:r>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we will only pay such dividend out of our profits or share premium (subject to solvency requirements) as permitted under Cayman Islands law. Further, if we incur any indebtedness in connection with a business combination, our ability to declare dividends may be limited by restrictive covenants we may agree to in connection therewith.</w:t>
      </w:r>
    </w:p>
    <w:p>
      <w:pPr>
        <w:pStyle w:val="TextBody"/>
        <w:spacing w:before="0" w:after="0"/>
        <w:rPr/>
      </w:pPr>
      <w:r>
        <w:rPr/>
      </w:r>
    </w:p>
    <w:p>
      <w:pPr>
        <w:pStyle w:val="TextBody"/>
        <w:spacing w:before="0" w:after="0"/>
        <w:jc w:val="both"/>
        <w:rPr>
          <w:b/>
        </w:rPr>
      </w:pPr>
      <w:r>
        <w:rPr>
          <w:b/>
        </w:rPr>
        <w:t>Our Transfer Agent</w:t>
      </w:r>
    </w:p>
    <w:p>
      <w:pPr>
        <w:pStyle w:val="TextBody"/>
        <w:spacing w:before="0" w:after="0"/>
        <w:rPr/>
      </w:pPr>
      <w:r>
        <w:rPr/>
      </w:r>
    </w:p>
    <w:p>
      <w:pPr>
        <w:pStyle w:val="TextBody"/>
        <w:spacing w:before="0" w:after="0"/>
        <w:jc w:val="both"/>
        <w:rPr/>
      </w:pPr>
      <w:r>
        <w:rPr/>
        <w:t>The transfer agent for our ordinary shares is Continental Stock Transfer &amp; Trust Company. We have agreed to indemnify Continental Stock Transfer &amp; Trust Company in its roles as transfer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33" w:name="DSPFPageBreakArea97"/>
      <w:bookmarkStart w:id="1134" w:name="DSPFPageBreakArea97"/>
      <w:bookmarkEnd w:id="1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135" w:name="DSPFPageNumber96"/>
      <w:bookmarkStart w:id="1136" w:name="DSPFPageNumberArea94"/>
      <w:bookmarkEnd w:id="1135"/>
      <w:bookmarkEnd w:id="1136"/>
      <w:r>
        <w:rPr>
          <w:b w:val="false"/>
          <w:i w:val="false"/>
          <w:caps w:val="false"/>
          <w:smallCaps w:val="false"/>
          <w:color w:val="000000"/>
          <w:sz w:val="16"/>
        </w:rPr>
        <w:t>7</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37" w:name="DSPFPageBreak97"/>
      <w:bookmarkStart w:id="1138" w:name="DSPFPageBreak97"/>
      <w:bookmarkEnd w:id="1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rPr>
      </w:pPr>
      <w:r>
        <w:rPr>
          <w:b/>
        </w:rPr>
        <w:t>Certain Differences in Corporate Law</w:t>
      </w:r>
    </w:p>
    <w:p>
      <w:pPr>
        <w:pStyle w:val="TextBody"/>
        <w:spacing w:before="0" w:after="0"/>
        <w:rPr/>
      </w:pPr>
      <w:r>
        <w:rPr/>
      </w:r>
    </w:p>
    <w:p>
      <w:pPr>
        <w:pStyle w:val="TextBody"/>
        <w:spacing w:before="0" w:after="0"/>
        <w:jc w:val="both"/>
        <w:rPr/>
      </w:pPr>
      <w:r>
        <w:rPr/>
        <w:t>Cayman Islands companies are governed by the Companies Act. The Companies Act is modeled on English Law but does not follow recent English Law statutory enactments, and differs from laws applicable to United States corporations and their shareholders. Set forth below is a summary of the material differences between the provisions of the Companies Act applicable to us and the laws applicable to companies incorporated in the United States and their shareholders.</w:t>
      </w:r>
    </w:p>
    <w:p>
      <w:pPr>
        <w:pStyle w:val="TextBody"/>
        <w:spacing w:before="0" w:after="0"/>
        <w:rPr/>
      </w:pPr>
      <w:r>
        <w:rPr/>
      </w:r>
    </w:p>
    <w:p>
      <w:pPr>
        <w:pStyle w:val="TextBody"/>
        <w:spacing w:before="0" w:after="0"/>
        <w:jc w:val="both"/>
        <w:rPr/>
      </w:pPr>
      <w:r>
        <w:rPr>
          <w:i/>
        </w:rPr>
        <w:t>Mergers and Similar Arrangements</w:t>
      </w:r>
      <w:r>
        <w:rPr/>
        <w:t>. In certain circumstances, the Companies Act allows for mergers or consolidations between two Cayman Islands companies, or between a Cayman Islands exempted company and a company incorporated in another jurisdiction (</w:t>
      </w:r>
      <w:r>
        <w:rPr>
          <w:i/>
        </w:rPr>
        <w:t>provided</w:t>
      </w:r>
      <w:r>
        <w:rPr/>
        <w:t xml:space="preserve"> that is facilitated by the laws of that other jurisdiction) so as to form a single surviving company.</w:t>
      </w:r>
    </w:p>
    <w:p>
      <w:pPr>
        <w:pStyle w:val="TextBody"/>
        <w:spacing w:before="0" w:after="0"/>
        <w:rPr/>
      </w:pPr>
      <w:r>
        <w:rPr/>
      </w:r>
    </w:p>
    <w:p>
      <w:pPr>
        <w:pStyle w:val="TextBody"/>
        <w:spacing w:before="0" w:after="0"/>
        <w:jc w:val="both"/>
        <w:rPr/>
      </w:pPr>
      <w:r>
        <w:rPr/>
        <w:t>Where the merger or consolidation is between two Cayman Islands companies, the directors of each company must approve and enter into a written plan of merger or consolidation containing certain prescribed information. That plan or merger or consolidation must then be authorized by either (a) a special resolution (usually a majority of two-thirds in value of the voting shares voted at a shareholder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w:t>
      </w:r>
    </w:p>
    <w:p>
      <w:pPr>
        <w:pStyle w:val="TextBody"/>
        <w:spacing w:before="0" w:after="0"/>
        <w:rPr/>
      </w:pPr>
      <w:r>
        <w:rPr/>
      </w:r>
    </w:p>
    <w:p>
      <w:pPr>
        <w:pStyle w:val="TextBody"/>
        <w:spacing w:before="0" w:after="0"/>
        <w:jc w:val="both"/>
        <w:rPr/>
      </w:pPr>
      <w:r>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pStyle w:val="TextBody"/>
        <w:spacing w:before="0" w:after="0"/>
        <w:rPr/>
      </w:pPr>
      <w:r>
        <w:rPr/>
      </w:r>
    </w:p>
    <w:p>
      <w:pPr>
        <w:pStyle w:val="TextBody"/>
        <w:spacing w:before="0" w:after="0"/>
        <w:jc w:val="both"/>
        <w:rPr/>
      </w:pPr>
      <w:r>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39" w:name="DSPFPageBreakArea98"/>
      <w:bookmarkStart w:id="1140" w:name="DSPFPageBreakArea98"/>
      <w:bookmarkEnd w:id="1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141" w:name="DSPFPageNumber97"/>
      <w:bookmarkStart w:id="1142" w:name="DSPFPageNumberArea95"/>
      <w:bookmarkEnd w:id="1141"/>
      <w:bookmarkEnd w:id="1142"/>
      <w:r>
        <w:rPr>
          <w:b w:val="false"/>
          <w:i w:val="false"/>
          <w:caps w:val="false"/>
          <w:smallCaps w:val="false"/>
          <w:color w:val="000000"/>
          <w:sz w:val="16"/>
        </w:rPr>
        <w:t>8</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43" w:name="DSPFPageBreak98"/>
      <w:bookmarkStart w:id="1144" w:name="DSPFPageBreak98"/>
      <w:bookmarkEnd w:id="1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Where the above procedures are adopted, the Companies Act provides certain limited appraisal rights for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 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pStyle w:val="TextBody"/>
        <w:spacing w:before="0" w:after="0"/>
        <w:rPr/>
      </w:pPr>
      <w:r>
        <w:rPr/>
      </w:r>
    </w:p>
    <w:p>
      <w:pPr>
        <w:pStyle w:val="TextBody"/>
        <w:spacing w:before="0" w:after="0"/>
        <w:jc w:val="both"/>
        <w:rPr/>
      </w:pPr>
      <w:r>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pStyle w:val="TextBody"/>
        <w:spacing w:before="0" w:after="0"/>
        <w:jc w:val="both"/>
        <w:rPr/>
      </w:pPr>
      <w:r>
        <w:rPr/>
      </w:r>
    </w:p>
    <w:p>
      <w:pPr>
        <w:pStyle w:val="Normal"/>
        <w:spacing w:before="0" w:after="0"/>
        <w:rPr>
          <w:sz w:val="4"/>
          <w:szCs w:val="4"/>
        </w:rPr>
      </w:pPr>
      <w:r>
        <w:rPr>
          <w:sz w:val="4"/>
          <w:szCs w:val="4"/>
        </w:rPr>
      </w:r>
      <w:bookmarkStart w:id="1145" w:name="ze0b28c5e35d54bb59857e02f3d07578c"/>
      <w:bookmarkStart w:id="1146" w:name="ze0b28c5e35d54bb59857e02f3d07578c"/>
      <w:bookmarkEnd w:id="114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are not proposing to act illegally or beyond the scope of our corporate authority and the statutory provisions as to majority vote have been complied with;</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47" w:name="DSPFPageBreakArea99"/>
      <w:bookmarkStart w:id="1148" w:name="DSPFPageBreakArea99"/>
      <w:bookmarkEnd w:id="1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149" w:name="DSPFPageNumber98"/>
      <w:bookmarkStart w:id="1150" w:name="DSPFPageNumberArea96"/>
      <w:bookmarkEnd w:id="1149"/>
      <w:bookmarkEnd w:id="1150"/>
      <w:r>
        <w:rPr>
          <w:b w:val="false"/>
          <w:i w:val="false"/>
          <w:caps w:val="false"/>
          <w:smallCaps w:val="false"/>
          <w:color w:val="000000"/>
          <w:sz w:val="16"/>
        </w:rPr>
        <w:t>9</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51" w:name="DSPFPageBreak99"/>
      <w:bookmarkStart w:id="1152" w:name="DSPFPageBreak99"/>
      <w:bookmarkEnd w:id="1152"/>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1153" w:name="za4448c6cf20c423b8c6b871f0c440b85"/>
      <w:bookmarkStart w:id="1154" w:name="za4448c6cf20c423b8c6b871f0c440b85"/>
      <w:bookmarkEnd w:id="1154"/>
    </w:p>
    <w:tbl>
      <w:tblPr>
        <w:tblW w:w="6963" w:type="dxa"/>
        <w:jc w:val="left"/>
        <w:tblInd w:w="0" w:type="dxa"/>
        <w:tblCellMar>
          <w:top w:w="0" w:type="dxa"/>
          <w:left w:w="0" w:type="dxa"/>
          <w:bottom w:w="0" w:type="dxa"/>
          <w:right w:w="0" w:type="dxa"/>
        </w:tblCellMar>
      </w:tblPr>
      <w:tblGrid>
        <w:gridCol w:w="38"/>
        <w:gridCol w:w="110"/>
        <w:gridCol w:w="681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815" w:type="dxa"/>
            <w:tcBorders/>
            <w:shd w:fill="auto" w:val="clear"/>
            <w:vAlign w:val="center"/>
          </w:tcPr>
          <w:p>
            <w:pPr>
              <w:pStyle w:val="TableContents"/>
              <w:spacing w:before="0" w:after="0"/>
              <w:rPr/>
            </w:pPr>
            <w:r>
              <w:rPr/>
              <w:t>the shareholders have been fairly represented at the meeting in question;</w:t>
            </w:r>
          </w:p>
        </w:tc>
      </w:tr>
    </w:tbl>
    <w:p>
      <w:pPr>
        <w:pStyle w:val="TextBody"/>
        <w:spacing w:before="0" w:after="0"/>
        <w:rPr/>
      </w:pPr>
      <w:r>
        <w:rPr/>
      </w:r>
    </w:p>
    <w:p>
      <w:pPr>
        <w:pStyle w:val="Normal"/>
        <w:spacing w:before="0" w:after="0"/>
        <w:rPr>
          <w:sz w:val="4"/>
          <w:szCs w:val="4"/>
        </w:rPr>
      </w:pPr>
      <w:r>
        <w:rPr>
          <w:sz w:val="4"/>
          <w:szCs w:val="4"/>
        </w:rPr>
      </w:r>
      <w:bookmarkStart w:id="1155" w:name="zbe371aedf818484ab07dcf1907cb2b33"/>
      <w:bookmarkStart w:id="1156" w:name="zbe371aedf818484ab07dcf1907cb2b33"/>
      <w:bookmarkEnd w:id="1156"/>
    </w:p>
    <w:tbl>
      <w:tblPr>
        <w:tblW w:w="7113" w:type="dxa"/>
        <w:jc w:val="left"/>
        <w:tblInd w:w="0" w:type="dxa"/>
        <w:tblCellMar>
          <w:top w:w="0" w:type="dxa"/>
          <w:left w:w="0" w:type="dxa"/>
          <w:bottom w:w="0" w:type="dxa"/>
          <w:right w:w="0" w:type="dxa"/>
        </w:tblCellMar>
      </w:tblPr>
      <w:tblGrid>
        <w:gridCol w:w="38"/>
        <w:gridCol w:w="110"/>
        <w:gridCol w:w="696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965" w:type="dxa"/>
            <w:tcBorders/>
            <w:shd w:fill="auto" w:val="clear"/>
            <w:vAlign w:val="center"/>
          </w:tcPr>
          <w:p>
            <w:pPr>
              <w:pStyle w:val="TableContents"/>
              <w:spacing w:before="0" w:after="0"/>
              <w:rPr/>
            </w:pPr>
            <w:r>
              <w:rPr/>
              <w:t>the arrangement is such as a businessman would reasonably approve; and</w:t>
            </w:r>
          </w:p>
        </w:tc>
      </w:tr>
    </w:tbl>
    <w:p>
      <w:pPr>
        <w:pStyle w:val="TextBody"/>
        <w:spacing w:before="0" w:after="0"/>
        <w:rPr/>
      </w:pPr>
      <w:r>
        <w:rPr/>
      </w:r>
    </w:p>
    <w:p>
      <w:pPr>
        <w:pStyle w:val="Normal"/>
        <w:spacing w:before="0" w:after="0"/>
        <w:rPr>
          <w:sz w:val="4"/>
          <w:szCs w:val="4"/>
        </w:rPr>
      </w:pPr>
      <w:r>
        <w:rPr>
          <w:sz w:val="4"/>
          <w:szCs w:val="4"/>
        </w:rPr>
      </w:r>
      <w:bookmarkStart w:id="1157" w:name="z4fc6bfce5f9f418b885a0944cbbfaa47"/>
      <w:bookmarkStart w:id="1158" w:name="z4fc6bfce5f9f418b885a0944cbbfaa47"/>
      <w:bookmarkEnd w:id="115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the arrangement is not one that would more properly be sanctioned under some other provision of the Companies Act or that would amount to a “fraud on the minority.”</w:t>
            </w:r>
          </w:p>
        </w:tc>
      </w:tr>
    </w:tbl>
    <w:p>
      <w:pPr>
        <w:pStyle w:val="TextBody"/>
        <w:spacing w:before="0" w:after="0"/>
        <w:rPr/>
      </w:pPr>
      <w:r>
        <w:rPr/>
      </w:r>
    </w:p>
    <w:p>
      <w:pPr>
        <w:pStyle w:val="TextBody"/>
        <w:spacing w:before="0" w:after="0"/>
        <w:jc w:val="both"/>
        <w:rPr/>
      </w:pPr>
      <w:r>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pStyle w:val="TextBody"/>
        <w:spacing w:before="0" w:after="0"/>
        <w:rPr/>
      </w:pPr>
      <w:r>
        <w:rPr/>
      </w:r>
    </w:p>
    <w:p>
      <w:pPr>
        <w:pStyle w:val="TextBody"/>
        <w:spacing w:before="0" w:after="0"/>
        <w:jc w:val="both"/>
        <w:rPr/>
      </w:pPr>
      <w:r>
        <w:rPr>
          <w:i/>
        </w:rPr>
        <w:t>Squeeze-out Provisions</w:t>
      </w:r>
      <w:r>
        <w:rPr/>
        <w:t>. When a tender offer is made and accepted by holders of 90% of the shares to whom the offer 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pStyle w:val="TextBody"/>
        <w:spacing w:before="0" w:after="0"/>
        <w:rPr/>
      </w:pPr>
      <w:r>
        <w:rPr/>
      </w:r>
    </w:p>
    <w:p>
      <w:pPr>
        <w:pStyle w:val="TextBody"/>
        <w:spacing w:before="0" w:after="0"/>
        <w:jc w:val="both"/>
        <w:rPr/>
      </w:pPr>
      <w:r>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pStyle w:val="TextBody"/>
        <w:spacing w:before="0" w:after="0"/>
        <w:rPr/>
      </w:pPr>
      <w:r>
        <w:rPr/>
      </w:r>
    </w:p>
    <w:p>
      <w:pPr>
        <w:pStyle w:val="TextBody"/>
        <w:spacing w:before="0" w:after="0"/>
        <w:jc w:val="both"/>
        <w:rPr/>
      </w:pPr>
      <w:r>
        <w:rPr>
          <w:i/>
        </w:rPr>
        <w:t>Shareholders’ Suits</w:t>
      </w:r>
      <w:r>
        <w:rPr/>
        <w:t>. Our Cayman Islands counsel is not aware of any reported class action having been 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pStyle w:val="TextBody"/>
        <w:spacing w:before="0" w:after="0"/>
        <w:jc w:val="both"/>
        <w:rPr/>
      </w:pPr>
      <w:r>
        <w:rPr/>
      </w:r>
    </w:p>
    <w:p>
      <w:pPr>
        <w:pStyle w:val="Normal"/>
        <w:spacing w:before="0" w:after="0"/>
        <w:rPr>
          <w:sz w:val="4"/>
          <w:szCs w:val="4"/>
        </w:rPr>
      </w:pPr>
      <w:r>
        <w:rPr>
          <w:sz w:val="4"/>
          <w:szCs w:val="4"/>
        </w:rPr>
      </w:r>
      <w:bookmarkStart w:id="1159" w:name="z258c2c850257442a868f01bd31972986"/>
      <w:bookmarkStart w:id="1160" w:name="z258c2c850257442a868f01bd31972986"/>
      <w:bookmarkEnd w:id="1160"/>
    </w:p>
    <w:tbl>
      <w:tblPr>
        <w:tblW w:w="9408" w:type="dxa"/>
        <w:jc w:val="left"/>
        <w:tblInd w:w="0" w:type="dxa"/>
        <w:tblCellMar>
          <w:top w:w="0" w:type="dxa"/>
          <w:left w:w="0" w:type="dxa"/>
          <w:bottom w:w="0" w:type="dxa"/>
          <w:right w:w="0" w:type="dxa"/>
        </w:tblCellMar>
      </w:tblPr>
      <w:tblGrid>
        <w:gridCol w:w="38"/>
        <w:gridCol w:w="110"/>
        <w:gridCol w:w="926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9260" w:type="dxa"/>
            <w:tcBorders/>
            <w:shd w:fill="auto" w:val="clear"/>
            <w:vAlign w:val="center"/>
          </w:tcPr>
          <w:p>
            <w:pPr>
              <w:pStyle w:val="TableContents"/>
              <w:spacing w:before="0" w:after="0"/>
              <w:rPr/>
            </w:pPr>
            <w:r>
              <w:rPr/>
              <w:t>a company is acting, or proposing to act, illegally or ultra vires (beyond the scope of its authority);</w:t>
            </w:r>
          </w:p>
        </w:tc>
      </w:tr>
    </w:tbl>
    <w:p>
      <w:pPr>
        <w:pStyle w:val="TextBody"/>
        <w:spacing w:before="0" w:after="0"/>
        <w:rPr/>
      </w:pPr>
      <w:r>
        <w:rPr/>
      </w:r>
    </w:p>
    <w:p>
      <w:pPr>
        <w:pStyle w:val="Normal"/>
        <w:spacing w:before="0" w:after="0"/>
        <w:rPr>
          <w:sz w:val="4"/>
          <w:szCs w:val="4"/>
        </w:rPr>
      </w:pPr>
      <w:r>
        <w:rPr>
          <w:sz w:val="4"/>
          <w:szCs w:val="4"/>
        </w:rPr>
      </w:r>
      <w:bookmarkStart w:id="1161" w:name="za00c070ae7984fcda2660becfe8837f5"/>
      <w:bookmarkStart w:id="1162" w:name="za00c070ae7984fcda2660becfe8837f5"/>
      <w:bookmarkEnd w:id="116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the act complained of, although not beyond the scope of the authority, could be effected if duly authorized by more than the number of votes which have actually been obtained; or</w:t>
            </w:r>
          </w:p>
        </w:tc>
      </w:tr>
    </w:tbl>
    <w:p>
      <w:pPr>
        <w:pStyle w:val="TextBody"/>
        <w:spacing w:before="0" w:after="0"/>
        <w:rPr/>
      </w:pPr>
      <w:r>
        <w:rPr/>
      </w:r>
    </w:p>
    <w:p>
      <w:pPr>
        <w:pStyle w:val="Normal"/>
        <w:spacing w:before="0" w:after="0"/>
        <w:rPr>
          <w:sz w:val="4"/>
          <w:szCs w:val="4"/>
        </w:rPr>
      </w:pPr>
      <w:r>
        <w:rPr>
          <w:sz w:val="4"/>
          <w:szCs w:val="4"/>
        </w:rPr>
      </w:r>
      <w:bookmarkStart w:id="1163" w:name="z67ded8c8c1d14e0a9a27bc3afdfbd3e9"/>
      <w:bookmarkStart w:id="1164" w:name="z67ded8c8c1d14e0a9a27bc3afdfbd3e9"/>
      <w:bookmarkEnd w:id="1164"/>
    </w:p>
    <w:tbl>
      <w:tblPr>
        <w:tblW w:w="7173" w:type="dxa"/>
        <w:jc w:val="left"/>
        <w:tblInd w:w="0" w:type="dxa"/>
        <w:tblCellMar>
          <w:top w:w="0" w:type="dxa"/>
          <w:left w:w="0" w:type="dxa"/>
          <w:bottom w:w="0" w:type="dxa"/>
          <w:right w:w="0" w:type="dxa"/>
        </w:tblCellMar>
      </w:tblPr>
      <w:tblGrid>
        <w:gridCol w:w="38"/>
        <w:gridCol w:w="110"/>
        <w:gridCol w:w="70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025" w:type="dxa"/>
            <w:tcBorders/>
            <w:shd w:fill="auto" w:val="clear"/>
            <w:vAlign w:val="center"/>
          </w:tcPr>
          <w:p>
            <w:pPr>
              <w:pStyle w:val="TableContents"/>
              <w:spacing w:before="0" w:after="0"/>
              <w:rPr/>
            </w:pPr>
            <w:r>
              <w:rPr/>
              <w:t>those who control the company are perpetrating a “fraud on the minority.”</w:t>
            </w:r>
          </w:p>
        </w:tc>
      </w:tr>
    </w:tbl>
    <w:p>
      <w:pPr>
        <w:pStyle w:val="TextBody"/>
        <w:spacing w:before="0" w:after="0"/>
        <w:rPr/>
      </w:pPr>
      <w:r>
        <w:rPr/>
      </w:r>
    </w:p>
    <w:p>
      <w:pPr>
        <w:pStyle w:val="TextBody"/>
        <w:spacing w:before="0" w:after="0"/>
        <w:jc w:val="both"/>
        <w:rPr/>
      </w:pPr>
      <w:r>
        <w:rPr/>
        <w:t>A shareholder may have a direct right of action against us where the individual rights of that shareholder have been infringed or are about to be infringed.</w:t>
      </w:r>
    </w:p>
    <w:p>
      <w:pPr>
        <w:pStyle w:val="TextBody"/>
        <w:spacing w:before="0" w:after="0"/>
        <w:rPr/>
      </w:pPr>
      <w:r>
        <w:rPr/>
      </w:r>
    </w:p>
    <w:p>
      <w:pPr>
        <w:pStyle w:val="TextBody"/>
        <w:spacing w:before="0" w:after="0"/>
        <w:jc w:val="both"/>
        <w:rPr/>
      </w:pPr>
      <w:r>
        <w:rPr>
          <w:i/>
        </w:rPr>
        <w:t>Enforcement of Civil Liabilities</w:t>
      </w:r>
      <w:r>
        <w:rPr/>
        <w:t>. The Cayman Islands has a different body of securities laws as compared to the United States and provides less protection to investors. Additionally, Cayman Islands companies may not have standing to sue before the Federal courts of the United States.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65" w:name="DSPFPageBreakArea100"/>
      <w:bookmarkStart w:id="1166" w:name="DSPFPageBreakArea100"/>
      <w:bookmarkEnd w:id="1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167" w:name="DSPFPageNumber99"/>
      <w:bookmarkStart w:id="1168" w:name="DSPFPageNumberArea97"/>
      <w:bookmarkEnd w:id="1167"/>
      <w:bookmarkEnd w:id="1168"/>
      <w:r>
        <w:rPr>
          <w:b w:val="false"/>
          <w:i w:val="false"/>
          <w:caps w:val="false"/>
          <w:smallCaps w:val="false"/>
          <w:color w:val="000000"/>
          <w:sz w:val="16"/>
        </w:rPr>
        <w:t>10</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69" w:name="DSPFPageBreak100"/>
      <w:bookmarkStart w:id="1170" w:name="DSPFPageBreak100"/>
      <w:bookmarkEnd w:id="1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 xml:space="preserve">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w:t>
      </w:r>
      <w:r>
        <w:rPr>
          <w:i/>
        </w:rPr>
        <w:t>provided</w:t>
      </w:r>
      <w:r>
        <w:rPr/>
        <w:t xml:space="preserve">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spacing w:before="0" w:after="0"/>
        <w:rPr/>
      </w:pPr>
      <w:r>
        <w:rPr/>
      </w:r>
    </w:p>
    <w:p>
      <w:pPr>
        <w:pStyle w:val="TextBody"/>
        <w:spacing w:before="0" w:after="0"/>
        <w:jc w:val="both"/>
        <w:rPr/>
      </w:pPr>
      <w:r>
        <w:rPr>
          <w:i/>
        </w:rPr>
        <w:t>Special Considerations for Exempted Companies</w:t>
      </w:r>
      <w:r>
        <w:rPr/>
        <w:t>. We are an exempted company with limited liability (meaning our public shareholders have no liability, as members of the company, for liabilities of the company over and above the amount paid for their shares)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pStyle w:val="TextBody"/>
        <w:spacing w:before="0" w:after="0"/>
        <w:rPr/>
      </w:pPr>
      <w:r>
        <w:rPr/>
      </w:r>
    </w:p>
    <w:p>
      <w:pPr>
        <w:pStyle w:val="Normal"/>
        <w:spacing w:before="0" w:after="0"/>
        <w:rPr>
          <w:sz w:val="4"/>
          <w:szCs w:val="4"/>
        </w:rPr>
      </w:pPr>
      <w:r>
        <w:rPr>
          <w:sz w:val="4"/>
          <w:szCs w:val="4"/>
        </w:rPr>
      </w:r>
      <w:bookmarkStart w:id="1171" w:name="z8c2a64c7b4ae4093930a817504025455"/>
      <w:bookmarkStart w:id="1172" w:name="z8c2a64c7b4ae4093930a817504025455"/>
      <w:bookmarkEnd w:id="117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annual reporting requirements are minimal and consist mainly of a statement that the company has conducted its operations mainly outside of the Cayman Islands and has complied with the provisions of the Companies Act;</w:t>
            </w:r>
          </w:p>
        </w:tc>
      </w:tr>
    </w:tbl>
    <w:p>
      <w:pPr>
        <w:pStyle w:val="TextBody"/>
        <w:spacing w:before="0" w:after="0"/>
        <w:rPr/>
      </w:pPr>
      <w:r>
        <w:rPr/>
      </w:r>
    </w:p>
    <w:p>
      <w:pPr>
        <w:pStyle w:val="Normal"/>
        <w:spacing w:before="0" w:after="0"/>
        <w:rPr>
          <w:sz w:val="4"/>
          <w:szCs w:val="4"/>
        </w:rPr>
      </w:pPr>
      <w:r>
        <w:rPr>
          <w:sz w:val="4"/>
          <w:szCs w:val="4"/>
        </w:rPr>
      </w:r>
      <w:bookmarkStart w:id="1173" w:name="z299a718f90554ff3a3b77b3b9ff6f877"/>
      <w:bookmarkStart w:id="1174" w:name="z299a718f90554ff3a3b77b3b9ff6f877"/>
      <w:bookmarkEnd w:id="1174"/>
    </w:p>
    <w:tbl>
      <w:tblPr>
        <w:tblW w:w="6813" w:type="dxa"/>
        <w:jc w:val="left"/>
        <w:tblInd w:w="0" w:type="dxa"/>
        <w:tblCellMar>
          <w:top w:w="0" w:type="dxa"/>
          <w:left w:w="0" w:type="dxa"/>
          <w:bottom w:w="0" w:type="dxa"/>
          <w:right w:w="0" w:type="dxa"/>
        </w:tblCellMar>
      </w:tblPr>
      <w:tblGrid>
        <w:gridCol w:w="38"/>
        <w:gridCol w:w="110"/>
        <w:gridCol w:w="666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665" w:type="dxa"/>
            <w:tcBorders/>
            <w:shd w:fill="auto" w:val="clear"/>
            <w:vAlign w:val="center"/>
          </w:tcPr>
          <w:p>
            <w:pPr>
              <w:pStyle w:val="TableContents"/>
              <w:spacing w:before="0" w:after="0"/>
              <w:rPr/>
            </w:pPr>
            <w:r>
              <w:rPr/>
              <w:t>an exempted company’s register of members is not open to inspection;</w:t>
            </w:r>
          </w:p>
        </w:tc>
      </w:tr>
    </w:tbl>
    <w:p>
      <w:pPr>
        <w:pStyle w:val="TextBody"/>
        <w:spacing w:before="0" w:after="0"/>
        <w:rPr/>
      </w:pPr>
      <w:r>
        <w:rPr/>
      </w:r>
    </w:p>
    <w:p>
      <w:pPr>
        <w:pStyle w:val="Normal"/>
        <w:spacing w:before="0" w:after="0"/>
        <w:rPr>
          <w:sz w:val="4"/>
          <w:szCs w:val="4"/>
        </w:rPr>
      </w:pPr>
      <w:r>
        <w:rPr>
          <w:sz w:val="4"/>
          <w:szCs w:val="4"/>
        </w:rPr>
      </w:r>
      <w:bookmarkStart w:id="1175" w:name="zd033108b5a814b5bb1e01d77c6de7770"/>
      <w:bookmarkStart w:id="1176" w:name="zd033108b5a814b5bb1e01d77c6de7770"/>
      <w:bookmarkEnd w:id="1176"/>
    </w:p>
    <w:tbl>
      <w:tblPr>
        <w:tblW w:w="7398" w:type="dxa"/>
        <w:jc w:val="left"/>
        <w:tblInd w:w="0" w:type="dxa"/>
        <w:tblCellMar>
          <w:top w:w="0" w:type="dxa"/>
          <w:left w:w="0" w:type="dxa"/>
          <w:bottom w:w="0" w:type="dxa"/>
          <w:right w:w="0" w:type="dxa"/>
        </w:tblCellMar>
      </w:tblPr>
      <w:tblGrid>
        <w:gridCol w:w="38"/>
        <w:gridCol w:w="110"/>
        <w:gridCol w:w="725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7250" w:type="dxa"/>
            <w:tcBorders/>
            <w:shd w:fill="auto" w:val="clear"/>
            <w:vAlign w:val="center"/>
          </w:tcPr>
          <w:p>
            <w:pPr>
              <w:pStyle w:val="TableContents"/>
              <w:spacing w:before="0" w:after="0"/>
              <w:rPr/>
            </w:pPr>
            <w:r>
              <w:rPr/>
              <w:t>an exempted company does not have to hold an annual shareholder meeting;</w:t>
            </w:r>
          </w:p>
        </w:tc>
      </w:tr>
    </w:tbl>
    <w:p>
      <w:pPr>
        <w:pStyle w:val="TextBody"/>
        <w:spacing w:before="0" w:after="0"/>
        <w:rPr/>
      </w:pPr>
      <w:r>
        <w:rPr/>
      </w:r>
    </w:p>
    <w:p>
      <w:pPr>
        <w:pStyle w:val="Normal"/>
        <w:spacing w:before="0" w:after="0"/>
        <w:rPr>
          <w:sz w:val="4"/>
          <w:szCs w:val="4"/>
        </w:rPr>
      </w:pPr>
      <w:r>
        <w:rPr>
          <w:sz w:val="4"/>
          <w:szCs w:val="4"/>
        </w:rPr>
      </w:r>
      <w:bookmarkStart w:id="1177" w:name="zbff5917c3e3a4633aaad85b12fe05e0f"/>
      <w:bookmarkStart w:id="1178" w:name="zbff5917c3e3a4633aaad85b12fe05e0f"/>
      <w:bookmarkEnd w:id="1178"/>
    </w:p>
    <w:tbl>
      <w:tblPr>
        <w:tblW w:w="8553" w:type="dxa"/>
        <w:jc w:val="left"/>
        <w:tblInd w:w="0" w:type="dxa"/>
        <w:tblCellMar>
          <w:top w:w="0" w:type="dxa"/>
          <w:left w:w="0" w:type="dxa"/>
          <w:bottom w:w="0" w:type="dxa"/>
          <w:right w:w="0" w:type="dxa"/>
        </w:tblCellMar>
      </w:tblPr>
      <w:tblGrid>
        <w:gridCol w:w="38"/>
        <w:gridCol w:w="110"/>
        <w:gridCol w:w="840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405" w:type="dxa"/>
            <w:tcBorders/>
            <w:shd w:fill="auto" w:val="clear"/>
            <w:vAlign w:val="center"/>
          </w:tcPr>
          <w:p>
            <w:pPr>
              <w:pStyle w:val="TableContents"/>
              <w:spacing w:before="0" w:after="0"/>
              <w:rPr/>
            </w:pPr>
            <w:r>
              <w:rPr/>
              <w:t>an exempted company may issue negotiable or bearer shares or shares with no par value;</w:t>
            </w:r>
          </w:p>
        </w:tc>
      </w:tr>
    </w:tbl>
    <w:p>
      <w:pPr>
        <w:pStyle w:val="TextBody"/>
        <w:spacing w:before="0" w:after="0"/>
        <w:rPr/>
      </w:pPr>
      <w:r>
        <w:rPr/>
      </w:r>
    </w:p>
    <w:p>
      <w:pPr>
        <w:pStyle w:val="Normal"/>
        <w:spacing w:before="0" w:after="0"/>
        <w:rPr>
          <w:sz w:val="4"/>
          <w:szCs w:val="4"/>
        </w:rPr>
      </w:pPr>
      <w:r>
        <w:rPr>
          <w:sz w:val="4"/>
          <w:szCs w:val="4"/>
        </w:rPr>
      </w:r>
      <w:bookmarkStart w:id="1179" w:name="zf97b21590ee04b4a87dcd71f75ad8a90"/>
      <w:bookmarkStart w:id="1180" w:name="zf97b21590ee04b4a87dcd71f75ad8a90"/>
      <w:bookmarkEnd w:id="118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an exempted company may obtain an undertaking against the imposition of any future taxation (such undertakings are usually given for 20 years in the first instance);</w:t>
            </w:r>
          </w:p>
        </w:tc>
      </w:tr>
    </w:tbl>
    <w:p>
      <w:pPr>
        <w:pStyle w:val="TextBody"/>
        <w:spacing w:before="0" w:after="0"/>
        <w:rPr/>
      </w:pPr>
      <w:r>
        <w:rPr/>
      </w:r>
    </w:p>
    <w:p>
      <w:pPr>
        <w:pStyle w:val="Normal"/>
        <w:spacing w:before="0" w:after="0"/>
        <w:rPr>
          <w:sz w:val="4"/>
          <w:szCs w:val="4"/>
        </w:rPr>
      </w:pPr>
      <w:r>
        <w:rPr>
          <w:sz w:val="4"/>
          <w:szCs w:val="4"/>
        </w:rPr>
      </w:r>
      <w:bookmarkStart w:id="1181" w:name="z495cbde53d704b7ea98244056f53efa4"/>
      <w:bookmarkStart w:id="1182" w:name="z495cbde53d704b7ea98244056f53efa4"/>
      <w:bookmarkEnd w:id="118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an exempted company may register by way of continuation in another jurisdiction and be deregistered in the Cayman Islands;</w:t>
            </w:r>
          </w:p>
        </w:tc>
      </w:tr>
    </w:tbl>
    <w:p>
      <w:pPr>
        <w:pStyle w:val="TextBody"/>
        <w:spacing w:before="0" w:after="0"/>
        <w:rPr/>
      </w:pPr>
      <w:r>
        <w:rPr/>
      </w:r>
    </w:p>
    <w:p>
      <w:pPr>
        <w:pStyle w:val="Normal"/>
        <w:spacing w:before="0" w:after="0"/>
        <w:rPr>
          <w:sz w:val="4"/>
          <w:szCs w:val="4"/>
        </w:rPr>
      </w:pPr>
      <w:r>
        <w:rPr>
          <w:sz w:val="4"/>
          <w:szCs w:val="4"/>
        </w:rPr>
      </w:r>
      <w:bookmarkStart w:id="1183" w:name="z48eda829125f46f3ab71ee01ff612570"/>
      <w:bookmarkStart w:id="1184" w:name="z48eda829125f46f3ab71ee01ff612570"/>
      <w:bookmarkEnd w:id="1184"/>
    </w:p>
    <w:tbl>
      <w:tblPr>
        <w:tblW w:w="6888" w:type="dxa"/>
        <w:jc w:val="left"/>
        <w:tblInd w:w="0" w:type="dxa"/>
        <w:tblCellMar>
          <w:top w:w="0" w:type="dxa"/>
          <w:left w:w="0" w:type="dxa"/>
          <w:bottom w:w="0" w:type="dxa"/>
          <w:right w:w="0" w:type="dxa"/>
        </w:tblCellMar>
      </w:tblPr>
      <w:tblGrid>
        <w:gridCol w:w="38"/>
        <w:gridCol w:w="110"/>
        <w:gridCol w:w="67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740" w:type="dxa"/>
            <w:tcBorders/>
            <w:shd w:fill="auto" w:val="clear"/>
            <w:vAlign w:val="center"/>
          </w:tcPr>
          <w:p>
            <w:pPr>
              <w:pStyle w:val="TableContents"/>
              <w:spacing w:before="0" w:after="0"/>
              <w:rPr/>
            </w:pPr>
            <w:r>
              <w:rPr/>
              <w:t>an exempted company may register as a limited duration company; and</w:t>
            </w:r>
          </w:p>
        </w:tc>
      </w:tr>
    </w:tbl>
    <w:p>
      <w:pPr>
        <w:pStyle w:val="TextBody"/>
        <w:spacing w:before="0" w:after="0"/>
        <w:rPr/>
      </w:pPr>
      <w:r>
        <w:rPr/>
      </w:r>
    </w:p>
    <w:p>
      <w:pPr>
        <w:pStyle w:val="Normal"/>
        <w:spacing w:before="0" w:after="0"/>
        <w:rPr>
          <w:sz w:val="4"/>
          <w:szCs w:val="4"/>
        </w:rPr>
      </w:pPr>
      <w:r>
        <w:rPr>
          <w:sz w:val="4"/>
          <w:szCs w:val="4"/>
        </w:rPr>
      </w:r>
      <w:bookmarkStart w:id="1185" w:name="zaaac669589fe4a129d36fa54da3eec43"/>
      <w:bookmarkStart w:id="1186" w:name="zaaac669589fe4a129d36fa54da3eec43"/>
      <w:bookmarkEnd w:id="1186"/>
    </w:p>
    <w:tbl>
      <w:tblPr>
        <w:tblW w:w="6873" w:type="dxa"/>
        <w:jc w:val="left"/>
        <w:tblInd w:w="0" w:type="dxa"/>
        <w:tblCellMar>
          <w:top w:w="0" w:type="dxa"/>
          <w:left w:w="0" w:type="dxa"/>
          <w:bottom w:w="0" w:type="dxa"/>
          <w:right w:w="0" w:type="dxa"/>
        </w:tblCellMar>
      </w:tblPr>
      <w:tblGrid>
        <w:gridCol w:w="38"/>
        <w:gridCol w:w="110"/>
        <w:gridCol w:w="6725"/>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6725" w:type="dxa"/>
            <w:tcBorders/>
            <w:shd w:fill="auto" w:val="clear"/>
            <w:vAlign w:val="center"/>
          </w:tcPr>
          <w:p>
            <w:pPr>
              <w:pStyle w:val="TableContents"/>
              <w:spacing w:before="0" w:after="0"/>
              <w:rPr/>
            </w:pPr>
            <w:r>
              <w:rPr/>
              <w:t>an exempted company may register as a segregated portfolio company.</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187" w:name="DSPFPageBreakArea101"/>
      <w:bookmarkStart w:id="1188" w:name="DSPFPageBreakArea101"/>
      <w:bookmarkEnd w:id="1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189" w:name="DSPFPageNumber100"/>
      <w:bookmarkStart w:id="1190" w:name="DSPFPageNumberArea98"/>
      <w:bookmarkEnd w:id="1189"/>
      <w:bookmarkEnd w:id="1190"/>
      <w:r>
        <w:rPr>
          <w:b w:val="false"/>
          <w:i w:val="false"/>
          <w:caps w:val="false"/>
          <w:smallCaps w:val="false"/>
          <w:color w:val="000000"/>
          <w:sz w:val="16"/>
        </w:rPr>
        <w:t>11</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191" w:name="DSPFPageBreak101"/>
      <w:bookmarkStart w:id="1192" w:name="DSPFPageBreak101"/>
      <w:bookmarkEnd w:id="1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b/>
        </w:rPr>
      </w:pPr>
      <w:r>
        <w:rPr>
          <w:b/>
        </w:rPr>
        <w:t>Amended and Restated Memorandum and Articles of Association</w:t>
      </w:r>
    </w:p>
    <w:p>
      <w:pPr>
        <w:pStyle w:val="TextBody"/>
        <w:spacing w:before="0" w:after="0"/>
        <w:rPr/>
      </w:pPr>
      <w:r>
        <w:rPr/>
      </w:r>
    </w:p>
    <w:p>
      <w:pPr>
        <w:pStyle w:val="TextBody"/>
        <w:spacing w:before="0" w:after="0"/>
        <w:jc w:val="both"/>
        <w:rPr/>
      </w:pPr>
      <w:r>
        <w:rPr/>
        <w:t>Our amended and restated memorandum and articles of association contain provisions designed to provide certain rights and protections that apply to us until the completion of our initial business combination. These provisions cannot be amended without a special resolution.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shareholder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provide that special resolutions must be approved either by at least two-thirds of our shareholders who attend and vote at a shareholder meeting of the company (i.e., the lowest threshold permissible under Cayman Islands law), or by a unanimous written resolution of all of our shareholders. Further, our amended and restated memorandum and articles of association provide that a quorum at our shareholder meetings consists of one or more shareholders who together hold not less than one-third of the ordinary shares entitled to vote at such meeting being individuals present in person or by proxy; provided that a quorum in connection with any meeting that is convened to vote on a business combination or any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(B) with respect to any other provision relating to the rights of holders of our Class A ordinary shares shall be a majority of the ordinary shares entitled to vote at such meeting being individuals present in person or by proxy or if a corporation or other non-natural person by its duly authorized representative or proxy.</w:t>
      </w:r>
    </w:p>
    <w:p>
      <w:pPr>
        <w:pStyle w:val="TextBody"/>
        <w:spacing w:before="0" w:after="0"/>
        <w:rPr/>
      </w:pPr>
      <w:r>
        <w:rPr/>
      </w:r>
    </w:p>
    <w:p>
      <w:pPr>
        <w:pStyle w:val="TextBody"/>
        <w:spacing w:before="0" w:after="0"/>
        <w:jc w:val="both"/>
        <w:rPr/>
      </w:pPr>
      <w:r>
        <w:rPr/>
        <w:t>Our initial shareholders and their permitted transferees, if any, who collectively beneficially own 20% of our ordinary shares (excluding the private placement shares) upon the closing of our Initial Public Offering, will participate in any vote to amend our amended and restated memorandum and articles of association and will have the discretion to vote in any manner they choose. Specifically, our amended and restated memorandum and articles of association provide, among other things, that:</w:t>
      </w:r>
    </w:p>
    <w:p>
      <w:pPr>
        <w:pStyle w:val="TextBody"/>
        <w:spacing w:before="0" w:after="0"/>
        <w:rPr/>
      </w:pPr>
      <w:r>
        <w:rPr/>
      </w:r>
    </w:p>
    <w:p>
      <w:pPr>
        <w:pStyle w:val="Normal"/>
        <w:spacing w:before="0" w:after="0"/>
        <w:rPr>
          <w:sz w:val="4"/>
          <w:szCs w:val="4"/>
        </w:rPr>
      </w:pPr>
      <w:r>
        <w:rPr>
          <w:sz w:val="4"/>
          <w:szCs w:val="4"/>
        </w:rPr>
      </w:r>
      <w:bookmarkStart w:id="1193" w:name="z75c6e4b827814ab585bfa95541ad0f64"/>
      <w:bookmarkStart w:id="1194" w:name="z75c6e4b827814ab585bfa95541ad0f64"/>
      <w:bookmarkEnd w:id="119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if we do not consummate an initial business combination within 24 months from the closing of our Initial Public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tc>
      </w:tr>
    </w:tbl>
    <w:p>
      <w:pPr>
        <w:pStyle w:val="TextBody"/>
        <w:spacing w:before="0" w:after="0"/>
        <w:rPr/>
      </w:pPr>
      <w:r>
        <w:rPr/>
      </w:r>
    </w:p>
    <w:p>
      <w:pPr>
        <w:pStyle w:val="Normal"/>
        <w:spacing w:before="0" w:after="0"/>
        <w:rPr>
          <w:sz w:val="4"/>
          <w:szCs w:val="4"/>
        </w:rPr>
      </w:pPr>
      <w:r>
        <w:rPr>
          <w:sz w:val="4"/>
          <w:szCs w:val="4"/>
        </w:rPr>
      </w:r>
      <w:bookmarkStart w:id="1195" w:name="z78f6f893401d485e97d2eb0ef26e845e"/>
      <w:bookmarkStart w:id="1196" w:name="z78f6f893401d485e97d2eb0ef26e845e"/>
      <w:bookmarkEnd w:id="119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prior to the completion of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our Initial Public Offering or (y) amend the foregoing provisions;</w:t>
            </w:r>
          </w:p>
        </w:tc>
      </w:tr>
    </w:tbl>
    <w:p>
      <w:pPr>
        <w:pStyle w:val="TextBody"/>
        <w:spacing w:before="0" w:after="0"/>
        <w:rPr/>
      </w:pPr>
      <w:r>
        <w:rPr/>
      </w:r>
    </w:p>
    <w:p>
      <w:pPr>
        <w:pStyle w:val="Normal"/>
        <w:spacing w:before="0" w:after="0"/>
        <w:rPr>
          <w:sz w:val="4"/>
          <w:szCs w:val="4"/>
        </w:rPr>
      </w:pPr>
      <w:r>
        <w:rPr>
          <w:sz w:val="4"/>
          <w:szCs w:val="4"/>
        </w:rPr>
      </w:r>
      <w:bookmarkStart w:id="1197" w:name="z8188cf019b054dab8d1d020225b427d4"/>
      <w:bookmarkStart w:id="1198" w:name="z8188cf019b054dab8d1d020225b427d4"/>
      <w:bookmarkEnd w:id="119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which is a member of FINRA or an independent valuation or accounting firm that such a business combination or transaction is fair to our company from a financial point of view;</w:t>
            </w:r>
          </w:p>
        </w:tc>
      </w:tr>
    </w:tbl>
    <w:p>
      <w:pPr>
        <w:pStyle w:val="TextBody"/>
        <w:spacing w:before="0" w:after="0"/>
        <w:rPr/>
      </w:pPr>
      <w:r>
        <w:rPr/>
      </w:r>
    </w:p>
    <w:p>
      <w:pPr>
        <w:pStyle w:val="Normal"/>
        <w:spacing w:before="0" w:after="0"/>
        <w:rPr>
          <w:sz w:val="4"/>
          <w:szCs w:val="4"/>
        </w:rPr>
      </w:pPr>
      <w:r>
        <w:rPr>
          <w:sz w:val="4"/>
          <w:szCs w:val="4"/>
        </w:rPr>
      </w:r>
      <w:bookmarkStart w:id="1199" w:name="zd69f744569694f86a9db7145ac1f6d80"/>
      <w:bookmarkStart w:id="1200" w:name="zd69f744569694f86a9db7145ac1f6d80"/>
      <w:bookmarkEnd w:id="120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if a shareholder vote on our initial business combination is not required by applicable law or stock exchange rule and we do not decide to hold a shareholder vote for business or other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01" w:name="DSPFPageBreakArea102"/>
      <w:bookmarkStart w:id="1202" w:name="DSPFPageBreakArea102"/>
      <w:bookmarkEnd w:id="1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203" w:name="DSPFPageNumber101"/>
      <w:bookmarkStart w:id="1204" w:name="DSPFPageNumberArea99"/>
      <w:bookmarkEnd w:id="1203"/>
      <w:bookmarkEnd w:id="1204"/>
      <w:r>
        <w:rPr>
          <w:b w:val="false"/>
          <w:i w:val="false"/>
          <w:caps w:val="false"/>
          <w:smallCaps w:val="false"/>
          <w:color w:val="000000"/>
          <w:sz w:val="16"/>
        </w:rPr>
        <w:t>12</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05" w:name="DSPFPageBreak102"/>
      <w:bookmarkStart w:id="1206" w:name="DSPFPageBreak102"/>
      <w:bookmarkEnd w:id="1206"/>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1207" w:name="z9757dc36470f4c879ac53a97a55c16cc"/>
      <w:bookmarkStart w:id="1208" w:name="z9757dc36470f4c879ac53a97a55c16cc"/>
      <w:bookmarkEnd w:id="1208"/>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our initial business combination must occur with one or more target businesses that together have an aggregate fair market value of at least 80% of the net assets held in the trust account (excluding the amount of deferred underwriting discounts held in trust and taxes payable on the interest earned on the trust account) at the time of signing the agreement to enter into the initial business combination;</w:t>
            </w:r>
          </w:p>
        </w:tc>
      </w:tr>
    </w:tbl>
    <w:p>
      <w:pPr>
        <w:pStyle w:val="TextBody"/>
        <w:spacing w:before="0" w:after="0"/>
        <w:rPr/>
      </w:pPr>
      <w:r>
        <w:rPr/>
      </w:r>
    </w:p>
    <w:p>
      <w:pPr>
        <w:pStyle w:val="Normal"/>
        <w:spacing w:before="0" w:after="0"/>
        <w:rPr>
          <w:sz w:val="4"/>
          <w:szCs w:val="4"/>
        </w:rPr>
      </w:pPr>
      <w:r>
        <w:rPr>
          <w:sz w:val="4"/>
          <w:szCs w:val="4"/>
        </w:rPr>
      </w:r>
      <w:bookmarkStart w:id="1209" w:name="z3a6c6969f0ac49b5bfc6b6ef9d41f848"/>
      <w:bookmarkStart w:id="1210" w:name="z3a6c6969f0ac49b5bfc6b6ef9d41f848"/>
      <w:bookmarkEnd w:id="1210"/>
    </w:p>
    <w:tbl>
      <w:tblPr>
        <w:tblW w:w="8988" w:type="dxa"/>
        <w:jc w:val="left"/>
        <w:tblInd w:w="0" w:type="dxa"/>
        <w:tblCellMar>
          <w:top w:w="0" w:type="dxa"/>
          <w:left w:w="0" w:type="dxa"/>
          <w:bottom w:w="0" w:type="dxa"/>
          <w:right w:w="0" w:type="dxa"/>
        </w:tblCellMar>
      </w:tblPr>
      <w:tblGrid>
        <w:gridCol w:w="38"/>
        <w:gridCol w:w="110"/>
        <w:gridCol w:w="884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840" w:type="dxa"/>
            <w:tcBorders/>
            <w:shd w:fill="auto" w:val="clear"/>
            <w:vAlign w:val="center"/>
          </w:tcPr>
          <w:p>
            <w:pPr>
              <w:pStyle w:val="TableContents"/>
              <w:spacing w:before="0" w:after="0"/>
              <w:rPr/>
            </w:pPr>
            <w:r>
              <w:rPr/>
              <w:t>our initial business combination must be approved by a majority of our independent directors;</w:t>
            </w:r>
          </w:p>
        </w:tc>
      </w:tr>
    </w:tbl>
    <w:p>
      <w:pPr>
        <w:pStyle w:val="TextBody"/>
        <w:spacing w:before="0" w:after="0"/>
        <w:rPr/>
      </w:pPr>
      <w:r>
        <w:rPr/>
      </w:r>
    </w:p>
    <w:p>
      <w:pPr>
        <w:pStyle w:val="Normal"/>
        <w:spacing w:before="0" w:after="0"/>
        <w:rPr>
          <w:sz w:val="4"/>
          <w:szCs w:val="4"/>
        </w:rPr>
      </w:pPr>
      <w:r>
        <w:rPr>
          <w:sz w:val="4"/>
          <w:szCs w:val="4"/>
        </w:rPr>
      </w:r>
      <w:bookmarkStart w:id="1211" w:name="za118a6f286ff42858bbfade38a7eca9f"/>
      <w:bookmarkStart w:id="1212" w:name="za118a6f286ff42858bbfade38a7eca9f"/>
      <w:bookmarkEnd w:id="121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if our shareholders approve an amendment to our amended and restated memorandum and articles of association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within 24 months from the closing of our Initial Public Offering or (B) with respect to any other provision relating to the rights of holders of our Class A ordinary shares,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tc>
      </w:tr>
    </w:tbl>
    <w:p>
      <w:pPr>
        <w:pStyle w:val="TextBody"/>
        <w:spacing w:before="0" w:after="0"/>
        <w:rPr/>
      </w:pPr>
      <w:r>
        <w:rPr/>
      </w:r>
    </w:p>
    <w:p>
      <w:pPr>
        <w:pStyle w:val="Normal"/>
        <w:spacing w:before="0" w:after="0"/>
        <w:rPr>
          <w:sz w:val="4"/>
          <w:szCs w:val="4"/>
        </w:rPr>
      </w:pPr>
      <w:r>
        <w:rPr>
          <w:sz w:val="4"/>
          <w:szCs w:val="4"/>
        </w:rPr>
      </w:r>
      <w:bookmarkStart w:id="1213" w:name="z1d946124e4534c8bacf6c36ffe615106"/>
      <w:bookmarkStart w:id="1214" w:name="z1d946124e4534c8bacf6c36ffe615106"/>
      <w:bookmarkEnd w:id="121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we will not effectuate our initial business combination solely with another blank check company or a similar company with nominal operations.</w:t>
            </w:r>
          </w:p>
        </w:tc>
      </w:tr>
    </w:tbl>
    <w:p>
      <w:pPr>
        <w:pStyle w:val="TextBody"/>
        <w:spacing w:before="0" w:after="0"/>
        <w:rPr/>
      </w:pPr>
      <w:r>
        <w:rPr/>
      </w:r>
    </w:p>
    <w:p>
      <w:pPr>
        <w:pStyle w:val="TextBody"/>
        <w:spacing w:before="0" w:after="0"/>
        <w:jc w:val="both"/>
        <w:rPr/>
      </w:pPr>
      <w:r>
        <w:rPr/>
        <w:t>In addition, our amended and restated memorandum and articles of association provide that under no circumstances will we redeem our public shares in an amount that would cause our net tangible assets to be less than $5,000,001.</w:t>
      </w:r>
    </w:p>
    <w:p>
      <w:pPr>
        <w:pStyle w:val="TextBody"/>
        <w:spacing w:before="0" w:after="0"/>
        <w:rPr/>
      </w:pPr>
      <w:r>
        <w:rPr/>
      </w:r>
    </w:p>
    <w:p>
      <w:pPr>
        <w:pStyle w:val="TextBody"/>
        <w:spacing w:before="0" w:after="0"/>
        <w:jc w:val="both"/>
        <w:rPr/>
      </w:pPr>
      <w:r>
        <w:rPr/>
        <w:t xml:space="preserve">The Companies Act permits a company incorporated in the Cayman Islands to amend its memorandum and articles of association with the approval of a special resolution. A company’s articles of association may specify that the approval of a higher majority is required but, </w:t>
      </w:r>
      <w:r>
        <w:rPr>
          <w:i/>
        </w:rPr>
        <w:t>provided</w:t>
      </w:r>
      <w:r>
        <w:rPr/>
        <w:t xml:space="preserve"> the approval of the required majority is obtained, any Cayman Islands exempted company may amend its memorandum and articles of association regardless of whether its memorandum and articles of association provides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pStyle w:val="TextBody"/>
        <w:spacing w:before="0" w:after="0"/>
        <w:rPr/>
      </w:pPr>
      <w:r>
        <w:rPr/>
      </w:r>
    </w:p>
    <w:p>
      <w:pPr>
        <w:pStyle w:val="TextBody"/>
        <w:spacing w:before="0" w:after="0"/>
        <w:jc w:val="both"/>
        <w:rPr>
          <w:b/>
        </w:rPr>
      </w:pPr>
      <w:r>
        <w:rPr>
          <w:b/>
        </w:rPr>
        <w:t>Anti-Money Laundering — Cayman Islands</w:t>
      </w:r>
    </w:p>
    <w:p>
      <w:pPr>
        <w:pStyle w:val="TextBody"/>
        <w:spacing w:before="0" w:after="0"/>
        <w:rPr/>
      </w:pPr>
      <w:r>
        <w:rPr/>
      </w:r>
    </w:p>
    <w:p>
      <w:pPr>
        <w:pStyle w:val="TextBody"/>
        <w:spacing w:before="0" w:after="0"/>
        <w:jc w:val="both"/>
        <w:rPr/>
      </w:pPr>
      <w:r>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15" w:name="DSPFPageBreakArea103"/>
      <w:bookmarkStart w:id="1216" w:name="DSPFPageBreakArea103"/>
      <w:bookmarkEnd w:id="1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217" w:name="DSPFPageNumber102"/>
      <w:bookmarkStart w:id="1218" w:name="DSPFPageNumberArea100"/>
      <w:bookmarkEnd w:id="1217"/>
      <w:bookmarkEnd w:id="1218"/>
      <w:r>
        <w:rPr>
          <w:b w:val="false"/>
          <w:i w:val="false"/>
          <w:caps w:val="false"/>
          <w:smallCaps w:val="false"/>
          <w:color w:val="000000"/>
          <w:sz w:val="16"/>
        </w:rPr>
        <w:t>13</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19" w:name="DSPFPageBreak103"/>
      <w:bookmarkStart w:id="1220" w:name="DSPFPageBreak103"/>
      <w:bookmarkEnd w:id="1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“Regulations”). Depending on the circumstances of each application, a detailed verification of identity might not be required where:</w:t>
      </w:r>
    </w:p>
    <w:p>
      <w:pPr>
        <w:pStyle w:val="TextBody"/>
        <w:spacing w:before="0" w:after="0"/>
        <w:rPr/>
      </w:pPr>
      <w:r>
        <w:rPr/>
      </w:r>
    </w:p>
    <w:p>
      <w:pPr>
        <w:pStyle w:val="Normal"/>
        <w:spacing w:before="0" w:after="0"/>
        <w:rPr>
          <w:sz w:val="4"/>
          <w:szCs w:val="4"/>
        </w:rPr>
      </w:pPr>
      <w:r>
        <w:rPr>
          <w:sz w:val="4"/>
          <w:szCs w:val="4"/>
        </w:rPr>
      </w:r>
      <w:bookmarkStart w:id="1221" w:name="zd847f385102a47169d66a7b11ee505e0"/>
      <w:bookmarkStart w:id="1222" w:name="zd847f385102a47169d66a7b11ee505e0"/>
      <w:bookmarkEnd w:id="1222"/>
    </w:p>
    <w:tbl>
      <w:tblPr>
        <w:tblW w:w="10205" w:type="dxa"/>
        <w:jc w:val="left"/>
        <w:tblInd w:w="0" w:type="dxa"/>
        <w:tblCellMar>
          <w:top w:w="0" w:type="dxa"/>
          <w:left w:w="0" w:type="dxa"/>
          <w:bottom w:w="0" w:type="dxa"/>
          <w:right w:w="0" w:type="dxa"/>
        </w:tblCellMar>
      </w:tblPr>
      <w:tblGrid>
        <w:gridCol w:w="38"/>
        <w:gridCol w:w="255"/>
        <w:gridCol w:w="9912"/>
      </w:tblGrid>
      <w:tr>
        <w:trPr/>
        <w:tc>
          <w:tcPr>
            <w:tcW w:w="38" w:type="dxa"/>
            <w:tcBorders/>
            <w:shd w:fill="auto" w:val="clear"/>
            <w:vAlign w:val="center"/>
          </w:tcPr>
          <w:p>
            <w:pPr>
              <w:pStyle w:val="TableContents"/>
              <w:spacing w:before="0" w:after="283"/>
              <w:rPr/>
            </w:pPr>
            <w:r>
              <w:rPr/>
            </w:r>
          </w:p>
        </w:tc>
        <w:tc>
          <w:tcPr>
            <w:tcW w:w="255" w:type="dxa"/>
            <w:tcBorders/>
            <w:shd w:fill="auto" w:val="clear"/>
            <w:vAlign w:val="center"/>
          </w:tcPr>
          <w:p>
            <w:pPr>
              <w:pStyle w:val="TableContents"/>
              <w:spacing w:before="0" w:after="283"/>
              <w:rPr/>
            </w:pPr>
            <w:r>
              <w:rPr/>
              <w:t>(a)</w:t>
            </w:r>
          </w:p>
        </w:tc>
        <w:tc>
          <w:tcPr>
            <w:tcW w:w="9912" w:type="dxa"/>
            <w:tcBorders/>
            <w:shd w:fill="auto" w:val="clear"/>
            <w:vAlign w:val="center"/>
          </w:tcPr>
          <w:p>
            <w:pPr>
              <w:pStyle w:val="TableContents"/>
              <w:spacing w:before="0" w:after="0"/>
              <w:rPr/>
            </w:pPr>
            <w:r>
              <w:rPr/>
              <w:t>the subscriber makes the payment for their investment from an account held in the subscriber’s name at a recognized financial institution;</w:t>
            </w:r>
          </w:p>
        </w:tc>
      </w:tr>
    </w:tbl>
    <w:p>
      <w:pPr>
        <w:pStyle w:val="TextBody"/>
        <w:spacing w:before="0" w:after="0"/>
        <w:rPr/>
      </w:pPr>
      <w:r>
        <w:rPr/>
      </w:r>
    </w:p>
    <w:p>
      <w:pPr>
        <w:pStyle w:val="Normal"/>
        <w:spacing w:before="0" w:after="0"/>
        <w:rPr>
          <w:sz w:val="4"/>
          <w:szCs w:val="4"/>
        </w:rPr>
      </w:pPr>
      <w:r>
        <w:rPr>
          <w:sz w:val="4"/>
          <w:szCs w:val="4"/>
        </w:rPr>
      </w:r>
      <w:bookmarkStart w:id="1223" w:name="z81271af7ce9741c585da3d2c57a2a252"/>
      <w:bookmarkStart w:id="1224" w:name="z81271af7ce9741c585da3d2c57a2a252"/>
      <w:bookmarkEnd w:id="1224"/>
    </w:p>
    <w:tbl>
      <w:tblPr>
        <w:tblW w:w="10205" w:type="dxa"/>
        <w:jc w:val="left"/>
        <w:tblInd w:w="0" w:type="dxa"/>
        <w:tblCellMar>
          <w:top w:w="0" w:type="dxa"/>
          <w:left w:w="0" w:type="dxa"/>
          <w:bottom w:w="0" w:type="dxa"/>
          <w:right w:w="0" w:type="dxa"/>
        </w:tblCellMar>
      </w:tblPr>
      <w:tblGrid>
        <w:gridCol w:w="38"/>
        <w:gridCol w:w="264"/>
        <w:gridCol w:w="9903"/>
      </w:tblGrid>
      <w:tr>
        <w:trPr/>
        <w:tc>
          <w:tcPr>
            <w:tcW w:w="38" w:type="dxa"/>
            <w:tcBorders/>
            <w:shd w:fill="auto" w:val="clear"/>
            <w:vAlign w:val="center"/>
          </w:tcPr>
          <w:p>
            <w:pPr>
              <w:pStyle w:val="TableContents"/>
              <w:spacing w:before="0" w:after="283"/>
              <w:rPr/>
            </w:pPr>
            <w:r>
              <w:rPr/>
            </w:r>
          </w:p>
        </w:tc>
        <w:tc>
          <w:tcPr>
            <w:tcW w:w="264" w:type="dxa"/>
            <w:tcBorders/>
            <w:shd w:fill="auto" w:val="clear"/>
            <w:vAlign w:val="center"/>
          </w:tcPr>
          <w:p>
            <w:pPr>
              <w:pStyle w:val="TableContents"/>
              <w:spacing w:before="0" w:after="283"/>
              <w:rPr/>
            </w:pPr>
            <w:r>
              <w:rPr/>
              <w:t>(b)</w:t>
            </w:r>
          </w:p>
        </w:tc>
        <w:tc>
          <w:tcPr>
            <w:tcW w:w="9903" w:type="dxa"/>
            <w:tcBorders/>
            <w:shd w:fill="auto" w:val="clear"/>
            <w:vAlign w:val="center"/>
          </w:tcPr>
          <w:p>
            <w:pPr>
              <w:pStyle w:val="TableContents"/>
              <w:spacing w:before="0" w:after="0"/>
              <w:rPr/>
            </w:pPr>
            <w:r>
              <w:rPr/>
              <w:t>the subscriber is regulated by a recognized regulatory authority and is based or incorporated in, or formed under the law of, a recognized jurisdiction; or</w:t>
            </w:r>
          </w:p>
        </w:tc>
      </w:tr>
    </w:tbl>
    <w:p>
      <w:pPr>
        <w:pStyle w:val="TextBody"/>
        <w:spacing w:before="0" w:after="0"/>
        <w:rPr/>
      </w:pPr>
      <w:r>
        <w:rPr/>
      </w:r>
    </w:p>
    <w:p>
      <w:pPr>
        <w:pStyle w:val="Normal"/>
        <w:spacing w:before="0" w:after="0"/>
        <w:rPr>
          <w:sz w:val="4"/>
          <w:szCs w:val="4"/>
        </w:rPr>
      </w:pPr>
      <w:r>
        <w:rPr>
          <w:sz w:val="4"/>
          <w:szCs w:val="4"/>
        </w:rPr>
      </w:r>
      <w:bookmarkStart w:id="1225" w:name="zefc99e56e6c44b678031e2d2b9f43e82"/>
      <w:bookmarkStart w:id="1226" w:name="zefc99e56e6c44b678031e2d2b9f43e82"/>
      <w:bookmarkEnd w:id="1226"/>
    </w:p>
    <w:tbl>
      <w:tblPr>
        <w:tblW w:w="10205" w:type="dxa"/>
        <w:jc w:val="left"/>
        <w:tblInd w:w="0" w:type="dxa"/>
        <w:tblCellMar>
          <w:top w:w="0" w:type="dxa"/>
          <w:left w:w="0" w:type="dxa"/>
          <w:bottom w:w="0" w:type="dxa"/>
          <w:right w:w="0" w:type="dxa"/>
        </w:tblCellMar>
      </w:tblPr>
      <w:tblGrid>
        <w:gridCol w:w="38"/>
        <w:gridCol w:w="225"/>
        <w:gridCol w:w="9942"/>
      </w:tblGrid>
      <w:tr>
        <w:trPr/>
        <w:tc>
          <w:tcPr>
            <w:tcW w:w="38" w:type="dxa"/>
            <w:tcBorders/>
            <w:shd w:fill="auto" w:val="clear"/>
            <w:vAlign w:val="center"/>
          </w:tcPr>
          <w:p>
            <w:pPr>
              <w:pStyle w:val="TableContents"/>
              <w:spacing w:before="0" w:after="283"/>
              <w:rPr/>
            </w:pPr>
            <w:r>
              <w:rPr/>
            </w:r>
          </w:p>
        </w:tc>
        <w:tc>
          <w:tcPr>
            <w:tcW w:w="225" w:type="dxa"/>
            <w:tcBorders/>
            <w:shd w:fill="auto" w:val="clear"/>
            <w:vAlign w:val="center"/>
          </w:tcPr>
          <w:p>
            <w:pPr>
              <w:pStyle w:val="TableContents"/>
              <w:spacing w:before="0" w:after="283"/>
              <w:rPr/>
            </w:pPr>
            <w:r>
              <w:rPr/>
              <w:t>(c)</w:t>
            </w:r>
          </w:p>
        </w:tc>
        <w:tc>
          <w:tcPr>
            <w:tcW w:w="9942" w:type="dxa"/>
            <w:tcBorders/>
            <w:shd w:fill="auto" w:val="clear"/>
            <w:vAlign w:val="center"/>
          </w:tcPr>
          <w:p>
            <w:pPr>
              <w:pStyle w:val="TableContents"/>
              <w:spacing w:before="0" w:after="0"/>
              <w:rPr/>
            </w:pPr>
            <w:r>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tc>
      </w:tr>
    </w:tbl>
    <w:p>
      <w:pPr>
        <w:pStyle w:val="TextBody"/>
        <w:spacing w:before="0" w:after="0"/>
        <w:rPr/>
      </w:pPr>
      <w:r>
        <w:rPr/>
      </w:r>
    </w:p>
    <w:p>
      <w:pPr>
        <w:pStyle w:val="TextBody"/>
        <w:spacing w:before="0" w:after="0"/>
        <w:jc w:val="both"/>
        <w:rPr/>
      </w:pPr>
      <w:r>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pStyle w:val="TextBody"/>
        <w:spacing w:before="0" w:after="0"/>
        <w:rPr/>
      </w:pPr>
      <w:r>
        <w:rPr/>
      </w:r>
    </w:p>
    <w:p>
      <w:pPr>
        <w:pStyle w:val="TextBody"/>
        <w:spacing w:before="0" w:after="0"/>
        <w:jc w:val="both"/>
        <w:rPr/>
      </w:pPr>
      <w:r>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spacing w:before="0" w:after="0"/>
        <w:rPr/>
      </w:pPr>
      <w:r>
        <w:rPr/>
      </w:r>
    </w:p>
    <w:p>
      <w:pPr>
        <w:pStyle w:val="TextBody"/>
        <w:spacing w:before="0" w:after="0"/>
        <w:jc w:val="both"/>
        <w:rPr/>
      </w:pPr>
      <w:r>
        <w:rPr/>
        <w:t>We also reserve the right to refuse to make any distribution payment to a shareholder if our directors or officers suspect or are advised that the payment of such distribution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pStyle w:val="TextBody"/>
        <w:spacing w:before="0" w:after="0"/>
        <w:rPr/>
      </w:pPr>
      <w:r>
        <w:rPr/>
      </w:r>
    </w:p>
    <w:p>
      <w:pPr>
        <w:pStyle w:val="TextBody"/>
        <w:spacing w:before="0" w:after="0"/>
        <w:jc w:val="both"/>
        <w:rPr/>
      </w:pPr>
      <w:r>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(2020 Revision) of the Cayman Islands if the disclosure relates to criminal conduct or money laundering or (ii) a police officer of the rank of constable or higher, or the Financial Reporting Authority, pursuant to the Terrorism Law (2018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pStyle w:val="TextBody"/>
        <w:spacing w:before="0" w:after="0"/>
        <w:rPr/>
      </w:pPr>
      <w:r>
        <w:rPr/>
      </w:r>
    </w:p>
    <w:p>
      <w:pPr>
        <w:pStyle w:val="TextBody"/>
        <w:spacing w:before="0" w:after="0"/>
        <w:jc w:val="both"/>
        <w:rPr>
          <w:b/>
        </w:rPr>
      </w:pPr>
      <w:r>
        <w:rPr>
          <w:b/>
        </w:rPr>
        <w:t>Certain Anti-Takeover Provisions of our Amended and Restated Memorandum and Articles of Association</w:t>
      </w:r>
    </w:p>
    <w:p>
      <w:pPr>
        <w:pStyle w:val="TextBody"/>
        <w:spacing w:before="0" w:after="0"/>
        <w:rPr/>
      </w:pPr>
      <w:r>
        <w:rPr/>
      </w:r>
    </w:p>
    <w:p>
      <w:pPr>
        <w:pStyle w:val="TextBody"/>
        <w:spacing w:before="0" w:after="0"/>
        <w:jc w:val="both"/>
        <w:rPr/>
      </w:pPr>
      <w:r>
        <w:rPr/>
        <w:t>Our amended and restated memorandum and articles of association provide that our board of directors is classified into three classes of directors. As a result, in most circumstances, a person can gain control of our board only by successfully engaging in a proxy contest at two or more annual meetings.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27" w:name="DSPFPageBreakArea104"/>
      <w:bookmarkStart w:id="1228" w:name="DSPFPageBreakArea104"/>
      <w:bookmarkEnd w:id="1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229" w:name="DSPFPageNumber103"/>
      <w:bookmarkStart w:id="1230" w:name="DSPFPageNumberArea101"/>
      <w:bookmarkEnd w:id="1229"/>
      <w:bookmarkEnd w:id="1230"/>
      <w:r>
        <w:rPr>
          <w:b w:val="false"/>
          <w:i w:val="false"/>
          <w:caps w:val="false"/>
          <w:smallCaps w:val="false"/>
          <w:color w:val="000000"/>
          <w:sz w:val="16"/>
        </w:rPr>
        <w:t>14</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31" w:name="DSPFPageBreak104"/>
      <w:bookmarkStart w:id="1232" w:name="DSPFPageBreak104"/>
      <w:bookmarkEnd w:id="1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t>Our authorized but unissued Class A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pStyle w:val="TextBody"/>
        <w:spacing w:before="0" w:after="0"/>
        <w:jc w:val="both"/>
        <w:rPr/>
      </w:pPr>
      <w:r>
        <w:rPr/>
        <w:t>Securities Eligible for Future Sale</w:t>
      </w:r>
    </w:p>
    <w:p>
      <w:pPr>
        <w:pStyle w:val="TextBody"/>
        <w:spacing w:before="0" w:after="0"/>
        <w:rPr/>
      </w:pPr>
      <w:r>
        <w:rPr/>
      </w:r>
    </w:p>
    <w:p>
      <w:pPr>
        <w:pStyle w:val="TextBody"/>
        <w:spacing w:before="0" w:after="0"/>
        <w:jc w:val="both"/>
        <w:rPr/>
      </w:pPr>
      <w:r>
        <w:rPr/>
        <w:t>Immediately after our Initial Public Offering we had 19,186,500 Class A ordinary shares issued and outstanding on an as-converted basis. Of these shares, the Class A ordinary shares sold in our Initial Public Offering (14,950,000 Class A ordinary shares) are freely tradable without restriction or further registration under the Securities Act, except for any Class A ordinary shares purchased by one of our affiliates within the meaning of Rule 144 under the Securities Act. All of the outstanding founder shares (3,737,500 founder shares) and all of the outstanding private placement shares (499,000 private placement shares), and the securities underlying the foregoing, are restricted securities under Rule 144, in that they were issued in private transactions not involving a public offering.</w:t>
      </w:r>
    </w:p>
    <w:p>
      <w:pPr>
        <w:pStyle w:val="TextBody"/>
        <w:spacing w:before="0" w:after="0"/>
        <w:rPr/>
      </w:pPr>
      <w:r>
        <w:rPr/>
      </w:r>
    </w:p>
    <w:p>
      <w:pPr>
        <w:pStyle w:val="TextBody"/>
        <w:spacing w:before="0" w:after="0"/>
        <w:jc w:val="both"/>
        <w:rPr>
          <w:b/>
        </w:rPr>
      </w:pPr>
      <w:r>
        <w:rPr>
          <w:b/>
        </w:rPr>
        <w:t>Rule 144</w:t>
      </w:r>
    </w:p>
    <w:p>
      <w:pPr>
        <w:pStyle w:val="TextBody"/>
        <w:spacing w:before="0" w:after="0"/>
        <w:rPr/>
      </w:pPr>
      <w:r>
        <w:rPr/>
      </w:r>
    </w:p>
    <w:p>
      <w:pPr>
        <w:pStyle w:val="TextBody"/>
        <w:spacing w:before="0" w:after="0"/>
        <w:jc w:val="both"/>
        <w:rPr/>
      </w:pPr>
      <w:r>
        <w:rPr/>
        <w:t xml:space="preserve">Pursuant to Rule 144, a person who has beneficially owned restricted shares for at least six months would be entitled to sell their securities </w:t>
      </w:r>
      <w:r>
        <w:rPr>
          <w:i/>
        </w:rPr>
        <w:t>provided</w:t>
      </w:r>
      <w:r>
        <w:rPr/>
        <w:t xml:space="preserve">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pStyle w:val="TextBody"/>
        <w:spacing w:before="0" w:after="0"/>
        <w:rPr/>
      </w:pPr>
      <w:r>
        <w:rPr/>
      </w:r>
    </w:p>
    <w:p>
      <w:pPr>
        <w:pStyle w:val="TextBody"/>
        <w:spacing w:before="0" w:after="0"/>
        <w:jc w:val="both"/>
        <w:rPr/>
      </w:pPr>
      <w:r>
        <w:rPr/>
        <w:t>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spacing w:before="0" w:after="0"/>
        <w:rPr/>
      </w:pPr>
      <w:r>
        <w:rPr/>
      </w:r>
    </w:p>
    <w:p>
      <w:pPr>
        <w:pStyle w:val="Normal"/>
        <w:spacing w:before="0" w:after="0"/>
        <w:rPr>
          <w:sz w:val="4"/>
          <w:szCs w:val="4"/>
        </w:rPr>
      </w:pPr>
      <w:r>
        <w:rPr>
          <w:sz w:val="4"/>
          <w:szCs w:val="4"/>
        </w:rPr>
      </w:r>
      <w:bookmarkStart w:id="1233" w:name="z1deb325409174d37bb58ba58964b939f"/>
      <w:bookmarkStart w:id="1234" w:name="z1deb325409174d37bb58ba58964b939f"/>
      <w:bookmarkEnd w:id="1234"/>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1% of the total number of ordinary shares then outstanding, which equals 191,865 shares immediately after our Initial Public Offering; and</w:t>
            </w:r>
          </w:p>
        </w:tc>
      </w:tr>
    </w:tbl>
    <w:p>
      <w:pPr>
        <w:pStyle w:val="TextBody"/>
        <w:spacing w:before="0" w:after="0"/>
        <w:rPr/>
      </w:pPr>
      <w:r>
        <w:rPr/>
      </w:r>
    </w:p>
    <w:p>
      <w:pPr>
        <w:pStyle w:val="Normal"/>
        <w:spacing w:before="0" w:after="0"/>
        <w:rPr>
          <w:sz w:val="4"/>
          <w:szCs w:val="4"/>
        </w:rPr>
      </w:pPr>
      <w:r>
        <w:rPr>
          <w:sz w:val="4"/>
          <w:szCs w:val="4"/>
        </w:rPr>
      </w:r>
      <w:bookmarkStart w:id="1235" w:name="z025e780443e24678b07d27bcc11c59cc"/>
      <w:bookmarkStart w:id="1236" w:name="z025e780443e24678b07d27bcc11c59cc"/>
      <w:bookmarkEnd w:id="1236"/>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jc w:val="both"/>
              <w:rPr/>
            </w:pPr>
            <w:r>
              <w:rPr/>
              <w:t>the average weekly reported trading volume of the Class A ordinary shares during the four calendar weeks preceding the filing of a notice on Form 144 with respect to the sale.</w:t>
            </w:r>
          </w:p>
        </w:tc>
      </w:tr>
    </w:tbl>
    <w:p>
      <w:pPr>
        <w:pStyle w:val="TextBody"/>
        <w:spacing w:before="0" w:after="0"/>
        <w:rPr/>
      </w:pPr>
      <w:r>
        <w:rPr/>
      </w:r>
    </w:p>
    <w:p>
      <w:pPr>
        <w:pStyle w:val="TextBody"/>
        <w:spacing w:before="0" w:after="0"/>
        <w:jc w:val="both"/>
        <w:rPr/>
      </w:pPr>
      <w:r>
        <w:rPr/>
        <w:t>Sales by our affiliates under Rule 144 are also limited by manner of sale provisions and notice requirements and to the availability of current public information about us.</w:t>
      </w:r>
    </w:p>
    <w:p>
      <w:pPr>
        <w:pStyle w:val="TextBody"/>
        <w:spacing w:before="0" w:after="0"/>
        <w:rPr/>
      </w:pPr>
      <w:r>
        <w:rPr/>
      </w:r>
    </w:p>
    <w:p>
      <w:pPr>
        <w:pStyle w:val="TextBody"/>
        <w:spacing w:before="0" w:after="0"/>
        <w:jc w:val="both"/>
        <w:rPr>
          <w:b/>
        </w:rPr>
      </w:pPr>
      <w:r>
        <w:rPr>
          <w:b/>
        </w:rPr>
        <w:t>Restrictions on the Use of Rule 144 by Shell Companies or Former Shell Companies</w:t>
      </w:r>
    </w:p>
    <w:p>
      <w:pPr>
        <w:pStyle w:val="TextBody"/>
        <w:spacing w:before="0" w:after="0"/>
        <w:jc w:val="both"/>
        <w:rPr>
          <w:b/>
        </w:rPr>
      </w:pPr>
      <w:r>
        <w:rPr>
          <w:b/>
        </w:rPr>
      </w:r>
    </w:p>
    <w:p>
      <w:pPr>
        <w:pStyle w:val="TextBody"/>
        <w:spacing w:before="0" w:after="0"/>
        <w:jc w:val="both"/>
        <w:rPr/>
      </w:pPr>
      <w:r>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spacing w:before="0" w:after="0"/>
        <w:jc w:val="both"/>
        <w:rPr/>
      </w:pPr>
      <w:r>
        <w:rPr/>
      </w:r>
    </w:p>
    <w:p>
      <w:pPr>
        <w:pStyle w:val="Normal"/>
        <w:spacing w:before="0" w:after="0"/>
        <w:rPr>
          <w:sz w:val="4"/>
          <w:szCs w:val="4"/>
        </w:rPr>
      </w:pPr>
      <w:r>
        <w:rPr>
          <w:sz w:val="4"/>
          <w:szCs w:val="4"/>
        </w:rPr>
      </w:r>
      <w:bookmarkStart w:id="1237" w:name="z50569907cba14ae7958a6f1ea56cebc7"/>
      <w:bookmarkStart w:id="1238" w:name="z50569907cba14ae7958a6f1ea56cebc7"/>
      <w:bookmarkEnd w:id="1238"/>
    </w:p>
    <w:tbl>
      <w:tblPr>
        <w:tblW w:w="9138" w:type="dxa"/>
        <w:jc w:val="left"/>
        <w:tblInd w:w="0" w:type="dxa"/>
        <w:tblCellMar>
          <w:top w:w="0" w:type="dxa"/>
          <w:left w:w="0" w:type="dxa"/>
          <w:bottom w:w="0" w:type="dxa"/>
          <w:right w:w="0" w:type="dxa"/>
        </w:tblCellMar>
      </w:tblPr>
      <w:tblGrid>
        <w:gridCol w:w="38"/>
        <w:gridCol w:w="110"/>
        <w:gridCol w:w="8990"/>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8990" w:type="dxa"/>
            <w:tcBorders/>
            <w:shd w:fill="auto" w:val="clear"/>
            <w:vAlign w:val="center"/>
          </w:tcPr>
          <w:p>
            <w:pPr>
              <w:pStyle w:val="TableContents"/>
              <w:spacing w:before="0" w:after="0"/>
              <w:rPr/>
            </w:pPr>
            <w:r>
              <w:rPr/>
              <w:t>the issuer of the securities that was formerly a shell company has ceased to be a shell company;</w:t>
            </w:r>
          </w:p>
        </w:tc>
      </w:tr>
    </w:tbl>
    <w:p>
      <w:pPr>
        <w:pStyle w:val="TextBody"/>
        <w:spacing w:before="0" w:after="0"/>
        <w:rPr/>
      </w:pPr>
      <w:r>
        <w:rPr/>
      </w:r>
    </w:p>
    <w:p>
      <w:pPr>
        <w:pStyle w:val="Normal"/>
        <w:spacing w:before="0" w:after="0"/>
        <w:rPr>
          <w:sz w:val="4"/>
          <w:szCs w:val="4"/>
        </w:rPr>
      </w:pPr>
      <w:r>
        <w:rPr>
          <w:sz w:val="4"/>
          <w:szCs w:val="4"/>
        </w:rPr>
      </w:r>
      <w:bookmarkStart w:id="1239" w:name="zb55d13f2bb6a495591678334c1b6c98d"/>
      <w:bookmarkStart w:id="1240" w:name="zb55d13f2bb6a495591678334c1b6c98d"/>
      <w:bookmarkEnd w:id="124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the issuer of the securities is subject to the reporting requirements of Section 13 or 15(d) of the Exchange Act;</w:t>
            </w:r>
          </w:p>
        </w:tc>
      </w:tr>
    </w:tbl>
    <w:p>
      <w:pPr>
        <w:pStyle w:val="TextBody"/>
        <w:spacing w:before="0" w:after="0"/>
        <w:rPr/>
      </w:pPr>
      <w:r>
        <w:rPr/>
      </w:r>
    </w:p>
    <w:p>
      <w:pPr>
        <w:pStyle w:val="Normal"/>
        <w:spacing w:before="0" w:after="0"/>
        <w:rPr>
          <w:sz w:val="4"/>
          <w:szCs w:val="4"/>
        </w:rPr>
      </w:pPr>
      <w:r>
        <w:rPr>
          <w:sz w:val="4"/>
          <w:szCs w:val="4"/>
        </w:rPr>
      </w:r>
      <w:bookmarkStart w:id="1241" w:name="z5e299bc2153f442da3f29fe17189c96c"/>
      <w:bookmarkStart w:id="1242" w:name="z5e299bc2153f442da3f29fe17189c96c"/>
      <w:bookmarkEnd w:id="1242"/>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200" w:after="200"/>
        <w:rPr/>
      </w:pPr>
      <w:r>
        <w:rPr/>
      </w:r>
      <w:bookmarkStart w:id="1243" w:name="DSPFPageBreakArea105"/>
      <w:bookmarkStart w:id="1244" w:name="DSPFPageBreakArea105"/>
      <w:bookmarkEnd w:id="1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00"/>
        <w:jc w:val="center"/>
        <w:rPr>
          <w:b w:val="false"/>
          <w:i w:val="false"/>
          <w:caps w:val="false"/>
          <w:smallCaps w:val="false"/>
          <w:color w:val="000000"/>
          <w:sz w:val="16"/>
        </w:rPr>
      </w:pPr>
      <w:bookmarkStart w:id="1245" w:name="DSPFPageNumber104"/>
      <w:bookmarkStart w:id="1246" w:name="DSPFPageNumberArea102"/>
      <w:bookmarkEnd w:id="1245"/>
      <w:bookmarkEnd w:id="1246"/>
      <w:r>
        <w:rPr>
          <w:b w:val="false"/>
          <w:i w:val="false"/>
          <w:caps w:val="false"/>
          <w:smallCaps w:val="false"/>
          <w:color w:val="000000"/>
          <w:sz w:val="16"/>
        </w:rPr>
        <w:t>15</w:t>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spacing w:before="200" w:after="200"/>
        <w:rPr/>
      </w:pPr>
      <w:r>
        <w:rPr/>
      </w:r>
      <w:bookmarkStart w:id="1247" w:name="DSPFPageBreak105"/>
      <w:bookmarkStart w:id="1248" w:name="DSPFPageBreak105"/>
      <w:bookmarkEnd w:id="1248"/>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1249" w:name="zc37a29fd4bfa4806855fc9ae231b8433"/>
      <w:bookmarkStart w:id="1250" w:name="zc37a29fd4bfa4806855fc9ae231b8433"/>
      <w:bookmarkEnd w:id="1250"/>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pPr>
            <w:r>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0"/>
              <w:rPr/>
            </w:pPr>
            <w:r>
              <w:rPr/>
              <w:t>at least one year has elapsed from the time that the issuer filed current Form 10 type information with the SEC reflecting its status as an entity that is not a shell company.</w:t>
            </w:r>
          </w:p>
        </w:tc>
      </w:tr>
    </w:tbl>
    <w:p>
      <w:pPr>
        <w:pStyle w:val="TextBody"/>
        <w:spacing w:before="0" w:after="0"/>
        <w:rPr/>
      </w:pPr>
      <w:r>
        <w:rPr/>
      </w:r>
    </w:p>
    <w:p>
      <w:pPr>
        <w:pStyle w:val="TextBody"/>
        <w:spacing w:before="0" w:after="0"/>
        <w:jc w:val="both"/>
        <w:rPr/>
      </w:pPr>
      <w:r>
        <w:rPr/>
        <w:t>As a result, our initial shareholders will be able to sell their founder shares and our sponsor will be able to sell its private placement shares, pursuant to Rule 144 without registration one year after we have completed our initial business combination.</w:t>
      </w:r>
    </w:p>
    <w:p>
      <w:pPr>
        <w:pStyle w:val="TextBody"/>
        <w:spacing w:before="0" w:after="0"/>
        <w:rPr/>
      </w:pPr>
      <w:r>
        <w:rPr/>
      </w:r>
    </w:p>
    <w:p>
      <w:pPr>
        <w:pStyle w:val="TextBody"/>
        <w:spacing w:before="0" w:after="0"/>
        <w:jc w:val="both"/>
        <w:rPr>
          <w:b/>
        </w:rPr>
      </w:pPr>
      <w:r>
        <w:rPr>
          <w:b/>
        </w:rPr>
        <w:t>Registration and Shareholder Rights</w:t>
      </w:r>
    </w:p>
    <w:p>
      <w:pPr>
        <w:pStyle w:val="TextBody"/>
        <w:spacing w:before="0" w:after="0"/>
        <w:rPr/>
      </w:pPr>
      <w:r>
        <w:rPr/>
      </w:r>
    </w:p>
    <w:p>
      <w:pPr>
        <w:pStyle w:val="TextBody"/>
        <w:spacing w:before="0" w:after="0"/>
        <w:jc w:val="both"/>
        <w:rPr/>
      </w:pPr>
      <w:r>
        <w:rPr/>
        <w:t>The holders of the founder shares and private placement shares, including the private placement shares that may be issued upon conversion of working capital loans and any Class A ordinary shares issuable upon conversion of founder shares are entitled to registration rights pursuant to the registration and shareholder rights agreement that the holders signed at the closing of our Initial Public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shares, 30 days after the completion of our initial business combination. We will bear the expenses incurred in connection with the filing of any such registration statements.</w:t>
      </w:r>
    </w:p>
    <w:p>
      <w:pPr>
        <w:pStyle w:val="TextBody"/>
        <w:spacing w:before="0" w:after="0"/>
        <w:rPr/>
      </w:pPr>
      <w:r>
        <w:rPr/>
      </w:r>
    </w:p>
    <w:p>
      <w:pPr>
        <w:pStyle w:val="TextBody"/>
        <w:spacing w:before="0" w:after="0"/>
        <w:jc w:val="both"/>
        <w:rPr/>
      </w:pPr>
      <w:r>
        <w:rPr/>
        <w:t>Except as described herein, our sponsor and our management team have agreed not to transfer, assign or sell (i)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and (ii) any of their private placement shares until 30 days after the completion of our initial business combination. Any permitted transferees will be subject to the same restrictions and other agreements of our sponsor and management team with respect to any founder shares and private placement shares. We refer to such transfer restrictions throughout this exhibit as the lock-up.</w:t>
      </w:r>
    </w:p>
    <w:p>
      <w:pPr>
        <w:pStyle w:val="TextBody"/>
        <w:spacing w:before="0" w:after="0"/>
        <w:rPr/>
      </w:pPr>
      <w:r>
        <w:rPr/>
      </w:r>
    </w:p>
    <w:p>
      <w:pPr>
        <w:pStyle w:val="TextBody"/>
        <w:spacing w:before="0" w:after="0"/>
        <w:jc w:val="both"/>
        <w:rPr/>
      </w:pPr>
      <w:r>
        <w:rPr/>
        <w:t>In addition, pursuant to the registration and shareholder rights agreement,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pStyle w:val="TextBody"/>
        <w:spacing w:before="0" w:after="0"/>
        <w:rPr/>
      </w:pPr>
      <w:r>
        <w:rPr/>
      </w:r>
    </w:p>
    <w:p>
      <w:pPr>
        <w:pStyle w:val="TextBody"/>
        <w:spacing w:before="0" w:after="0"/>
        <w:jc w:val="both"/>
        <w:rPr>
          <w:b/>
        </w:rPr>
      </w:pPr>
      <w:r>
        <w:rPr>
          <w:b/>
        </w:rPr>
        <w:t>Listing of Securities</w:t>
      </w:r>
    </w:p>
    <w:p>
      <w:pPr>
        <w:pStyle w:val="TextBody"/>
        <w:spacing w:before="0" w:after="0"/>
        <w:rPr/>
      </w:pPr>
      <w:r>
        <w:rPr/>
      </w:r>
    </w:p>
    <w:p>
      <w:pPr>
        <w:pStyle w:val="TextBody"/>
        <w:spacing w:before="0" w:after="0"/>
        <w:jc w:val="both"/>
        <w:rPr/>
      </w:pPr>
      <w:r>
        <w:rPr/>
        <w:t>Our Class A ordinary shares are listed on Nasdaq under the symbol “ARYA.”</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bookmarkStart w:id="1251" w:name="DSPFPageNumber105"/>
      <w:bookmarkStart w:id="1252" w:name="DSPFPageNumberArea103"/>
      <w:bookmarkEnd w:id="1251"/>
      <w:bookmarkEnd w:id="1252"/>
      <w:r>
        <w:rPr>
          <w:b w:val="false"/>
          <w:i w:val="false"/>
          <w:caps w:val="false"/>
          <w:smallCaps w:val="false"/>
          <w:color w:val="000000"/>
          <w:sz w:val="16"/>
        </w:rPr>
        <w:t>16</w:t>
      </w:r>
      <w:r>
        <w:rPr/>
        <w:t xml:space="preserve"> </w:t>
      </w:r>
    </w:p>
    <w:p>
      <w:pPr>
        <w:pStyle w:val="HorizontalLine"/>
        <w:pBdr>
          <w:bottom w:val="single" w:sz="20"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pBdr>
          <w:bottom w:val="single" w:sz="20" w:space="0" w:color="808080"/>
        </w:pBdr>
        <w:rPr/>
      </w:pPr>
      <w:r>
        <w:rPr/>
      </w:r>
      <w:bookmarkStart w:id="1253" w:name="brhc10021542_ex21.htm"/>
      <w:bookmarkStart w:id="1254" w:name="ksbrhc10021542_ex21"/>
      <w:bookmarkStart w:id="1255" w:name="brhc10021542_ex21.htm"/>
      <w:bookmarkStart w:id="1256" w:name="ksbrhc10021542_ex21"/>
      <w:bookmarkEnd w:id="1255"/>
      <w:bookmarkEnd w:id="1256"/>
    </w:p>
    <w:p>
      <w:pPr>
        <w:pStyle w:val="TextBody"/>
        <w:spacing w:before="0" w:after="0"/>
        <w:jc w:val="right"/>
        <w:rPr>
          <w:b/>
        </w:rPr>
      </w:pPr>
      <w:r>
        <w:rPr>
          <w:b/>
        </w:rPr>
        <w:t>Exhibit 21</w:t>
      </w:r>
    </w:p>
    <w:p>
      <w:pPr>
        <w:pStyle w:val="TextBody"/>
        <w:spacing w:before="0" w:after="0"/>
        <w:jc w:val="center"/>
        <w:rPr>
          <w:b/>
          <w:color w:val="000000"/>
        </w:rPr>
      </w:pPr>
      <w:r>
        <w:rPr>
          <w:b/>
          <w:color w:val="000000"/>
        </w:rPr>
        <w:t>Subsidiaries of the Company</w:t>
      </w:r>
    </w:p>
    <w:p>
      <w:pPr>
        <w:pStyle w:val="TextBody"/>
        <w:spacing w:before="0" w:after="0"/>
        <w:rPr/>
      </w:pPr>
      <w:r>
        <w:rPr/>
      </w:r>
    </w:p>
    <w:p>
      <w:pPr>
        <w:pStyle w:val="TextBody"/>
        <w:spacing w:before="0" w:after="0"/>
        <w:jc w:val="center"/>
        <w:rPr>
          <w:color w:val="000000"/>
        </w:rPr>
      </w:pPr>
      <w:r>
        <w:rPr>
          <w:color w:val="000000"/>
        </w:rPr>
        <w:t>None.</w:t>
      </w:r>
    </w:p>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1257" w:name="brhc10021542_ex31-1.htm"/>
      <w:bookmarkStart w:id="1258" w:name="ksbrhc10021542_ex311"/>
      <w:bookmarkStart w:id="1259" w:name="brhc10021542_ex31-1.htm"/>
      <w:bookmarkStart w:id="1260" w:name="ksbrhc10021542_ex311"/>
      <w:bookmarkEnd w:id="1259"/>
      <w:bookmarkEnd w:id="1260"/>
    </w:p>
    <w:p>
      <w:pPr>
        <w:pStyle w:val="TextBody"/>
        <w:spacing w:before="0" w:after="0"/>
        <w:jc w:val="right"/>
        <w:rPr>
          <w:rFonts w:ascii="Times New Roman;Times;serif" w:hAnsi="Times New Roman;Times;serif"/>
          <w:b/>
          <w:color w:val="000000"/>
        </w:rPr>
      </w:pPr>
      <w:r>
        <w:rPr>
          <w:rFonts w:ascii="Times New Roman;Times;serif" w:hAnsi="Times New Roman;Times;serif"/>
          <w:b/>
          <w:color w:val="000000"/>
        </w:rPr>
        <w:t>EXHIBIT 31.1</w:t>
      </w:r>
    </w:p>
    <w:p>
      <w:pPr>
        <w:pStyle w:val="TextBody"/>
        <w:spacing w:before="0" w:after="0"/>
        <w:rPr/>
      </w:pPr>
      <w:r>
        <w:rPr/>
      </w:r>
    </w:p>
    <w:p>
      <w:pPr>
        <w:pStyle w:val="TextBody"/>
        <w:spacing w:before="0" w:after="0"/>
        <w:jc w:val="center"/>
        <w:rPr>
          <w:rFonts w:ascii="Times New Roman;Times;serif" w:hAnsi="Times New Roman;Times;serif"/>
          <w:b/>
          <w:color w:val="000000"/>
        </w:rPr>
      </w:pPr>
      <w:r>
        <w:rPr>
          <w:rFonts w:ascii="Times New Roman;Times;serif" w:hAnsi="Times New Roman;Times;serif"/>
          <w:b/>
          <w:color w:val="000000"/>
        </w:rPr>
        <w:t>CERTIFICATION</w:t>
      </w:r>
    </w:p>
    <w:p>
      <w:pPr>
        <w:pStyle w:val="TextBody"/>
        <w:spacing w:before="0" w:after="0"/>
        <w:jc w:val="center"/>
        <w:rPr>
          <w:rFonts w:ascii="Times New Roman;Times;serif" w:hAnsi="Times New Roman;Times;serif"/>
          <w:b/>
          <w:color w:val="000000"/>
        </w:rPr>
      </w:pPr>
      <w:r>
        <w:rPr>
          <w:rFonts w:ascii="Times New Roman;Times;serif" w:hAnsi="Times New Roman;Times;serif"/>
          <w:b/>
          <w:color w:val="000000"/>
        </w:rPr>
        <w:t>PURSUANT TO RULE 13a-14 AND 15d-14</w:t>
      </w:r>
    </w:p>
    <w:p>
      <w:pPr>
        <w:pStyle w:val="TextBody"/>
        <w:spacing w:before="0" w:after="0"/>
        <w:jc w:val="center"/>
        <w:rPr>
          <w:rFonts w:ascii="Times New Roman;Times;serif" w:hAnsi="Times New Roman;Times;serif"/>
          <w:b/>
          <w:color w:val="000000"/>
        </w:rPr>
      </w:pPr>
      <w:r>
        <w:rPr>
          <w:rFonts w:ascii="Times New Roman;Times;serif" w:hAnsi="Times New Roman;Times;serif"/>
          <w:b/>
          <w:color w:val="000000"/>
        </w:rPr>
        <w:t>UNDER THE SECURITIES EXCHANGE ACT OF 1934, AS AMENDED</w:t>
      </w:r>
    </w:p>
    <w:p>
      <w:pPr>
        <w:pStyle w:val="TextBody"/>
        <w:spacing w:before="0" w:after="0"/>
        <w:rPr/>
      </w:pPr>
      <w:r>
        <w:rPr/>
      </w:r>
    </w:p>
    <w:p>
      <w:pPr>
        <w:pStyle w:val="TextBody"/>
        <w:spacing w:before="0" w:after="0"/>
        <w:rPr>
          <w:rFonts w:ascii="Times New Roman;Times;serif" w:hAnsi="Times New Roman;Times;serif"/>
          <w:color w:val="000000"/>
        </w:rPr>
      </w:pPr>
      <w:r>
        <w:rPr>
          <w:rFonts w:ascii="Times New Roman;Times;serif" w:hAnsi="Times New Roman;Times;serif"/>
          <w:color w:val="000000"/>
        </w:rPr>
        <w:t>I, Adam Stone, certify that:</w:t>
      </w:r>
    </w:p>
    <w:p>
      <w:pPr>
        <w:pStyle w:val="TextBody"/>
        <w:spacing w:before="0" w:after="0"/>
        <w:rPr/>
      </w:pPr>
      <w:r>
        <w:rPr/>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t>1. I have reviewed this Annual Report on Form 10-K for the year ended December 31, 2020 of Arya Sciences Acquisition Corp III;</w:t>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r>
    </w:p>
    <w:p>
      <w:pPr>
        <w:pStyle w:val="TextBody"/>
        <w:ind w:left="0" w:right="0" w:firstLine="490"/>
        <w:rPr>
          <w:rFonts w:ascii="Times New Roman;Times;serif" w:hAnsi="Times New Roman;Times;serif"/>
          <w:color w:val="000000"/>
        </w:rPr>
      </w:pPr>
      <w:r>
        <w:rPr>
          <w:rFonts w:ascii="Times New Roman;Times;serif" w:hAnsi="Times New Roman;Times;serif"/>
          <w:color w:val="00000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t>3. 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t>4. The registrant’s other certifying officers and I are responsible for establishing and maintaining disclosure controls and procedures (as defined in Exchange Act Rules 13a-15(e) and 15d-15(e)) for the registrant and have:</w:t>
      </w:r>
    </w:p>
    <w:p>
      <w:pPr>
        <w:pStyle w:val="TextBody"/>
        <w:spacing w:before="0" w:after="0"/>
        <w:rPr/>
      </w:pPr>
      <w:r>
        <w:rPr/>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t>b. [Paragraph intentionally omitted in accordance with SEC Release Nos. 34-47986 and 34-54942];</w:t>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t>b. Any fraud, whether or not material, that involves management or other employees who have a significant role in the registrant’s internal controls over financial reporting.</w:t>
      </w:r>
    </w:p>
    <w:p>
      <w:pPr>
        <w:pStyle w:val="TextBody"/>
        <w:spacing w:before="0" w:after="0"/>
        <w:rPr/>
      </w:pPr>
      <w:r>
        <w:rPr/>
      </w:r>
    </w:p>
    <w:p>
      <w:pPr>
        <w:pStyle w:val="Normal"/>
        <w:spacing w:before="0" w:after="0"/>
        <w:rPr>
          <w:sz w:val="4"/>
          <w:szCs w:val="4"/>
        </w:rPr>
      </w:pPr>
      <w:r>
        <w:rPr>
          <w:sz w:val="4"/>
          <w:szCs w:val="4"/>
        </w:rPr>
      </w:r>
      <w:bookmarkStart w:id="1261" w:name="z93b46e9e43d44032a02cb997f5ea475c"/>
      <w:bookmarkStart w:id="1262" w:name="z93b46e9e43d44032a02cb997f5ea475c"/>
      <w:bookmarkEnd w:id="1262"/>
    </w:p>
    <w:tbl>
      <w:tblPr>
        <w:tblW w:w="5505" w:type="dxa"/>
        <w:jc w:val="left"/>
        <w:tblInd w:w="0" w:type="dxa"/>
        <w:tblCellMar>
          <w:top w:w="0" w:type="dxa"/>
          <w:left w:w="0" w:type="dxa"/>
          <w:bottom w:w="0" w:type="dxa"/>
          <w:right w:w="0" w:type="dxa"/>
        </w:tblCellMar>
      </w:tblPr>
      <w:tblGrid>
        <w:gridCol w:w="2105"/>
        <w:gridCol w:w="650"/>
        <w:gridCol w:w="2750"/>
      </w:tblGrid>
      <w:tr>
        <w:trPr/>
        <w:tc>
          <w:tcPr>
            <w:tcW w:w="210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Date: March 30, 2021</w:t>
            </w:r>
          </w:p>
        </w:tc>
        <w:tc>
          <w:tcPr>
            <w:tcW w:w="650" w:type="dxa"/>
            <w:tcBorders/>
            <w:shd w:fill="auto" w:val="clear"/>
            <w:vAlign w:val="center"/>
          </w:tcPr>
          <w:p>
            <w:pPr>
              <w:pStyle w:val="TableContents"/>
              <w:spacing w:before="0" w:after="283"/>
              <w:rPr/>
            </w:pPr>
            <w:r>
              <w:rPr/>
            </w:r>
          </w:p>
        </w:tc>
        <w:tc>
          <w:tcPr>
            <w:tcW w:w="2750" w:type="dxa"/>
            <w:tcBorders>
              <w:bottom w:val="single" w:sz="12" w:space="0" w:color="000000"/>
            </w:tcBorders>
            <w:shd w:fill="auto" w:val="clear"/>
            <w:tcMar>
              <w:bottom w:w="28" w:type="dxa"/>
            </w:tcMar>
            <w:vAlign w:val="center"/>
          </w:tcPr>
          <w:p>
            <w:pPr>
              <w:pStyle w:val="TableContents"/>
              <w:spacing w:before="0" w:after="283"/>
              <w:rPr/>
            </w:pPr>
            <w:r>
              <w:rPr/>
              <w:t xml:space="preserve">/s/ Adam Stone </w:t>
            </w:r>
          </w:p>
        </w:tc>
      </w:tr>
      <w:tr>
        <w:trPr/>
        <w:tc>
          <w:tcPr>
            <w:tcW w:w="2105" w:type="dxa"/>
            <w:tcBorders/>
            <w:shd w:fill="auto" w:val="clear"/>
            <w:vAlign w:val="center"/>
          </w:tcPr>
          <w:p>
            <w:pPr>
              <w:pStyle w:val="TableContents"/>
              <w:spacing w:before="0" w:after="283"/>
              <w:rPr/>
            </w:pPr>
            <w:r>
              <w:rPr/>
            </w:r>
          </w:p>
        </w:tc>
        <w:tc>
          <w:tcPr>
            <w:tcW w:w="6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Name:</w:t>
            </w:r>
          </w:p>
        </w:tc>
        <w:tc>
          <w:tcPr>
            <w:tcW w:w="27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Adam Stone</w:t>
            </w:r>
          </w:p>
        </w:tc>
      </w:tr>
      <w:tr>
        <w:trPr/>
        <w:tc>
          <w:tcPr>
            <w:tcW w:w="2105" w:type="dxa"/>
            <w:tcBorders/>
            <w:shd w:fill="auto" w:val="clear"/>
            <w:vAlign w:val="center"/>
          </w:tcPr>
          <w:p>
            <w:pPr>
              <w:pStyle w:val="TableContents"/>
              <w:spacing w:before="0" w:after="283"/>
              <w:rPr/>
            </w:pPr>
            <w:r>
              <w:rPr/>
            </w:r>
          </w:p>
        </w:tc>
        <w:tc>
          <w:tcPr>
            <w:tcW w:w="6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Title:</w:t>
            </w:r>
          </w:p>
        </w:tc>
        <w:tc>
          <w:tcPr>
            <w:tcW w:w="27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Chief Executive Officer</w:t>
            </w:r>
          </w:p>
        </w:tc>
      </w:tr>
      <w:tr>
        <w:trPr/>
        <w:tc>
          <w:tcPr>
            <w:tcW w:w="2105" w:type="dxa"/>
            <w:tcBorders/>
            <w:shd w:fill="auto" w:val="clear"/>
            <w:vAlign w:val="center"/>
          </w:tcPr>
          <w:p>
            <w:pPr>
              <w:pStyle w:val="TableContents"/>
              <w:spacing w:before="0" w:after="283"/>
              <w:rPr/>
            </w:pPr>
            <w:r>
              <w:rPr/>
            </w:r>
          </w:p>
        </w:tc>
        <w:tc>
          <w:tcPr>
            <w:tcW w:w="650" w:type="dxa"/>
            <w:tcBorders/>
            <w:shd w:fill="auto" w:val="clear"/>
            <w:vAlign w:val="center"/>
          </w:tcPr>
          <w:p>
            <w:pPr>
              <w:pStyle w:val="TableContents"/>
              <w:spacing w:before="0" w:after="283"/>
              <w:rPr/>
            </w:pPr>
            <w:r>
              <w:rPr/>
            </w:r>
          </w:p>
        </w:tc>
        <w:tc>
          <w:tcPr>
            <w:tcW w:w="2750" w:type="dxa"/>
            <w:tcBorders/>
            <w:shd w:fill="auto" w:val="clear"/>
            <w:vAlign w:val="center"/>
          </w:tcPr>
          <w:p>
            <w:pPr>
              <w:pStyle w:val="TableContents"/>
              <w:spacing w:before="0" w:after="283"/>
              <w:rPr/>
            </w:pPr>
            <w:r>
              <w:rPr/>
              <w:t>(Principal Executive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1263" w:name="brhc10021542_ex31-2.htm"/>
      <w:bookmarkStart w:id="1264" w:name="ksbrhc10021542_ex312"/>
      <w:bookmarkStart w:id="1265" w:name="brhc10021542_ex31-2.htm"/>
      <w:bookmarkStart w:id="1266" w:name="ksbrhc10021542_ex312"/>
      <w:bookmarkEnd w:id="1265"/>
      <w:bookmarkEnd w:id="1266"/>
    </w:p>
    <w:p>
      <w:pPr>
        <w:pStyle w:val="TextBody"/>
        <w:spacing w:before="0" w:after="0"/>
        <w:jc w:val="right"/>
        <w:rPr>
          <w:rFonts w:ascii="Times New Roman;Times;serif" w:hAnsi="Times New Roman;Times;serif"/>
          <w:b/>
          <w:color w:val="000000"/>
        </w:rPr>
      </w:pPr>
      <w:r>
        <w:rPr>
          <w:rFonts w:ascii="Times New Roman;Times;serif" w:hAnsi="Times New Roman;Times;serif"/>
          <w:b/>
          <w:color w:val="000000"/>
        </w:rPr>
        <w:t>EXHIBIT 31.2</w:t>
      </w:r>
    </w:p>
    <w:p>
      <w:pPr>
        <w:pStyle w:val="TextBody"/>
        <w:spacing w:before="0" w:after="0"/>
        <w:rPr/>
      </w:pPr>
      <w:r>
        <w:rPr/>
      </w:r>
    </w:p>
    <w:p>
      <w:pPr>
        <w:pStyle w:val="TextBody"/>
        <w:spacing w:before="0" w:after="0"/>
        <w:jc w:val="center"/>
        <w:rPr>
          <w:rFonts w:ascii="Times New Roman;Times;serif" w:hAnsi="Times New Roman;Times;serif"/>
          <w:b/>
          <w:color w:val="000000"/>
        </w:rPr>
      </w:pPr>
      <w:r>
        <w:rPr>
          <w:rFonts w:ascii="Times New Roman;Times;serif" w:hAnsi="Times New Roman;Times;serif"/>
          <w:b/>
          <w:color w:val="000000"/>
        </w:rPr>
        <w:t>CERTIFICATION</w:t>
      </w:r>
    </w:p>
    <w:p>
      <w:pPr>
        <w:pStyle w:val="TextBody"/>
        <w:spacing w:before="0" w:after="0"/>
        <w:jc w:val="center"/>
        <w:rPr>
          <w:rFonts w:ascii="Times New Roman;Times;serif" w:hAnsi="Times New Roman;Times;serif"/>
          <w:b/>
          <w:color w:val="000000"/>
        </w:rPr>
      </w:pPr>
      <w:r>
        <w:rPr>
          <w:rFonts w:ascii="Times New Roman;Times;serif" w:hAnsi="Times New Roman;Times;serif"/>
          <w:b/>
          <w:color w:val="000000"/>
        </w:rPr>
        <w:t>PURSUANT TO RULE 13a-14 AND 15d-14</w:t>
      </w:r>
    </w:p>
    <w:p>
      <w:pPr>
        <w:pStyle w:val="TextBody"/>
        <w:spacing w:before="0" w:after="0"/>
        <w:jc w:val="center"/>
        <w:rPr>
          <w:rFonts w:ascii="Times New Roman;Times;serif" w:hAnsi="Times New Roman;Times;serif"/>
          <w:b/>
          <w:color w:val="000000"/>
        </w:rPr>
      </w:pPr>
      <w:r>
        <w:rPr>
          <w:rFonts w:ascii="Times New Roman;Times;serif" w:hAnsi="Times New Roman;Times;serif"/>
          <w:b/>
          <w:color w:val="000000"/>
        </w:rPr>
        <w:t>UNDER THE SECURITIES EXCHANGE ACT OF 1934, AS AMENDED</w:t>
      </w:r>
    </w:p>
    <w:p>
      <w:pPr>
        <w:pStyle w:val="TextBody"/>
        <w:spacing w:before="0" w:after="0"/>
        <w:rPr/>
      </w:pPr>
      <w:r>
        <w:rPr/>
      </w:r>
    </w:p>
    <w:p>
      <w:pPr>
        <w:pStyle w:val="TextBody"/>
        <w:spacing w:before="0" w:after="0"/>
        <w:rPr>
          <w:rFonts w:ascii="Times New Roman;Times;serif" w:hAnsi="Times New Roman;Times;serif"/>
          <w:color w:val="000000"/>
        </w:rPr>
      </w:pPr>
      <w:r>
        <w:rPr>
          <w:rFonts w:ascii="Times New Roman;Times;serif" w:hAnsi="Times New Roman;Times;serif"/>
          <w:color w:val="000000"/>
        </w:rPr>
        <w:t>I, Michael Altman, certify that:</w:t>
      </w:r>
    </w:p>
    <w:p>
      <w:pPr>
        <w:pStyle w:val="TextBody"/>
        <w:spacing w:before="0" w:after="0"/>
        <w:rPr/>
      </w:pPr>
      <w:r>
        <w:rPr/>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t>1. I have reviewed this Annual Report on Form 10-K for the year ended December 31, 2020 of Arya Sciences Acquisition Corp III;</w:t>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t>3. 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t>4. The registrant’s other certifying officers and I are responsible for establishing and maintaining disclosure controls and procedures (as defined in Exchange Act Rules 13a-15(e) and 15d-15(e)) for the registrant and have:</w:t>
      </w:r>
    </w:p>
    <w:p>
      <w:pPr>
        <w:pStyle w:val="TextBody"/>
        <w:spacing w:before="0" w:after="0"/>
        <w:rPr/>
      </w:pPr>
      <w:r>
        <w:rPr/>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t>b. [Paragraph intentionally omitted in accordance with SEC Release Nos. 34-47986 and 34-54942];</w:t>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before="0" w:after="0"/>
        <w:ind w:left="0" w:right="0" w:firstLine="490"/>
        <w:rPr>
          <w:rFonts w:ascii="Times New Roman;Times;serif" w:hAnsi="Times New Roman;Times;serif"/>
          <w:color w:val="000000"/>
        </w:rPr>
      </w:pPr>
      <w:r>
        <w:rPr>
          <w:rFonts w:ascii="Times New Roman;Times;serif" w:hAnsi="Times New Roman;Times;serif"/>
          <w:color w:val="00000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r>
    </w:p>
    <w:p>
      <w:pPr>
        <w:pStyle w:val="TextBody"/>
        <w:spacing w:before="0" w:after="0"/>
        <w:ind w:left="0" w:right="0" w:firstLine="979"/>
        <w:rPr>
          <w:rFonts w:ascii="Times New Roman;Times;serif" w:hAnsi="Times New Roman;Times;serif"/>
          <w:color w:val="000000"/>
        </w:rPr>
      </w:pPr>
      <w:r>
        <w:rPr>
          <w:rFonts w:ascii="Times New Roman;Times;serif" w:hAnsi="Times New Roman;Times;serif"/>
          <w:color w:val="000000"/>
        </w:rPr>
        <w:t>b. Any fraud, whether or not material, that involves management or other employees who have a significant role in the registrant’s internal controls over financial reporting.</w:t>
      </w:r>
    </w:p>
    <w:p>
      <w:pPr>
        <w:pStyle w:val="TextBody"/>
        <w:spacing w:before="0" w:after="0"/>
        <w:rPr/>
      </w:pPr>
      <w:r>
        <w:rPr/>
      </w:r>
    </w:p>
    <w:p>
      <w:pPr>
        <w:pStyle w:val="Normal"/>
        <w:spacing w:before="0" w:after="0"/>
        <w:rPr>
          <w:sz w:val="4"/>
          <w:szCs w:val="4"/>
        </w:rPr>
      </w:pPr>
      <w:r>
        <w:rPr>
          <w:sz w:val="4"/>
          <w:szCs w:val="4"/>
        </w:rPr>
      </w:r>
      <w:bookmarkStart w:id="1267" w:name="z3fff95a44402480bad1713c754869bac"/>
      <w:bookmarkStart w:id="1268" w:name="z3fff95a44402480bad1713c754869bac"/>
      <w:bookmarkEnd w:id="1268"/>
    </w:p>
    <w:tbl>
      <w:tblPr>
        <w:tblW w:w="7005" w:type="dxa"/>
        <w:jc w:val="left"/>
        <w:tblInd w:w="0" w:type="dxa"/>
        <w:tblCellMar>
          <w:top w:w="0" w:type="dxa"/>
          <w:left w:w="0" w:type="dxa"/>
          <w:bottom w:w="0" w:type="dxa"/>
          <w:right w:w="0" w:type="dxa"/>
        </w:tblCellMar>
      </w:tblPr>
      <w:tblGrid>
        <w:gridCol w:w="2105"/>
        <w:gridCol w:w="650"/>
        <w:gridCol w:w="4250"/>
      </w:tblGrid>
      <w:tr>
        <w:trPr/>
        <w:tc>
          <w:tcPr>
            <w:tcW w:w="2105" w:type="dxa"/>
            <w:tcBorders/>
            <w:shd w:fill="auto" w:val="clear"/>
            <w:vAlign w:val="center"/>
          </w:tcPr>
          <w:p>
            <w:pPr>
              <w:pStyle w:val="TableContents"/>
              <w:spacing w:before="0" w:after="0"/>
              <w:rPr>
                <w:rFonts w:ascii="Times New Roman" w:hAnsi="Times New Roman"/>
                <w:color w:val="000000"/>
              </w:rPr>
            </w:pPr>
            <w:r>
              <w:rPr>
                <w:rFonts w:ascii="Times New Roman" w:hAnsi="Times New Roman"/>
                <w:color w:val="000000"/>
              </w:rPr>
              <w:t>Date: March 30, 2021</w:t>
            </w:r>
          </w:p>
        </w:tc>
        <w:tc>
          <w:tcPr>
            <w:tcW w:w="650" w:type="dxa"/>
            <w:tcBorders/>
            <w:shd w:fill="auto" w:val="clear"/>
            <w:vAlign w:val="center"/>
          </w:tcPr>
          <w:p>
            <w:pPr>
              <w:pStyle w:val="TableContents"/>
              <w:spacing w:before="0" w:after="283"/>
              <w:rPr/>
            </w:pPr>
            <w:r>
              <w:rPr/>
            </w:r>
          </w:p>
        </w:tc>
        <w:tc>
          <w:tcPr>
            <w:tcW w:w="4250" w:type="dxa"/>
            <w:tcBorders>
              <w:bottom w:val="single" w:sz="12" w:space="0" w:color="000000"/>
            </w:tcBorders>
            <w:shd w:fill="auto" w:val="clear"/>
            <w:tcMar>
              <w:bottom w:w="28" w:type="dxa"/>
            </w:tcMar>
            <w:vAlign w:val="center"/>
          </w:tcPr>
          <w:p>
            <w:pPr>
              <w:pStyle w:val="TableContents"/>
              <w:spacing w:before="0" w:after="283"/>
              <w:rPr/>
            </w:pPr>
            <w:r>
              <w:rPr/>
              <w:t xml:space="preserve">/s/ Michael Altman </w:t>
            </w:r>
          </w:p>
        </w:tc>
      </w:tr>
      <w:tr>
        <w:trPr/>
        <w:tc>
          <w:tcPr>
            <w:tcW w:w="2105" w:type="dxa"/>
            <w:tcBorders/>
            <w:shd w:fill="auto" w:val="clear"/>
            <w:vAlign w:val="center"/>
          </w:tcPr>
          <w:p>
            <w:pPr>
              <w:pStyle w:val="TableContents"/>
              <w:spacing w:before="0" w:after="283"/>
              <w:rPr/>
            </w:pPr>
            <w:r>
              <w:rPr/>
            </w:r>
          </w:p>
        </w:tc>
        <w:tc>
          <w:tcPr>
            <w:tcW w:w="6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Name:</w:t>
            </w:r>
          </w:p>
        </w:tc>
        <w:tc>
          <w:tcPr>
            <w:tcW w:w="42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Michael Altman</w:t>
            </w:r>
          </w:p>
        </w:tc>
      </w:tr>
      <w:tr>
        <w:trPr/>
        <w:tc>
          <w:tcPr>
            <w:tcW w:w="2105" w:type="dxa"/>
            <w:tcBorders/>
            <w:shd w:fill="auto" w:val="clear"/>
            <w:vAlign w:val="center"/>
          </w:tcPr>
          <w:p>
            <w:pPr>
              <w:pStyle w:val="TableContents"/>
              <w:spacing w:before="0" w:after="283"/>
              <w:rPr/>
            </w:pPr>
            <w:r>
              <w:rPr/>
            </w:r>
          </w:p>
        </w:tc>
        <w:tc>
          <w:tcPr>
            <w:tcW w:w="6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Title:</w:t>
            </w:r>
          </w:p>
        </w:tc>
        <w:tc>
          <w:tcPr>
            <w:tcW w:w="42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Chief Financial Officerr</w:t>
            </w:r>
          </w:p>
        </w:tc>
      </w:tr>
      <w:tr>
        <w:trPr/>
        <w:tc>
          <w:tcPr>
            <w:tcW w:w="2105" w:type="dxa"/>
            <w:tcBorders/>
            <w:shd w:fill="auto" w:val="clear"/>
            <w:vAlign w:val="center"/>
          </w:tcPr>
          <w:p>
            <w:pPr>
              <w:pStyle w:val="TableContents"/>
              <w:spacing w:before="0" w:after="283"/>
              <w:rPr/>
            </w:pPr>
            <w:r>
              <w:rPr/>
            </w:r>
          </w:p>
        </w:tc>
        <w:tc>
          <w:tcPr>
            <w:tcW w:w="650" w:type="dxa"/>
            <w:tcBorders/>
            <w:shd w:fill="auto" w:val="clear"/>
            <w:vAlign w:val="center"/>
          </w:tcPr>
          <w:p>
            <w:pPr>
              <w:pStyle w:val="TableContents"/>
              <w:spacing w:before="0" w:after="283"/>
              <w:rPr/>
            </w:pPr>
            <w:r>
              <w:rPr/>
            </w:r>
          </w:p>
        </w:tc>
        <w:tc>
          <w:tcPr>
            <w:tcW w:w="4250" w:type="dxa"/>
            <w:tcBorders/>
            <w:shd w:fill="auto" w:val="clear"/>
            <w:vAlign w:val="center"/>
          </w:tcPr>
          <w:p>
            <w:pPr>
              <w:pStyle w:val="TableContents"/>
              <w:spacing w:before="0" w:after="283"/>
              <w:rPr/>
            </w:pPr>
            <w:r>
              <w:rPr/>
              <w:t>(Principal Financial and Accounting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1269" w:name="brhc10021542_ex32-1.htm"/>
      <w:bookmarkStart w:id="1270" w:name="ksbrhc10021542_ex321"/>
      <w:bookmarkStart w:id="1271" w:name="brhc10021542_ex32-1.htm"/>
      <w:bookmarkStart w:id="1272" w:name="ksbrhc10021542_ex321"/>
      <w:bookmarkEnd w:id="1271"/>
      <w:bookmarkEnd w:id="1272"/>
    </w:p>
    <w:p>
      <w:pPr>
        <w:pStyle w:val="TextBody"/>
        <w:spacing w:before="0" w:after="0"/>
        <w:jc w:val="right"/>
        <w:rPr>
          <w:rFonts w:ascii="Times New Roman;Times;serif" w:hAnsi="Times New Roman;Times;serif"/>
          <w:b/>
          <w:color w:val="000000"/>
        </w:rPr>
      </w:pPr>
      <w:r>
        <w:rPr>
          <w:rFonts w:ascii="Times New Roman;Times;serif" w:hAnsi="Times New Roman;Times;serif"/>
          <w:b/>
          <w:color w:val="000000"/>
        </w:rPr>
        <w:t>EXHIBIT 32.1</w:t>
      </w:r>
    </w:p>
    <w:p>
      <w:pPr>
        <w:pStyle w:val="TextBody"/>
        <w:spacing w:before="0" w:after="0"/>
        <w:rPr/>
      </w:pPr>
      <w:r>
        <w:rPr/>
      </w:r>
    </w:p>
    <w:p>
      <w:pPr>
        <w:pStyle w:val="TextBody"/>
        <w:spacing w:before="0" w:after="0"/>
        <w:jc w:val="center"/>
        <w:rPr>
          <w:rFonts w:ascii="Times New Roman;Times;serif" w:hAnsi="Times New Roman;Times;serif"/>
          <w:b/>
          <w:color w:val="000000"/>
        </w:rPr>
      </w:pPr>
      <w:r>
        <w:rPr>
          <w:rFonts w:ascii="Times New Roman;Times;serif" w:hAnsi="Times New Roman;Times;serif"/>
          <w:b/>
          <w:color w:val="000000"/>
        </w:rPr>
        <w:t>CERTIFICATION PURSUANT TO</w:t>
      </w:r>
    </w:p>
    <w:p>
      <w:pPr>
        <w:pStyle w:val="TextBody"/>
        <w:spacing w:before="0" w:after="0"/>
        <w:jc w:val="center"/>
        <w:rPr>
          <w:rFonts w:ascii="Times New Roman;Times;serif" w:hAnsi="Times New Roman;Times;serif"/>
          <w:b/>
          <w:color w:val="000000"/>
        </w:rPr>
      </w:pPr>
      <w:r>
        <w:rPr>
          <w:rFonts w:ascii="Times New Roman;Times;serif" w:hAnsi="Times New Roman;Times;serif"/>
          <w:b/>
          <w:color w:val="000000"/>
        </w:rPr>
        <w:t>18 U.S.C. 1350</w:t>
      </w:r>
    </w:p>
    <w:p>
      <w:pPr>
        <w:pStyle w:val="TextBody"/>
        <w:spacing w:before="0" w:after="0"/>
        <w:jc w:val="center"/>
        <w:rPr>
          <w:rFonts w:ascii="Times New Roman;Times;serif" w:hAnsi="Times New Roman;Times;serif"/>
          <w:b/>
          <w:color w:val="000000"/>
        </w:rPr>
      </w:pPr>
      <w:r>
        <w:rPr>
          <w:rFonts w:ascii="Times New Roman;Times;serif" w:hAnsi="Times New Roman;Times;serif"/>
          <w:b/>
          <w:color w:val="000000"/>
        </w:rPr>
        <w:t>(SECTION 906 OF THE SARBANES-OXLEY ACT OF 2002)</w:t>
      </w:r>
    </w:p>
    <w:p>
      <w:pPr>
        <w:pStyle w:val="TextBody"/>
        <w:spacing w:before="0" w:after="0"/>
        <w:rPr/>
      </w:pPr>
      <w:r>
        <w:rPr/>
      </w:r>
    </w:p>
    <w:p>
      <w:pPr>
        <w:pStyle w:val="TextBody"/>
        <w:spacing w:before="0" w:after="0"/>
        <w:rPr>
          <w:rFonts w:ascii="Times New Roman;Times;serif" w:hAnsi="Times New Roman;Times;serif"/>
          <w:color w:val="000000"/>
        </w:rPr>
      </w:pPr>
      <w:r>
        <w:rPr>
          <w:rFonts w:ascii="Times New Roman;Times;serif" w:hAnsi="Times New Roman;Times;serif"/>
          <w:color w:val="000000"/>
        </w:rPr>
        <w:t>In connection with the Annual Report of Arya Sciences Acquisition Corp III (the “</w:t>
      </w:r>
      <w:r>
        <w:rPr>
          <w:rFonts w:ascii="Times New Roman;Times;serif" w:hAnsi="Times New Roman;Times;serif"/>
          <w:color w:val="000000"/>
          <w:u w:val="single"/>
        </w:rPr>
        <w:t>Company</w:t>
      </w:r>
      <w:r>
        <w:rPr>
          <w:rFonts w:ascii="Times New Roman;Times;serif" w:hAnsi="Times New Roman;Times;serif"/>
          <w:color w:val="000000"/>
        </w:rPr>
        <w:t>”) on Form 10-K for the year ended December 31, 2020, as filed with the Securities and Exchange Commission on the date hereof (the “</w:t>
      </w:r>
      <w:r>
        <w:rPr>
          <w:rFonts w:ascii="Times New Roman;Times;serif" w:hAnsi="Times New Roman;Times;serif"/>
          <w:color w:val="000000"/>
          <w:u w:val="single"/>
        </w:rPr>
        <w:t>Report</w:t>
      </w:r>
      <w:r>
        <w:rPr>
          <w:rFonts w:ascii="Times New Roman;Times;serif" w:hAnsi="Times New Roman;Times;serif"/>
          <w:color w:val="000000"/>
        </w:rPr>
        <w:t>”), I, Adam Stone, Chief Executive Officer of the Company, certify, pursuant to 18 U.S.C. Section 1350, as adopted pursuant to Section 906 of the Sarbanes-Oxley Act of 2002, that, to the best of my knowledge:</w:t>
      </w:r>
    </w:p>
    <w:p>
      <w:pPr>
        <w:pStyle w:val="TextBody"/>
        <w:spacing w:before="0" w:after="0"/>
        <w:rPr/>
      </w:pPr>
      <w:r>
        <w:rPr/>
      </w:r>
    </w:p>
    <w:p>
      <w:pPr>
        <w:pStyle w:val="Normal"/>
        <w:spacing w:before="0" w:after="0"/>
        <w:rPr>
          <w:sz w:val="4"/>
          <w:szCs w:val="4"/>
        </w:rPr>
      </w:pPr>
      <w:r>
        <w:rPr>
          <w:sz w:val="4"/>
          <w:szCs w:val="4"/>
        </w:rPr>
      </w:r>
      <w:bookmarkStart w:id="1273" w:name="zbdc62405b9c04f61bdd39728c574137c"/>
      <w:bookmarkStart w:id="1274" w:name="zbdc62405b9c04f61bdd39728c574137c"/>
      <w:bookmarkEnd w:id="1274"/>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w:t>
            </w:r>
          </w:p>
        </w:tc>
        <w:tc>
          <w:tcPr>
            <w:tcW w:w="991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the Report fully complies with the requirements of Section 13(a) or 15(d) of the Securities Exchange Act of 1934; and</w:t>
            </w:r>
          </w:p>
        </w:tc>
      </w:tr>
    </w:tbl>
    <w:p>
      <w:pPr>
        <w:pStyle w:val="TextBody"/>
        <w:spacing w:before="0" w:after="0"/>
        <w:ind w:left="360" w:right="0" w:hanging="360"/>
        <w:rPr/>
      </w:pPr>
      <w:r>
        <w:rPr/>
      </w:r>
    </w:p>
    <w:p>
      <w:pPr>
        <w:pStyle w:val="Normal"/>
        <w:spacing w:before="0" w:after="0"/>
        <w:rPr>
          <w:sz w:val="4"/>
          <w:szCs w:val="4"/>
        </w:rPr>
      </w:pPr>
      <w:r>
        <w:rPr>
          <w:sz w:val="4"/>
          <w:szCs w:val="4"/>
        </w:rPr>
      </w:r>
      <w:bookmarkStart w:id="1275" w:name="zeeaae31294ac47ecbbbe55c440e5f957"/>
      <w:bookmarkStart w:id="1276" w:name="zeeaae31294ac47ecbbbe55c440e5f957"/>
      <w:bookmarkEnd w:id="1276"/>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(2)</w:t>
            </w:r>
          </w:p>
        </w:tc>
        <w:tc>
          <w:tcPr>
            <w:tcW w:w="9922"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the information contained in the Report fairly presents, in all material respects, the financial condition and results of operations of the Company.</w:t>
            </w:r>
          </w:p>
        </w:tc>
      </w:tr>
    </w:tbl>
    <w:p>
      <w:pPr>
        <w:pStyle w:val="TextBody"/>
        <w:spacing w:before="0" w:after="0"/>
        <w:rPr/>
      </w:pPr>
      <w:r>
        <w:rPr/>
      </w:r>
    </w:p>
    <w:p>
      <w:pPr>
        <w:pStyle w:val="Normal"/>
        <w:spacing w:before="0" w:after="0"/>
        <w:rPr>
          <w:sz w:val="4"/>
          <w:szCs w:val="4"/>
        </w:rPr>
      </w:pPr>
      <w:r>
        <w:rPr>
          <w:sz w:val="4"/>
          <w:szCs w:val="4"/>
        </w:rPr>
      </w:r>
      <w:bookmarkStart w:id="1277" w:name="z7c2976a053f6493792562fb26d2996d6"/>
      <w:bookmarkStart w:id="1278" w:name="z7c2976a053f6493792562fb26d2996d6"/>
      <w:bookmarkEnd w:id="1278"/>
    </w:p>
    <w:tbl>
      <w:tblPr>
        <w:tblW w:w="5505" w:type="dxa"/>
        <w:jc w:val="left"/>
        <w:tblInd w:w="0" w:type="dxa"/>
        <w:tblCellMar>
          <w:top w:w="0" w:type="dxa"/>
          <w:left w:w="0" w:type="dxa"/>
          <w:bottom w:w="0" w:type="dxa"/>
          <w:right w:w="0" w:type="dxa"/>
        </w:tblCellMar>
      </w:tblPr>
      <w:tblGrid>
        <w:gridCol w:w="2105"/>
        <w:gridCol w:w="650"/>
        <w:gridCol w:w="2750"/>
      </w:tblGrid>
      <w:tr>
        <w:trPr/>
        <w:tc>
          <w:tcPr>
            <w:tcW w:w="2105" w:type="dxa"/>
            <w:tcBorders/>
            <w:shd w:fill="auto" w:val="clear"/>
            <w:vAlign w:val="center"/>
          </w:tcPr>
          <w:p>
            <w:pPr>
              <w:pStyle w:val="TableContents"/>
              <w:spacing w:before="0" w:after="0"/>
              <w:rPr>
                <w:color w:val="000000"/>
              </w:rPr>
            </w:pPr>
            <w:r>
              <w:rPr>
                <w:color w:val="000000"/>
              </w:rPr>
              <w:t>Date: March 30, 2021</w:t>
            </w:r>
          </w:p>
        </w:tc>
        <w:tc>
          <w:tcPr>
            <w:tcW w:w="650" w:type="dxa"/>
            <w:tcBorders/>
            <w:shd w:fill="auto" w:val="clear"/>
            <w:vAlign w:val="center"/>
          </w:tcPr>
          <w:p>
            <w:pPr>
              <w:pStyle w:val="TableContents"/>
              <w:spacing w:before="0" w:after="283"/>
              <w:rPr/>
            </w:pPr>
            <w:r>
              <w:rPr/>
            </w:r>
          </w:p>
        </w:tc>
        <w:tc>
          <w:tcPr>
            <w:tcW w:w="2750" w:type="dxa"/>
            <w:tcBorders/>
            <w:shd w:fill="auto" w:val="clear"/>
            <w:vAlign w:val="center"/>
          </w:tcPr>
          <w:p>
            <w:pPr>
              <w:pStyle w:val="TableContents"/>
              <w:spacing w:before="0" w:after="283"/>
              <w:rPr/>
            </w:pPr>
            <w:r>
              <w:rPr/>
            </w:r>
          </w:p>
        </w:tc>
      </w:tr>
      <w:tr>
        <w:trPr/>
        <w:tc>
          <w:tcPr>
            <w:tcW w:w="2105" w:type="dxa"/>
            <w:tcBorders/>
            <w:shd w:fill="auto" w:val="clear"/>
            <w:vAlign w:val="center"/>
          </w:tcPr>
          <w:p>
            <w:pPr>
              <w:pStyle w:val="TableContents"/>
              <w:spacing w:before="0" w:after="283"/>
              <w:rPr/>
            </w:pPr>
            <w:r>
              <w:rPr/>
            </w:r>
          </w:p>
        </w:tc>
        <w:tc>
          <w:tcPr>
            <w:tcW w:w="3400" w:type="dxa"/>
            <w:gridSpan w:val="2"/>
            <w:tcBorders>
              <w:bottom w:val="single" w:sz="12" w:space="0" w:color="000000"/>
            </w:tcBorders>
            <w:shd w:fill="auto" w:val="clear"/>
            <w:tcMar>
              <w:bottom w:w="28" w:type="dxa"/>
            </w:tcMar>
            <w:vAlign w:val="center"/>
          </w:tcPr>
          <w:p>
            <w:pPr>
              <w:pStyle w:val="TableContents"/>
              <w:spacing w:before="0" w:after="283"/>
              <w:rPr/>
            </w:pPr>
            <w:r>
              <w:rPr/>
              <w:t>/s/ Adam Stone</w:t>
            </w:r>
          </w:p>
        </w:tc>
      </w:tr>
      <w:tr>
        <w:trPr/>
        <w:tc>
          <w:tcPr>
            <w:tcW w:w="2105" w:type="dxa"/>
            <w:tcBorders/>
            <w:shd w:fill="auto" w:val="clear"/>
            <w:vAlign w:val="center"/>
          </w:tcPr>
          <w:p>
            <w:pPr>
              <w:pStyle w:val="TableContents"/>
              <w:spacing w:before="0" w:after="283"/>
              <w:rPr/>
            </w:pPr>
            <w:r>
              <w:rPr/>
            </w:r>
          </w:p>
        </w:tc>
        <w:tc>
          <w:tcPr>
            <w:tcW w:w="6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Name:</w:t>
            </w:r>
          </w:p>
        </w:tc>
        <w:tc>
          <w:tcPr>
            <w:tcW w:w="27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Adam Stone</w:t>
            </w:r>
          </w:p>
        </w:tc>
      </w:tr>
      <w:tr>
        <w:trPr/>
        <w:tc>
          <w:tcPr>
            <w:tcW w:w="2105" w:type="dxa"/>
            <w:tcBorders/>
            <w:shd w:fill="auto" w:val="clear"/>
            <w:vAlign w:val="center"/>
          </w:tcPr>
          <w:p>
            <w:pPr>
              <w:pStyle w:val="TableContents"/>
              <w:spacing w:before="0" w:after="283"/>
              <w:rPr/>
            </w:pPr>
            <w:r>
              <w:rPr/>
            </w:r>
          </w:p>
        </w:tc>
        <w:tc>
          <w:tcPr>
            <w:tcW w:w="6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Title:</w:t>
            </w:r>
          </w:p>
        </w:tc>
        <w:tc>
          <w:tcPr>
            <w:tcW w:w="27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Chief Executive Officerr</w:t>
            </w:r>
          </w:p>
        </w:tc>
      </w:tr>
      <w:tr>
        <w:trPr/>
        <w:tc>
          <w:tcPr>
            <w:tcW w:w="2105" w:type="dxa"/>
            <w:tcBorders/>
            <w:shd w:fill="auto" w:val="clear"/>
            <w:vAlign w:val="center"/>
          </w:tcPr>
          <w:p>
            <w:pPr>
              <w:pStyle w:val="TableContents"/>
              <w:spacing w:before="0" w:after="283"/>
              <w:rPr/>
            </w:pPr>
            <w:r>
              <w:rPr/>
            </w:r>
          </w:p>
        </w:tc>
        <w:tc>
          <w:tcPr>
            <w:tcW w:w="650" w:type="dxa"/>
            <w:tcBorders/>
            <w:shd w:fill="auto" w:val="clear"/>
            <w:vAlign w:val="center"/>
          </w:tcPr>
          <w:p>
            <w:pPr>
              <w:pStyle w:val="TableContents"/>
              <w:spacing w:before="0" w:after="283"/>
              <w:rPr/>
            </w:pPr>
            <w:r>
              <w:rPr/>
            </w:r>
          </w:p>
        </w:tc>
        <w:tc>
          <w:tcPr>
            <w:tcW w:w="2750" w:type="dxa"/>
            <w:tcBorders/>
            <w:shd w:fill="auto" w:val="clear"/>
            <w:vAlign w:val="center"/>
          </w:tcPr>
          <w:p>
            <w:pPr>
              <w:pStyle w:val="TableContents"/>
              <w:spacing w:before="0" w:after="283"/>
              <w:rPr/>
            </w:pPr>
            <w:r>
              <w:rPr/>
              <w:t>(Principal Executive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1279" w:name="brhc10021542_ex32-2.htm"/>
      <w:bookmarkStart w:id="1280" w:name="ksbrhc10021542_ex322"/>
      <w:bookmarkStart w:id="1281" w:name="brhc10021542_ex32-2.htm"/>
      <w:bookmarkStart w:id="1282" w:name="ksbrhc10021542_ex322"/>
      <w:bookmarkEnd w:id="1281"/>
      <w:bookmarkEnd w:id="1282"/>
    </w:p>
    <w:p>
      <w:pPr>
        <w:pStyle w:val="TextBody"/>
        <w:spacing w:before="0" w:after="0"/>
        <w:jc w:val="right"/>
        <w:rPr>
          <w:rFonts w:ascii="Times New Roman;Times;serif" w:hAnsi="Times New Roman;Times;serif"/>
          <w:b/>
          <w:color w:val="000000"/>
        </w:rPr>
      </w:pPr>
      <w:r>
        <w:rPr>
          <w:rFonts w:ascii="Times New Roman;Times;serif" w:hAnsi="Times New Roman;Times;serif"/>
          <w:b/>
          <w:color w:val="000000"/>
        </w:rPr>
        <w:t>EXHIBIT 32.2</w:t>
      </w:r>
    </w:p>
    <w:p>
      <w:pPr>
        <w:pStyle w:val="TextBody"/>
        <w:spacing w:before="0" w:after="0"/>
        <w:rPr/>
      </w:pPr>
      <w:r>
        <w:rPr/>
      </w:r>
    </w:p>
    <w:p>
      <w:pPr>
        <w:pStyle w:val="TextBody"/>
        <w:spacing w:before="0" w:after="0"/>
        <w:jc w:val="center"/>
        <w:rPr>
          <w:rFonts w:ascii="Times New Roman;Times;serif" w:hAnsi="Times New Roman;Times;serif"/>
          <w:b/>
          <w:color w:val="000000"/>
        </w:rPr>
      </w:pPr>
      <w:r>
        <w:rPr>
          <w:rFonts w:ascii="Times New Roman;Times;serif" w:hAnsi="Times New Roman;Times;serif"/>
          <w:b/>
          <w:color w:val="000000"/>
        </w:rPr>
        <w:t>CERTIFICATION PURSUANT TO</w:t>
      </w:r>
    </w:p>
    <w:p>
      <w:pPr>
        <w:pStyle w:val="TextBody"/>
        <w:spacing w:before="0" w:after="0"/>
        <w:jc w:val="center"/>
        <w:rPr>
          <w:rFonts w:ascii="Times New Roman;Times;serif" w:hAnsi="Times New Roman;Times;serif"/>
          <w:b/>
          <w:color w:val="000000"/>
        </w:rPr>
      </w:pPr>
      <w:r>
        <w:rPr>
          <w:rFonts w:ascii="Times New Roman;Times;serif" w:hAnsi="Times New Roman;Times;serif"/>
          <w:b/>
          <w:color w:val="000000"/>
        </w:rPr>
        <w:t>18 U.S.C. 1350</w:t>
      </w:r>
    </w:p>
    <w:p>
      <w:pPr>
        <w:pStyle w:val="TextBody"/>
        <w:spacing w:before="0" w:after="0"/>
        <w:jc w:val="center"/>
        <w:rPr>
          <w:rFonts w:ascii="Times New Roman;Times;serif" w:hAnsi="Times New Roman;Times;serif"/>
          <w:b/>
          <w:color w:val="000000"/>
        </w:rPr>
      </w:pPr>
      <w:r>
        <w:rPr>
          <w:rFonts w:ascii="Times New Roman;Times;serif" w:hAnsi="Times New Roman;Times;serif"/>
          <w:b/>
          <w:color w:val="000000"/>
        </w:rPr>
        <w:t>(SECTION 906 OF THE SARBANES-OXLEY ACT OF 2002)</w:t>
      </w:r>
    </w:p>
    <w:p>
      <w:pPr>
        <w:pStyle w:val="TextBody"/>
        <w:spacing w:before="0" w:after="0"/>
        <w:rPr/>
      </w:pPr>
      <w:r>
        <w:rPr/>
      </w:r>
    </w:p>
    <w:p>
      <w:pPr>
        <w:pStyle w:val="TextBody"/>
        <w:spacing w:before="0" w:after="0"/>
        <w:rPr>
          <w:rFonts w:ascii="Times New Roman;Times;serif" w:hAnsi="Times New Roman;Times;serif"/>
          <w:color w:val="000000"/>
        </w:rPr>
      </w:pPr>
      <w:r>
        <w:rPr>
          <w:rFonts w:ascii="Times New Roman;Times;serif" w:hAnsi="Times New Roman;Times;serif"/>
          <w:color w:val="000000"/>
        </w:rPr>
        <w:t>In connection with the Annual Report of Arya Sciences Acquisition Corp III (the “</w:t>
      </w:r>
      <w:r>
        <w:rPr>
          <w:rFonts w:ascii="Times New Roman;Times;serif" w:hAnsi="Times New Roman;Times;serif"/>
          <w:color w:val="000000"/>
          <w:u w:val="single"/>
        </w:rPr>
        <w:t>Company</w:t>
      </w:r>
      <w:r>
        <w:rPr>
          <w:rFonts w:ascii="Times New Roman;Times;serif" w:hAnsi="Times New Roman;Times;serif"/>
          <w:color w:val="000000"/>
        </w:rPr>
        <w:t>”) on Form 10-K for the year ended December 31, 2020, as filed with the Securities and Exchange Commission on the date hereof (the “</w:t>
      </w:r>
      <w:r>
        <w:rPr>
          <w:rFonts w:ascii="Times New Roman;Times;serif" w:hAnsi="Times New Roman;Times;serif"/>
          <w:color w:val="000000"/>
          <w:u w:val="single"/>
        </w:rPr>
        <w:t>Report</w:t>
      </w:r>
      <w:r>
        <w:rPr>
          <w:rFonts w:ascii="Times New Roman;Times;serif" w:hAnsi="Times New Roman;Times;serif"/>
          <w:color w:val="000000"/>
        </w:rPr>
        <w:t>”), I, Michael Altman, Chief Financial Officer of the Company, certify, pursuant to 18 U.S.C. Section 1350, as adopted pursuant to Section 906 of the Sarbanes-Oxley Act of 2002, that, to the best of my knowledge:</w:t>
      </w:r>
    </w:p>
    <w:p>
      <w:pPr>
        <w:pStyle w:val="TextBody"/>
        <w:spacing w:before="0" w:after="0"/>
        <w:rPr/>
      </w:pPr>
      <w:r>
        <w:rPr/>
      </w:r>
    </w:p>
    <w:p>
      <w:pPr>
        <w:pStyle w:val="Normal"/>
        <w:spacing w:before="0" w:after="0"/>
        <w:rPr>
          <w:sz w:val="4"/>
          <w:szCs w:val="4"/>
        </w:rPr>
      </w:pPr>
      <w:r>
        <w:rPr>
          <w:sz w:val="4"/>
          <w:szCs w:val="4"/>
        </w:rPr>
      </w:r>
      <w:bookmarkStart w:id="1283" w:name="z8af83c3d44a646e8b6b6df0b32534d7b"/>
      <w:bookmarkStart w:id="1284" w:name="z8af83c3d44a646e8b6b6df0b32534d7b"/>
      <w:bookmarkEnd w:id="1284"/>
    </w:p>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w:t>
            </w:r>
          </w:p>
        </w:tc>
        <w:tc>
          <w:tcPr>
            <w:tcW w:w="991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the Report fully complies with the requirements of Section 13(a) or 15(d) of the Securities Exchange Act of 1934; and</w:t>
            </w:r>
          </w:p>
        </w:tc>
      </w:tr>
    </w:tbl>
    <w:p>
      <w:pPr>
        <w:pStyle w:val="TextBody"/>
        <w:spacing w:before="0" w:after="0"/>
        <w:ind w:left="360" w:right="0" w:hanging="360"/>
        <w:rPr/>
      </w:pPr>
      <w:r>
        <w:rPr/>
      </w:r>
    </w:p>
    <w:p>
      <w:pPr>
        <w:pStyle w:val="Normal"/>
        <w:spacing w:before="0" w:after="0"/>
        <w:rPr>
          <w:sz w:val="4"/>
          <w:szCs w:val="4"/>
        </w:rPr>
      </w:pPr>
      <w:r>
        <w:rPr>
          <w:sz w:val="4"/>
          <w:szCs w:val="4"/>
        </w:rPr>
      </w:r>
      <w:bookmarkStart w:id="1285" w:name="z185a7b9254d242988edc3a32a343cf01"/>
      <w:bookmarkStart w:id="1286" w:name="z185a7b9254d242988edc3a32a343cf01"/>
      <w:bookmarkEnd w:id="1286"/>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(2)</w:t>
            </w:r>
          </w:p>
        </w:tc>
        <w:tc>
          <w:tcPr>
            <w:tcW w:w="9922"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the information contained in the Report fairly presents, in all material respects, the financial condition and results of operations of the Company.</w:t>
            </w:r>
          </w:p>
        </w:tc>
      </w:tr>
    </w:tbl>
    <w:p>
      <w:pPr>
        <w:pStyle w:val="TextBody"/>
        <w:spacing w:before="0" w:after="0"/>
        <w:rPr/>
      </w:pPr>
      <w:r>
        <w:rPr/>
      </w:r>
    </w:p>
    <w:p>
      <w:pPr>
        <w:pStyle w:val="Normal"/>
        <w:spacing w:before="0" w:after="0"/>
        <w:rPr>
          <w:sz w:val="4"/>
          <w:szCs w:val="4"/>
        </w:rPr>
      </w:pPr>
      <w:r>
        <w:rPr>
          <w:sz w:val="4"/>
          <w:szCs w:val="4"/>
        </w:rPr>
      </w:r>
      <w:bookmarkStart w:id="1287" w:name="z064d7c8c02be48eca8ab293caf705719"/>
      <w:bookmarkStart w:id="1288" w:name="z064d7c8c02be48eca8ab293caf705719"/>
      <w:bookmarkEnd w:id="1288"/>
    </w:p>
    <w:tbl>
      <w:tblPr>
        <w:tblW w:w="7005" w:type="dxa"/>
        <w:jc w:val="left"/>
        <w:tblInd w:w="0" w:type="dxa"/>
        <w:tblCellMar>
          <w:top w:w="0" w:type="dxa"/>
          <w:left w:w="0" w:type="dxa"/>
          <w:bottom w:w="0" w:type="dxa"/>
          <w:right w:w="0" w:type="dxa"/>
        </w:tblCellMar>
      </w:tblPr>
      <w:tblGrid>
        <w:gridCol w:w="2105"/>
        <w:gridCol w:w="650"/>
        <w:gridCol w:w="4250"/>
      </w:tblGrid>
      <w:tr>
        <w:trPr/>
        <w:tc>
          <w:tcPr>
            <w:tcW w:w="2105" w:type="dxa"/>
            <w:tcBorders/>
            <w:shd w:fill="auto" w:val="clear"/>
            <w:vAlign w:val="center"/>
          </w:tcPr>
          <w:p>
            <w:pPr>
              <w:pStyle w:val="TableContents"/>
              <w:spacing w:before="0" w:after="0"/>
              <w:rPr>
                <w:color w:val="000000"/>
              </w:rPr>
            </w:pPr>
            <w:r>
              <w:rPr>
                <w:color w:val="000000"/>
              </w:rPr>
              <w:t>Date: March 30, 2021</w:t>
            </w:r>
          </w:p>
        </w:tc>
        <w:tc>
          <w:tcPr>
            <w:tcW w:w="650" w:type="dxa"/>
            <w:tcBorders/>
            <w:shd w:fill="auto" w:val="clear"/>
            <w:vAlign w:val="center"/>
          </w:tcPr>
          <w:p>
            <w:pPr>
              <w:pStyle w:val="TableContents"/>
              <w:spacing w:before="0" w:after="283"/>
              <w:rPr/>
            </w:pPr>
            <w:r>
              <w:rPr/>
            </w:r>
          </w:p>
        </w:tc>
        <w:tc>
          <w:tcPr>
            <w:tcW w:w="4250" w:type="dxa"/>
            <w:tcBorders/>
            <w:shd w:fill="auto" w:val="clear"/>
            <w:vAlign w:val="center"/>
          </w:tcPr>
          <w:p>
            <w:pPr>
              <w:pStyle w:val="TableContents"/>
              <w:spacing w:before="0" w:after="283"/>
              <w:rPr/>
            </w:pPr>
            <w:r>
              <w:rPr/>
            </w:r>
          </w:p>
        </w:tc>
      </w:tr>
      <w:tr>
        <w:trPr/>
        <w:tc>
          <w:tcPr>
            <w:tcW w:w="2105" w:type="dxa"/>
            <w:tcBorders/>
            <w:shd w:fill="auto" w:val="clear"/>
            <w:vAlign w:val="center"/>
          </w:tcPr>
          <w:p>
            <w:pPr>
              <w:pStyle w:val="TableContents"/>
              <w:spacing w:before="0" w:after="283"/>
              <w:rPr/>
            </w:pPr>
            <w:r>
              <w:rPr/>
            </w:r>
          </w:p>
        </w:tc>
        <w:tc>
          <w:tcPr>
            <w:tcW w:w="4900" w:type="dxa"/>
            <w:gridSpan w:val="2"/>
            <w:tcBorders>
              <w:bottom w:val="single" w:sz="12" w:space="0" w:color="000000"/>
            </w:tcBorders>
            <w:shd w:fill="auto" w:val="clear"/>
            <w:tcMar>
              <w:bottom w:w="28" w:type="dxa"/>
            </w:tcMar>
            <w:vAlign w:val="center"/>
          </w:tcPr>
          <w:p>
            <w:pPr>
              <w:pStyle w:val="TableContents"/>
              <w:spacing w:before="0" w:after="283"/>
              <w:rPr/>
            </w:pPr>
            <w:r>
              <w:rPr/>
              <w:t>/s/ Michael Altman</w:t>
            </w:r>
          </w:p>
        </w:tc>
      </w:tr>
      <w:tr>
        <w:trPr/>
        <w:tc>
          <w:tcPr>
            <w:tcW w:w="2105" w:type="dxa"/>
            <w:tcBorders/>
            <w:shd w:fill="auto" w:val="clear"/>
            <w:vAlign w:val="center"/>
          </w:tcPr>
          <w:p>
            <w:pPr>
              <w:pStyle w:val="TableContents"/>
              <w:spacing w:before="0" w:after="283"/>
              <w:rPr/>
            </w:pPr>
            <w:r>
              <w:rPr/>
            </w:r>
          </w:p>
        </w:tc>
        <w:tc>
          <w:tcPr>
            <w:tcW w:w="6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Name:</w:t>
            </w:r>
          </w:p>
        </w:tc>
        <w:tc>
          <w:tcPr>
            <w:tcW w:w="42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Michael Altman</w:t>
            </w:r>
          </w:p>
        </w:tc>
      </w:tr>
      <w:tr>
        <w:trPr/>
        <w:tc>
          <w:tcPr>
            <w:tcW w:w="2105" w:type="dxa"/>
            <w:tcBorders/>
            <w:shd w:fill="auto" w:val="clear"/>
            <w:vAlign w:val="center"/>
          </w:tcPr>
          <w:p>
            <w:pPr>
              <w:pStyle w:val="TableContents"/>
              <w:spacing w:before="0" w:after="283"/>
              <w:rPr/>
            </w:pPr>
            <w:r>
              <w:rPr/>
            </w:r>
          </w:p>
        </w:tc>
        <w:tc>
          <w:tcPr>
            <w:tcW w:w="6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Title:</w:t>
            </w:r>
          </w:p>
        </w:tc>
        <w:tc>
          <w:tcPr>
            <w:tcW w:w="425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Chief Financial Officer</w:t>
            </w:r>
          </w:p>
        </w:tc>
      </w:tr>
      <w:tr>
        <w:trPr/>
        <w:tc>
          <w:tcPr>
            <w:tcW w:w="2105" w:type="dxa"/>
            <w:tcBorders/>
            <w:shd w:fill="auto" w:val="clear"/>
            <w:vAlign w:val="center"/>
          </w:tcPr>
          <w:p>
            <w:pPr>
              <w:pStyle w:val="TableContents"/>
              <w:spacing w:before="0" w:after="283"/>
              <w:rPr/>
            </w:pPr>
            <w:r>
              <w:rPr/>
            </w:r>
          </w:p>
        </w:tc>
        <w:tc>
          <w:tcPr>
            <w:tcW w:w="650" w:type="dxa"/>
            <w:tcBorders/>
            <w:shd w:fill="auto" w:val="clear"/>
            <w:vAlign w:val="center"/>
          </w:tcPr>
          <w:p>
            <w:pPr>
              <w:pStyle w:val="TableContents"/>
              <w:spacing w:before="0" w:after="283"/>
              <w:rPr/>
            </w:pPr>
            <w:r>
              <w:rPr/>
            </w:r>
          </w:p>
        </w:tc>
        <w:tc>
          <w:tcPr>
            <w:tcW w:w="4250" w:type="dxa"/>
            <w:tcBorders/>
            <w:shd w:fill="auto" w:val="clear"/>
            <w:vAlign w:val="center"/>
          </w:tcPr>
          <w:p>
            <w:pPr>
              <w:pStyle w:val="TableContents"/>
              <w:spacing w:before="0" w:after="283"/>
              <w:rPr/>
            </w:pPr>
            <w:r>
              <w:rPr/>
              <w:t>(Principal Financial and Accounting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8805/000114036120018194/nt10013610x9_ex3-1.htm" TargetMode="External"/><Relationship Id="rId3" Type="http://schemas.openxmlformats.org/officeDocument/2006/relationships/hyperlink" Target="https://www.sec.gov/Archives/edgar/data/1808805/000114036120016987/nt10013610x3_ex4-1.htm" TargetMode="External"/><Relationship Id="rId4" Type="http://schemas.openxmlformats.org/officeDocument/2006/relationships/hyperlink" Target="https://www.sec.gov/Archives/edgar/data/1808805/000114036120018194/nt10013610x9_ex10-1.htm" TargetMode="External"/><Relationship Id="rId5" Type="http://schemas.openxmlformats.org/officeDocument/2006/relationships/hyperlink" Target="https://www.sec.gov/Archives/edgar/data/1808805/000114036120018194/nt10013610x9_ex10-2.htm" TargetMode="External"/><Relationship Id="rId6" Type="http://schemas.openxmlformats.org/officeDocument/2006/relationships/hyperlink" Target="https://www.sec.gov/Archives/edgar/data/1808805/000114036120018194/nt10013610x9_ex10-3.htm" TargetMode="External"/><Relationship Id="rId7" Type="http://schemas.openxmlformats.org/officeDocument/2006/relationships/hyperlink" Target="https://www.sec.gov/Archives/edgar/data/1808805/000114036120018194/nt10013610x9_ex10-4.htm" TargetMode="External"/><Relationship Id="rId8" Type="http://schemas.openxmlformats.org/officeDocument/2006/relationships/hyperlink" Target="https://www.sec.gov/Archives/edgar/data/1808805/000114036120018194/nt10013610x9_ex10-5.htm" TargetMode="External"/><Relationship Id="rId9" Type="http://schemas.openxmlformats.org/officeDocument/2006/relationships/hyperlink" Target="https://www.sec.gov/Archives/edgar/data/1808805/000114036120016987/nt10013610x3_ex10-4.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76368</Words>
  <CharactersWithSpaces>483899</CharactersWithSpaces>
  <Paragraphs>2939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