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As filed with the Securities and Exchange Commission on February 26, 2026</w: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 xml:space="preserve">Registration No. 333- </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FORM S-8</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REGISTRATION STATEMENT</w:t>
      </w:r>
    </w:p>
    <w:p>
      <w:pPr>
        <w:pStyle w:val="TextBody"/>
        <w:bidi w:val="0"/>
        <w:spacing w:lineRule="auto" w:line="333" w:before="0" w:after="0"/>
        <w:jc w:val="center"/>
        <w:rPr>
          <w:rFonts w:ascii="Times New Roman;serif" w:hAnsi="Times New Roman;serif"/>
          <w:b/>
          <w:i/>
          <w:color w:val="000000"/>
          <w:sz w:val="20"/>
        </w:rPr>
      </w:pPr>
      <w:r>
        <w:rPr>
          <w:rFonts w:ascii="Times New Roman;serif" w:hAnsi="Times New Roman;serif"/>
          <w:b/>
          <w:i/>
          <w:color w:val="000000"/>
          <w:sz w:val="20"/>
        </w:rPr>
        <w:t>Under</w:t>
      </w:r>
    </w:p>
    <w:p>
      <w:pPr>
        <w:pStyle w:val="TextBody"/>
        <w:bidi w:val="0"/>
        <w:spacing w:lineRule="auto" w:line="333" w:before="0" w:after="240"/>
        <w:jc w:val="center"/>
        <w:rPr>
          <w:rFonts w:ascii="Times New Roman;serif" w:hAnsi="Times New Roman;serif"/>
          <w:b/>
          <w:i/>
          <w:color w:val="000000"/>
          <w:sz w:val="20"/>
        </w:rPr>
      </w:pPr>
      <w:r>
        <w:rPr>
          <w:rFonts w:ascii="Times New Roman;serif" w:hAnsi="Times New Roman;serif"/>
          <w:b/>
          <w:i/>
          <w:color w:val="000000"/>
          <w:sz w:val="20"/>
        </w:rPr>
        <w:t>The Securities Act of 1933</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NAUTILUS BIOTECHNOLOGY, INC.</w:t>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4315" w:type="dxa"/>
        <w:jc w:val="center"/>
        <w:tblInd w:w="0" w:type="dxa"/>
        <w:tblLayout w:type="fixed"/>
        <w:tblCellMar>
          <w:top w:w="28" w:type="dxa"/>
          <w:left w:w="28" w:type="dxa"/>
          <w:bottom w:w="28" w:type="dxa"/>
          <w:right w:w="28" w:type="dxa"/>
        </w:tblCellMar>
      </w:tblPr>
      <w:tblGrid>
        <w:gridCol w:w="807"/>
        <w:gridCol w:w="708"/>
        <w:gridCol w:w="719"/>
        <w:gridCol w:w="109"/>
        <w:gridCol w:w="109"/>
        <w:gridCol w:w="109"/>
        <w:gridCol w:w="512"/>
        <w:gridCol w:w="512"/>
        <w:gridCol w:w="730"/>
      </w:tblGrid>
      <w:tr>
        <w:trPr/>
        <w:tc>
          <w:tcPr>
            <w:tcW w:w="807"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98-1541723</w:t>
            </w:r>
          </w:p>
        </w:tc>
      </w:tr>
      <w:tr>
        <w:trPr/>
        <w:tc>
          <w:tcPr>
            <w:tcW w:w="2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r>
          </w:p>
          <w:p>
            <w:pPr>
              <w:pStyle w:val="TableContents"/>
              <w:bidi w:val="0"/>
              <w:spacing w:lineRule="auto" w:line="333" w:before="0" w:after="30"/>
              <w:jc w:val="center"/>
              <w:rPr>
                <w:rFonts w:ascii="Times New Roman;serif" w:hAnsi="Times New Roman;serif"/>
                <w:b w:val="false"/>
                <w:color w:val="000000"/>
                <w:sz w:val="16"/>
              </w:rPr>
            </w:pPr>
            <w:r>
              <w:rPr>
                <w:rFonts w:ascii="Times New Roman;serif" w:hAnsi="Times New Roman;serif"/>
                <w:b w:val="false"/>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r>
          </w:p>
          <w:p>
            <w:pPr>
              <w:pStyle w:val="TableContents"/>
              <w:bidi w:val="0"/>
              <w:spacing w:lineRule="auto" w:line="333" w:before="0" w:after="30"/>
              <w:jc w:val="center"/>
              <w:rPr>
                <w:rFonts w:ascii="Times New Roman;serif" w:hAnsi="Times New Roman;serif"/>
                <w:b w:val="false"/>
                <w:color w:val="000000"/>
                <w:sz w:val="16"/>
              </w:rPr>
            </w:pPr>
            <w:r>
              <w:rPr>
                <w:rFonts w:ascii="Times New Roman;serif" w:hAnsi="Times New Roman;serif"/>
                <w:b w:val="false"/>
                <w:color w:val="000000"/>
                <w:sz w:val="16"/>
              </w:rPr>
              <w:t>Identification Number)</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2701 Eastlake Avenue East</w:t>
      </w:r>
    </w:p>
    <w:p>
      <w:pPr>
        <w:pStyle w:val="TextBody"/>
        <w:bidi w:val="0"/>
        <w:spacing w:lineRule="auto" w:line="333" w:before="0" w:after="120"/>
        <w:jc w:val="center"/>
        <w:rPr>
          <w:rFonts w:ascii="Times New Roman;serif" w:hAnsi="Times New Roman;serif"/>
          <w:b/>
          <w:color w:val="000000"/>
          <w:sz w:val="20"/>
        </w:rPr>
      </w:pPr>
      <w:r>
        <w:rPr>
          <w:rFonts w:ascii="Times New Roman;serif" w:hAnsi="Times New Roman;serif"/>
          <w:b/>
          <w:color w:val="000000"/>
          <w:sz w:val="20"/>
        </w:rPr>
        <w:t>Seattle, Washington 98102</w:t>
      </w:r>
    </w:p>
    <w:p>
      <w:pPr>
        <w:pStyle w:val="TextBody"/>
        <w:bidi w:val="0"/>
        <w:spacing w:lineRule="auto" w:line="333" w:before="0" w:after="12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including zip code)</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2021 Equity Incentive Plan</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2021 Employee Stock Purchase Plan</w:t>
      </w:r>
    </w:p>
    <w:p>
      <w:pPr>
        <w:pStyle w:val="TextBody"/>
        <w:bidi w:val="0"/>
        <w:spacing w:lineRule="auto" w:line="333" w:before="0" w:after="60"/>
        <w:jc w:val="center"/>
        <w:rPr>
          <w:rFonts w:ascii="Times New Roman;serif" w:hAnsi="Times New Roman;serif"/>
          <w:b w:val="false"/>
          <w:color w:val="000000"/>
          <w:sz w:val="16"/>
        </w:rPr>
      </w:pPr>
      <w:r>
        <w:rPr>
          <w:rFonts w:ascii="Times New Roman;serif" w:hAnsi="Times New Roman;serif"/>
          <w:b w:val="false"/>
          <w:color w:val="000000"/>
          <w:sz w:val="16"/>
        </w:rPr>
        <w:t>(Full title of the plan)</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Sujal Patel</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Chief Executive Officer</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2701 Eastlake Avenue East</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Seattle, Washington 98102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(206) 333-2001</w:t>
      </w:r>
    </w:p>
    <w:p>
      <w:pPr>
        <w:pStyle w:val="TextBody"/>
        <w:bidi w:val="0"/>
        <w:spacing w:lineRule="auto" w:line="333" w:before="0" w:after="40"/>
        <w:jc w:val="center"/>
        <w:rPr>
          <w:rFonts w:ascii="Times New Roman;serif" w:hAnsi="Times New Roman;serif"/>
          <w:b w:val="false"/>
          <w:color w:val="000000"/>
          <w:sz w:val="16"/>
        </w:rPr>
      </w:pPr>
      <w:r>
        <w:rPr>
          <w:rFonts w:ascii="Times New Roman;serif" w:hAnsi="Times New Roman;serif"/>
          <w:b w:val="false"/>
          <w:color w:val="000000"/>
          <w:sz w:val="16"/>
        </w:rPr>
        <w:t>(Name, address and telephone number, including area code, of agent for service)</w:t>
      </w:r>
    </w:p>
    <w:p>
      <w:pPr>
        <w:pStyle w:val="TextBody"/>
        <w:bidi w:val="0"/>
        <w:spacing w:lineRule="auto" w:line="333" w:before="0" w:after="240"/>
        <w:jc w:val="left"/>
        <w:rPr>
          <w:rFonts w:ascii="Times New Roman;serif" w:hAnsi="Times New Roman;serif"/>
          <w:b w:val="false"/>
          <w:i/>
          <w:color w:val="000000"/>
          <w:sz w:val="20"/>
        </w:rPr>
      </w:pPr>
      <w:r>
        <w:rPr>
          <w:rFonts w:ascii="Times New Roman;serif" w:hAnsi="Times New Roman;serif"/>
          <w:b w:val="false"/>
          <w:i/>
          <w:color w:val="000000"/>
          <w:sz w:val="20"/>
        </w:rPr>
        <w:t>Copies to:</w:t>
      </w:r>
    </w:p>
    <w:tbl>
      <w:tblPr>
        <w:tblW w:w="5909" w:type="dxa"/>
        <w:jc w:val="left"/>
        <w:tblInd w:w="0" w:type="dxa"/>
        <w:tblLayout w:type="fixed"/>
        <w:tblCellMar>
          <w:top w:w="28" w:type="dxa"/>
          <w:left w:w="28" w:type="dxa"/>
          <w:bottom w:w="28" w:type="dxa"/>
          <w:right w:w="28" w:type="dxa"/>
        </w:tblCellMar>
      </w:tblPr>
      <w:tblGrid>
        <w:gridCol w:w="1253"/>
        <w:gridCol w:w="1102"/>
        <w:gridCol w:w="1110"/>
        <w:gridCol w:w="714"/>
        <w:gridCol w:w="714"/>
        <w:gridCol w:w="1016"/>
      </w:tblGrid>
      <w:tr>
        <w:trPr/>
        <w:tc>
          <w:tcPr>
            <w:tcW w:w="125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20"/>
              </w:rPr>
            </w:pPr>
            <w:r>
              <w:rPr>
                <w:rFonts w:ascii="Times New Roman;serif" w:hAnsi="Times New Roman;serif"/>
                <w:b/>
                <w:color w:val="000000"/>
                <w:sz w:val="20"/>
              </w:rPr>
              <w:t>Zachary B. Myers</w:t>
            </w:r>
          </w:p>
          <w:p>
            <w:pPr>
              <w:pStyle w:val="TableContents"/>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Benjamin Capps</w:t>
            </w:r>
          </w:p>
          <w:p>
            <w:pPr>
              <w:pStyle w:val="TableContents"/>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Wilson Sonsini Goodrich &amp; Rosati, P.C.</w:t>
            </w:r>
          </w:p>
          <w:p>
            <w:pPr>
              <w:pStyle w:val="TableContents"/>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650 Page Mill Road</w:t>
            </w:r>
          </w:p>
          <w:p>
            <w:pPr>
              <w:pStyle w:val="TableContents"/>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Palo Alto, California 94304</w:t>
            </w:r>
          </w:p>
          <w:p>
            <w:pPr>
              <w:pStyle w:val="TableContents"/>
              <w:bidi w:val="0"/>
              <w:spacing w:lineRule="auto" w:line="333" w:before="0" w:after="30"/>
              <w:jc w:val="center"/>
              <w:rPr>
                <w:rFonts w:ascii="Times New Roman;serif" w:hAnsi="Times New Roman;serif"/>
                <w:b/>
                <w:color w:val="000000"/>
                <w:sz w:val="20"/>
              </w:rPr>
            </w:pPr>
            <w:r>
              <w:rPr>
                <w:rFonts w:ascii="Times New Roman;serif" w:hAnsi="Times New Roman;serif"/>
                <w:b/>
                <w:color w:val="000000"/>
                <w:sz w:val="20"/>
              </w:rPr>
              <w:t>(650) 493-9300</w:t>
            </w:r>
          </w:p>
        </w:tc>
        <w:tc>
          <w:tcPr>
            <w:tcW w:w="2444"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20"/>
              </w:rPr>
            </w:pPr>
            <w:r>
              <w:rPr>
                <w:rFonts w:ascii="Times New Roman;serif" w:hAnsi="Times New Roman;serif"/>
                <w:b/>
                <w:color w:val="000000"/>
                <w:sz w:val="20"/>
              </w:rPr>
              <w:t>Matthew Murphy</w:t>
            </w:r>
          </w:p>
          <w:p>
            <w:pPr>
              <w:pStyle w:val="TableContents"/>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General Counsel</w:t>
            </w:r>
          </w:p>
          <w:p>
            <w:pPr>
              <w:pStyle w:val="TableContents"/>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2701 Eastlake Avenue East</w:t>
            </w:r>
          </w:p>
          <w:p>
            <w:pPr>
              <w:pStyle w:val="TableContents"/>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Seattle, Washington 98102 </w:t>
            </w:r>
          </w:p>
          <w:p>
            <w:pPr>
              <w:pStyle w:val="TableContents"/>
              <w:bidi w:val="0"/>
              <w:spacing w:lineRule="auto" w:line="333" w:before="0" w:after="30"/>
              <w:jc w:val="center"/>
              <w:rPr>
                <w:rFonts w:ascii="Times New Roman;serif" w:hAnsi="Times New Roman;serif"/>
                <w:b/>
                <w:color w:val="000000"/>
                <w:sz w:val="20"/>
              </w:rPr>
            </w:pPr>
            <w:r>
              <w:rPr>
                <w:rFonts w:ascii="Times New Roman;serif" w:hAnsi="Times New Roman;serif"/>
                <w:b/>
                <w:color w:val="000000"/>
                <w:sz w:val="20"/>
              </w:rPr>
              <w:t>(206) 333-2001</w:t>
            </w:r>
          </w:p>
        </w:tc>
      </w:tr>
    </w:tbl>
    <w:p>
      <w:pPr>
        <w:pStyle w:val="TextBody"/>
        <w:bidi w:val="0"/>
        <w:spacing w:lineRule="auto" w:line="333" w:before="0" w:after="2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84" w:type="dxa"/>
        <w:jc w:val="left"/>
        <w:tblInd w:w="0" w:type="dxa"/>
        <w:tblLayout w:type="fixed"/>
        <w:tblCellMar>
          <w:top w:w="28" w:type="dxa"/>
          <w:left w:w="28" w:type="dxa"/>
          <w:bottom w:w="28" w:type="dxa"/>
          <w:right w:w="28" w:type="dxa"/>
        </w:tblCellMar>
      </w:tblPr>
      <w:tblGrid>
        <w:gridCol w:w="787"/>
        <w:gridCol w:w="693"/>
        <w:gridCol w:w="695"/>
        <w:gridCol w:w="763"/>
        <w:gridCol w:w="763"/>
        <w:gridCol w:w="1083"/>
      </w:tblGrid>
      <w:tr>
        <w:trPr/>
        <w:tc>
          <w:tcPr>
            <w:tcW w:w="78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333" w:before="53" w:after="30"/>
              <w:jc w:val="left"/>
              <w:rPr/>
            </w:pPr>
            <w:r>
              <w:rPr>
                <w:rFonts w:ascii="Times New Roman;serif" w:hAnsi="Times New Roman;serif"/>
                <w:b w:val="false"/>
                <w:color w:val="000000"/>
                <w:sz w:val="20"/>
              </w:rPr>
              <w:t xml:space="preserve">Large accelerated filer </w:t>
            </w:r>
            <w:r>
              <w:rPr>
                <w:color w:val="000000"/>
              </w:rPr>
              <w:t>☐</w:t>
            </w:r>
          </w:p>
        </w:tc>
        <w:tc>
          <w:tcPr>
            <w:tcW w:w="2609" w:type="dxa"/>
            <w:gridSpan w:val="3"/>
            <w:tcBorders/>
            <w:tcMar>
              <w:top w:w="0" w:type="dxa"/>
              <w:left w:w="0" w:type="dxa"/>
              <w:bottom w:w="0" w:type="dxa"/>
              <w:right w:w="0" w:type="dxa"/>
            </w:tcMar>
            <w:vAlign w:val="center"/>
          </w:tcPr>
          <w:p>
            <w:pPr>
              <w:pStyle w:val="TableContents"/>
              <w:bidi w:val="0"/>
              <w:spacing w:lineRule="auto" w:line="333" w:before="53" w:after="30"/>
              <w:jc w:val="left"/>
              <w:rPr/>
            </w:pPr>
            <w:r>
              <w:rPr>
                <w:rFonts w:ascii="Times New Roman;serif" w:hAnsi="Times New Roman;serif"/>
                <w:b w:val="false"/>
                <w:color w:val="000000"/>
                <w:sz w:val="20"/>
              </w:rPr>
              <w:t xml:space="preserve">Accelerated filer </w:t>
            </w:r>
            <w:r>
              <w:rPr>
                <w:color w:val="000000"/>
              </w:rPr>
              <w:t>☐</w:t>
            </w:r>
          </w:p>
        </w:tc>
      </w:tr>
      <w:tr>
        <w:trPr/>
        <w:tc>
          <w:tcPr>
            <w:tcW w:w="2175" w:type="dxa"/>
            <w:gridSpan w:val="3"/>
            <w:tcBorders/>
            <w:tcMar>
              <w:top w:w="0" w:type="dxa"/>
              <w:left w:w="0" w:type="dxa"/>
              <w:bottom w:w="0" w:type="dxa"/>
              <w:right w:w="0" w:type="dxa"/>
            </w:tcMar>
            <w:vAlign w:val="center"/>
          </w:tcPr>
          <w:p>
            <w:pPr>
              <w:pStyle w:val="TableContents"/>
              <w:bidi w:val="0"/>
              <w:spacing w:lineRule="auto" w:line="333" w:before="53" w:after="30"/>
              <w:jc w:val="left"/>
              <w:rPr/>
            </w:pPr>
            <w:r>
              <w:rPr>
                <w:rFonts w:ascii="Times New Roman;serif" w:hAnsi="Times New Roman;serif"/>
                <w:b w:val="false"/>
                <w:color w:val="000000"/>
                <w:sz w:val="20"/>
              </w:rPr>
              <w:t xml:space="preserve">Non-accelerated filer </w:t>
            </w:r>
            <w:r>
              <w:rPr>
                <w:color w:val="000000"/>
              </w:rPr>
              <w:t>☒</w:t>
            </w:r>
          </w:p>
        </w:tc>
        <w:tc>
          <w:tcPr>
            <w:tcW w:w="2609" w:type="dxa"/>
            <w:gridSpan w:val="3"/>
            <w:tcBorders/>
            <w:tcMar>
              <w:top w:w="0" w:type="dxa"/>
              <w:left w:w="0" w:type="dxa"/>
              <w:bottom w:w="0" w:type="dxa"/>
              <w:right w:w="0" w:type="dxa"/>
            </w:tcMar>
            <w:vAlign w:val="center"/>
          </w:tcPr>
          <w:p>
            <w:pPr>
              <w:pStyle w:val="TableContents"/>
              <w:bidi w:val="0"/>
              <w:spacing w:lineRule="auto" w:line="333" w:before="53" w:after="30"/>
              <w:jc w:val="left"/>
              <w:rPr/>
            </w:pPr>
            <w:r>
              <w:rPr>
                <w:rFonts w:ascii="Times New Roman;serif" w:hAnsi="Times New Roman;serif"/>
                <w:b w:val="false"/>
                <w:color w:val="000000"/>
                <w:sz w:val="20"/>
              </w:rPr>
              <w:t xml:space="preserve">Smaller reporting company </w:t>
            </w:r>
            <w:r>
              <w:rPr>
                <w:color w:val="000000"/>
              </w:rPr>
              <w:t>☒</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333" w:before="53" w:after="30"/>
              <w:jc w:val="left"/>
              <w:rPr/>
            </w:pPr>
            <w:r>
              <w:rPr>
                <w:rFonts w:ascii="Times New Roman;serif" w:hAnsi="Times New Roman;serif"/>
                <w:b w:val="false"/>
                <w:color w:val="000000"/>
                <w:sz w:val="20"/>
              </w:rPr>
              <w:t xml:space="preserve">Emerging growth company </w:t>
            </w:r>
            <w:r>
              <w:rPr>
                <w:color w:val="000000"/>
              </w:rPr>
              <w:t>☐</w:t>
            </w:r>
          </w:p>
        </w:tc>
      </w:tr>
    </w:tbl>
    <w:p>
      <w:pPr>
        <w:pStyle w:val="TextBody"/>
        <w:bidi w:val="0"/>
        <w:spacing w:lineRule="auto" w:line="333" w:before="0" w:after="24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REGISTRATION OF ADDITIONAL SECURITIES PURSUANT TO GENERAL INSTRUCTION E</w:t>
      </w:r>
    </w:p>
    <w:p>
      <w:pPr>
        <w:pStyle w:val="TextBody"/>
        <w:bidi w:val="0"/>
        <w:spacing w:lineRule="auto" w:line="333" w:before="0" w:after="240"/>
        <w:ind w:left="0" w:right="0" w:firstLine="720"/>
        <w:jc w:val="both"/>
        <w:rPr/>
      </w:pPr>
      <w:r>
        <w:rPr>
          <w:rFonts w:ascii="Times New Roman;serif" w:hAnsi="Times New Roman;serif"/>
          <w:b w:val="false"/>
          <w:color w:val="000000"/>
          <w:sz w:val="20"/>
          <w:shd w:fill="FFFFFF" w:val="clear"/>
        </w:rPr>
        <w:t xml:space="preserve">This Registration Statement on Form S-8 (the “Registration Statement”) is being filed to register an additional 6,323,480 shares of common stock of Nautilus Biotechnology, Inc. (the “Registrant”) reserved </w:t>
      </w:r>
      <w:r>
        <w:rPr>
          <w:rFonts w:ascii="Times New Roman;serif" w:hAnsi="Times New Roman;serif"/>
          <w:b w:val="false"/>
          <w:color w:val="000000"/>
          <w:sz w:val="20"/>
        </w:rPr>
        <w:t xml:space="preserve">for issuance pursuant to future awards under the Registrant’s 2021 Equity Incentive Plan (the “2021 Plan”) as a result of the annual evergreen increase under the 2021 Plan </w:t>
      </w:r>
      <w:r>
        <w:rPr>
          <w:rFonts w:ascii="Times New Roman;serif" w:hAnsi="Times New Roman;serif"/>
          <w:b w:val="false"/>
          <w:color w:val="000000"/>
          <w:sz w:val="20"/>
          <w:shd w:fill="FFFFFF" w:val="clear"/>
        </w:rPr>
        <w:t xml:space="preserve">and 1,264,696 shares of Common Stock of the Registrant reserved for issuance </w:t>
      </w:r>
      <w:r>
        <w:rPr>
          <w:rFonts w:ascii="Times New Roman;serif" w:hAnsi="Times New Roman;serif"/>
          <w:b w:val="false"/>
          <w:color w:val="000000"/>
          <w:sz w:val="20"/>
        </w:rPr>
        <w:t>pursuant to future awards under the 2021 Employee Stock Purchase Plan (the “2021 ESPP”) as a result of the annual evergreen increase under the 2021 ESPP</w:t>
      </w:r>
      <w:r>
        <w:rPr>
          <w:rFonts w:ascii="Times New Roman;serif" w:hAnsi="Times New Roman;serif"/>
          <w:b w:val="false"/>
          <w:color w:val="000000"/>
          <w:sz w:val="20"/>
          <w:shd w:fill="FFFFFF" w:val="clear"/>
        </w:rPr>
        <w:t xml:space="preserve">. </w:t>
      </w:r>
    </w:p>
    <w:p>
      <w:pPr>
        <w:pStyle w:val="TextBody"/>
        <w:bidi w:val="0"/>
        <w:spacing w:lineRule="auto" w:line="333" w:before="0" w:after="240"/>
        <w:ind w:left="0" w:right="0" w:firstLine="720"/>
        <w:jc w:val="both"/>
        <w:rPr/>
      </w:pPr>
      <w:r>
        <w:rPr>
          <w:rFonts w:ascii="Times New Roman;serif" w:hAnsi="Times New Roman;serif"/>
          <w:b w:val="false"/>
          <w:color w:val="000000"/>
          <w:sz w:val="20"/>
          <w:shd w:fill="FFFFFF" w:val="clear"/>
        </w:rPr>
        <w:t xml:space="preserve">These additional shares of common stock are securities of the same class as other securities for which previous Registration Statements on Form S-8 were filed by the Registrant with the Securities and Exchange Commission (the “SEC”) on </w:t>
      </w:r>
      <w:hyperlink r:id="rId2">
        <w:r>
          <w:rPr>
            <w:rStyle w:val="InternetLink"/>
            <w:rFonts w:ascii="Times New Roman;serif" w:hAnsi="Times New Roman;serif"/>
            <w:b w:val="false"/>
            <w:color w:val="0000FF"/>
            <w:sz w:val="20"/>
            <w:u w:val="single"/>
            <w:shd w:fill="FFFFFF" w:val="clear"/>
          </w:rPr>
          <w:t>August 10, 2021</w:t>
        </w:r>
      </w:hyperlink>
      <w:r>
        <w:rPr>
          <w:color w:val="000000"/>
          <w:shd w:fill="FFFFFF" w:val="clear"/>
        </w:rPr>
        <w:t xml:space="preserve"> </w:t>
      </w:r>
      <w:r>
        <w:rPr>
          <w:rFonts w:ascii="Times New Roman;serif" w:hAnsi="Times New Roman;serif"/>
          <w:b w:val="false"/>
          <w:color w:val="000000"/>
          <w:sz w:val="20"/>
          <w:shd w:fill="FFFFFF" w:val="clear"/>
        </w:rPr>
        <w:t xml:space="preserve">(File No. 333-258684), </w:t>
      </w:r>
      <w:hyperlink r:id="rId3">
        <w:r>
          <w:rPr>
            <w:rStyle w:val="InternetLink"/>
            <w:rFonts w:ascii="Times New Roman;serif" w:hAnsi="Times New Roman;serif"/>
            <w:b w:val="false"/>
            <w:color w:val="0000FF"/>
            <w:sz w:val="20"/>
            <w:u w:val="single"/>
            <w:shd w:fill="FFFFFF" w:val="clear"/>
          </w:rPr>
          <w:t>February 24, 2022</w:t>
        </w:r>
      </w:hyperlink>
      <w:r>
        <w:rPr>
          <w:color w:val="000000"/>
          <w:shd w:fill="FFFFFF" w:val="clear"/>
        </w:rPr>
        <w:t xml:space="preserve"> </w:t>
      </w:r>
      <w:r>
        <w:rPr>
          <w:rFonts w:ascii="Times New Roman;serif" w:hAnsi="Times New Roman;serif"/>
          <w:b w:val="false"/>
          <w:color w:val="000000"/>
          <w:sz w:val="20"/>
          <w:shd w:fill="FFFFFF" w:val="clear"/>
        </w:rPr>
        <w:t xml:space="preserve">(File No. 333-262992), </w:t>
      </w:r>
      <w:hyperlink r:id="rId4">
        <w:r>
          <w:rPr>
            <w:rStyle w:val="InternetLink"/>
            <w:rFonts w:ascii="Times New Roman;serif" w:hAnsi="Times New Roman;serif"/>
            <w:b w:val="false"/>
            <w:color w:val="0000FF"/>
            <w:sz w:val="20"/>
            <w:u w:val="single"/>
            <w:shd w:fill="FFFFFF" w:val="clear"/>
          </w:rPr>
          <w:t>February 23, 2023</w:t>
        </w:r>
      </w:hyperlink>
      <w:r>
        <w:rPr>
          <w:color w:val="000000"/>
          <w:shd w:fill="FFFFFF" w:val="clear"/>
        </w:rPr>
        <w:t xml:space="preserve"> </w:t>
      </w:r>
      <w:r>
        <w:rPr>
          <w:rFonts w:ascii="Times New Roman;serif" w:hAnsi="Times New Roman;serif"/>
          <w:b w:val="false"/>
          <w:color w:val="000000"/>
          <w:sz w:val="20"/>
          <w:shd w:fill="FFFFFF" w:val="clear"/>
        </w:rPr>
        <w:t xml:space="preserve">(File No. 333-269950), </w:t>
      </w:r>
      <w:hyperlink r:id="rId5">
        <w:r>
          <w:rPr>
            <w:rStyle w:val="InternetLink"/>
            <w:rFonts w:ascii="Times New Roman;serif" w:hAnsi="Times New Roman;serif"/>
            <w:b w:val="false"/>
            <w:color w:val="0000FF"/>
            <w:sz w:val="20"/>
            <w:u w:val="single"/>
            <w:shd w:fill="FFFFFF" w:val="clear"/>
          </w:rPr>
          <w:t>February 28, 2024</w:t>
        </w:r>
      </w:hyperlink>
      <w:r>
        <w:rPr>
          <w:color w:val="000000"/>
          <w:shd w:fill="FFFFFF" w:val="clear"/>
        </w:rPr>
        <w:t xml:space="preserve"> </w:t>
      </w:r>
      <w:r>
        <w:rPr>
          <w:rFonts w:ascii="Times New Roman;serif" w:hAnsi="Times New Roman;serif"/>
          <w:b w:val="false"/>
          <w:color w:val="000000"/>
          <w:sz w:val="20"/>
          <w:shd w:fill="FFFFFF" w:val="clear"/>
        </w:rPr>
        <w:t xml:space="preserve">(File No. 333-277436) and </w:t>
      </w:r>
      <w:hyperlink r:id="rId6">
        <w:r>
          <w:rPr>
            <w:rStyle w:val="InternetLink"/>
            <w:rFonts w:ascii="Times New Roman;serif" w:hAnsi="Times New Roman;serif"/>
            <w:b w:val="false"/>
            <w:color w:val="0000FF"/>
            <w:sz w:val="20"/>
            <w:u w:val="single"/>
            <w:shd w:fill="FFFFFF" w:val="clear"/>
          </w:rPr>
          <w:t>February 27, 2025</w:t>
        </w:r>
      </w:hyperlink>
      <w:r>
        <w:rPr>
          <w:color w:val="000000"/>
          <w:shd w:fill="FFFFFF" w:val="clear"/>
        </w:rPr>
        <w:t xml:space="preserve"> </w:t>
      </w:r>
      <w:r>
        <w:rPr>
          <w:rFonts w:ascii="Times New Roman;serif" w:hAnsi="Times New Roman;serif"/>
          <w:b w:val="false"/>
          <w:color w:val="000000"/>
          <w:sz w:val="20"/>
        </w:rPr>
        <w:t xml:space="preserve">(File No. 333-285356) </w:t>
      </w:r>
      <w:r>
        <w:rPr>
          <w:rFonts w:ascii="Times New Roman;serif" w:hAnsi="Times New Roman;serif"/>
          <w:b w:val="false"/>
          <w:color w:val="000000"/>
          <w:sz w:val="20"/>
          <w:shd w:fill="FFFFFF" w:val="clear"/>
        </w:rPr>
        <w:t>(the “Previous Registration Statements”). In accordance with General Instruction E of Form S-8, the contents of the Previous Registration Statements, including periodic reports filed after the Previous Registration Statements to maintain current information about the Registrant, are incorporated by reference into this Registration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center"/>
        <w:rPr/>
      </w:pPr>
      <w:r>
        <w:rPr>
          <w:rFonts w:ascii="Times New Roman;serif" w:hAnsi="Times New Roman;serif"/>
          <w:b/>
          <w:color w:val="000000"/>
          <w:sz w:val="20"/>
        </w:rPr>
        <w:t>PART II</w:t>
      </w:r>
      <w:r>
        <w:rPr>
          <w:color w:val="000000"/>
        </w:rPr>
        <w:t xml:space="preserve"> </w:t>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INFORMATION REQUIRED IN REGISTRATION STATEMENT</w:t>
      </w:r>
    </w:p>
    <w:p>
      <w:pPr>
        <w:pStyle w:val="TextBody"/>
        <w:bidi w:val="0"/>
        <w:spacing w:lineRule="auto" w:line="333" w:before="0" w:after="240"/>
        <w:jc w:val="left"/>
        <w:rPr>
          <w:rFonts w:ascii="Times New Roman;serif" w:hAnsi="Times New Roman;serif"/>
          <w:b/>
          <w:color w:val="000000"/>
          <w:sz w:val="20"/>
        </w:rPr>
      </w:pPr>
      <w:r>
        <w:rPr>
          <w:rFonts w:ascii="Times New Roman;serif" w:hAnsi="Times New Roman;serif"/>
          <w:b/>
          <w:color w:val="000000"/>
          <w:sz w:val="20"/>
        </w:rPr>
        <w:t>Item 3. Incorporation of Documents by Reference.</w:t>
      </w:r>
    </w:p>
    <w:p>
      <w:pPr>
        <w:pStyle w:val="TextBody"/>
        <w:bidi w:val="0"/>
        <w:spacing w:lineRule="auto" w:line="333"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Registrant hereby incorporates by reference into this registration statement (the “Registration Statement”) the following documents previously filed with the SEC:</w:t>
      </w:r>
    </w:p>
    <w:p>
      <w:pPr>
        <w:pStyle w:val="TextBody"/>
        <w:bidi w:val="0"/>
        <w:spacing w:lineRule="auto" w:line="333" w:before="1" w:after="240"/>
        <w:ind w:left="0" w:right="0" w:hanging="720"/>
        <w:jc w:val="both"/>
        <w:rPr/>
      </w:pPr>
      <w:r>
        <w:rPr>
          <w:rFonts w:ascii="Times New Roman;serif" w:hAnsi="Times New Roman;serif"/>
          <w:b w:val="false"/>
          <w:color w:val="000000"/>
          <w:sz w:val="20"/>
        </w:rPr>
        <w:t xml:space="preserve">(1)The Registrant's Annual Report on </w:t>
      </w:r>
      <w:hyperlink r:id="rId7">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(File No. 001-39434) for the fiscal year ended December 31, 2025 filed with the SEC on February 26, 2026;</w:t>
      </w:r>
    </w:p>
    <w:p>
      <w:pPr>
        <w:pStyle w:val="TextBody"/>
        <w:bidi w:val="0"/>
        <w:spacing w:lineRule="auto" w:line="333" w:before="1" w:after="1"/>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(2)All other reports filed with the Commission pursuant to Sections 13(a) or 15(d) of the Securities Exchange Act of 1934, as amended (the “Exchange Act”) since the end of the fiscal year covered by the Registrant’s Annual Report referred to in (1) above (other than the portions of these documents not deemed to be filed); and</w:t>
      </w:r>
    </w:p>
    <w:p>
      <w:pPr>
        <w:pStyle w:val="TextBody"/>
        <w:bidi w:val="0"/>
        <w:spacing w:before="0" w:after="0"/>
        <w:ind w:left="0" w:right="0" w:hanging="360"/>
        <w:jc w:val="both"/>
        <w:rPr/>
      </w:pPr>
      <w:r>
        <w:rPr/>
      </w:r>
    </w:p>
    <w:p>
      <w:pPr>
        <w:pStyle w:val="TextBody"/>
        <w:bidi w:val="0"/>
        <w:spacing w:lineRule="auto" w:line="333" w:before="1" w:after="1"/>
        <w:ind w:left="0" w:right="0" w:hanging="720"/>
        <w:jc w:val="both"/>
        <w:rPr/>
      </w:pPr>
      <w:r>
        <w:rPr>
          <w:rFonts w:ascii="Times New Roman;serif" w:hAnsi="Times New Roman;serif"/>
          <w:b w:val="false"/>
          <w:color w:val="000000"/>
          <w:sz w:val="20"/>
        </w:rPr>
        <w:t xml:space="preserve">(3)The description of the Registrant’s Common Stock contained in the Registrant’s Registration Statement on </w:t>
      </w:r>
      <w:hyperlink r:id="rId8">
        <w:r>
          <w:rPr>
            <w:rStyle w:val="InternetLink"/>
            <w:rFonts w:ascii="Times New Roman;serif" w:hAnsi="Times New Roman;serif"/>
            <w:b w:val="false"/>
            <w:color w:val="0000FF"/>
            <w:sz w:val="20"/>
            <w:u w:val="single"/>
          </w:rPr>
          <w:t>Form 8-A</w:t>
        </w:r>
      </w:hyperlink>
      <w:r>
        <w:rPr>
          <w:color w:val="000000"/>
        </w:rPr>
        <w:t xml:space="preserve"> </w:t>
      </w:r>
      <w:r>
        <w:rPr>
          <w:rFonts w:ascii="Times New Roman;serif" w:hAnsi="Times New Roman;serif"/>
          <w:b w:val="false"/>
          <w:color w:val="000000"/>
          <w:sz w:val="20"/>
        </w:rPr>
        <w:t>filed with the SEC on August 6, 2020 pursuant to Section 12(b) of the Exchange Act, including any amendment or report filed for the purpose of updating such description.</w:t>
      </w:r>
    </w:p>
    <w:p>
      <w:pPr>
        <w:pStyle w:val="TextBody"/>
        <w:bidi w:val="0"/>
        <w:spacing w:before="1" w:after="1"/>
        <w:jc w:val="both"/>
        <w:rPr/>
      </w:pPr>
      <w:r>
        <w:rPr/>
      </w:r>
    </w:p>
    <w:p>
      <w:pPr>
        <w:pStyle w:val="TextBody"/>
        <w:bidi w:val="0"/>
        <w:spacing w:lineRule="auto" w:line="333" w:before="0" w:after="240"/>
        <w:ind w:left="0" w:right="0" w:firstLine="720"/>
        <w:jc w:val="both"/>
        <w:rPr/>
      </w:pPr>
      <w:r>
        <w:rPr>
          <w:rFonts w:ascii="Times New Roman;serif" w:hAnsi="Times New Roman;serif"/>
          <w:b w:val="false"/>
          <w:color w:val="000000"/>
          <w:sz w:val="20"/>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documents or information deemed to have been furnished and not filed in accordance with the rules of the SEC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Interests of Named Experts and Counsel.</w:t>
      </w:r>
    </w:p>
    <w:p>
      <w:pPr>
        <w:pStyle w:val="TextBody"/>
        <w:bidi w:val="0"/>
        <w:spacing w:before="0" w:after="0"/>
        <w:jc w:val="left"/>
        <w:rPr/>
      </w:pPr>
      <w:r>
        <w:rPr/>
      </w:r>
    </w:p>
    <w:p>
      <w:pPr>
        <w:pStyle w:val="TextBody"/>
        <w:bidi w:val="0"/>
        <w:spacing w:lineRule="auto" w:line="333"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validity of the issuance of the shares of the Registrant’s common stock offered hereby has been passed upon by Wilson Sonsini Goodrich &amp; Rosati, Professional Corporation (“WSGR”). Certain members of, and investment partnerships comprised of members of, and persons associated with, WSGR, directly or indirectly, own less than 0.2% of the outstanding shares of the Registrant's Common Stock.</w:t>
      </w:r>
    </w:p>
    <w:p>
      <w:pPr>
        <w:pStyle w:val="TextBody"/>
        <w:bidi w:val="0"/>
        <w:spacing w:lineRule="auto" w:line="333" w:before="0" w:after="240"/>
        <w:jc w:val="both"/>
        <w:rPr>
          <w:rFonts w:ascii="Times New Roman;serif" w:hAnsi="Times New Roman;serif"/>
          <w:b/>
          <w:color w:val="000000"/>
          <w:sz w:val="20"/>
        </w:rPr>
      </w:pPr>
      <w:r>
        <w:rPr>
          <w:rFonts w:ascii="Times New Roman;serif" w:hAnsi="Times New Roman;serif"/>
          <w:b/>
          <w:color w:val="000000"/>
          <w:sz w:val="20"/>
        </w:rPr>
        <w:t>Item 8. Exhibits.</w:t>
      </w:r>
    </w:p>
    <w:p>
      <w:pPr>
        <w:pStyle w:val="TextBody"/>
        <w:bidi w:val="0"/>
        <w:spacing w:lineRule="auto" w:line="333"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Registrant has filed the exhibits listed on the accompanying Exhibit Index of this Registration Statement.</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II-1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II-1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EXHIBIT INDEX </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578"/>
        <w:gridCol w:w="1490"/>
        <w:gridCol w:w="1449"/>
        <w:gridCol w:w="109"/>
        <w:gridCol w:w="109"/>
        <w:gridCol w:w="109"/>
        <w:gridCol w:w="195"/>
        <w:gridCol w:w="195"/>
        <w:gridCol w:w="196"/>
        <w:gridCol w:w="110"/>
        <w:gridCol w:w="110"/>
        <w:gridCol w:w="110"/>
        <w:gridCol w:w="348"/>
        <w:gridCol w:w="301"/>
        <w:gridCol w:w="237"/>
        <w:gridCol w:w="110"/>
        <w:gridCol w:w="110"/>
        <w:gridCol w:w="110"/>
        <w:gridCol w:w="245"/>
        <w:gridCol w:w="245"/>
        <w:gridCol w:w="246"/>
        <w:gridCol w:w="110"/>
        <w:gridCol w:w="110"/>
        <w:gridCol w:w="110"/>
        <w:gridCol w:w="329"/>
        <w:gridCol w:w="284"/>
        <w:gridCol w:w="412"/>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811" w:type="dxa"/>
            <w:gridSpan w:val="3"/>
            <w:vMerge w:val="restart"/>
            <w:tcBorders/>
            <w:tcMar>
              <w:top w:w="0" w:type="dxa"/>
              <w:left w:w="0" w:type="dxa"/>
              <w:bottom w:w="0" w:type="dxa"/>
              <w:right w:w="0" w:type="dxa"/>
            </w:tcMar>
            <w:vAlign w:val="center"/>
          </w:tcPr>
          <w:p>
            <w:pPr>
              <w:pStyle w:val="TableContents"/>
              <w:bidi w:val="0"/>
              <w:spacing w:lineRule="auto" w:line="333" w:before="53" w:after="283"/>
              <w:jc w:val="left"/>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333" w:before="0" w:after="30"/>
              <w:jc w:val="left"/>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r>
      <w:tr>
        <w:trPr/>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 No.</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Filing Date</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30"/>
              <w:jc w:val="left"/>
              <w:rPr/>
            </w:pPr>
            <w:hyperlink r:id="rId9">
              <w:r>
                <w:rPr>
                  <w:rStyle w:val="InternetLink"/>
                  <w:rFonts w:ascii="Times New Roman;serif" w:hAnsi="Times New Roman;serif"/>
                  <w:b w:val="false"/>
                  <w:color w:val="0000FF"/>
                  <w:sz w:val="20"/>
                  <w:u w:val="single"/>
                </w:rPr>
                <w:t>Certificate of Incorporation of Nautilus Biotechnology,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001-39434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10, 2021</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r:id="rId10">
              <w:r>
                <w:rPr>
                  <w:rStyle w:val="InternetLink"/>
                  <w:rFonts w:ascii="Times New Roman;serif" w:hAnsi="Times New Roman;serif"/>
                  <w:b w:val="false"/>
                  <w:color w:val="0000FF"/>
                  <w:sz w:val="20"/>
                  <w:u w:val="single"/>
                </w:rPr>
                <w:t>Amended and Restated Bylaws of Nautilus Biotechnology,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001-39434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August 2, 2023</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r:id="rId11">
              <w:r>
                <w:rPr>
                  <w:rStyle w:val="InternetLink"/>
                  <w:rFonts w:ascii="Times New Roman;serif" w:hAnsi="Times New Roman;serif"/>
                  <w:b w:val="false"/>
                  <w:color w:val="0000FF"/>
                  <w:sz w:val="20"/>
                  <w:u w:val="single"/>
                </w:rPr>
                <w:t>Specimen Common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001-39434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10, 2021</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r:id="rId12">
              <w:r>
                <w:rPr>
                  <w:rStyle w:val="InternetLink"/>
                  <w:rFonts w:ascii="Times New Roman;serif" w:hAnsi="Times New Roman;serif"/>
                  <w:b w:val="false"/>
                  <w:color w:val="0000FF"/>
                  <w:sz w:val="20"/>
                  <w:u w:val="single"/>
                </w:rPr>
                <w:t>Nautilus Biotechnology, Inc. 2021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001-39434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10, 2021</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r:id="rId13">
              <w:r>
                <w:rPr>
                  <w:rStyle w:val="InternetLink"/>
                  <w:rFonts w:ascii="Times New Roman;serif" w:hAnsi="Times New Roman;serif"/>
                  <w:b w:val="false"/>
                  <w:color w:val="0000FF"/>
                  <w:sz w:val="20"/>
                  <w:u w:val="single"/>
                </w:rPr>
                <w:t>Form of Stock Option Agreement under the Nautilus Biotechnology, Inc. 2021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333-254796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26, 2021</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r:id="rId14">
              <w:r>
                <w:rPr>
                  <w:rStyle w:val="InternetLink"/>
                  <w:rFonts w:ascii="Times New Roman;serif" w:hAnsi="Times New Roman;serif"/>
                  <w:b w:val="false"/>
                  <w:color w:val="0000FF"/>
                  <w:sz w:val="20"/>
                  <w:u w:val="single"/>
                </w:rPr>
                <w:t>Form of Restricted Stock Unit Agreement under the Nautilus Biotechnology, Inc. 2021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333-254796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26, 2021</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r:id="rId15">
              <w:r>
                <w:rPr>
                  <w:rStyle w:val="InternetLink"/>
                  <w:rFonts w:ascii="Times New Roman;serif" w:hAnsi="Times New Roman;serif"/>
                  <w:b w:val="false"/>
                  <w:color w:val="0000FF"/>
                  <w:sz w:val="20"/>
                  <w:u w:val="single"/>
                </w:rPr>
                <w:t>Form of Restricted Stock Award Agreement under the Nautilus Biotechnology, Inc. 2021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333-254796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26, 2021</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r:id="rId16">
              <w:r>
                <w:rPr>
                  <w:rStyle w:val="InternetLink"/>
                  <w:rFonts w:ascii="Times New Roman;serif" w:hAnsi="Times New Roman;serif"/>
                  <w:b w:val="false"/>
                  <w:color w:val="0000FF"/>
                  <w:sz w:val="20"/>
                  <w:u w:val="single"/>
                </w:rPr>
                <w:t>Nautilus Biotechnology, Inc. 2021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001-39434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10, 2021</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w:anchor="exhibit51wsgrlegalopinion2.htm">
              <w:r>
                <w:rPr>
                  <w:rStyle w:val="InternetLink"/>
                  <w:rFonts w:ascii="Times New Roman;serif" w:hAnsi="Times New Roman;serif"/>
                  <w:b w:val="false"/>
                  <w:color w:val="0000FF"/>
                  <w:sz w:val="20"/>
                  <w:u w:val="single"/>
                </w:rPr>
                <w:t>Opinion of Wilson Sonsini Goodrich &amp; Rosati, P.C.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w:anchor="exhibit231consentofpricewa.htm">
              <w:r>
                <w:rPr>
                  <w:rStyle w:val="InternetLink"/>
                  <w:rFonts w:ascii="Times New Roman;serif" w:hAnsi="Times New Roman;serif"/>
                  <w:b w:val="false"/>
                  <w:color w:val="0000FF"/>
                  <w:sz w:val="20"/>
                  <w:u w:val="single"/>
                </w:rPr>
                <w:t xml:space="preserve">Consent of Independent Registered Public Accounting Firm, PricewaterhouseCoopers LLP.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tcBorders/>
            <w:tcMar>
              <w:top w:w="0" w:type="dxa"/>
              <w:left w:w="0" w:type="dxa"/>
              <w:bottom w:w="0" w:type="dxa"/>
              <w:right w:w="0" w:type="dxa"/>
            </w:tcMar>
            <w:vAlign w:val="center"/>
          </w:tcPr>
          <w:p>
            <w:pPr>
              <w:pStyle w:val="TableContents"/>
              <w:bidi w:val="0"/>
              <w:spacing w:lineRule="auto" w:line="240" w:before="53" w:after="30"/>
              <w:jc w:val="left"/>
              <w:rPr/>
            </w:pPr>
            <w:hyperlink w:anchor="exhibit51wsgrlegalopinion2.htm">
              <w:r>
                <w:rPr>
                  <w:rStyle w:val="InternetLink"/>
                  <w:rFonts w:ascii="Times New Roman;serif" w:hAnsi="Times New Roman;serif"/>
                  <w:b w:val="false"/>
                  <w:color w:val="0000FF"/>
                  <w:sz w:val="20"/>
                  <w:u w:val="single"/>
                </w:rPr>
                <w:t>Consent of Wilson Sonsini Goodrich &amp; Rosati, P.C. (included in Exhibit 5.1 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w:anchor="i2dba1bd177f04aa6ba53e297d78d6329_16">
              <w:r>
                <w:rPr>
                  <w:rStyle w:val="InternetLink"/>
                  <w:rFonts w:ascii="Times New Roman;serif" w:hAnsi="Times New Roman;serif"/>
                  <w:b w:val="false"/>
                  <w:color w:val="0000FF"/>
                  <w:sz w:val="20"/>
                  <w:u w:val="single"/>
                </w:rPr>
                <w:t>Power of Attorney (included on the signature page 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filingfees.htm">
              <w:r>
                <w:rPr>
                  <w:rStyle w:val="InternetLink"/>
                  <w:rFonts w:ascii="Times New Roman;serif" w:hAnsi="Times New Roman;serif"/>
                  <w:b w:val="false"/>
                  <w:color w:val="0000FF"/>
                  <w:sz w:val="20"/>
                  <w:u w:val="single"/>
                </w:rPr>
                <w:t>Filing Fee Table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II-1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II-1</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Seattle, State of Washington, on this 26th day of February, 2026.</w:t>
      </w:r>
    </w:p>
    <w:tbl>
      <w:tblPr>
        <w:tblW w:w="4014" w:type="dxa"/>
        <w:jc w:val="left"/>
        <w:tblInd w:w="0" w:type="dxa"/>
        <w:tblLayout w:type="fixed"/>
        <w:tblCellMar>
          <w:top w:w="28" w:type="dxa"/>
          <w:left w:w="28" w:type="dxa"/>
          <w:bottom w:w="28" w:type="dxa"/>
          <w:right w:w="28" w:type="dxa"/>
        </w:tblCellMar>
      </w:tblPr>
      <w:tblGrid>
        <w:gridCol w:w="124"/>
        <w:gridCol w:w="109"/>
        <w:gridCol w:w="109"/>
        <w:gridCol w:w="534"/>
        <w:gridCol w:w="534"/>
        <w:gridCol w:w="534"/>
        <w:gridCol w:w="604"/>
        <w:gridCol w:w="604"/>
        <w:gridCol w:w="8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NAUTILUS BIOTECHNOLOGY,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Sujal Patel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Sujal Patel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lineRule="auto" w:line="333" w:before="240" w:after="24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KNOW ALL PERSONS BY THESE PRESENTS, that each person whose signature appears below hereby constitutes and appoints Sujal Patel and Anna Mowry, and each of them, as his or her true and lawful attorney-in-fact and agent with full power of substitution and resubstitution, for such person in any and all capacities, to sign any and all amendments to this Registration Statement (including post-effective amendments) on Form S-8, and to file the same, with all exhibits thereto and other documents in connection therewith, with the Securities and Exchange Commission, granting unto said attorney-in-fact, proxy, and agent full power and authority to do and perform each and every act and thing requisite and necessary to be done in connection therewith, as fully for all intents and purposes as such person might or could do in person, hereby ratifying and confirming all that any said attorney-in-fact, proxy and agent, or any substitute of any of them, may lawfully do or cause to be done by virtue hereof.</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this Registration Statement has been signed by the following persons in the capacities and on the dates indicated:</w:t>
      </w:r>
    </w:p>
    <w:tbl>
      <w:tblPr>
        <w:tblW w:w="8152" w:type="dxa"/>
        <w:jc w:val="left"/>
        <w:tblInd w:w="0" w:type="dxa"/>
        <w:tblLayout w:type="fixed"/>
        <w:tblCellMar>
          <w:top w:w="28" w:type="dxa"/>
          <w:left w:w="28" w:type="dxa"/>
          <w:bottom w:w="28" w:type="dxa"/>
          <w:right w:w="28" w:type="dxa"/>
        </w:tblCellMar>
      </w:tblPr>
      <w:tblGrid>
        <w:gridCol w:w="705"/>
        <w:gridCol w:w="620"/>
        <w:gridCol w:w="624"/>
        <w:gridCol w:w="109"/>
        <w:gridCol w:w="109"/>
        <w:gridCol w:w="109"/>
        <w:gridCol w:w="1299"/>
        <w:gridCol w:w="1299"/>
        <w:gridCol w:w="1316"/>
        <w:gridCol w:w="109"/>
        <w:gridCol w:w="109"/>
        <w:gridCol w:w="109"/>
        <w:gridCol w:w="476"/>
        <w:gridCol w:w="476"/>
        <w:gridCol w:w="683"/>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53" w:after="283"/>
              <w:jc w:val="left"/>
              <w:rPr/>
            </w:pPr>
            <w:r>
              <w:rPr/>
            </w:r>
          </w:p>
          <w:p>
            <w:pPr>
              <w:pStyle w:val="TableContents"/>
              <w:bidi w:val="0"/>
              <w:spacing w:lineRule="auto" w:line="333" w:before="0" w:after="30"/>
              <w:jc w:val="left"/>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19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Sujal Patel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Chief Executive Officer, President and Director</w:t>
            </w:r>
          </w:p>
          <w:p>
            <w:pPr>
              <w:pStyle w:val="TableContents"/>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Sujal Patel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Anna Mowry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Anna Mowry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333" w:before="53" w:after="30"/>
              <w:jc w:val="left"/>
              <w:rPr/>
            </w:pPr>
            <w:r>
              <w:rPr>
                <w:rFonts w:ascii="Times New Roman;serif" w:hAnsi="Times New Roman;serif"/>
                <w:b w:val="false"/>
                <w:color w:val="000000"/>
                <w:sz w:val="24"/>
              </w:rPr>
              <w:t xml:space="preserve">/s/ </w:t>
            </w:r>
            <w:r>
              <w:rPr>
                <w:rFonts w:ascii="Times New Roman;serif" w:hAnsi="Times New Roman;serif"/>
                <w:b w:val="false"/>
                <w:color w:val="000000"/>
                <w:sz w:val="20"/>
              </w:rPr>
              <w:t xml:space="preserve">Matthew L. Posard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L. Posard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Karen Akinsanya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Karen Akinsanya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Melissa Epperly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Melissa Epperly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Parag Mallick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Parag Mallick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333" w:before="53" w:after="30"/>
              <w:jc w:val="left"/>
              <w:rPr/>
            </w:pPr>
            <w:r>
              <w:rPr>
                <w:rFonts w:ascii="Times New Roman;serif" w:hAnsi="Times New Roman;serif"/>
                <w:b w:val="false"/>
                <w:color w:val="000000"/>
                <w:sz w:val="20"/>
              </w:rPr>
              <w:t xml:space="preserve">/s/ </w:t>
            </w:r>
            <w:r>
              <w:rPr>
                <w:rFonts w:ascii="Times New Roman;serif" w:hAnsi="Times New Roman;serif"/>
                <w:b w:val="false"/>
                <w:color w:val="000000"/>
                <w:sz w:val="20"/>
                <w:shd w:fill="FFFFFF" w:val="clear"/>
              </w:rPr>
              <w:t xml:space="preserve">Matthew McIlwain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McIlwain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Farzad Nazem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Farzad Nazem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107</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Calculation of Filing Fee Tables</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Form S-8</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(Form Type)</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 xml:space="preserve">Nautilus Biotechnology, Inc. </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10205" w:type="dxa"/>
        <w:jc w:val="left"/>
        <w:tblInd w:w="0" w:type="dxa"/>
        <w:tblLayout w:type="fixed"/>
        <w:tblCellMar>
          <w:top w:w="28" w:type="dxa"/>
          <w:left w:w="28" w:type="dxa"/>
          <w:bottom w:w="28" w:type="dxa"/>
          <w:right w:w="28" w:type="dxa"/>
        </w:tblCellMar>
      </w:tblPr>
      <w:tblGrid>
        <w:gridCol w:w="308"/>
        <w:gridCol w:w="271"/>
        <w:gridCol w:w="272"/>
        <w:gridCol w:w="673"/>
        <w:gridCol w:w="447"/>
        <w:gridCol w:w="448"/>
        <w:gridCol w:w="389"/>
        <w:gridCol w:w="389"/>
        <w:gridCol w:w="391"/>
        <w:gridCol w:w="348"/>
        <w:gridCol w:w="348"/>
        <w:gridCol w:w="349"/>
        <w:gridCol w:w="109"/>
        <w:gridCol w:w="109"/>
        <w:gridCol w:w="109"/>
        <w:gridCol w:w="383"/>
        <w:gridCol w:w="383"/>
        <w:gridCol w:w="384"/>
        <w:gridCol w:w="109"/>
        <w:gridCol w:w="109"/>
        <w:gridCol w:w="109"/>
        <w:gridCol w:w="753"/>
        <w:gridCol w:w="370"/>
        <w:gridCol w:w="372"/>
        <w:gridCol w:w="329"/>
        <w:gridCol w:w="329"/>
        <w:gridCol w:w="333"/>
        <w:gridCol w:w="371"/>
        <w:gridCol w:w="371"/>
        <w:gridCol w:w="540"/>
      </w:tblGrid>
      <w:tr>
        <w:trPr/>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Table 1 – Newly Registered Securities</w:t>
            </w:r>
          </w:p>
        </w:tc>
      </w:tr>
      <w:tr>
        <w:trPr/>
        <w:tc>
          <w:tcPr>
            <w:tcW w:w="8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Security Type</w:t>
            </w:r>
          </w:p>
        </w:tc>
        <w:tc>
          <w:tcPr>
            <w:tcW w:w="15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Security Class Title</w:t>
            </w:r>
          </w:p>
        </w:tc>
        <w:tc>
          <w:tcPr>
            <w:tcW w:w="11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Fee Calculation Rule</w:t>
            </w:r>
          </w:p>
        </w:tc>
        <w:tc>
          <w:tcPr>
            <w:tcW w:w="10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 Registered</w:t>
            </w:r>
          </w:p>
        </w:tc>
        <w:tc>
          <w:tcPr>
            <w:tcW w:w="32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(1)</w:t>
            </w:r>
          </w:p>
        </w:tc>
        <w:tc>
          <w:tcPr>
            <w:tcW w:w="11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Proposed Maximum Offering Price Per Unit</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 Aggregate Offering Price</w:t>
            </w:r>
          </w:p>
        </w:tc>
        <w:tc>
          <w:tcPr>
            <w:tcW w:w="9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Fee Rate</w:t>
            </w:r>
          </w:p>
        </w:tc>
        <w:tc>
          <w:tcPr>
            <w:tcW w:w="128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 of Registration Fee</w:t>
            </w:r>
          </w:p>
        </w:tc>
      </w:tr>
      <w:tr>
        <w:trPr/>
        <w:tc>
          <w:tcPr>
            <w:tcW w:w="8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Equity</w:t>
            </w:r>
          </w:p>
        </w:tc>
        <w:tc>
          <w:tcPr>
            <w:tcW w:w="156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par value $0.0001 per share, reserved for issuance under the Registrant's 2021 Equity Incentive Plan</w:t>
            </w:r>
          </w:p>
        </w:tc>
        <w:tc>
          <w:tcPr>
            <w:tcW w:w="11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Rule 457(c) and Rule 457(h)</w:t>
            </w:r>
          </w:p>
        </w:tc>
        <w:tc>
          <w:tcPr>
            <w:tcW w:w="10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6,323,480</w:t>
            </w:r>
          </w:p>
        </w:tc>
        <w:tc>
          <w:tcPr>
            <w:tcW w:w="32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(2)</w:t>
            </w:r>
          </w:p>
        </w:tc>
        <w:tc>
          <w:tcPr>
            <w:tcW w:w="11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$2.80</w:t>
            </w:r>
          </w:p>
        </w:tc>
        <w:tc>
          <w:tcPr>
            <w:tcW w:w="32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(4)</w:t>
            </w:r>
          </w:p>
        </w:tc>
        <w:tc>
          <w:tcPr>
            <w:tcW w:w="1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$17,705,744.00</w:t>
            </w:r>
          </w:p>
        </w:tc>
        <w:tc>
          <w:tcPr>
            <w:tcW w:w="9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0.0001381</w:t>
            </w:r>
          </w:p>
        </w:tc>
        <w:tc>
          <w:tcPr>
            <w:tcW w:w="128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$2,446.00</w:t>
            </w:r>
          </w:p>
        </w:tc>
      </w:tr>
      <w:tr>
        <w:trPr/>
        <w:tc>
          <w:tcPr>
            <w:tcW w:w="8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Equity</w:t>
            </w:r>
          </w:p>
        </w:tc>
        <w:tc>
          <w:tcPr>
            <w:tcW w:w="156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par value $0.0001 per share, reserved for issuance under the Registrant's 2021 Employee Stock Purchase Plan</w:t>
            </w:r>
          </w:p>
        </w:tc>
        <w:tc>
          <w:tcPr>
            <w:tcW w:w="116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Rule 457(c) and Rule 457(h)</w:t>
            </w:r>
          </w:p>
        </w:tc>
        <w:tc>
          <w:tcPr>
            <w:tcW w:w="104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1,264,696</w:t>
            </w:r>
          </w:p>
        </w:tc>
        <w:tc>
          <w:tcPr>
            <w:tcW w:w="32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(3)</w:t>
            </w:r>
          </w:p>
        </w:tc>
        <w:tc>
          <w:tcPr>
            <w:tcW w:w="11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$2.38</w:t>
            </w:r>
          </w:p>
        </w:tc>
        <w:tc>
          <w:tcPr>
            <w:tcW w:w="32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(5)</w:t>
            </w:r>
          </w:p>
        </w:tc>
        <w:tc>
          <w:tcPr>
            <w:tcW w:w="1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$3,009,976.48</w:t>
            </w:r>
          </w:p>
        </w:tc>
        <w:tc>
          <w:tcPr>
            <w:tcW w:w="9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0.0001381</w:t>
            </w:r>
          </w:p>
        </w:tc>
        <w:tc>
          <w:tcPr>
            <w:tcW w:w="128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$416.00</w:t>
            </w:r>
          </w:p>
        </w:tc>
      </w:tr>
      <w:tr>
        <w:trPr/>
        <w:tc>
          <w:tcPr>
            <w:tcW w:w="4633" w:type="dxa"/>
            <w:gridSpan w:val="12"/>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Offering Amounts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$20,715,720.48</w:t>
            </w:r>
          </w:p>
        </w:tc>
        <w:tc>
          <w:tcPr>
            <w:tcW w:w="9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$2,862.00</w:t>
            </w:r>
          </w:p>
        </w:tc>
      </w:tr>
      <w:tr>
        <w:trPr/>
        <w:tc>
          <w:tcPr>
            <w:tcW w:w="4633" w:type="dxa"/>
            <w:gridSpan w:val="1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Fee Offsets</w:t>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(6)</w:t>
            </w:r>
          </w:p>
        </w:tc>
        <w:tc>
          <w:tcPr>
            <w:tcW w:w="115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4633" w:type="dxa"/>
            <w:gridSpan w:val="12"/>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Fee Due</w:t>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$2,862.00</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Pursuant to Rule 416(a) of the Securities Act of 1933, as amended (the “Securities Act”), this registration statement (the “Registration Statement”) shall also cover any additional shares of the Registrant’s Common Stock that become issuable under the Registrant's 2021 Equity Incentive Plan (the “2021 Plan”) or the Registrant's 2021 Employee Stock Purchase Plan (the “2021 ESPP”) by reason of any stock dividend, stock split, recapitalization or other similar transaction effected without receipt of consideration or conversion of the Registrant’s Common Stock that increases the number of outstanding shares of Common Stock.</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Represents an automatic increase in the number of shares of Common Stock reserved for issuance pursuant to future awards under the 2021 Plan as a result of the annual evergreen increase under the 2021 Plan.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Represents an automatic increase in the number of shares of Common Stock reserved for issuance pursuant to future awards under the 2021 ESPP as a result of the annual evergreen increase under the 2021 ESPP.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 Pursuant to Rule 457(c) and 457(h) under the Securities Act, and solely for the purpose of calculating the registration fee, the proposed maximum offering price per share is $2.80, which is the average of the high and low prices of shares of Common Stock on The Nasdaq Global Select Market (“Nasdaq”) on February 20, 2026 (such date being within five business days of the date that this Registration Statement was filed with the U.S. Securities and Exchange Commission (the “SEC”)).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(5) Pursuant to Rule 457(c) and 457(h) under the Securities Act, and solely for the purpose of calculating the registration fee, the proposed maximum offering price per share is $2.38, which is 85% of the average of the high and low prices of shares of Common Stock on Nasdaq on February 20, 2026 (such date being within five business days of the date that this Registration Statement was filed with the SEC). Pursuant to the 2021 ESPP, the purchase price of the shares of common stock reserved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issuance thereunder will be 85% of the lower of the fair market value of the common stock on (i) the first trading day of the offering period or (ii) the exercise date.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 The Registrant does not have any fee offsets.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erif" w:hAnsi="Times New Roman;serif"/>
          <w:b/>
          <w:color w:val="000000"/>
          <w:sz w:val="22"/>
        </w:rPr>
      </w:pPr>
      <w:r>
        <w:rPr>
          <w:rFonts w:ascii="Times New Roman;serif" w:hAnsi="Times New Roman;serif"/>
          <w:b/>
          <w:color w:val="000000"/>
          <w:sz w:val="22"/>
        </w:rPr>
        <w:t>Exhibit 5.1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tbl>
      <w:tblPr>
        <w:tblW w:w="4645" w:type="dxa"/>
        <w:jc w:val="left"/>
        <w:tblInd w:w="0" w:type="dxa"/>
        <w:tblLayout w:type="fixed"/>
        <w:tblCellMar>
          <w:top w:w="28" w:type="dxa"/>
          <w:left w:w="28" w:type="dxa"/>
          <w:bottom w:w="28" w:type="dxa"/>
          <w:right w:w="28" w:type="dxa"/>
        </w:tblCellMar>
      </w:tblPr>
      <w:tblGrid>
        <w:gridCol w:w="727"/>
        <w:gridCol w:w="639"/>
        <w:gridCol w:w="640"/>
        <w:gridCol w:w="772"/>
        <w:gridCol w:w="772"/>
        <w:gridCol w:w="1095"/>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before="120" w:after="283"/>
              <w:jc w:val="left"/>
              <w:rPr/>
            </w:pPr>
            <w:r>
              <w:rPr/>
              <w:drawing>
                <wp:inline distT="0" distB="0" distL="0" distR="0">
                  <wp:extent cx="1209675" cy="447675"/>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17"/>
                          <a:stretch>
                            <a:fillRect/>
                          </a:stretch>
                        </pic:blipFill>
                        <pic:spPr bwMode="auto">
                          <a:xfrm>
                            <a:off x="0" y="0"/>
                            <a:ext cx="1209675" cy="447675"/>
                          </a:xfrm>
                          <a:prstGeom prst="rect">
                            <a:avLst/>
                          </a:prstGeom>
                        </pic:spPr>
                      </pic:pic>
                    </a:graphicData>
                  </a:graphic>
                </wp:inline>
              </w:drawing>
            </w:r>
          </w:p>
        </w:tc>
        <w:tc>
          <w:tcPr>
            <w:tcW w:w="2639"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Georgia;serif" w:hAnsi="Georgia;serif"/>
                <w:b w:val="false"/>
                <w:color w:val="003D4C"/>
                <w:sz w:val="16"/>
              </w:rPr>
            </w:pPr>
            <w:r>
              <w:rPr>
                <w:rFonts w:ascii="Georgia;serif" w:hAnsi="Georgia;serif"/>
                <w:b w:val="false"/>
                <w:color w:val="003D4C"/>
                <w:sz w:val="16"/>
              </w:rPr>
              <w:t>Wilson Sonsini Goodrich &amp; Rosati</w:t>
              <w:br/>
              <w:t>Professional Corporation</w:t>
            </w:r>
          </w:p>
          <w:p>
            <w:pPr>
              <w:pStyle w:val="TableContents"/>
              <w:bidi w:val="0"/>
              <w:spacing w:lineRule="auto" w:line="240" w:before="80" w:after="283"/>
              <w:jc w:val="left"/>
              <w:rPr>
                <w:rFonts w:ascii="Georgia;serif" w:hAnsi="Georgia;serif"/>
                <w:b w:val="false"/>
                <w:color w:val="003D4C"/>
                <w:sz w:val="16"/>
              </w:rPr>
            </w:pPr>
            <w:r>
              <w:rPr>
                <w:rFonts w:ascii="Georgia;serif" w:hAnsi="Georgia;serif"/>
                <w:b w:val="false"/>
                <w:color w:val="003D4C"/>
                <w:sz w:val="16"/>
              </w:rPr>
              <w:t>650 Page Mill Road</w:t>
              <w:br/>
              <w:t>Palo Alto, California 94304-1050</w:t>
            </w:r>
          </w:p>
          <w:p>
            <w:pPr>
              <w:pStyle w:val="TableContents"/>
              <w:bidi w:val="0"/>
              <w:spacing w:lineRule="auto" w:line="240" w:before="80" w:after="283"/>
              <w:jc w:val="left"/>
              <w:rPr>
                <w:rFonts w:ascii="Georgia;serif" w:hAnsi="Georgia;serif"/>
                <w:b w:val="false"/>
                <w:color w:val="003D4C"/>
                <w:sz w:val="16"/>
              </w:rPr>
            </w:pPr>
            <w:r>
              <w:rPr>
                <w:rFonts w:ascii="Georgia;serif" w:hAnsi="Georgia;serif"/>
                <w:b w:val="false"/>
                <w:color w:val="003D4C"/>
                <w:sz w:val="16"/>
              </w:rPr>
              <w:t>o: 650.493.9300</w:t>
              <w:br/>
              <w:t>f: 650.493.6811</w:t>
            </w:r>
          </w:p>
        </w:tc>
      </w:tr>
    </w:tbl>
    <w:p>
      <w:pPr>
        <w:pStyle w:val="TextBody"/>
        <w:bidi w:val="0"/>
        <w:spacing w:before="1" w:after="283"/>
        <w:jc w:val="left"/>
        <w:rPr/>
      </w:pPr>
      <w:r>
        <w:rPr/>
      </w:r>
    </w:p>
    <w:p>
      <w:pPr>
        <w:pStyle w:val="TextBody"/>
        <w:bidi w:val="0"/>
        <w:spacing w:lineRule="auto" w:line="240" w:before="240" w:after="283"/>
        <w:jc w:val="center"/>
        <w:rPr>
          <w:rFonts w:ascii="Times New Roman;serif" w:hAnsi="Times New Roman;serif"/>
          <w:b w:val="false"/>
          <w:color w:val="000000"/>
          <w:sz w:val="22"/>
        </w:rPr>
      </w:pPr>
      <w:r>
        <w:rPr>
          <w:rFonts w:ascii="Times New Roman;serif" w:hAnsi="Times New Roman;serif"/>
          <w:b w:val="false"/>
          <w:color w:val="000000"/>
          <w:sz w:val="22"/>
        </w:rPr>
        <w:t>February 26, 2026</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Nautilus Biotechnology, Inc. </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2701 Eastlake Avenue East</w:t>
        <w:br/>
        <w:t xml:space="preserve">Seattle, Washington 98102 </w:t>
      </w:r>
    </w:p>
    <w:p>
      <w:pPr>
        <w:pStyle w:val="TextBody"/>
        <w:bidi w:val="0"/>
        <w:spacing w:lineRule="auto" w:line="240" w:before="0" w:after="0"/>
        <w:jc w:val="left"/>
        <w:rPr>
          <w:color w:val="000000"/>
        </w:rPr>
      </w:pPr>
      <w:r>
        <w:rPr>
          <w:color w:val="000000"/>
        </w:rPr>
        <w:t> </w:t>
      </w:r>
    </w:p>
    <w:tbl>
      <w:tblPr>
        <w:tblW w:w="4140" w:type="dxa"/>
        <w:jc w:val="left"/>
        <w:tblInd w:w="0" w:type="dxa"/>
        <w:tblLayout w:type="fixed"/>
        <w:tblCellMar>
          <w:top w:w="28" w:type="dxa"/>
          <w:left w:w="28" w:type="dxa"/>
          <w:bottom w:w="28" w:type="dxa"/>
          <w:right w:w="28" w:type="dxa"/>
        </w:tblCellMar>
      </w:tblPr>
      <w:tblGrid>
        <w:gridCol w:w="168"/>
        <w:gridCol w:w="147"/>
        <w:gridCol w:w="150"/>
        <w:gridCol w:w="1076"/>
        <w:gridCol w:w="1076"/>
        <w:gridCol w:w="1523"/>
      </w:tblGrid>
      <w:tr>
        <w:trPr/>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Re:</w:t>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u w:val="single"/>
              </w:rPr>
            </w:pPr>
            <w:r>
              <w:rPr>
                <w:rFonts w:ascii="Times New Roman;serif" w:hAnsi="Times New Roman;serif"/>
                <w:b/>
                <w:color w:val="000000"/>
                <w:sz w:val="22"/>
                <w:u w:val="single"/>
              </w:rPr>
              <w:t>Registration Statement on Form S-8</w:t>
            </w:r>
          </w:p>
        </w:tc>
      </w:tr>
    </w:tbl>
    <w:p>
      <w:pPr>
        <w:pStyle w:val="TextBody"/>
        <w:bidi w:val="0"/>
        <w:spacing w:lineRule="auto" w:line="240"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Ladies and Gentlemen: </w:t>
      </w:r>
    </w:p>
    <w:p>
      <w:pPr>
        <w:pStyle w:val="TextBody"/>
        <w:bidi w:val="0"/>
        <w:spacing w:lineRule="auto" w:line="240" w:before="100" w:after="100"/>
        <w:ind w:left="0" w:right="0" w:firstLine="720"/>
        <w:jc w:val="both"/>
        <w:rPr/>
      </w:pPr>
      <w:r>
        <w:rPr>
          <w:rFonts w:ascii="Times New Roman;serif" w:hAnsi="Times New Roman;serif"/>
          <w:b w:val="false"/>
          <w:color w:val="000000"/>
          <w:sz w:val="22"/>
        </w:rPr>
        <w:t>We have examined the Registration Statement on Form S-8 (the “</w:t>
      </w:r>
      <w:r>
        <w:rPr>
          <w:rFonts w:ascii="Times New Roman;serif" w:hAnsi="Times New Roman;serif"/>
          <w:b w:val="false"/>
          <w:color w:val="000000"/>
          <w:sz w:val="22"/>
          <w:u w:val="single"/>
        </w:rPr>
        <w:t>Registration Statement</w:t>
      </w:r>
      <w:r>
        <w:rPr>
          <w:color w:val="000000"/>
        </w:rPr>
        <w:t>”</w:t>
      </w:r>
      <w:r>
        <w:rPr>
          <w:rFonts w:ascii="Times New Roman;serif" w:hAnsi="Times New Roman;serif"/>
          <w:b w:val="false"/>
          <w:color w:val="000000"/>
          <w:sz w:val="22"/>
        </w:rPr>
        <w:t>) to be filed by Nautilus Biotechnology, Inc.,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with the Securities and Exchange Commission on or about the date hereof, in connection with the registration under the Securities Act of 1933, as amended, of an aggregate of 7,588,176 shares (the “</w:t>
      </w:r>
      <w:r>
        <w:rPr>
          <w:rFonts w:ascii="Times New Roman;serif" w:hAnsi="Times New Roman;serif"/>
          <w:b w:val="false"/>
          <w:color w:val="000000"/>
          <w:sz w:val="22"/>
          <w:u w:val="single"/>
        </w:rPr>
        <w:t>Shares</w:t>
      </w:r>
      <w:r>
        <w:rPr>
          <w:color w:val="000000"/>
        </w:rPr>
        <w:t>”</w:t>
      </w:r>
      <w:r>
        <w:rPr>
          <w:rFonts w:ascii="Times New Roman;serif" w:hAnsi="Times New Roman;serif"/>
          <w:b w:val="false"/>
          <w:color w:val="000000"/>
          <w:sz w:val="22"/>
        </w:rPr>
        <w:t>) of the Company’s common stock, par value $0.0001 per share (“</w:t>
      </w:r>
      <w:r>
        <w:rPr>
          <w:rFonts w:ascii="Times New Roman;serif" w:hAnsi="Times New Roman;serif"/>
          <w:b w:val="false"/>
          <w:color w:val="000000"/>
          <w:sz w:val="22"/>
          <w:u w:val="single"/>
        </w:rPr>
        <w:t>Common Stock</w:t>
      </w:r>
      <w:r>
        <w:rPr>
          <w:color w:val="000000"/>
        </w:rPr>
        <w:t>”</w:t>
      </w:r>
      <w:r>
        <w:rPr>
          <w:rFonts w:ascii="Times New Roman;serif" w:hAnsi="Times New Roman;serif"/>
          <w:b w:val="false"/>
          <w:color w:val="000000"/>
          <w:sz w:val="22"/>
        </w:rPr>
        <w:t xml:space="preserve">), consisting of (i) </w:t>
      </w:r>
      <w:r>
        <w:rPr>
          <w:rFonts w:ascii="Times New Roman;serif" w:hAnsi="Times New Roman;serif"/>
          <w:b w:val="false"/>
          <w:color w:val="000000"/>
          <w:sz w:val="22"/>
          <w:shd w:fill="FFFFFF" w:val="clear"/>
        </w:rPr>
        <w:t>6,323,480</w:t>
      </w:r>
      <w:r>
        <w:rPr>
          <w:color w:val="000000"/>
        </w:rPr>
        <w:t xml:space="preserve"> </w:t>
      </w:r>
      <w:r>
        <w:rPr>
          <w:rFonts w:ascii="Times New Roman;serif" w:hAnsi="Times New Roman;serif"/>
          <w:b w:val="false"/>
          <w:color w:val="000000"/>
          <w:sz w:val="22"/>
        </w:rPr>
        <w:t>shares of Common Stock reserved for future issuance under the Company’s 2021 Equity Incentive Plan and (ii) 1,264,696 shares of Common Stock reserved for issuance under the Company’s 2021 Employee Stock Purchase Plan. As the Company’s legal counsel, we have reviewed the actions proposed to be taken by the Company in connection with the issuance and sale of the Shares to be issued under such plans (which plans are referred to herein as the “</w:t>
      </w:r>
      <w:r>
        <w:rPr>
          <w:rFonts w:ascii="Times New Roman;serif" w:hAnsi="Times New Roman;serif"/>
          <w:b w:val="false"/>
          <w:color w:val="000000"/>
          <w:sz w:val="22"/>
          <w:u w:val="single"/>
        </w:rPr>
        <w:t>Plans</w:t>
      </w:r>
      <w:r>
        <w:rPr>
          <w:color w:val="000000"/>
        </w:rPr>
        <w:t>”</w:t>
      </w:r>
      <w:r>
        <w:rPr>
          <w:rFonts w:ascii="Times New Roman;serif" w:hAnsi="Times New Roman;serif"/>
          <w:b w:val="false"/>
          <w:color w:val="000000"/>
          <w:sz w:val="22"/>
        </w:rPr>
        <w:t xml:space="preserve">). </w:t>
      </w:r>
    </w:p>
    <w:p>
      <w:pPr>
        <w:pStyle w:val="TextBody"/>
        <w:bidi w:val="0"/>
        <w:spacing w:lineRule="auto" w:line="240" w:before="100" w:after="1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It is our opinion that the Shares, when issued and sold in the manner referred to in the Plans and pursuant to the agreements that accompany the Plans, will be legally and validly issued, fully paid and nonassessable. </w:t>
      </w:r>
    </w:p>
    <w:p>
      <w:pPr>
        <w:pStyle w:val="TextBody"/>
        <w:bidi w:val="0"/>
        <w:spacing w:lineRule="auto" w:line="240"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consent to the use of this opinion as an exhibit to the Registration Statement, and further consent to the use of our name wherever appearing in the Registration Statement and any amendments thereto.</w:t>
      </w:r>
    </w:p>
    <w:p>
      <w:pPr>
        <w:pStyle w:val="TextBody"/>
        <w:bidi w:val="0"/>
        <w:spacing w:lineRule="auto" w:line="240" w:before="0" w:after="0"/>
        <w:jc w:val="left"/>
        <w:rPr>
          <w:color w:val="000000"/>
        </w:rPr>
      </w:pPr>
      <w:r>
        <w:rPr>
          <w:color w:val="000000"/>
        </w:rPr>
        <w:t> </w:t>
      </w:r>
    </w:p>
    <w:tbl>
      <w:tblPr>
        <w:tblW w:w="4665" w:type="dxa"/>
        <w:jc w:val="left"/>
        <w:tblInd w:w="0" w:type="dxa"/>
        <w:tblLayout w:type="fixed"/>
        <w:tblCellMar>
          <w:top w:w="28" w:type="dxa"/>
          <w:left w:w="28" w:type="dxa"/>
          <w:bottom w:w="28" w:type="dxa"/>
          <w:right w:w="28" w:type="dxa"/>
        </w:tblCellMar>
      </w:tblPr>
      <w:tblGrid>
        <w:gridCol w:w="1492"/>
        <w:gridCol w:w="1308"/>
        <w:gridCol w:w="1865"/>
      </w:tblGrid>
      <w:tr>
        <w:trPr/>
        <w:tc>
          <w:tcPr>
            <w:tcW w:w="1492"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Very truly yours,</w:t>
            </w:r>
          </w:p>
          <w:p>
            <w:pPr>
              <w:pStyle w:val="TableContents"/>
              <w:bidi w:val="0"/>
              <w:spacing w:before="0" w:after="0"/>
              <w:jc w:val="left"/>
              <w:rPr/>
            </w:pPr>
            <w:r>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100" w:after="100"/>
              <w:ind w:left="0" w:right="0" w:hanging="240"/>
              <w:jc w:val="left"/>
              <w:rPr>
                <w:rFonts w:ascii="Times New Roman;serif" w:hAnsi="Times New Roman;serif"/>
                <w:b w:val="false"/>
                <w:color w:val="000000"/>
                <w:sz w:val="22"/>
              </w:rPr>
            </w:pPr>
            <w:r>
              <w:rPr>
                <w:rFonts w:ascii="Times New Roman;serif" w:hAnsi="Times New Roman;serif"/>
                <w:b w:val="false"/>
                <w:color w:val="000000"/>
                <w:sz w:val="22"/>
              </w:rPr>
              <w:t>WILSON SONSINI GOODRICH &amp; ROSATI,</w:t>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100" w:after="100"/>
              <w:ind w:left="0" w:right="0" w:hanging="240"/>
              <w:jc w:val="left"/>
              <w:rPr>
                <w:rFonts w:ascii="Times New Roman;serif" w:hAnsi="Times New Roman;serif"/>
                <w:b w:val="false"/>
                <w:color w:val="000000"/>
                <w:sz w:val="22"/>
              </w:rPr>
            </w:pPr>
            <w:r>
              <w:rPr>
                <w:rFonts w:ascii="Times New Roman;serif" w:hAnsi="Times New Roman;serif"/>
                <w:b w:val="false"/>
                <w:color w:val="000000"/>
                <w:sz w:val="22"/>
              </w:rPr>
              <w:t>Professional Corporation</w:t>
            </w:r>
          </w:p>
          <w:p>
            <w:pPr>
              <w:pStyle w:val="TableContents"/>
              <w:bidi w:val="0"/>
              <w:spacing w:lineRule="auto" w:line="240" w:before="100" w:after="100"/>
              <w:ind w:left="0" w:right="0" w:hanging="240"/>
              <w:jc w:val="left"/>
              <w:rPr>
                <w:rFonts w:ascii="Times New Roman;serif" w:hAnsi="Times New Roman;serif"/>
                <w:b w:val="false"/>
                <w:color w:val="000000"/>
                <w:sz w:val="22"/>
              </w:rPr>
            </w:pPr>
            <w:r>
              <w:rPr>
                <w:rFonts w:ascii="Times New Roman;serif" w:hAnsi="Times New Roman;serif"/>
                <w:b w:val="false"/>
                <w:color w:val="000000"/>
                <w:sz w:val="22"/>
              </w:rPr>
              <w:t>/s/ Wilson Sonsini Goodrich &amp; Rosati, P.C.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Georgia;serif" w:hAnsi="Georgia;serif"/>
          <w:b/>
          <w:color w:val="000000"/>
          <w:sz w:val="20"/>
        </w:rPr>
      </w:pPr>
      <w:r>
        <w:rPr>
          <w:rFonts w:ascii="Georgia;serif" w:hAnsi="Georgia;serif"/>
          <w:b/>
          <w:color w:val="000000"/>
          <w:sz w:val="20"/>
        </w:rPr>
        <w:t>Exhibit 23.1</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71500"/>
                <wp:effectExtent l="0" t="0" r="0" b="0"/>
                <wp:wrapNone/>
                <wp:docPr id="9" name="Frame8"/>
                <a:graphic xmlns:a="http://schemas.openxmlformats.org/drawingml/2006/main">
                  <a:graphicData uri="http://schemas.microsoft.com/office/word/2010/wordprocessingShape">
                    <wps:wsp>
                      <wps:cNvSpPr txBox="1"/>
                      <wps:spPr>
                        <a:xfrm>
                          <a:off x="0" y="0"/>
                          <a:ext cx="6480175" cy="571500"/>
                        </a:xfrm>
                        <a:prstGeom prst="rect"/>
                        <a:solidFill>
                          <a:srgbClr val="FFFFFF"/>
                        </a:solidFill>
                      </wps:spPr>
                      <wps:txbx>
                        <w:txbxContent>
                          <w:p>
                            <w:pPr>
                              <w:pStyle w:val="TextBody"/>
                              <w:bidi w:val="0"/>
                              <w:spacing w:lineRule="auto" w:line="376" w:before="60" w:after="60"/>
                              <w:jc w:val="center"/>
                              <w:rPr>
                                <w:rFonts w:ascii="Times New Roman;serif" w:hAnsi="Times New Roman;serif"/>
                                <w:b w:val="false"/>
                                <w:color w:val="003D4C"/>
                                <w:sz w:val="14"/>
                              </w:rPr>
                            </w:pPr>
                            <w:r>
                              <w:rPr>
                                <w:rFonts w:ascii="Times New Roman;serif" w:hAnsi="Times New Roman;serif"/>
                                <w:b w:val="false"/>
                                <w:color w:val="003D4C"/>
                                <w:sz w:val="14"/>
                              </w:rPr>
                              <w:t>AUSTIN BEIJING BOSTON BRUSSELS HONG KONG LONDON LOS ANGELES NEW YORK PALO ALTO</w:t>
                              <w:br/>
                              <w:t>SAN DIEGO SAN FRANCISCO SEATTLE SHANGHAI WASHINGTON, DC WILMINGTON, DE</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pt;mso-wrap-distance-left:0pt;mso-wrap-distance-right:0pt;mso-wrap-distance-top:0pt;mso-wrap-distance-bottom:0pt;margin-top:0pt;mso-position-vertical:top;mso-position-vertical-relative:text;margin-left:-421.4pt;mso-position-horizontal:left;mso-position-horizontal-relative:text">
                <v:textbox>
                  <w:txbxContent>
                    <w:p>
                      <w:pPr>
                        <w:pStyle w:val="TextBody"/>
                        <w:bidi w:val="0"/>
                        <w:spacing w:lineRule="auto" w:line="376" w:before="60" w:after="60"/>
                        <w:jc w:val="center"/>
                        <w:rPr>
                          <w:rFonts w:ascii="Times New Roman;serif" w:hAnsi="Times New Roman;serif"/>
                          <w:b w:val="false"/>
                          <w:color w:val="003D4C"/>
                          <w:sz w:val="14"/>
                        </w:rPr>
                      </w:pPr>
                      <w:r>
                        <w:rPr>
                          <w:rFonts w:ascii="Times New Roman;serif" w:hAnsi="Times New Roman;serif"/>
                          <w:b w:val="false"/>
                          <w:color w:val="003D4C"/>
                          <w:sz w:val="14"/>
                        </w:rPr>
                        <w:t>AUSTIN BEIJING BOSTON BRUSSELS HONG KONG LONDON LOS ANGELES NEW YORK PALO ALTO</w:t>
                        <w:br/>
                        <w:t>SAN DIEGO SAN FRANCISCO SEATTLE SHANGHAI WASHINGTON, DC WILMINGTON, DE</w:t>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Georgia;serif" w:hAnsi="Georgia;serif"/>
          <w:b w:val="false"/>
          <w:color w:val="000000"/>
          <w:sz w:val="20"/>
        </w:rPr>
      </w:pPr>
      <w:r>
        <w:rPr>
          <w:rFonts w:ascii="Georgia;serif" w:hAnsi="Georgia;serif"/>
          <w:b w:val="false"/>
          <w:color w:val="000000"/>
          <w:sz w:val="20"/>
        </w:rPr>
        <w:t>CONSENT OF INDEPENDENT REGISTERED PUBLIC ACCOUNTING FIRM</w:t>
      </w:r>
    </w:p>
    <w:p>
      <w:pPr>
        <w:pStyle w:val="TextBody"/>
        <w:bidi w:val="0"/>
        <w:spacing w:before="0" w:after="0"/>
        <w:jc w:val="center"/>
        <w:rPr/>
      </w:pPr>
      <w:r>
        <w:rPr/>
      </w:r>
    </w:p>
    <w:p>
      <w:pPr>
        <w:pStyle w:val="TextBody"/>
        <w:bidi w:val="0"/>
        <w:spacing w:lineRule="auto" w:line="268" w:before="0" w:after="0"/>
        <w:jc w:val="left"/>
        <w:rPr/>
      </w:pPr>
      <w:r>
        <w:rPr>
          <w:rFonts w:ascii="Georgia;serif" w:hAnsi="Georgia;serif"/>
          <w:b w:val="false"/>
          <w:color w:val="000000"/>
          <w:sz w:val="20"/>
        </w:rPr>
        <w:t>We hereby consent to the incorporation by reference in this Registration Statement on Form</w:t>
      </w:r>
      <w:r>
        <w:rPr>
          <w:color w:val="FF0000"/>
        </w:rPr>
        <w:t xml:space="preserve"> </w:t>
      </w:r>
      <w:r>
        <w:rPr>
          <w:rFonts w:ascii="Georgia;serif" w:hAnsi="Georgia;serif"/>
          <w:b w:val="false"/>
          <w:color w:val="000000"/>
          <w:sz w:val="20"/>
        </w:rPr>
        <w:t>S-8 of Nautilus Biotechnology, Inc.</w:t>
      </w:r>
      <w:r>
        <w:rPr>
          <w:color w:val="FF0000"/>
        </w:rPr>
        <w:t xml:space="preserve"> </w:t>
      </w:r>
      <w:r>
        <w:rPr>
          <w:rFonts w:ascii="Georgia;serif" w:hAnsi="Georgia;serif"/>
          <w:b w:val="false"/>
          <w:color w:val="000000"/>
          <w:sz w:val="20"/>
        </w:rPr>
        <w:t xml:space="preserve">of our report dated February 26, 2026 relating to the financial statements, which appears in Nautilus Biotechnology, Inc. 's Annual Report on Form 10-K for the year ended December 31, 2025.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6" w:before="0" w:after="0"/>
        <w:jc w:val="left"/>
        <w:rPr>
          <w:rFonts w:ascii="Georgia;serif" w:hAnsi="Georgia;serif"/>
          <w:b w:val="false"/>
          <w:color w:val="000000"/>
          <w:sz w:val="20"/>
        </w:rPr>
      </w:pPr>
      <w:r>
        <w:rPr>
          <w:rFonts w:ascii="Georgia;serif" w:hAnsi="Georgia;serif"/>
          <w:b w:val="false"/>
          <w:color w:val="000000"/>
          <w:sz w:val="20"/>
        </w:rPr>
        <w:t xml:space="preserve">/s/ PricewaterhouseCoopers LLP </w:t>
      </w:r>
    </w:p>
    <w:p>
      <w:pPr>
        <w:pStyle w:val="TextBody"/>
        <w:bidi w:val="0"/>
        <w:spacing w:before="0" w:after="0"/>
        <w:jc w:val="left"/>
        <w:rPr/>
      </w:pPr>
      <w:r>
        <w:rPr/>
      </w:r>
    </w:p>
    <w:p>
      <w:pPr>
        <w:pStyle w:val="TextBody"/>
        <w:bidi w:val="0"/>
        <w:spacing w:lineRule="auto" w:line="288" w:before="0" w:after="0"/>
        <w:jc w:val="left"/>
        <w:rPr>
          <w:rFonts w:ascii="Georgia;serif" w:hAnsi="Georgia;serif"/>
          <w:b w:val="false"/>
          <w:color w:val="000000"/>
          <w:sz w:val="20"/>
        </w:rPr>
      </w:pPr>
      <w:r>
        <w:rPr>
          <w:rFonts w:ascii="Georgia;serif" w:hAnsi="Georgia;serif"/>
          <w:b w:val="false"/>
          <w:color w:val="000000"/>
          <w:sz w:val="20"/>
        </w:rPr>
        <w:t>San Jose, California</w:t>
      </w:r>
    </w:p>
    <w:p>
      <w:pPr>
        <w:pStyle w:val="TextBody"/>
        <w:bidi w:val="0"/>
        <w:spacing w:lineRule="auto" w:line="288"/>
        <w:jc w:val="left"/>
        <w:rPr>
          <w:rFonts w:ascii="Georgia;serif" w:hAnsi="Georgia;serif"/>
          <w:b w:val="false"/>
          <w:color w:val="000000"/>
          <w:sz w:val="20"/>
        </w:rPr>
      </w:pPr>
      <w:r>
        <w:rPr>
          <w:rFonts w:ascii="Georgia;serif" w:hAnsi="Georgia;serif"/>
          <w:b w:val="false"/>
          <w:color w:val="000000"/>
          <w:sz w:val="20"/>
        </w:rPr>
        <w:t>February 26, 2026</w:t>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8805/000162828021016436/nautilus-sx8registrationst.htm" TargetMode="External"/><Relationship Id="rId3" Type="http://schemas.openxmlformats.org/officeDocument/2006/relationships/hyperlink" Target="https://www.sec.gov/Archives/edgar/data/1808805/000180880522000012/forms-82022evergreen.htm" TargetMode="External"/><Relationship Id="rId4" Type="http://schemas.openxmlformats.org/officeDocument/2006/relationships/hyperlink" Target="https://www.sec.gov/Archives/edgar/data/1808805/000180880523000013/forms-82023evergreen.htm" TargetMode="External"/><Relationship Id="rId5" Type="http://schemas.openxmlformats.org/officeDocument/2006/relationships/hyperlink" Target="https://www.sec.gov/Archives/edgar/data/1808805/000180880524000008/forms-82024evergreen.htm" TargetMode="External"/><Relationship Id="rId6" Type="http://schemas.openxmlformats.org/officeDocument/2006/relationships/hyperlink" Target="https://www.sec.gov/Archives/edgar/data/1808805/000180880525000010/forms-82025evergreen.htm" TargetMode="External"/><Relationship Id="rId7" Type="http://schemas.openxmlformats.org/officeDocument/2006/relationships/hyperlink" Target="https://www.sec.gov/ix?doc=/Archives/edgar/data/0001808805/000180880526000011/naut-20251231.htm" TargetMode="External"/><Relationship Id="rId8" Type="http://schemas.openxmlformats.org/officeDocument/2006/relationships/hyperlink" Target="https://www.sec.gov/Archives/edgar/data/0001808805/000114036120017640/nt10013610x6_8a12b.htm" TargetMode="External"/><Relationship Id="rId9" Type="http://schemas.openxmlformats.org/officeDocument/2006/relationships/hyperlink" Target="https://www.sec.gov/Archives/edgar/data/1808805/000162828021011892/exhibit31-form8xkclosing.htm" TargetMode="External"/><Relationship Id="rId10" Type="http://schemas.openxmlformats.org/officeDocument/2006/relationships/hyperlink" Target="https://www.sec.gov/Archives/edgar/data/1808805/000180880523000069/exhibit32-nautilusbiotechn.htm" TargetMode="External"/><Relationship Id="rId11" Type="http://schemas.openxmlformats.org/officeDocument/2006/relationships/hyperlink" Target="https://www.sec.gov/Archives/edgar/data/1808805/000162828021011892/exhibit41-super8xkclosing.htm" TargetMode="External"/><Relationship Id="rId12" Type="http://schemas.openxmlformats.org/officeDocument/2006/relationships/hyperlink" Target="https://www.sec.gov/Archives/edgar/data/1808805/000162828021011892/exhibit104-form8xkclosing.htm" TargetMode="External"/><Relationship Id="rId13" Type="http://schemas.openxmlformats.org/officeDocument/2006/relationships/hyperlink" Target="https://www.sec.gov/Archives/edgar/data/1808805/000162828021005786/exhibit107-sx4.htm" TargetMode="External"/><Relationship Id="rId14" Type="http://schemas.openxmlformats.org/officeDocument/2006/relationships/hyperlink" Target="https://www.sec.gov/Archives/edgar/data/1808805/000162828021005786/exhibit108-sx4.htm" TargetMode="External"/><Relationship Id="rId15" Type="http://schemas.openxmlformats.org/officeDocument/2006/relationships/hyperlink" Target="https://www.sec.gov/Archives/edgar/data/1808805/000162828021005786/exhibit109-sx4.htm" TargetMode="External"/><Relationship Id="rId16" Type="http://schemas.openxmlformats.org/officeDocument/2006/relationships/hyperlink" Target="https://www.sec.gov/Archives/edgar/data/1808805/000162828021011892/exhibit105-form8xkclosing.htm" TargetMode="External"/><Relationship Id="rId17" Type="http://schemas.openxmlformats.org/officeDocument/2006/relationships/image" Target="media/image1.pn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2366</Words>
  <Characters>12983</Characters>
  <CharactersWithSpaces>15124</CharactersWithSpaces>
  <Paragraphs>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