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___)*</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Nautilus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20320</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63909J108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right="8720" w:firstLine="4"/>
        <w:spacing w:after="0" w:line="542" w:lineRule="auto"/>
        <w:tabs>
          <w:tab w:leader="none" w:pos="150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 x Rule 13d-1(c)</w:t>
      </w:r>
    </w:p>
    <w:p>
      <w:pPr>
        <w:spacing w:after="0" w:line="32" w:lineRule="exact"/>
        <w:rPr>
          <w:rFonts w:ascii="MS PGothic" w:cs="MS PGothic" w:eastAsia="MS PGothic" w:hAnsi="MS PGothic"/>
          <w:sz w:val="16"/>
          <w:szCs w:val="16"/>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spacing w:after="0"/>
        <w:tabs>
          <w:tab w:leader="none" w:pos="1032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5"/>
          <w:szCs w:val="15"/>
          <w:color w:val="auto"/>
        </w:rPr>
        <w:t>Page 2 of 11</w:t>
      </w:r>
    </w:p>
    <w:p>
      <w:pPr>
        <w:spacing w:after="0" w:line="243" w:lineRule="exact"/>
        <w:rPr>
          <w:sz w:val="20"/>
          <w:szCs w:val="20"/>
          <w:color w:val="auto"/>
        </w:rPr>
      </w:pPr>
    </w:p>
    <w:p>
      <w:pPr>
        <w:ind w:left="800" w:hanging="67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VCVC V LLC</w:t>
      </w:r>
    </w:p>
    <w:p>
      <w:pPr>
        <w:spacing w:after="0" w:line="238" w:lineRule="exact"/>
        <w:rPr>
          <w:rFonts w:ascii="Arial" w:cs="Arial" w:eastAsia="Arial" w:hAnsi="Arial"/>
          <w:sz w:val="18"/>
          <w:szCs w:val="18"/>
          <w:color w:val="auto"/>
        </w:rPr>
      </w:pPr>
    </w:p>
    <w:p>
      <w:pPr>
        <w:ind w:left="800" w:hanging="67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120" w:hanging="321"/>
        <w:spacing w:after="0" w:line="207" w:lineRule="exact"/>
        <w:tabs>
          <w:tab w:leader="none" w:pos="11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20" w:hanging="321"/>
        <w:spacing w:after="0" w:line="207" w:lineRule="exact"/>
        <w:tabs>
          <w:tab w:leader="none" w:pos="11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800" w:hanging="67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800" w:right="7820" w:hanging="675"/>
        <w:spacing w:after="0" w:line="50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 U.S.A.</w:t>
      </w:r>
    </w:p>
    <w:p>
      <w:pPr>
        <w:spacing w:after="0" w:line="1" w:lineRule="exact"/>
        <w:rPr>
          <w:rFonts w:ascii="Arial" w:cs="Arial" w:eastAsia="Arial" w:hAnsi="Arial"/>
          <w:sz w:val="18"/>
          <w:szCs w:val="18"/>
          <w:color w:val="auto"/>
        </w:rPr>
      </w:pPr>
    </w:p>
    <w:p>
      <w:pPr>
        <w:ind w:left="2620" w:right="7280" w:hanging="673"/>
        <w:spacing w:after="0" w:line="508" w:lineRule="auto"/>
        <w:tabs>
          <w:tab w:leader="none" w:pos="262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-2646680</wp:posOffset>
            </wp:positionV>
            <wp:extent cx="7132320" cy="6283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0"/>
        </w:trPr>
        <w:tc>
          <w:tcPr>
            <w:tcW w:w="1380" w:type="dxa"/>
            <w:vAlign w:val="bottom"/>
            <w:vMerge w:val="restart"/>
          </w:tcPr>
          <w:p>
            <w:pPr>
              <w:jc w:val="center"/>
              <w:ind w:right="390"/>
              <w:spacing w:after="0"/>
              <w:rPr>
                <w:sz w:val="20"/>
                <w:szCs w:val="20"/>
                <w:color w:val="auto"/>
              </w:rPr>
            </w:pPr>
            <w:r>
              <w:rPr>
                <w:rFonts w:ascii="Arial" w:cs="Arial" w:eastAsia="Arial" w:hAnsi="Arial"/>
                <w:sz w:val="18"/>
                <w:szCs w:val="18"/>
                <w:color w:val="auto"/>
                <w:w w:val="92"/>
              </w:rPr>
              <w:t>Number of</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888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Arial" w:cs="Arial" w:eastAsia="Arial" w:hAnsi="Arial"/>
                <w:sz w:val="18"/>
                <w:szCs w:val="18"/>
                <w:color w:val="auto"/>
                <w:w w:val="84"/>
              </w:rPr>
              <w:t>Shares</w:t>
            </w:r>
          </w:p>
        </w:tc>
        <w:tc>
          <w:tcPr>
            <w:tcW w:w="520" w:type="dxa"/>
            <w:vAlign w:val="bottom"/>
          </w:tcPr>
          <w:p>
            <w:pPr>
              <w:spacing w:after="0"/>
              <w:rPr>
                <w:sz w:val="18"/>
                <w:szCs w:val="18"/>
                <w:color w:val="auto"/>
              </w:rPr>
            </w:pP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3,586,493</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Beneficially</w:t>
            </w:r>
          </w:p>
        </w:tc>
        <w:tc>
          <w:tcPr>
            <w:tcW w:w="520" w:type="dxa"/>
            <w:vAlign w:val="bottom"/>
          </w:tcPr>
          <w:p>
            <w:pPr>
              <w:spacing w:after="0"/>
              <w:rPr>
                <w:sz w:val="10"/>
                <w:szCs w:val="10"/>
                <w:color w:val="auto"/>
              </w:rPr>
            </w:pPr>
          </w:p>
        </w:tc>
        <w:tc>
          <w:tcPr>
            <w:tcW w:w="8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Owned by</w:t>
            </w:r>
          </w:p>
        </w:tc>
        <w:tc>
          <w:tcPr>
            <w:tcW w:w="520" w:type="dxa"/>
            <w:vAlign w:val="bottom"/>
            <w:tcBorders>
              <w:bottom w:val="single" w:sz="8" w:color="auto"/>
            </w:tcBorders>
          </w:tcPr>
          <w:p>
            <w:pPr>
              <w:spacing w:after="0"/>
              <w:rPr>
                <w:sz w:val="10"/>
                <w:szCs w:val="10"/>
                <w:color w:val="auto"/>
              </w:rPr>
            </w:pPr>
          </w:p>
        </w:tc>
        <w:tc>
          <w:tcPr>
            <w:tcW w:w="8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vMerge w:val="continue"/>
          </w:tcPr>
          <w:p>
            <w:pPr>
              <w:spacing w:after="0"/>
              <w:rPr>
                <w:sz w:val="6"/>
                <w:szCs w:val="6"/>
                <w:color w:val="auto"/>
              </w:rPr>
            </w:pPr>
          </w:p>
        </w:tc>
        <w:tc>
          <w:tcPr>
            <w:tcW w:w="5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87"/>
              </w:rPr>
              <w:t>Each</w:t>
            </w:r>
          </w:p>
        </w:tc>
        <w:tc>
          <w:tcPr>
            <w:tcW w:w="52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Arial" w:cs="Arial" w:eastAsia="Arial" w:hAnsi="Arial"/>
                <w:sz w:val="18"/>
                <w:szCs w:val="18"/>
                <w:color w:val="auto"/>
                <w:w w:val="92"/>
              </w:rPr>
              <w:t>Reporting</w:t>
            </w:r>
          </w:p>
        </w:tc>
        <w:tc>
          <w:tcPr>
            <w:tcW w:w="520" w:type="dxa"/>
            <w:vAlign w:val="bottom"/>
          </w:tcPr>
          <w:p>
            <w:pPr>
              <w:spacing w:after="0"/>
              <w:rPr>
                <w:sz w:val="18"/>
                <w:szCs w:val="18"/>
                <w:color w:val="auto"/>
              </w:rPr>
            </w:pP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380" w:type="dxa"/>
            <w:vAlign w:val="bottom"/>
            <w:vMerge w:val="restart"/>
          </w:tcPr>
          <w:p>
            <w:pPr>
              <w:jc w:val="center"/>
              <w:ind w:right="350"/>
              <w:spacing w:after="0"/>
              <w:rPr>
                <w:sz w:val="20"/>
                <w:szCs w:val="20"/>
                <w:color w:val="auto"/>
              </w:rPr>
            </w:pPr>
            <w:r>
              <w:rPr>
                <w:rFonts w:ascii="Arial" w:cs="Arial" w:eastAsia="Arial" w:hAnsi="Arial"/>
                <w:sz w:val="18"/>
                <w:szCs w:val="18"/>
                <w:color w:val="auto"/>
                <w:w w:val="91"/>
              </w:rPr>
              <w:t>Person With:</w:t>
            </w:r>
          </w:p>
        </w:tc>
        <w:tc>
          <w:tcPr>
            <w:tcW w:w="520" w:type="dxa"/>
            <w:vAlign w:val="bottom"/>
          </w:tcPr>
          <w:p>
            <w:pPr>
              <w:spacing w:after="0"/>
              <w:rPr>
                <w:sz w:val="11"/>
                <w:szCs w:val="11"/>
                <w:color w:val="auto"/>
              </w:rPr>
            </w:pPr>
          </w:p>
        </w:tc>
        <w:tc>
          <w:tcPr>
            <w:tcW w:w="8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20" w:right="6740" w:hanging="673"/>
        <w:spacing w:after="0" w:line="508" w:lineRule="auto"/>
        <w:tabs>
          <w:tab w:leader="none" w:pos="26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3,586,493</w:t>
      </w:r>
    </w:p>
    <w:p>
      <w:pPr>
        <w:spacing w:after="0" w:line="1" w:lineRule="exact"/>
        <w:rPr>
          <w:rFonts w:ascii="Arial" w:cs="Arial" w:eastAsia="Arial" w:hAnsi="Arial"/>
          <w:sz w:val="18"/>
          <w:szCs w:val="18"/>
          <w:color w:val="auto"/>
        </w:rPr>
      </w:pPr>
    </w:p>
    <w:p>
      <w:pPr>
        <w:ind w:left="800" w:right="5640" w:hanging="675"/>
        <w:spacing w:after="0" w:line="489" w:lineRule="auto"/>
        <w:tabs>
          <w:tab w:leader="none" w:pos="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3,586,493</w:t>
      </w:r>
    </w:p>
    <w:p>
      <w:pPr>
        <w:spacing w:after="0" w:line="1" w:lineRule="exact"/>
        <w:rPr>
          <w:rFonts w:ascii="Arial" w:cs="Arial" w:eastAsia="Arial" w:hAnsi="Arial"/>
          <w:sz w:val="18"/>
          <w:szCs w:val="18"/>
          <w:color w:val="auto"/>
        </w:rPr>
      </w:pPr>
    </w:p>
    <w:p>
      <w:pPr>
        <w:ind w:left="800" w:hanging="675"/>
        <w:spacing w:after="0" w:line="207" w:lineRule="exact"/>
        <w:tabs>
          <w:tab w:leader="none" w:pos="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800" w:right="6780" w:hanging="675"/>
        <w:spacing w:after="0" w:line="508" w:lineRule="auto"/>
        <w:tabs>
          <w:tab w:leader="none" w:pos="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2.9% (1)</w:t>
      </w:r>
    </w:p>
    <w:p>
      <w:pPr>
        <w:spacing w:after="0" w:line="1" w:lineRule="exact"/>
        <w:rPr>
          <w:rFonts w:ascii="Arial" w:cs="Arial" w:eastAsia="Arial" w:hAnsi="Arial"/>
          <w:sz w:val="18"/>
          <w:szCs w:val="18"/>
          <w:color w:val="auto"/>
        </w:rPr>
      </w:pPr>
    </w:p>
    <w:p>
      <w:pPr>
        <w:ind w:left="800" w:hanging="675"/>
        <w:spacing w:after="0"/>
        <w:tabs>
          <w:tab w:leader="none" w:pos="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in accordance with Rule 13(d)-3(d)(1)(i), and based on an aggregate total of 124,166,776 shares of the Issuer’s Common Stock outstanding as of October 31, 2021, as reported by the Issuer in its Quarterly Report for the period ended September 30, 2021, filed on Form 10-Q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tabs>
          <w:tab w:leader="none" w:pos="1032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5"/>
          <w:szCs w:val="15"/>
          <w:color w:val="auto"/>
        </w:rPr>
        <w:t>Page 3 of 11</w:t>
      </w:r>
    </w:p>
    <w:p>
      <w:pPr>
        <w:spacing w:after="0" w:line="243" w:lineRule="exact"/>
        <w:rPr>
          <w:sz w:val="20"/>
          <w:szCs w:val="20"/>
          <w:color w:val="auto"/>
        </w:rPr>
      </w:pPr>
    </w:p>
    <w:p>
      <w:pPr>
        <w:ind w:left="800" w:right="8400" w:hanging="675"/>
        <w:spacing w:after="0" w:line="538"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Reporting Person VCVC Management V LLC</w:t>
      </w:r>
    </w:p>
    <w:p>
      <w:pPr>
        <w:spacing w:after="0" w:line="1" w:lineRule="exact"/>
        <w:rPr>
          <w:rFonts w:ascii="Arial" w:cs="Arial" w:eastAsia="Arial" w:hAnsi="Arial"/>
          <w:sz w:val="17"/>
          <w:szCs w:val="17"/>
          <w:color w:val="auto"/>
        </w:rPr>
      </w:pPr>
    </w:p>
    <w:p>
      <w:pPr>
        <w:ind w:left="800" w:hanging="67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120" w:hanging="321"/>
        <w:spacing w:after="0" w:line="207" w:lineRule="exact"/>
        <w:tabs>
          <w:tab w:leader="none" w:pos="112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20" w:hanging="321"/>
        <w:spacing w:after="0" w:line="207" w:lineRule="exact"/>
        <w:tabs>
          <w:tab w:leader="none" w:pos="112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800" w:hanging="67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800" w:right="7820" w:hanging="675"/>
        <w:spacing w:after="0" w:line="50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 U.S.A.</w:t>
      </w:r>
    </w:p>
    <w:p>
      <w:pPr>
        <w:spacing w:after="0" w:line="1" w:lineRule="exact"/>
        <w:rPr>
          <w:rFonts w:ascii="Arial" w:cs="Arial" w:eastAsia="Arial" w:hAnsi="Arial"/>
          <w:sz w:val="18"/>
          <w:szCs w:val="18"/>
          <w:color w:val="auto"/>
        </w:rPr>
      </w:pPr>
    </w:p>
    <w:p>
      <w:pPr>
        <w:ind w:left="2620" w:right="7280" w:hanging="673"/>
        <w:spacing w:after="0" w:line="508" w:lineRule="auto"/>
        <w:tabs>
          <w:tab w:leader="none" w:pos="262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-2646680</wp:posOffset>
            </wp:positionV>
            <wp:extent cx="7132320" cy="6283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0"/>
        </w:trPr>
        <w:tc>
          <w:tcPr>
            <w:tcW w:w="1380" w:type="dxa"/>
            <w:vAlign w:val="bottom"/>
            <w:vMerge w:val="restart"/>
          </w:tcPr>
          <w:p>
            <w:pPr>
              <w:jc w:val="center"/>
              <w:ind w:right="390"/>
              <w:spacing w:after="0"/>
              <w:rPr>
                <w:sz w:val="20"/>
                <w:szCs w:val="20"/>
                <w:color w:val="auto"/>
              </w:rPr>
            </w:pPr>
            <w:r>
              <w:rPr>
                <w:rFonts w:ascii="Arial" w:cs="Arial" w:eastAsia="Arial" w:hAnsi="Arial"/>
                <w:sz w:val="18"/>
                <w:szCs w:val="18"/>
                <w:color w:val="auto"/>
                <w:w w:val="92"/>
              </w:rPr>
              <w:t>Number of</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888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Arial" w:cs="Arial" w:eastAsia="Arial" w:hAnsi="Arial"/>
                <w:sz w:val="18"/>
                <w:szCs w:val="18"/>
                <w:color w:val="auto"/>
                <w:w w:val="84"/>
              </w:rPr>
              <w:t>Shares</w:t>
            </w:r>
          </w:p>
        </w:tc>
        <w:tc>
          <w:tcPr>
            <w:tcW w:w="520" w:type="dxa"/>
            <w:vAlign w:val="bottom"/>
          </w:tcPr>
          <w:p>
            <w:pPr>
              <w:spacing w:after="0"/>
              <w:rPr>
                <w:sz w:val="18"/>
                <w:szCs w:val="18"/>
                <w:color w:val="auto"/>
              </w:rPr>
            </w:pP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3,586,493</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Beneficially</w:t>
            </w:r>
          </w:p>
        </w:tc>
        <w:tc>
          <w:tcPr>
            <w:tcW w:w="520" w:type="dxa"/>
            <w:vAlign w:val="bottom"/>
          </w:tcPr>
          <w:p>
            <w:pPr>
              <w:spacing w:after="0"/>
              <w:rPr>
                <w:sz w:val="10"/>
                <w:szCs w:val="10"/>
                <w:color w:val="auto"/>
              </w:rPr>
            </w:pPr>
          </w:p>
        </w:tc>
        <w:tc>
          <w:tcPr>
            <w:tcW w:w="8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Owned by</w:t>
            </w:r>
          </w:p>
        </w:tc>
        <w:tc>
          <w:tcPr>
            <w:tcW w:w="520" w:type="dxa"/>
            <w:vAlign w:val="bottom"/>
            <w:tcBorders>
              <w:bottom w:val="single" w:sz="8" w:color="auto"/>
            </w:tcBorders>
          </w:tcPr>
          <w:p>
            <w:pPr>
              <w:spacing w:after="0"/>
              <w:rPr>
                <w:sz w:val="10"/>
                <w:szCs w:val="10"/>
                <w:color w:val="auto"/>
              </w:rPr>
            </w:pPr>
          </w:p>
        </w:tc>
        <w:tc>
          <w:tcPr>
            <w:tcW w:w="8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vMerge w:val="continue"/>
          </w:tcPr>
          <w:p>
            <w:pPr>
              <w:spacing w:after="0"/>
              <w:rPr>
                <w:sz w:val="6"/>
                <w:szCs w:val="6"/>
                <w:color w:val="auto"/>
              </w:rPr>
            </w:pPr>
          </w:p>
        </w:tc>
        <w:tc>
          <w:tcPr>
            <w:tcW w:w="5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87"/>
              </w:rPr>
              <w:t>Each</w:t>
            </w:r>
          </w:p>
        </w:tc>
        <w:tc>
          <w:tcPr>
            <w:tcW w:w="52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Arial" w:cs="Arial" w:eastAsia="Arial" w:hAnsi="Arial"/>
                <w:sz w:val="18"/>
                <w:szCs w:val="18"/>
                <w:color w:val="auto"/>
                <w:w w:val="92"/>
              </w:rPr>
              <w:t>Reporting</w:t>
            </w:r>
          </w:p>
        </w:tc>
        <w:tc>
          <w:tcPr>
            <w:tcW w:w="520" w:type="dxa"/>
            <w:vAlign w:val="bottom"/>
          </w:tcPr>
          <w:p>
            <w:pPr>
              <w:spacing w:after="0"/>
              <w:rPr>
                <w:sz w:val="18"/>
                <w:szCs w:val="18"/>
                <w:color w:val="auto"/>
              </w:rPr>
            </w:pP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380" w:type="dxa"/>
            <w:vAlign w:val="bottom"/>
            <w:vMerge w:val="restart"/>
          </w:tcPr>
          <w:p>
            <w:pPr>
              <w:jc w:val="center"/>
              <w:ind w:right="350"/>
              <w:spacing w:after="0"/>
              <w:rPr>
                <w:sz w:val="20"/>
                <w:szCs w:val="20"/>
                <w:color w:val="auto"/>
              </w:rPr>
            </w:pPr>
            <w:r>
              <w:rPr>
                <w:rFonts w:ascii="Arial" w:cs="Arial" w:eastAsia="Arial" w:hAnsi="Arial"/>
                <w:sz w:val="18"/>
                <w:szCs w:val="18"/>
                <w:color w:val="auto"/>
                <w:w w:val="91"/>
              </w:rPr>
              <w:t>Person With:</w:t>
            </w:r>
          </w:p>
        </w:tc>
        <w:tc>
          <w:tcPr>
            <w:tcW w:w="520" w:type="dxa"/>
            <w:vAlign w:val="bottom"/>
          </w:tcPr>
          <w:p>
            <w:pPr>
              <w:spacing w:after="0"/>
              <w:rPr>
                <w:sz w:val="11"/>
                <w:szCs w:val="11"/>
                <w:color w:val="auto"/>
              </w:rPr>
            </w:pPr>
          </w:p>
        </w:tc>
        <w:tc>
          <w:tcPr>
            <w:tcW w:w="8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20" w:right="6740" w:hanging="673"/>
        <w:spacing w:after="0" w:line="508" w:lineRule="auto"/>
        <w:tabs>
          <w:tab w:leader="none" w:pos="262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Dispositive Power 3,586,493</w:t>
      </w:r>
    </w:p>
    <w:p>
      <w:pPr>
        <w:spacing w:after="0" w:line="1" w:lineRule="exact"/>
        <w:rPr>
          <w:rFonts w:ascii="Arial" w:cs="Arial" w:eastAsia="Arial" w:hAnsi="Arial"/>
          <w:sz w:val="18"/>
          <w:szCs w:val="18"/>
          <w:color w:val="auto"/>
        </w:rPr>
      </w:pPr>
    </w:p>
    <w:p>
      <w:pPr>
        <w:ind w:left="800" w:right="5640" w:hanging="675"/>
        <w:spacing w:after="0" w:line="489" w:lineRule="auto"/>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3,586,493</w:t>
      </w:r>
    </w:p>
    <w:p>
      <w:pPr>
        <w:spacing w:after="0" w:line="1" w:lineRule="exact"/>
        <w:rPr>
          <w:rFonts w:ascii="Arial" w:cs="Arial" w:eastAsia="Arial" w:hAnsi="Arial"/>
          <w:sz w:val="18"/>
          <w:szCs w:val="18"/>
          <w:color w:val="auto"/>
        </w:rPr>
      </w:pPr>
    </w:p>
    <w:p>
      <w:pPr>
        <w:ind w:left="800" w:hanging="675"/>
        <w:spacing w:after="0" w:line="207" w:lineRule="exact"/>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800" w:right="6780" w:hanging="675"/>
        <w:spacing w:after="0" w:line="508" w:lineRule="auto"/>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2.9% (1)</w:t>
      </w:r>
    </w:p>
    <w:p>
      <w:pPr>
        <w:spacing w:after="0" w:line="1" w:lineRule="exact"/>
        <w:rPr>
          <w:rFonts w:ascii="Arial" w:cs="Arial" w:eastAsia="Arial" w:hAnsi="Arial"/>
          <w:sz w:val="18"/>
          <w:szCs w:val="18"/>
          <w:color w:val="auto"/>
        </w:rPr>
      </w:pPr>
    </w:p>
    <w:p>
      <w:pPr>
        <w:ind w:left="800" w:hanging="675"/>
        <w:spacing w:after="0"/>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in accordance with Rule 13(d)-3(d)(1)(i), and based on an aggregate total of 124,166,776 shares of the Issuer’s Common Stock outstanding as of October 31, 2021, as reported by the Issuer in its Quarterly Report for the period ended September 30, 2021, filed on Form 10-Q with the SEC on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tabs>
          <w:tab w:leader="none" w:pos="1032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5"/>
          <w:szCs w:val="15"/>
          <w:color w:val="auto"/>
        </w:rPr>
        <w:t>Page 4 of 11</w:t>
      </w:r>
    </w:p>
    <w:p>
      <w:pPr>
        <w:spacing w:after="0" w:line="243" w:lineRule="exact"/>
        <w:rPr>
          <w:sz w:val="20"/>
          <w:szCs w:val="20"/>
          <w:color w:val="auto"/>
        </w:rPr>
      </w:pPr>
    </w:p>
    <w:p>
      <w:pPr>
        <w:ind w:left="800" w:hanging="67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VC Capital Holdings Columbia LLC</w:t>
      </w:r>
    </w:p>
    <w:p>
      <w:pPr>
        <w:spacing w:after="0" w:line="238" w:lineRule="exact"/>
        <w:rPr>
          <w:rFonts w:ascii="Arial" w:cs="Arial" w:eastAsia="Arial" w:hAnsi="Arial"/>
          <w:sz w:val="18"/>
          <w:szCs w:val="18"/>
          <w:color w:val="auto"/>
        </w:rPr>
      </w:pPr>
    </w:p>
    <w:p>
      <w:pPr>
        <w:ind w:left="800" w:hanging="67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120" w:hanging="321"/>
        <w:spacing w:after="0" w:line="207" w:lineRule="exact"/>
        <w:tabs>
          <w:tab w:leader="none" w:pos="112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20" w:hanging="321"/>
        <w:spacing w:after="0" w:line="207" w:lineRule="exact"/>
        <w:tabs>
          <w:tab w:leader="none" w:pos="112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800" w:hanging="67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800" w:right="7820" w:hanging="675"/>
        <w:spacing w:after="0" w:line="50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Delaware, U.S.A.</w:t>
      </w:r>
    </w:p>
    <w:p>
      <w:pPr>
        <w:spacing w:after="0" w:line="1" w:lineRule="exact"/>
        <w:rPr>
          <w:rFonts w:ascii="Arial" w:cs="Arial" w:eastAsia="Arial" w:hAnsi="Arial"/>
          <w:sz w:val="18"/>
          <w:szCs w:val="18"/>
          <w:color w:val="auto"/>
        </w:rPr>
      </w:pPr>
    </w:p>
    <w:p>
      <w:pPr>
        <w:ind w:left="2620" w:right="7280" w:hanging="673"/>
        <w:spacing w:after="0" w:line="508" w:lineRule="auto"/>
        <w:tabs>
          <w:tab w:leader="none" w:pos="26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-2646680</wp:posOffset>
            </wp:positionV>
            <wp:extent cx="7132320" cy="6283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0"/>
        </w:trPr>
        <w:tc>
          <w:tcPr>
            <w:tcW w:w="1380" w:type="dxa"/>
            <w:vAlign w:val="bottom"/>
            <w:vMerge w:val="restart"/>
          </w:tcPr>
          <w:p>
            <w:pPr>
              <w:jc w:val="center"/>
              <w:ind w:right="390"/>
              <w:spacing w:after="0"/>
              <w:rPr>
                <w:sz w:val="20"/>
                <w:szCs w:val="20"/>
                <w:color w:val="auto"/>
              </w:rPr>
            </w:pPr>
            <w:r>
              <w:rPr>
                <w:rFonts w:ascii="Arial" w:cs="Arial" w:eastAsia="Arial" w:hAnsi="Arial"/>
                <w:sz w:val="18"/>
                <w:szCs w:val="18"/>
                <w:color w:val="auto"/>
                <w:w w:val="92"/>
              </w:rPr>
              <w:t>Number of</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888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Arial" w:cs="Arial" w:eastAsia="Arial" w:hAnsi="Arial"/>
                <w:sz w:val="18"/>
                <w:szCs w:val="18"/>
                <w:color w:val="auto"/>
                <w:w w:val="84"/>
              </w:rPr>
              <w:t>Shares</w:t>
            </w:r>
          </w:p>
        </w:tc>
        <w:tc>
          <w:tcPr>
            <w:tcW w:w="520" w:type="dxa"/>
            <w:vAlign w:val="bottom"/>
          </w:tcPr>
          <w:p>
            <w:pPr>
              <w:spacing w:after="0"/>
              <w:rPr>
                <w:sz w:val="18"/>
                <w:szCs w:val="18"/>
                <w:color w:val="auto"/>
              </w:rPr>
            </w:pP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3,586,492</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Beneficially</w:t>
            </w:r>
          </w:p>
        </w:tc>
        <w:tc>
          <w:tcPr>
            <w:tcW w:w="520" w:type="dxa"/>
            <w:vAlign w:val="bottom"/>
          </w:tcPr>
          <w:p>
            <w:pPr>
              <w:spacing w:after="0"/>
              <w:rPr>
                <w:sz w:val="10"/>
                <w:szCs w:val="10"/>
                <w:color w:val="auto"/>
              </w:rPr>
            </w:pPr>
          </w:p>
        </w:tc>
        <w:tc>
          <w:tcPr>
            <w:tcW w:w="8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Owned by</w:t>
            </w:r>
          </w:p>
        </w:tc>
        <w:tc>
          <w:tcPr>
            <w:tcW w:w="520" w:type="dxa"/>
            <w:vAlign w:val="bottom"/>
            <w:tcBorders>
              <w:bottom w:val="single" w:sz="8" w:color="auto"/>
            </w:tcBorders>
          </w:tcPr>
          <w:p>
            <w:pPr>
              <w:spacing w:after="0"/>
              <w:rPr>
                <w:sz w:val="10"/>
                <w:szCs w:val="10"/>
                <w:color w:val="auto"/>
              </w:rPr>
            </w:pPr>
          </w:p>
        </w:tc>
        <w:tc>
          <w:tcPr>
            <w:tcW w:w="8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vMerge w:val="continue"/>
          </w:tcPr>
          <w:p>
            <w:pPr>
              <w:spacing w:after="0"/>
              <w:rPr>
                <w:sz w:val="6"/>
                <w:szCs w:val="6"/>
                <w:color w:val="auto"/>
              </w:rPr>
            </w:pPr>
          </w:p>
        </w:tc>
        <w:tc>
          <w:tcPr>
            <w:tcW w:w="5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87"/>
              </w:rPr>
              <w:t>Each</w:t>
            </w:r>
          </w:p>
        </w:tc>
        <w:tc>
          <w:tcPr>
            <w:tcW w:w="52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Arial" w:cs="Arial" w:eastAsia="Arial" w:hAnsi="Arial"/>
                <w:sz w:val="18"/>
                <w:szCs w:val="18"/>
                <w:color w:val="auto"/>
                <w:w w:val="92"/>
              </w:rPr>
              <w:t>Reporting</w:t>
            </w:r>
          </w:p>
        </w:tc>
        <w:tc>
          <w:tcPr>
            <w:tcW w:w="520" w:type="dxa"/>
            <w:vAlign w:val="bottom"/>
          </w:tcPr>
          <w:p>
            <w:pPr>
              <w:spacing w:after="0"/>
              <w:rPr>
                <w:sz w:val="18"/>
                <w:szCs w:val="18"/>
                <w:color w:val="auto"/>
              </w:rPr>
            </w:pP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380" w:type="dxa"/>
            <w:vAlign w:val="bottom"/>
            <w:vMerge w:val="restart"/>
          </w:tcPr>
          <w:p>
            <w:pPr>
              <w:jc w:val="center"/>
              <w:ind w:right="350"/>
              <w:spacing w:after="0"/>
              <w:rPr>
                <w:sz w:val="20"/>
                <w:szCs w:val="20"/>
                <w:color w:val="auto"/>
              </w:rPr>
            </w:pPr>
            <w:r>
              <w:rPr>
                <w:rFonts w:ascii="Arial" w:cs="Arial" w:eastAsia="Arial" w:hAnsi="Arial"/>
                <w:sz w:val="18"/>
                <w:szCs w:val="18"/>
                <w:color w:val="auto"/>
                <w:w w:val="91"/>
              </w:rPr>
              <w:t>Person With:</w:t>
            </w:r>
          </w:p>
        </w:tc>
        <w:tc>
          <w:tcPr>
            <w:tcW w:w="520" w:type="dxa"/>
            <w:vAlign w:val="bottom"/>
          </w:tcPr>
          <w:p>
            <w:pPr>
              <w:spacing w:after="0"/>
              <w:rPr>
                <w:sz w:val="11"/>
                <w:szCs w:val="11"/>
                <w:color w:val="auto"/>
              </w:rPr>
            </w:pPr>
          </w:p>
        </w:tc>
        <w:tc>
          <w:tcPr>
            <w:tcW w:w="8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20" w:right="6740" w:hanging="673"/>
        <w:spacing w:after="0" w:line="508" w:lineRule="auto"/>
        <w:tabs>
          <w:tab w:leader="none" w:pos="2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Dispositive Power 3,586,492</w:t>
      </w:r>
    </w:p>
    <w:p>
      <w:pPr>
        <w:spacing w:after="0" w:line="1" w:lineRule="exact"/>
        <w:rPr>
          <w:rFonts w:ascii="Arial" w:cs="Arial" w:eastAsia="Arial" w:hAnsi="Arial"/>
          <w:sz w:val="18"/>
          <w:szCs w:val="18"/>
          <w:color w:val="auto"/>
        </w:rPr>
      </w:pPr>
    </w:p>
    <w:p>
      <w:pPr>
        <w:ind w:left="800" w:right="5640" w:hanging="675"/>
        <w:spacing w:after="0" w:line="489" w:lineRule="auto"/>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3,586,492</w:t>
      </w:r>
    </w:p>
    <w:p>
      <w:pPr>
        <w:spacing w:after="0" w:line="1" w:lineRule="exact"/>
        <w:rPr>
          <w:rFonts w:ascii="Arial" w:cs="Arial" w:eastAsia="Arial" w:hAnsi="Arial"/>
          <w:sz w:val="18"/>
          <w:szCs w:val="18"/>
          <w:color w:val="auto"/>
        </w:rPr>
      </w:pPr>
    </w:p>
    <w:p>
      <w:pPr>
        <w:ind w:left="800" w:hanging="675"/>
        <w:spacing w:after="0" w:line="207" w:lineRule="exact"/>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800" w:right="6780" w:hanging="675"/>
        <w:spacing w:after="0" w:line="508" w:lineRule="auto"/>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2.9% (1)</w:t>
      </w:r>
    </w:p>
    <w:p>
      <w:pPr>
        <w:spacing w:after="0" w:line="1" w:lineRule="exact"/>
        <w:rPr>
          <w:rFonts w:ascii="Arial" w:cs="Arial" w:eastAsia="Arial" w:hAnsi="Arial"/>
          <w:sz w:val="18"/>
          <w:szCs w:val="18"/>
          <w:color w:val="auto"/>
        </w:rPr>
      </w:pPr>
    </w:p>
    <w:p>
      <w:pPr>
        <w:ind w:left="800" w:hanging="675"/>
        <w:spacing w:after="0"/>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in accordance with Rule 13(d)-3(d)(1)(i), and based on an aggregate total of 124,166,776 shares of the Issuer’s Common Stock outstanding as of October 31, 2021, as reported by the Issuer in its Quarterly Report for the period ended September 30, 2021, filed on Form 10-Q with the SEC on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tabs>
          <w:tab w:leader="none" w:pos="1032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5"/>
          <w:szCs w:val="15"/>
          <w:color w:val="auto"/>
        </w:rPr>
        <w:t>Page 5 of 11</w:t>
      </w:r>
    </w:p>
    <w:p>
      <w:pPr>
        <w:spacing w:after="0" w:line="243" w:lineRule="exact"/>
        <w:rPr>
          <w:sz w:val="20"/>
          <w:szCs w:val="20"/>
          <w:color w:val="auto"/>
        </w:rPr>
      </w:pPr>
    </w:p>
    <w:p>
      <w:pPr>
        <w:jc w:val="both"/>
        <w:ind w:left="800" w:right="8520" w:hanging="675"/>
        <w:spacing w:after="0" w:line="572"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 of Reporting Person VCHC Management LLC</w:t>
      </w:r>
    </w:p>
    <w:p>
      <w:pPr>
        <w:ind w:left="800" w:hanging="67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120" w:hanging="321"/>
        <w:spacing w:after="0" w:line="207" w:lineRule="exact"/>
        <w:tabs>
          <w:tab w:leader="none" w:pos="11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20" w:hanging="321"/>
        <w:spacing w:after="0" w:line="207" w:lineRule="exact"/>
        <w:tabs>
          <w:tab w:leader="none" w:pos="11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800" w:hanging="67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800" w:right="7820" w:hanging="675"/>
        <w:spacing w:after="0" w:line="50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 U.S.A.</w:t>
      </w:r>
    </w:p>
    <w:p>
      <w:pPr>
        <w:spacing w:after="0" w:line="1" w:lineRule="exact"/>
        <w:rPr>
          <w:rFonts w:ascii="Arial" w:cs="Arial" w:eastAsia="Arial" w:hAnsi="Arial"/>
          <w:sz w:val="18"/>
          <w:szCs w:val="18"/>
          <w:color w:val="auto"/>
        </w:rPr>
      </w:pPr>
    </w:p>
    <w:p>
      <w:pPr>
        <w:ind w:left="2620" w:right="7280" w:hanging="673"/>
        <w:spacing w:after="0" w:line="508" w:lineRule="auto"/>
        <w:tabs>
          <w:tab w:leader="none" w:pos="2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-2646680</wp:posOffset>
            </wp:positionV>
            <wp:extent cx="7132320" cy="6283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0"/>
        </w:trPr>
        <w:tc>
          <w:tcPr>
            <w:tcW w:w="1380" w:type="dxa"/>
            <w:vAlign w:val="bottom"/>
            <w:vMerge w:val="restart"/>
          </w:tcPr>
          <w:p>
            <w:pPr>
              <w:jc w:val="center"/>
              <w:ind w:right="390"/>
              <w:spacing w:after="0"/>
              <w:rPr>
                <w:sz w:val="20"/>
                <w:szCs w:val="20"/>
                <w:color w:val="auto"/>
              </w:rPr>
            </w:pPr>
            <w:r>
              <w:rPr>
                <w:rFonts w:ascii="Arial" w:cs="Arial" w:eastAsia="Arial" w:hAnsi="Arial"/>
                <w:sz w:val="18"/>
                <w:szCs w:val="18"/>
                <w:color w:val="auto"/>
                <w:w w:val="92"/>
              </w:rPr>
              <w:t>Number of</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888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Arial" w:cs="Arial" w:eastAsia="Arial" w:hAnsi="Arial"/>
                <w:sz w:val="18"/>
                <w:szCs w:val="18"/>
                <w:color w:val="auto"/>
                <w:w w:val="84"/>
              </w:rPr>
              <w:t>Shares</w:t>
            </w:r>
          </w:p>
        </w:tc>
        <w:tc>
          <w:tcPr>
            <w:tcW w:w="520" w:type="dxa"/>
            <w:vAlign w:val="bottom"/>
          </w:tcPr>
          <w:p>
            <w:pPr>
              <w:spacing w:after="0"/>
              <w:rPr>
                <w:sz w:val="18"/>
                <w:szCs w:val="18"/>
                <w:color w:val="auto"/>
              </w:rPr>
            </w:pP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3,586,492</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Beneficially</w:t>
            </w:r>
          </w:p>
        </w:tc>
        <w:tc>
          <w:tcPr>
            <w:tcW w:w="520" w:type="dxa"/>
            <w:vAlign w:val="bottom"/>
          </w:tcPr>
          <w:p>
            <w:pPr>
              <w:spacing w:after="0"/>
              <w:rPr>
                <w:sz w:val="10"/>
                <w:szCs w:val="10"/>
                <w:color w:val="auto"/>
              </w:rPr>
            </w:pPr>
          </w:p>
        </w:tc>
        <w:tc>
          <w:tcPr>
            <w:tcW w:w="8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Owned by</w:t>
            </w:r>
          </w:p>
        </w:tc>
        <w:tc>
          <w:tcPr>
            <w:tcW w:w="520" w:type="dxa"/>
            <w:vAlign w:val="bottom"/>
            <w:tcBorders>
              <w:bottom w:val="single" w:sz="8" w:color="auto"/>
            </w:tcBorders>
          </w:tcPr>
          <w:p>
            <w:pPr>
              <w:spacing w:after="0"/>
              <w:rPr>
                <w:sz w:val="10"/>
                <w:szCs w:val="10"/>
                <w:color w:val="auto"/>
              </w:rPr>
            </w:pPr>
          </w:p>
        </w:tc>
        <w:tc>
          <w:tcPr>
            <w:tcW w:w="8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vMerge w:val="continue"/>
          </w:tcPr>
          <w:p>
            <w:pPr>
              <w:spacing w:after="0"/>
              <w:rPr>
                <w:sz w:val="6"/>
                <w:szCs w:val="6"/>
                <w:color w:val="auto"/>
              </w:rPr>
            </w:pPr>
          </w:p>
        </w:tc>
        <w:tc>
          <w:tcPr>
            <w:tcW w:w="5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87"/>
              </w:rPr>
              <w:t>Each</w:t>
            </w:r>
          </w:p>
        </w:tc>
        <w:tc>
          <w:tcPr>
            <w:tcW w:w="52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Arial" w:cs="Arial" w:eastAsia="Arial" w:hAnsi="Arial"/>
                <w:sz w:val="18"/>
                <w:szCs w:val="18"/>
                <w:color w:val="auto"/>
                <w:w w:val="92"/>
              </w:rPr>
              <w:t>Reporting</w:t>
            </w:r>
          </w:p>
        </w:tc>
        <w:tc>
          <w:tcPr>
            <w:tcW w:w="520" w:type="dxa"/>
            <w:vAlign w:val="bottom"/>
          </w:tcPr>
          <w:p>
            <w:pPr>
              <w:spacing w:after="0"/>
              <w:rPr>
                <w:sz w:val="18"/>
                <w:szCs w:val="18"/>
                <w:color w:val="auto"/>
              </w:rPr>
            </w:pP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380" w:type="dxa"/>
            <w:vAlign w:val="bottom"/>
            <w:vMerge w:val="restart"/>
          </w:tcPr>
          <w:p>
            <w:pPr>
              <w:jc w:val="center"/>
              <w:ind w:right="350"/>
              <w:spacing w:after="0"/>
              <w:rPr>
                <w:sz w:val="20"/>
                <w:szCs w:val="20"/>
                <w:color w:val="auto"/>
              </w:rPr>
            </w:pPr>
            <w:r>
              <w:rPr>
                <w:rFonts w:ascii="Arial" w:cs="Arial" w:eastAsia="Arial" w:hAnsi="Arial"/>
                <w:sz w:val="18"/>
                <w:szCs w:val="18"/>
                <w:color w:val="auto"/>
                <w:w w:val="91"/>
              </w:rPr>
              <w:t>Person With:</w:t>
            </w:r>
          </w:p>
        </w:tc>
        <w:tc>
          <w:tcPr>
            <w:tcW w:w="520" w:type="dxa"/>
            <w:vAlign w:val="bottom"/>
          </w:tcPr>
          <w:p>
            <w:pPr>
              <w:spacing w:after="0"/>
              <w:rPr>
                <w:sz w:val="11"/>
                <w:szCs w:val="11"/>
                <w:color w:val="auto"/>
              </w:rPr>
            </w:pPr>
          </w:p>
        </w:tc>
        <w:tc>
          <w:tcPr>
            <w:tcW w:w="8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20" w:right="6740" w:hanging="673"/>
        <w:spacing w:after="0" w:line="508" w:lineRule="auto"/>
        <w:tabs>
          <w:tab w:leader="none" w:pos="26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 3,586,492</w:t>
      </w:r>
    </w:p>
    <w:p>
      <w:pPr>
        <w:spacing w:after="0" w:line="1" w:lineRule="exact"/>
        <w:rPr>
          <w:rFonts w:ascii="Arial" w:cs="Arial" w:eastAsia="Arial" w:hAnsi="Arial"/>
          <w:sz w:val="18"/>
          <w:szCs w:val="18"/>
          <w:color w:val="auto"/>
        </w:rPr>
      </w:pPr>
    </w:p>
    <w:p>
      <w:pPr>
        <w:ind w:left="800" w:right="5640" w:hanging="675"/>
        <w:spacing w:after="0" w:line="489" w:lineRule="auto"/>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3,586,492</w:t>
      </w:r>
    </w:p>
    <w:p>
      <w:pPr>
        <w:spacing w:after="0" w:line="1" w:lineRule="exact"/>
        <w:rPr>
          <w:rFonts w:ascii="Arial" w:cs="Arial" w:eastAsia="Arial" w:hAnsi="Arial"/>
          <w:sz w:val="18"/>
          <w:szCs w:val="18"/>
          <w:color w:val="auto"/>
        </w:rPr>
      </w:pPr>
    </w:p>
    <w:p>
      <w:pPr>
        <w:ind w:left="800" w:hanging="675"/>
        <w:spacing w:after="0" w:line="207" w:lineRule="exact"/>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800" w:right="6780" w:hanging="675"/>
        <w:spacing w:after="0" w:line="508" w:lineRule="auto"/>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2.9% (1)</w:t>
      </w:r>
    </w:p>
    <w:p>
      <w:pPr>
        <w:spacing w:after="0" w:line="1" w:lineRule="exact"/>
        <w:rPr>
          <w:rFonts w:ascii="Arial" w:cs="Arial" w:eastAsia="Arial" w:hAnsi="Arial"/>
          <w:sz w:val="18"/>
          <w:szCs w:val="18"/>
          <w:color w:val="auto"/>
        </w:rPr>
      </w:pPr>
    </w:p>
    <w:p>
      <w:pPr>
        <w:ind w:left="800" w:hanging="675"/>
        <w:spacing w:after="0"/>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in accordance with Rule 13(d)-3(d)(1)(i), and based on an aggregate total of 124,166,776 shares of the Issuer’s Common Stock outstanding as of October 31, 2021, as reported by the Issuer in its Quarterly Report for the period ended September 30, 2021, filed on Form 10-Q with the SEC on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tabs>
          <w:tab w:leader="none" w:pos="1032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5"/>
          <w:szCs w:val="15"/>
          <w:color w:val="auto"/>
        </w:rPr>
        <w:t>Page 6 of 11</w:t>
      </w:r>
    </w:p>
    <w:p>
      <w:pPr>
        <w:spacing w:after="0" w:line="243" w:lineRule="exact"/>
        <w:rPr>
          <w:sz w:val="20"/>
          <w:szCs w:val="20"/>
          <w:color w:val="auto"/>
        </w:rPr>
      </w:pPr>
    </w:p>
    <w:p>
      <w:pPr>
        <w:ind w:left="800" w:right="7980" w:hanging="675"/>
        <w:spacing w:after="0" w:line="572"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Name of Reporting Person Cougar Investment Holdings LLC</w:t>
      </w:r>
    </w:p>
    <w:p>
      <w:pPr>
        <w:ind w:left="800" w:hanging="675"/>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120" w:hanging="321"/>
        <w:spacing w:after="0" w:line="207" w:lineRule="exact"/>
        <w:tabs>
          <w:tab w:leader="none" w:pos="112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20" w:hanging="321"/>
        <w:spacing w:after="0" w:line="207" w:lineRule="exact"/>
        <w:tabs>
          <w:tab w:leader="none" w:pos="112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800" w:hanging="675"/>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800" w:right="7820" w:hanging="675"/>
        <w:spacing w:after="0" w:line="50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 U.S.A.</w:t>
      </w:r>
    </w:p>
    <w:p>
      <w:pPr>
        <w:spacing w:after="0" w:line="1" w:lineRule="exact"/>
        <w:rPr>
          <w:rFonts w:ascii="Arial" w:cs="Arial" w:eastAsia="Arial" w:hAnsi="Arial"/>
          <w:sz w:val="18"/>
          <w:szCs w:val="18"/>
          <w:color w:val="auto"/>
        </w:rPr>
      </w:pPr>
    </w:p>
    <w:p>
      <w:pPr>
        <w:ind w:left="2620" w:right="7280" w:hanging="673"/>
        <w:spacing w:after="0" w:line="508" w:lineRule="auto"/>
        <w:tabs>
          <w:tab w:leader="none" w:pos="26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-2646680</wp:posOffset>
            </wp:positionV>
            <wp:extent cx="7132320" cy="6283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0"/>
        </w:trPr>
        <w:tc>
          <w:tcPr>
            <w:tcW w:w="1380" w:type="dxa"/>
            <w:vAlign w:val="bottom"/>
            <w:vMerge w:val="restart"/>
          </w:tcPr>
          <w:p>
            <w:pPr>
              <w:jc w:val="center"/>
              <w:ind w:right="390"/>
              <w:spacing w:after="0"/>
              <w:rPr>
                <w:sz w:val="20"/>
                <w:szCs w:val="20"/>
                <w:color w:val="auto"/>
              </w:rPr>
            </w:pPr>
            <w:r>
              <w:rPr>
                <w:rFonts w:ascii="Arial" w:cs="Arial" w:eastAsia="Arial" w:hAnsi="Arial"/>
                <w:sz w:val="18"/>
                <w:szCs w:val="18"/>
                <w:color w:val="auto"/>
                <w:w w:val="92"/>
              </w:rPr>
              <w:t>Number of</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888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Arial" w:cs="Arial" w:eastAsia="Arial" w:hAnsi="Arial"/>
                <w:sz w:val="18"/>
                <w:szCs w:val="18"/>
                <w:color w:val="auto"/>
                <w:w w:val="84"/>
              </w:rPr>
              <w:t>Shares</w:t>
            </w:r>
          </w:p>
        </w:tc>
        <w:tc>
          <w:tcPr>
            <w:tcW w:w="520" w:type="dxa"/>
            <w:vAlign w:val="bottom"/>
          </w:tcPr>
          <w:p>
            <w:pPr>
              <w:spacing w:after="0"/>
              <w:rPr>
                <w:sz w:val="18"/>
                <w:szCs w:val="18"/>
                <w:color w:val="auto"/>
              </w:rPr>
            </w:pP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7,172,985</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Beneficially</w:t>
            </w:r>
          </w:p>
        </w:tc>
        <w:tc>
          <w:tcPr>
            <w:tcW w:w="520" w:type="dxa"/>
            <w:vAlign w:val="bottom"/>
          </w:tcPr>
          <w:p>
            <w:pPr>
              <w:spacing w:after="0"/>
              <w:rPr>
                <w:sz w:val="10"/>
                <w:szCs w:val="10"/>
                <w:color w:val="auto"/>
              </w:rPr>
            </w:pPr>
          </w:p>
        </w:tc>
        <w:tc>
          <w:tcPr>
            <w:tcW w:w="8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Owned by</w:t>
            </w:r>
          </w:p>
        </w:tc>
        <w:tc>
          <w:tcPr>
            <w:tcW w:w="520" w:type="dxa"/>
            <w:vAlign w:val="bottom"/>
            <w:tcBorders>
              <w:bottom w:val="single" w:sz="8" w:color="auto"/>
            </w:tcBorders>
          </w:tcPr>
          <w:p>
            <w:pPr>
              <w:spacing w:after="0"/>
              <w:rPr>
                <w:sz w:val="10"/>
                <w:szCs w:val="10"/>
                <w:color w:val="auto"/>
              </w:rPr>
            </w:pPr>
          </w:p>
        </w:tc>
        <w:tc>
          <w:tcPr>
            <w:tcW w:w="8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vMerge w:val="continue"/>
          </w:tcPr>
          <w:p>
            <w:pPr>
              <w:spacing w:after="0"/>
              <w:rPr>
                <w:sz w:val="6"/>
                <w:szCs w:val="6"/>
                <w:color w:val="auto"/>
              </w:rPr>
            </w:pPr>
          </w:p>
        </w:tc>
        <w:tc>
          <w:tcPr>
            <w:tcW w:w="5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80" w:type="dxa"/>
            <w:vAlign w:val="bottom"/>
            <w:vMerge w:val="restart"/>
          </w:tcPr>
          <w:p>
            <w:pPr>
              <w:jc w:val="center"/>
              <w:ind w:right="410"/>
              <w:spacing w:after="0"/>
              <w:rPr>
                <w:sz w:val="20"/>
                <w:szCs w:val="20"/>
                <w:color w:val="auto"/>
              </w:rPr>
            </w:pPr>
            <w:r>
              <w:rPr>
                <w:rFonts w:ascii="Arial" w:cs="Arial" w:eastAsia="Arial" w:hAnsi="Arial"/>
                <w:sz w:val="18"/>
                <w:szCs w:val="18"/>
                <w:color w:val="auto"/>
                <w:w w:val="87"/>
              </w:rPr>
              <w:t>Each</w:t>
            </w:r>
          </w:p>
        </w:tc>
        <w:tc>
          <w:tcPr>
            <w:tcW w:w="52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Arial" w:cs="Arial" w:eastAsia="Arial" w:hAnsi="Arial"/>
                <w:sz w:val="18"/>
                <w:szCs w:val="18"/>
                <w:color w:val="auto"/>
                <w:w w:val="92"/>
              </w:rPr>
              <w:t>Reporting</w:t>
            </w:r>
          </w:p>
        </w:tc>
        <w:tc>
          <w:tcPr>
            <w:tcW w:w="520" w:type="dxa"/>
            <w:vAlign w:val="bottom"/>
          </w:tcPr>
          <w:p>
            <w:pPr>
              <w:spacing w:after="0"/>
              <w:rPr>
                <w:sz w:val="18"/>
                <w:szCs w:val="18"/>
                <w:color w:val="auto"/>
              </w:rPr>
            </w:pPr>
          </w:p>
        </w:tc>
        <w:tc>
          <w:tcPr>
            <w:tcW w:w="888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380" w:type="dxa"/>
            <w:vAlign w:val="bottom"/>
            <w:vMerge w:val="restart"/>
          </w:tcPr>
          <w:p>
            <w:pPr>
              <w:jc w:val="center"/>
              <w:ind w:right="350"/>
              <w:spacing w:after="0"/>
              <w:rPr>
                <w:sz w:val="20"/>
                <w:szCs w:val="20"/>
                <w:color w:val="auto"/>
              </w:rPr>
            </w:pPr>
            <w:r>
              <w:rPr>
                <w:rFonts w:ascii="Arial" w:cs="Arial" w:eastAsia="Arial" w:hAnsi="Arial"/>
                <w:sz w:val="18"/>
                <w:szCs w:val="18"/>
                <w:color w:val="auto"/>
                <w:w w:val="91"/>
              </w:rPr>
              <w:t>Person With:</w:t>
            </w:r>
          </w:p>
        </w:tc>
        <w:tc>
          <w:tcPr>
            <w:tcW w:w="520" w:type="dxa"/>
            <w:vAlign w:val="bottom"/>
          </w:tcPr>
          <w:p>
            <w:pPr>
              <w:spacing w:after="0"/>
              <w:rPr>
                <w:sz w:val="11"/>
                <w:szCs w:val="11"/>
                <w:color w:val="auto"/>
              </w:rPr>
            </w:pPr>
          </w:p>
        </w:tc>
        <w:tc>
          <w:tcPr>
            <w:tcW w:w="8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20" w:right="6740" w:hanging="673"/>
        <w:spacing w:after="0" w:line="508" w:lineRule="auto"/>
        <w:tabs>
          <w:tab w:leader="none" w:pos="26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Shared Dispositive Power 7,172,985</w:t>
      </w:r>
    </w:p>
    <w:p>
      <w:pPr>
        <w:spacing w:after="0" w:line="1" w:lineRule="exact"/>
        <w:rPr>
          <w:rFonts w:ascii="Arial" w:cs="Arial" w:eastAsia="Arial" w:hAnsi="Arial"/>
          <w:sz w:val="18"/>
          <w:szCs w:val="18"/>
          <w:color w:val="auto"/>
        </w:rPr>
      </w:pPr>
    </w:p>
    <w:p>
      <w:pPr>
        <w:ind w:left="800" w:right="5640" w:hanging="675"/>
        <w:spacing w:after="0" w:line="489" w:lineRule="auto"/>
        <w:tabs>
          <w:tab w:leader="none" w:pos="8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7,172,985</w:t>
      </w:r>
    </w:p>
    <w:p>
      <w:pPr>
        <w:spacing w:after="0" w:line="1" w:lineRule="exact"/>
        <w:rPr>
          <w:rFonts w:ascii="Arial" w:cs="Arial" w:eastAsia="Arial" w:hAnsi="Arial"/>
          <w:sz w:val="18"/>
          <w:szCs w:val="18"/>
          <w:color w:val="auto"/>
        </w:rPr>
      </w:pPr>
    </w:p>
    <w:p>
      <w:pPr>
        <w:ind w:left="800" w:hanging="675"/>
        <w:spacing w:after="0" w:line="207" w:lineRule="exact"/>
        <w:tabs>
          <w:tab w:leader="none" w:pos="8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800" w:right="6780" w:hanging="675"/>
        <w:spacing w:after="0" w:line="508" w:lineRule="auto"/>
        <w:tabs>
          <w:tab w:leader="none" w:pos="8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5.8% (1)</w:t>
      </w:r>
    </w:p>
    <w:p>
      <w:pPr>
        <w:spacing w:after="0" w:line="1" w:lineRule="exact"/>
        <w:rPr>
          <w:rFonts w:ascii="Arial" w:cs="Arial" w:eastAsia="Arial" w:hAnsi="Arial"/>
          <w:sz w:val="18"/>
          <w:szCs w:val="18"/>
          <w:color w:val="auto"/>
        </w:rPr>
      </w:pPr>
    </w:p>
    <w:p>
      <w:pPr>
        <w:ind w:left="800" w:hanging="675"/>
        <w:spacing w:after="0"/>
        <w:tabs>
          <w:tab w:leader="none" w:pos="8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Calculated in accordance with Rule 13(d)-3(d)(1)(i), and based on an aggregate total of 124,166,776 shares of the Issuer’s Common Stock outstanding as of October 31, 2021, as reported by the Issuer in its Quarterly Report for the period ended September 30, 2021, filed on Form 10-Q with the SEC on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CUSIP No. 63909J108</w:t>
            </w:r>
          </w:p>
        </w:tc>
        <w:tc>
          <w:tcPr>
            <w:tcW w:w="1080" w:type="dxa"/>
            <w:vAlign w:val="bottom"/>
          </w:tcPr>
          <w:p>
            <w:pPr>
              <w:ind w:left="180"/>
              <w:spacing w:after="0"/>
              <w:rPr>
                <w:sz w:val="20"/>
                <w:szCs w:val="20"/>
                <w:color w:val="auto"/>
              </w:rPr>
            </w:pPr>
            <w:r>
              <w:rPr>
                <w:rFonts w:ascii="Arial" w:cs="Arial" w:eastAsia="Arial" w:hAnsi="Arial"/>
                <w:sz w:val="18"/>
                <w:szCs w:val="18"/>
                <w:color w:val="auto"/>
                <w:w w:val="86"/>
              </w:rPr>
              <w:t>Page 7 of 11</w:t>
            </w:r>
          </w:p>
        </w:tc>
      </w:tr>
      <w:tr>
        <w:trPr>
          <w:trHeight w:val="432"/>
        </w:trPr>
        <w:tc>
          <w:tcPr>
            <w:tcW w:w="1100" w:type="dxa"/>
            <w:vAlign w:val="bottom"/>
          </w:tcPr>
          <w:p>
            <w:pPr>
              <w:ind w:left="60"/>
              <w:spacing w:after="0"/>
              <w:rPr>
                <w:sz w:val="20"/>
                <w:szCs w:val="20"/>
                <w:color w:val="auto"/>
              </w:rPr>
            </w:pPr>
            <w:r>
              <w:rPr>
                <w:rFonts w:ascii="Arial" w:cs="Arial" w:eastAsia="Arial" w:hAnsi="Arial"/>
                <w:sz w:val="18"/>
                <w:szCs w:val="18"/>
                <w:b w:val="1"/>
                <w:bCs w:val="1"/>
                <w:color w:val="auto"/>
              </w:rPr>
              <w:t>Item 1(a)</w:t>
            </w:r>
          </w:p>
        </w:tc>
        <w:tc>
          <w:tcPr>
            <w:tcW w:w="9060" w:type="dxa"/>
            <w:vAlign w:val="bottom"/>
          </w:tcPr>
          <w:p>
            <w:pPr>
              <w:ind w:left="340"/>
              <w:spacing w:after="0"/>
              <w:rPr>
                <w:sz w:val="20"/>
                <w:szCs w:val="20"/>
                <w:color w:val="auto"/>
              </w:rPr>
            </w:pPr>
            <w:r>
              <w:rPr>
                <w:rFonts w:ascii="Arial" w:cs="Arial" w:eastAsia="Arial" w:hAnsi="Arial"/>
                <w:sz w:val="18"/>
                <w:szCs w:val="18"/>
                <w:b w:val="1"/>
                <w:bCs w:val="1"/>
                <w:color w:val="auto"/>
              </w:rPr>
              <w:t>Name of Issuer.</w:t>
            </w:r>
          </w:p>
        </w:tc>
        <w:tc>
          <w:tcPr>
            <w:tcW w:w="108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Nautilus Biotechnology, Inc. (the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w:t>
            </w:r>
          </w:p>
        </w:tc>
        <w:tc>
          <w:tcPr>
            <w:tcW w:w="1080" w:type="dxa"/>
            <w:vAlign w:val="bottom"/>
          </w:tcPr>
          <w:p>
            <w:pPr>
              <w:spacing w:after="0"/>
              <w:rPr>
                <w:sz w:val="24"/>
                <w:szCs w:val="24"/>
                <w:color w:val="auto"/>
              </w:rPr>
            </w:pPr>
          </w:p>
        </w:tc>
      </w:tr>
      <w:tr>
        <w:trPr>
          <w:trHeight w:val="432"/>
        </w:trPr>
        <w:tc>
          <w:tcPr>
            <w:tcW w:w="1100" w:type="dxa"/>
            <w:vAlign w:val="bottom"/>
          </w:tcPr>
          <w:p>
            <w:pPr>
              <w:ind w:left="60"/>
              <w:spacing w:after="0"/>
              <w:rPr>
                <w:sz w:val="20"/>
                <w:szCs w:val="20"/>
                <w:color w:val="auto"/>
              </w:rPr>
            </w:pPr>
            <w:r>
              <w:rPr>
                <w:rFonts w:ascii="Arial" w:cs="Arial" w:eastAsia="Arial" w:hAnsi="Arial"/>
                <w:sz w:val="18"/>
                <w:szCs w:val="18"/>
                <w:b w:val="1"/>
                <w:bCs w:val="1"/>
                <w:color w:val="auto"/>
              </w:rPr>
              <w:t>Item 1(b)</w:t>
            </w:r>
          </w:p>
        </w:tc>
        <w:tc>
          <w:tcPr>
            <w:tcW w:w="9060" w:type="dxa"/>
            <w:vAlign w:val="bottom"/>
          </w:tcPr>
          <w:p>
            <w:pPr>
              <w:ind w:left="340"/>
              <w:spacing w:after="0"/>
              <w:rPr>
                <w:sz w:val="20"/>
                <w:szCs w:val="20"/>
                <w:color w:val="auto"/>
              </w:rPr>
            </w:pPr>
            <w:r>
              <w:rPr>
                <w:rFonts w:ascii="Arial" w:cs="Arial" w:eastAsia="Arial" w:hAnsi="Arial"/>
                <w:sz w:val="18"/>
                <w:szCs w:val="18"/>
                <w:b w:val="1"/>
                <w:bCs w:val="1"/>
                <w:color w:val="auto"/>
              </w:rPr>
              <w:t>Address of Issuer’s Principal Executive Offices.</w:t>
            </w:r>
          </w:p>
        </w:tc>
        <w:tc>
          <w:tcPr>
            <w:tcW w:w="1080" w:type="dxa"/>
            <w:vAlign w:val="bottom"/>
          </w:tcPr>
          <w:p>
            <w:pPr>
              <w:spacing w:after="0"/>
              <w:rPr>
                <w:sz w:val="24"/>
                <w:szCs w:val="24"/>
                <w:color w:val="auto"/>
              </w:rPr>
            </w:pPr>
          </w:p>
        </w:tc>
      </w:tr>
      <w:tr>
        <w:trPr>
          <w:trHeight w:val="418"/>
        </w:trPr>
        <w:tc>
          <w:tcPr>
            <w:tcW w:w="1100" w:type="dxa"/>
            <w:vAlign w:val="bottom"/>
          </w:tcPr>
          <w:p>
            <w:pPr>
              <w:spacing w:after="0"/>
              <w:rPr>
                <w:sz w:val="24"/>
                <w:szCs w:val="24"/>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2701 Eastlake Avenue East</w:t>
            </w:r>
          </w:p>
        </w:tc>
        <w:tc>
          <w:tcPr>
            <w:tcW w:w="108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Seattle, WA 98102</w:t>
            </w:r>
          </w:p>
        </w:tc>
        <w:tc>
          <w:tcPr>
            <w:tcW w:w="1080" w:type="dxa"/>
            <w:vAlign w:val="bottom"/>
          </w:tcPr>
          <w:p>
            <w:pPr>
              <w:spacing w:after="0"/>
              <w:rPr>
                <w:sz w:val="20"/>
                <w:szCs w:val="20"/>
                <w:color w:val="auto"/>
              </w:rPr>
            </w:pPr>
          </w:p>
        </w:tc>
      </w:tr>
      <w:tr>
        <w:trPr>
          <w:trHeight w:val="432"/>
        </w:trPr>
        <w:tc>
          <w:tcPr>
            <w:tcW w:w="1100" w:type="dxa"/>
            <w:vAlign w:val="bottom"/>
          </w:tcPr>
          <w:p>
            <w:pPr>
              <w:ind w:left="60"/>
              <w:spacing w:after="0"/>
              <w:rPr>
                <w:sz w:val="20"/>
                <w:szCs w:val="20"/>
                <w:color w:val="auto"/>
              </w:rPr>
            </w:pPr>
            <w:r>
              <w:rPr>
                <w:rFonts w:ascii="Arial" w:cs="Arial" w:eastAsia="Arial" w:hAnsi="Arial"/>
                <w:sz w:val="18"/>
                <w:szCs w:val="18"/>
                <w:b w:val="1"/>
                <w:bCs w:val="1"/>
                <w:color w:val="auto"/>
              </w:rPr>
              <w:t>Item 2(a)</w:t>
            </w:r>
          </w:p>
        </w:tc>
        <w:tc>
          <w:tcPr>
            <w:tcW w:w="9060" w:type="dxa"/>
            <w:vAlign w:val="bottom"/>
          </w:tcPr>
          <w:p>
            <w:pPr>
              <w:ind w:left="340"/>
              <w:spacing w:after="0"/>
              <w:rPr>
                <w:sz w:val="20"/>
                <w:szCs w:val="20"/>
                <w:color w:val="auto"/>
              </w:rPr>
            </w:pPr>
            <w:r>
              <w:rPr>
                <w:rFonts w:ascii="Arial" w:cs="Arial" w:eastAsia="Arial" w:hAnsi="Arial"/>
                <w:sz w:val="18"/>
                <w:szCs w:val="18"/>
                <w:b w:val="1"/>
                <w:bCs w:val="1"/>
                <w:color w:val="auto"/>
              </w:rPr>
              <w:t>Name of Person Filing.</w:t>
            </w:r>
          </w:p>
        </w:tc>
        <w:tc>
          <w:tcPr>
            <w:tcW w:w="1080" w:type="dxa"/>
            <w:vAlign w:val="bottom"/>
          </w:tcPr>
          <w:p>
            <w:pPr>
              <w:spacing w:after="0"/>
              <w:rPr>
                <w:sz w:val="24"/>
                <w:szCs w:val="24"/>
                <w:color w:val="auto"/>
              </w:rPr>
            </w:pPr>
          </w:p>
        </w:tc>
      </w:tr>
      <w:tr>
        <w:trPr>
          <w:trHeight w:val="418"/>
        </w:trPr>
        <w:tc>
          <w:tcPr>
            <w:tcW w:w="1100" w:type="dxa"/>
            <w:vAlign w:val="bottom"/>
          </w:tcPr>
          <w:p>
            <w:pPr>
              <w:spacing w:after="0"/>
              <w:rPr>
                <w:sz w:val="24"/>
                <w:szCs w:val="24"/>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VCVC V LLC (“</w:t>
            </w:r>
            <w:r>
              <w:rPr>
                <w:rFonts w:ascii="Arial" w:cs="Arial" w:eastAsia="Arial" w:hAnsi="Arial"/>
                <w:sz w:val="18"/>
                <w:szCs w:val="18"/>
                <w:b w:val="1"/>
                <w:bCs w:val="1"/>
                <w:i w:val="1"/>
                <w:iCs w:val="1"/>
                <w:color w:val="auto"/>
              </w:rPr>
              <w:t>VCVC</w:t>
            </w:r>
            <w:r>
              <w:rPr>
                <w:rFonts w:ascii="Arial" w:cs="Arial" w:eastAsia="Arial" w:hAnsi="Arial"/>
                <w:sz w:val="18"/>
                <w:szCs w:val="18"/>
                <w:color w:val="auto"/>
              </w:rPr>
              <w:t>”)</w:t>
            </w:r>
          </w:p>
        </w:tc>
        <w:tc>
          <w:tcPr>
            <w:tcW w:w="1080" w:type="dxa"/>
            <w:vAlign w:val="bottom"/>
          </w:tcPr>
          <w:p>
            <w:pPr>
              <w:spacing w:after="0"/>
              <w:rPr>
                <w:sz w:val="24"/>
                <w:szCs w:val="24"/>
                <w:color w:val="auto"/>
              </w:rPr>
            </w:pPr>
          </w:p>
        </w:tc>
      </w:tr>
      <w:tr>
        <w:trPr>
          <w:trHeight w:val="216"/>
        </w:trPr>
        <w:tc>
          <w:tcPr>
            <w:tcW w:w="1100" w:type="dxa"/>
            <w:vAlign w:val="bottom"/>
          </w:tcPr>
          <w:p>
            <w:pPr>
              <w:spacing w:after="0"/>
              <w:rPr>
                <w:sz w:val="18"/>
                <w:szCs w:val="18"/>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VCVC Management V LLC (“</w:t>
            </w:r>
            <w:r>
              <w:rPr>
                <w:rFonts w:ascii="Arial" w:cs="Arial" w:eastAsia="Arial" w:hAnsi="Arial"/>
                <w:sz w:val="18"/>
                <w:szCs w:val="18"/>
                <w:b w:val="1"/>
                <w:bCs w:val="1"/>
                <w:i w:val="1"/>
                <w:iCs w:val="1"/>
                <w:color w:val="auto"/>
              </w:rPr>
              <w:t>VCVC Management</w:t>
            </w:r>
            <w:r>
              <w:rPr>
                <w:rFonts w:ascii="Arial" w:cs="Arial" w:eastAsia="Arial" w:hAnsi="Arial"/>
                <w:sz w:val="18"/>
                <w:szCs w:val="18"/>
                <w:color w:val="auto"/>
              </w:rPr>
              <w:t>”)</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VC Capital Holdings Columbia LLC (“</w:t>
            </w:r>
            <w:r>
              <w:rPr>
                <w:rFonts w:ascii="Arial" w:cs="Arial" w:eastAsia="Arial" w:hAnsi="Arial"/>
                <w:sz w:val="18"/>
                <w:szCs w:val="18"/>
                <w:b w:val="1"/>
                <w:bCs w:val="1"/>
                <w:i w:val="1"/>
                <w:iCs w:val="1"/>
                <w:color w:val="auto"/>
              </w:rPr>
              <w:t>VCHC</w:t>
            </w:r>
            <w:r>
              <w:rPr>
                <w:rFonts w:ascii="Arial" w:cs="Arial" w:eastAsia="Arial" w:hAnsi="Arial"/>
                <w:sz w:val="18"/>
                <w:szCs w:val="18"/>
                <w:color w:val="auto"/>
              </w:rPr>
              <w:t>”)</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VCHC Management LLC (“</w:t>
            </w:r>
            <w:r>
              <w:rPr>
                <w:rFonts w:ascii="Arial" w:cs="Arial" w:eastAsia="Arial" w:hAnsi="Arial"/>
                <w:sz w:val="18"/>
                <w:szCs w:val="18"/>
                <w:b w:val="1"/>
                <w:bCs w:val="1"/>
                <w:i w:val="1"/>
                <w:iCs w:val="1"/>
                <w:color w:val="auto"/>
              </w:rPr>
              <w:t>VCHC Management</w:t>
            </w:r>
            <w:r>
              <w:rPr>
                <w:rFonts w:ascii="Arial" w:cs="Arial" w:eastAsia="Arial" w:hAnsi="Arial"/>
                <w:sz w:val="18"/>
                <w:szCs w:val="18"/>
                <w:color w:val="auto"/>
              </w:rPr>
              <w:t>”)</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0140" w:type="dxa"/>
            <w:vAlign w:val="bottom"/>
            <w:gridSpan w:val="2"/>
          </w:tcPr>
          <w:p>
            <w:pPr>
              <w:ind w:left="360"/>
              <w:spacing w:after="0"/>
              <w:rPr>
                <w:sz w:val="20"/>
                <w:szCs w:val="20"/>
                <w:color w:val="auto"/>
              </w:rPr>
            </w:pPr>
            <w:r>
              <w:rPr>
                <w:rFonts w:ascii="Arial" w:cs="Arial" w:eastAsia="Arial" w:hAnsi="Arial"/>
                <w:sz w:val="18"/>
                <w:szCs w:val="18"/>
                <w:color w:val="auto"/>
                <w:w w:val="95"/>
              </w:rPr>
              <w:t>Cougar Investment Holdings LLC (“</w:t>
            </w:r>
            <w:r>
              <w:rPr>
                <w:rFonts w:ascii="Arial" w:cs="Arial" w:eastAsia="Arial" w:hAnsi="Arial"/>
                <w:sz w:val="18"/>
                <w:szCs w:val="18"/>
                <w:b w:val="1"/>
                <w:bCs w:val="1"/>
                <w:i w:val="1"/>
                <w:iCs w:val="1"/>
                <w:color w:val="auto"/>
                <w:w w:val="95"/>
              </w:rPr>
              <w:t>Cougar</w:t>
            </w:r>
            <w:r>
              <w:rPr>
                <w:rFonts w:ascii="Arial" w:cs="Arial" w:eastAsia="Arial" w:hAnsi="Arial"/>
                <w:sz w:val="18"/>
                <w:szCs w:val="18"/>
                <w:color w:val="auto"/>
                <w:w w:val="95"/>
              </w:rPr>
              <w:t>” and, together with VCVC, VCVC Management, VCHC, and VCHC Management, the</w:t>
            </w:r>
          </w:p>
        </w:tc>
      </w:tr>
      <w:tr>
        <w:trPr>
          <w:trHeight w:val="230"/>
        </w:trPr>
        <w:tc>
          <w:tcPr>
            <w:tcW w:w="1100" w:type="dxa"/>
            <w:vAlign w:val="bottom"/>
          </w:tcPr>
          <w:p>
            <w:pPr>
              <w:spacing w:after="0"/>
              <w:rPr>
                <w:sz w:val="20"/>
                <w:szCs w:val="20"/>
                <w:color w:val="auto"/>
              </w:rPr>
            </w:pPr>
          </w:p>
        </w:tc>
        <w:tc>
          <w:tcPr>
            <w:tcW w:w="9060" w:type="dxa"/>
            <w:vAlign w:val="bottom"/>
          </w:tcPr>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w:t>
            </w:r>
          </w:p>
        </w:tc>
        <w:tc>
          <w:tcPr>
            <w:tcW w:w="1080" w:type="dxa"/>
            <w:vAlign w:val="bottom"/>
          </w:tcPr>
          <w:p>
            <w:pPr>
              <w:spacing w:after="0"/>
              <w:rPr>
                <w:sz w:val="20"/>
                <w:szCs w:val="20"/>
                <w:color w:val="auto"/>
              </w:rPr>
            </w:pPr>
          </w:p>
        </w:tc>
      </w:tr>
      <w:tr>
        <w:trPr>
          <w:trHeight w:val="432"/>
        </w:trPr>
        <w:tc>
          <w:tcPr>
            <w:tcW w:w="1100" w:type="dxa"/>
            <w:vAlign w:val="bottom"/>
          </w:tcPr>
          <w:p>
            <w:pPr>
              <w:ind w:left="60"/>
              <w:spacing w:after="0"/>
              <w:rPr>
                <w:sz w:val="20"/>
                <w:szCs w:val="20"/>
                <w:color w:val="auto"/>
              </w:rPr>
            </w:pPr>
            <w:r>
              <w:rPr>
                <w:rFonts w:ascii="Arial" w:cs="Arial" w:eastAsia="Arial" w:hAnsi="Arial"/>
                <w:sz w:val="18"/>
                <w:szCs w:val="18"/>
                <w:b w:val="1"/>
                <w:bCs w:val="1"/>
                <w:color w:val="auto"/>
              </w:rPr>
              <w:t>Item 2(b)</w:t>
            </w:r>
          </w:p>
        </w:tc>
        <w:tc>
          <w:tcPr>
            <w:tcW w:w="9060" w:type="dxa"/>
            <w:vAlign w:val="bottom"/>
          </w:tcPr>
          <w:p>
            <w:pPr>
              <w:ind w:left="34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108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The address of the principal business office of each of the Reporting Persons is:</w:t>
            </w:r>
          </w:p>
        </w:tc>
        <w:tc>
          <w:tcPr>
            <w:tcW w:w="1080" w:type="dxa"/>
            <w:vAlign w:val="bottom"/>
          </w:tcPr>
          <w:p>
            <w:pPr>
              <w:spacing w:after="0"/>
              <w:rPr>
                <w:sz w:val="24"/>
                <w:szCs w:val="24"/>
                <w:color w:val="auto"/>
              </w:rPr>
            </w:pPr>
          </w:p>
        </w:tc>
      </w:tr>
      <w:tr>
        <w:trPr>
          <w:trHeight w:val="418"/>
        </w:trPr>
        <w:tc>
          <w:tcPr>
            <w:tcW w:w="1100" w:type="dxa"/>
            <w:vAlign w:val="bottom"/>
          </w:tcPr>
          <w:p>
            <w:pPr>
              <w:spacing w:after="0"/>
              <w:rPr>
                <w:sz w:val="24"/>
                <w:szCs w:val="24"/>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505 Fifth Avenue South</w:t>
            </w:r>
          </w:p>
        </w:tc>
        <w:tc>
          <w:tcPr>
            <w:tcW w:w="1080" w:type="dxa"/>
            <w:vAlign w:val="bottom"/>
          </w:tcPr>
          <w:p>
            <w:pPr>
              <w:spacing w:after="0"/>
              <w:rPr>
                <w:sz w:val="24"/>
                <w:szCs w:val="24"/>
                <w:color w:val="auto"/>
              </w:rPr>
            </w:pPr>
          </w:p>
        </w:tc>
      </w:tr>
      <w:tr>
        <w:trPr>
          <w:trHeight w:val="216"/>
        </w:trPr>
        <w:tc>
          <w:tcPr>
            <w:tcW w:w="110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Suite 900</w:t>
            </w:r>
          </w:p>
        </w:tc>
        <w:tc>
          <w:tcPr>
            <w:tcW w:w="108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Seattle, WA 98104</w:t>
            </w:r>
          </w:p>
        </w:tc>
        <w:tc>
          <w:tcPr>
            <w:tcW w:w="1080" w:type="dxa"/>
            <w:vAlign w:val="bottom"/>
          </w:tcPr>
          <w:p>
            <w:pPr>
              <w:spacing w:after="0"/>
              <w:rPr>
                <w:sz w:val="20"/>
                <w:szCs w:val="20"/>
                <w:color w:val="auto"/>
              </w:rPr>
            </w:pPr>
          </w:p>
        </w:tc>
      </w:tr>
      <w:tr>
        <w:trPr>
          <w:trHeight w:val="432"/>
        </w:trPr>
        <w:tc>
          <w:tcPr>
            <w:tcW w:w="1100" w:type="dxa"/>
            <w:vAlign w:val="bottom"/>
          </w:tcPr>
          <w:p>
            <w:pPr>
              <w:ind w:left="60"/>
              <w:spacing w:after="0"/>
              <w:rPr>
                <w:sz w:val="20"/>
                <w:szCs w:val="20"/>
                <w:color w:val="auto"/>
              </w:rPr>
            </w:pPr>
            <w:r>
              <w:rPr>
                <w:rFonts w:ascii="Arial" w:cs="Arial" w:eastAsia="Arial" w:hAnsi="Arial"/>
                <w:sz w:val="18"/>
                <w:szCs w:val="18"/>
                <w:b w:val="1"/>
                <w:bCs w:val="1"/>
                <w:color w:val="auto"/>
              </w:rPr>
              <w:t>Item 2(c)</w:t>
            </w:r>
          </w:p>
        </w:tc>
        <w:tc>
          <w:tcPr>
            <w:tcW w:w="9060" w:type="dxa"/>
            <w:vAlign w:val="bottom"/>
          </w:tcPr>
          <w:p>
            <w:pPr>
              <w:ind w:left="340"/>
              <w:spacing w:after="0"/>
              <w:rPr>
                <w:sz w:val="20"/>
                <w:szCs w:val="20"/>
                <w:color w:val="auto"/>
              </w:rPr>
            </w:pPr>
            <w:r>
              <w:rPr>
                <w:rFonts w:ascii="Arial" w:cs="Arial" w:eastAsia="Arial" w:hAnsi="Arial"/>
                <w:sz w:val="18"/>
                <w:szCs w:val="18"/>
                <w:b w:val="1"/>
                <w:bCs w:val="1"/>
                <w:color w:val="auto"/>
              </w:rPr>
              <w:t>Citizenship.</w:t>
            </w:r>
          </w:p>
        </w:tc>
        <w:tc>
          <w:tcPr>
            <w:tcW w:w="108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The place of organization of each of the Reporting Persons is Delaware, U.S.A.</w:t>
            </w:r>
          </w:p>
        </w:tc>
        <w:tc>
          <w:tcPr>
            <w:tcW w:w="1080" w:type="dxa"/>
            <w:vAlign w:val="bottom"/>
          </w:tcPr>
          <w:p>
            <w:pPr>
              <w:spacing w:after="0"/>
              <w:rPr>
                <w:sz w:val="24"/>
                <w:szCs w:val="24"/>
                <w:color w:val="auto"/>
              </w:rPr>
            </w:pPr>
          </w:p>
        </w:tc>
      </w:tr>
      <w:tr>
        <w:trPr>
          <w:trHeight w:val="432"/>
        </w:trPr>
        <w:tc>
          <w:tcPr>
            <w:tcW w:w="1100" w:type="dxa"/>
            <w:vAlign w:val="bottom"/>
          </w:tcPr>
          <w:p>
            <w:pPr>
              <w:ind w:left="60"/>
              <w:spacing w:after="0"/>
              <w:rPr>
                <w:sz w:val="20"/>
                <w:szCs w:val="20"/>
                <w:color w:val="auto"/>
              </w:rPr>
            </w:pPr>
            <w:r>
              <w:rPr>
                <w:rFonts w:ascii="Arial" w:cs="Arial" w:eastAsia="Arial" w:hAnsi="Arial"/>
                <w:sz w:val="18"/>
                <w:szCs w:val="18"/>
                <w:b w:val="1"/>
                <w:bCs w:val="1"/>
                <w:color w:val="auto"/>
              </w:rPr>
              <w:t>Item 2(d)</w:t>
            </w:r>
          </w:p>
        </w:tc>
        <w:tc>
          <w:tcPr>
            <w:tcW w:w="9060" w:type="dxa"/>
            <w:vAlign w:val="bottom"/>
          </w:tcPr>
          <w:p>
            <w:pPr>
              <w:ind w:left="340"/>
              <w:spacing w:after="0"/>
              <w:rPr>
                <w:sz w:val="20"/>
                <w:szCs w:val="20"/>
                <w:color w:val="auto"/>
              </w:rPr>
            </w:pPr>
            <w:r>
              <w:rPr>
                <w:rFonts w:ascii="Arial" w:cs="Arial" w:eastAsia="Arial" w:hAnsi="Arial"/>
                <w:sz w:val="18"/>
                <w:szCs w:val="18"/>
                <w:b w:val="1"/>
                <w:bCs w:val="1"/>
                <w:color w:val="auto"/>
              </w:rPr>
              <w:t>Title of Class of Securities.</w:t>
            </w:r>
          </w:p>
        </w:tc>
        <w:tc>
          <w:tcPr>
            <w:tcW w:w="108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Common Stock, $0.0001 par value</w:t>
            </w:r>
          </w:p>
        </w:tc>
        <w:tc>
          <w:tcPr>
            <w:tcW w:w="1080" w:type="dxa"/>
            <w:vAlign w:val="bottom"/>
          </w:tcPr>
          <w:p>
            <w:pPr>
              <w:spacing w:after="0"/>
              <w:rPr>
                <w:sz w:val="24"/>
                <w:szCs w:val="24"/>
                <w:color w:val="auto"/>
              </w:rPr>
            </w:pPr>
          </w:p>
        </w:tc>
      </w:tr>
      <w:tr>
        <w:trPr>
          <w:trHeight w:val="432"/>
        </w:trPr>
        <w:tc>
          <w:tcPr>
            <w:tcW w:w="1100" w:type="dxa"/>
            <w:vAlign w:val="bottom"/>
          </w:tcPr>
          <w:p>
            <w:pPr>
              <w:ind w:left="60"/>
              <w:spacing w:after="0"/>
              <w:rPr>
                <w:sz w:val="20"/>
                <w:szCs w:val="20"/>
                <w:color w:val="auto"/>
              </w:rPr>
            </w:pPr>
            <w:r>
              <w:rPr>
                <w:rFonts w:ascii="Arial" w:cs="Arial" w:eastAsia="Arial" w:hAnsi="Arial"/>
                <w:sz w:val="18"/>
                <w:szCs w:val="18"/>
                <w:b w:val="1"/>
                <w:bCs w:val="1"/>
                <w:color w:val="auto"/>
              </w:rPr>
              <w:t>Item 2(e)</w:t>
            </w:r>
          </w:p>
        </w:tc>
        <w:tc>
          <w:tcPr>
            <w:tcW w:w="9060" w:type="dxa"/>
            <w:vAlign w:val="bottom"/>
          </w:tcPr>
          <w:p>
            <w:pPr>
              <w:ind w:left="340"/>
              <w:spacing w:after="0"/>
              <w:rPr>
                <w:sz w:val="20"/>
                <w:szCs w:val="20"/>
                <w:color w:val="auto"/>
              </w:rPr>
            </w:pPr>
            <w:r>
              <w:rPr>
                <w:rFonts w:ascii="Arial" w:cs="Arial" w:eastAsia="Arial" w:hAnsi="Arial"/>
                <w:sz w:val="18"/>
                <w:szCs w:val="18"/>
                <w:b w:val="1"/>
                <w:bCs w:val="1"/>
                <w:color w:val="auto"/>
              </w:rPr>
              <w:t>CUSIP Number.</w:t>
            </w:r>
          </w:p>
        </w:tc>
        <w:tc>
          <w:tcPr>
            <w:tcW w:w="108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63909J108</w:t>
            </w:r>
          </w:p>
        </w:tc>
        <w:tc>
          <w:tcPr>
            <w:tcW w:w="1080" w:type="dxa"/>
            <w:vAlign w:val="bottom"/>
          </w:tcPr>
          <w:p>
            <w:pPr>
              <w:spacing w:after="0"/>
              <w:rPr>
                <w:sz w:val="24"/>
                <w:szCs w:val="24"/>
                <w:color w:val="auto"/>
              </w:rPr>
            </w:pPr>
          </w:p>
        </w:tc>
      </w:tr>
      <w:tr>
        <w:trPr>
          <w:trHeight w:val="432"/>
        </w:trPr>
        <w:tc>
          <w:tcPr>
            <w:tcW w:w="1100" w:type="dxa"/>
            <w:vAlign w:val="bottom"/>
          </w:tcPr>
          <w:p>
            <w:pPr>
              <w:ind w:left="60"/>
              <w:spacing w:after="0"/>
              <w:rPr>
                <w:sz w:val="20"/>
                <w:szCs w:val="20"/>
                <w:color w:val="auto"/>
              </w:rPr>
            </w:pPr>
            <w:r>
              <w:rPr>
                <w:rFonts w:ascii="Arial" w:cs="Arial" w:eastAsia="Arial" w:hAnsi="Arial"/>
                <w:sz w:val="18"/>
                <w:szCs w:val="18"/>
                <w:b w:val="1"/>
                <w:bCs w:val="1"/>
                <w:color w:val="auto"/>
              </w:rPr>
              <w:t>Item 3</w:t>
            </w:r>
          </w:p>
        </w:tc>
        <w:tc>
          <w:tcPr>
            <w:tcW w:w="9060" w:type="dxa"/>
            <w:vAlign w:val="bottom"/>
          </w:tcPr>
          <w:p>
            <w:pPr>
              <w:ind w:left="340"/>
              <w:spacing w:after="0"/>
              <w:rPr>
                <w:sz w:val="20"/>
                <w:szCs w:val="20"/>
                <w:color w:val="auto"/>
              </w:rPr>
            </w:pPr>
            <w:r>
              <w:rPr>
                <w:rFonts w:ascii="Arial" w:cs="Arial" w:eastAsia="Arial" w:hAnsi="Arial"/>
                <w:sz w:val="18"/>
                <w:szCs w:val="18"/>
                <w:b w:val="1"/>
                <w:bCs w:val="1"/>
                <w:color w:val="auto"/>
                <w:w w:val="92"/>
              </w:rPr>
              <w:t>If this statement is filed pursuant to §§240.13d-1(b), or 240.13d-2(b) or (c), check whether the person filing is a:</w:t>
            </w:r>
          </w:p>
        </w:tc>
        <w:tc>
          <w:tcPr>
            <w:tcW w:w="1080" w:type="dxa"/>
            <w:vAlign w:val="bottom"/>
          </w:tcPr>
          <w:p>
            <w:pPr>
              <w:spacing w:after="0"/>
              <w:rPr>
                <w:sz w:val="24"/>
                <w:szCs w:val="24"/>
                <w:color w:val="auto"/>
              </w:rPr>
            </w:pPr>
          </w:p>
        </w:tc>
      </w:tr>
    </w:tbl>
    <w:p>
      <w:pPr>
        <w:spacing w:after="0" w:line="229" w:lineRule="exact"/>
        <w:rPr>
          <w:sz w:val="20"/>
          <w:szCs w:val="20"/>
          <w:color w:val="auto"/>
        </w:rPr>
      </w:pPr>
    </w:p>
    <w:p>
      <w:pPr>
        <w:ind w:left="1460" w:hanging="656"/>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117" w:lineRule="exact"/>
        <w:rPr>
          <w:rFonts w:ascii="Arial" w:cs="Arial" w:eastAsia="Arial" w:hAnsi="Arial"/>
          <w:sz w:val="18"/>
          <w:szCs w:val="18"/>
          <w:color w:val="auto"/>
        </w:rPr>
      </w:pPr>
    </w:p>
    <w:p>
      <w:pPr>
        <w:ind w:left="1460" w:hanging="656"/>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117" w:lineRule="exact"/>
        <w:rPr>
          <w:rFonts w:ascii="Arial" w:cs="Arial" w:eastAsia="Arial" w:hAnsi="Arial"/>
          <w:sz w:val="18"/>
          <w:szCs w:val="18"/>
          <w:color w:val="auto"/>
        </w:rPr>
      </w:pPr>
    </w:p>
    <w:p>
      <w:pPr>
        <w:ind w:left="1460" w:hanging="656"/>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117" w:lineRule="exact"/>
        <w:rPr>
          <w:rFonts w:ascii="Arial" w:cs="Arial" w:eastAsia="Arial" w:hAnsi="Arial"/>
          <w:sz w:val="18"/>
          <w:szCs w:val="18"/>
          <w:color w:val="auto"/>
        </w:rPr>
      </w:pPr>
    </w:p>
    <w:p>
      <w:pPr>
        <w:ind w:left="1460" w:hanging="656"/>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tabs>
          <w:tab w:leader="none" w:pos="1032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5"/>
          <w:szCs w:val="15"/>
          <w:color w:val="auto"/>
        </w:rPr>
        <w:t>Page 8 of 11</w:t>
      </w:r>
    </w:p>
    <w:p>
      <w:pPr>
        <w:sectPr>
          <w:pgSz w:w="11900" w:h="16838" w:orient="portrait"/>
          <w:cols w:equalWidth="0" w:num="1">
            <w:col w:w="11240"/>
          </w:cols>
          <w:pgMar w:left="320" w:top="364" w:right="339" w:bottom="1440" w:gutter="0" w:footer="0" w:header="0"/>
        </w:sectPr>
      </w:pPr>
    </w:p>
    <w:p>
      <w:pPr>
        <w:spacing w:after="0" w:line="256" w:lineRule="exact"/>
        <w:rPr>
          <w:sz w:val="20"/>
          <w:szCs w:val="20"/>
          <w:color w:val="auto"/>
        </w:rPr>
      </w:pPr>
    </w:p>
    <w:p>
      <w:pPr>
        <w:ind w:left="1460" w:hanging="656"/>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117" w:lineRule="exact"/>
        <w:rPr>
          <w:rFonts w:ascii="Arial" w:cs="Arial" w:eastAsia="Arial" w:hAnsi="Arial"/>
          <w:sz w:val="18"/>
          <w:szCs w:val="18"/>
          <w:color w:val="auto"/>
        </w:rPr>
      </w:pPr>
    </w:p>
    <w:p>
      <w:pPr>
        <w:ind w:left="1460" w:hanging="656"/>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§240.13d-1(b)(1)(ii)(F);</w:t>
      </w:r>
    </w:p>
    <w:p>
      <w:pPr>
        <w:spacing w:after="0" w:line="117" w:lineRule="exact"/>
        <w:rPr>
          <w:rFonts w:ascii="Arial" w:cs="Arial" w:eastAsia="Arial" w:hAnsi="Arial"/>
          <w:sz w:val="18"/>
          <w:szCs w:val="18"/>
          <w:color w:val="auto"/>
        </w:rPr>
      </w:pPr>
    </w:p>
    <w:p>
      <w:pPr>
        <w:ind w:left="1460" w:hanging="656"/>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§240.13d-1(b)(1)(ii)(G);</w:t>
      </w:r>
    </w:p>
    <w:p>
      <w:pPr>
        <w:spacing w:after="0" w:line="117" w:lineRule="exact"/>
        <w:rPr>
          <w:rFonts w:ascii="Arial" w:cs="Arial" w:eastAsia="Arial" w:hAnsi="Arial"/>
          <w:sz w:val="18"/>
          <w:szCs w:val="18"/>
          <w:color w:val="auto"/>
        </w:rPr>
      </w:pPr>
    </w:p>
    <w:p>
      <w:pPr>
        <w:ind w:left="1460" w:hanging="656"/>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40" w:right="260" w:hanging="936"/>
        <w:spacing w:after="0" w:line="277" w:lineRule="auto"/>
        <w:tabs>
          <w:tab w:leader="none" w:pos="14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460" w:hanging="656"/>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   A non-U.S. institution in accordance with §240.13d–1(b)(1)(ii)(J);</w:t>
      </w:r>
    </w:p>
    <w:p>
      <w:pPr>
        <w:spacing w:after="0" w:line="117" w:lineRule="exact"/>
        <w:rPr>
          <w:rFonts w:ascii="Arial" w:cs="Arial" w:eastAsia="Arial" w:hAnsi="Arial"/>
          <w:sz w:val="18"/>
          <w:szCs w:val="18"/>
          <w:color w:val="auto"/>
        </w:rPr>
      </w:pPr>
    </w:p>
    <w:p>
      <w:pPr>
        <w:ind w:left="1460" w:hanging="656"/>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   Group, in accordance with §240.13d–1(b)(1)(ii)(K).</w:t>
      </w:r>
    </w:p>
    <w:p>
      <w:pPr>
        <w:spacing w:after="0" w:line="117" w:lineRule="exact"/>
        <w:rPr>
          <w:rFonts w:ascii="Arial" w:cs="Arial" w:eastAsia="Arial" w:hAnsi="Arial"/>
          <w:sz w:val="18"/>
          <w:szCs w:val="18"/>
          <w:color w:val="auto"/>
        </w:rPr>
      </w:pPr>
    </w:p>
    <w:p>
      <w:pPr>
        <w:ind w:left="1440" w:right="2400"/>
        <w:spacing w:after="0" w:line="277" w:lineRule="auto"/>
        <w:rPr>
          <w:rFonts w:ascii="Arial" w:cs="Arial" w:eastAsia="Arial" w:hAnsi="Arial"/>
          <w:sz w:val="18"/>
          <w:szCs w:val="18"/>
          <w:color w:val="auto"/>
        </w:rPr>
      </w:pPr>
      <w:r>
        <w:rPr>
          <w:rFonts w:ascii="Arial" w:cs="Arial" w:eastAsia="Arial" w:hAnsi="Arial"/>
          <w:sz w:val="18"/>
          <w:szCs w:val="18"/>
          <w:color w:val="auto"/>
        </w:rPr>
        <w:t>If filing as a non-U.S. institution in accordance with §240.13d–1(b)(1)(ii)(J), please specify the type of institution:___________________.</w:t>
      </w:r>
    </w:p>
    <w:p>
      <w:pPr>
        <w:spacing w:after="0" w:line="193"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4" w:lineRule="exact"/>
        <w:rPr>
          <w:sz w:val="20"/>
          <w:szCs w:val="20"/>
          <w:color w:val="auto"/>
        </w:rPr>
      </w:pPr>
    </w:p>
    <w:p>
      <w:pPr>
        <w:ind w:left="1960" w:right="7060" w:hanging="332"/>
        <w:spacing w:after="0" w:line="566" w:lineRule="auto"/>
        <w:tabs>
          <w:tab w:leader="none" w:pos="19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Amount Beneficially Owned: </w:t>
      </w:r>
      <w:r>
        <w:rPr>
          <w:rFonts w:ascii="Arial" w:cs="Arial" w:eastAsia="Arial" w:hAnsi="Arial"/>
          <w:sz w:val="16"/>
          <w:szCs w:val="16"/>
          <w:color w:val="auto"/>
        </w:rPr>
        <w:t>As of December 31, 2021:</w:t>
      </w:r>
    </w:p>
    <w:p>
      <w:pPr>
        <w:jc w:val="both"/>
        <w:ind w:left="2280" w:hanging="328"/>
        <w:spacing w:after="0" w:line="257" w:lineRule="auto"/>
        <w:tabs>
          <w:tab w:leader="none" w:pos="2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VCVC and VCVC Management may be deemed to beneficially own and have shared power to vote, or direct the vote, and shared power to dispose, or direct the disposition of, an aggregate 3,586,493 shares of the Issuer’s Common Stock. VCVC is the direct beneficial owner of all of the shares of the Issuer’s Common Stock described in the preceding sentence. VCVC Management serves as the manager of VCVC, and, as such, may be deemed to share voting and investment discretion over securities directly held by VCVC.</w:t>
      </w:r>
    </w:p>
    <w:p>
      <w:pPr>
        <w:spacing w:after="0" w:line="187" w:lineRule="exact"/>
        <w:rPr>
          <w:rFonts w:ascii="Arial" w:cs="Arial" w:eastAsia="Arial" w:hAnsi="Arial"/>
          <w:sz w:val="18"/>
          <w:szCs w:val="18"/>
          <w:color w:val="auto"/>
        </w:rPr>
      </w:pPr>
    </w:p>
    <w:p>
      <w:pPr>
        <w:jc w:val="both"/>
        <w:ind w:left="2280" w:hanging="328"/>
        <w:spacing w:after="0" w:line="257" w:lineRule="auto"/>
        <w:tabs>
          <w:tab w:leader="none" w:pos="2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VCHC and VCHC Management may be deemed to beneficially own and have shared power to vote, or direct the vote, and shared power to dispose, or direct the disposition of, an aggregate 3,586,492 shares of the Issuer’s Common Stock. VCHC is the direct beneficial owner of all of the shares of the Issuer’s Common Stock described in the preceding sentence. VCHC Management serves as the manager of VCHC, and, as such, may be deemed to share voting and investment discretion over securities directly held by VCHC.</w:t>
      </w:r>
    </w:p>
    <w:p>
      <w:pPr>
        <w:spacing w:after="0" w:line="187" w:lineRule="exact"/>
        <w:rPr>
          <w:rFonts w:ascii="Arial" w:cs="Arial" w:eastAsia="Arial" w:hAnsi="Arial"/>
          <w:sz w:val="18"/>
          <w:szCs w:val="18"/>
          <w:color w:val="auto"/>
        </w:rPr>
      </w:pPr>
    </w:p>
    <w:p>
      <w:pPr>
        <w:jc w:val="both"/>
        <w:ind w:left="2280" w:hanging="328"/>
        <w:spacing w:after="0" w:line="296" w:lineRule="auto"/>
        <w:tabs>
          <w:tab w:leader="none" w:pos="22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Cougar may be deemed to indirectly beneficially own, and have shared power to direct the vote and disposition of, all of the shares of the Issuer’s Common Stock described in the two preceding paragraphs, comprising an aggregate total of 7,172,985 shares of the Issuer’s Common Stock. Cougar serves as the managing member of VCVC Management and VCHC Management. Pursuant to its organizational documents, Cougar’s five officers possess the authority to represent and conduct the business affairs of Cougar, including, without limitation, exercising voting and investment discretion.</w:t>
      </w:r>
    </w:p>
    <w:p>
      <w:pPr>
        <w:spacing w:after="0" w:line="161" w:lineRule="exact"/>
        <w:rPr>
          <w:sz w:val="20"/>
          <w:szCs w:val="20"/>
          <w:color w:val="auto"/>
        </w:rPr>
      </w:pPr>
    </w:p>
    <w:p>
      <w:pPr>
        <w:jc w:val="both"/>
        <w:ind w:left="1960"/>
        <w:spacing w:after="0" w:line="291" w:lineRule="auto"/>
        <w:rPr>
          <w:sz w:val="20"/>
          <w:szCs w:val="20"/>
          <w:color w:val="auto"/>
        </w:rPr>
      </w:pPr>
      <w:r>
        <w:rPr>
          <w:rFonts w:ascii="Arial" w:cs="Arial" w:eastAsia="Arial" w:hAnsi="Arial"/>
          <w:sz w:val="16"/>
          <w:szCs w:val="16"/>
          <w:color w:val="auto"/>
        </w:rPr>
        <w:t>Because each of the Reporting Persons may be deemed to share voting and dispositive power over the shares beneficially owned, directly or indirectly, by it, the Reporting Persons may be deemed to be a “group” within the meaning of Section 13(d)</w:t>
      </w:r>
    </w:p>
    <w:p>
      <w:pPr>
        <w:ind w:left="1960" w:right="20" w:hanging="8"/>
        <w:spacing w:after="0" w:line="323" w:lineRule="auto"/>
        <w:tabs>
          <w:tab w:leader="none" w:pos="2233" w:val="left"/>
        </w:tabs>
        <w:numPr>
          <w:ilvl w:val="0"/>
          <w:numId w:val="25"/>
        </w:numPr>
        <w:rPr>
          <w:rFonts w:ascii="Arial" w:cs="Arial" w:eastAsia="Arial" w:hAnsi="Arial"/>
          <w:sz w:val="16"/>
          <w:szCs w:val="16"/>
          <w:color w:val="auto"/>
        </w:rPr>
      </w:pPr>
      <w:r>
        <w:rPr>
          <w:rFonts w:ascii="Arial" w:cs="Arial" w:eastAsia="Arial" w:hAnsi="Arial"/>
          <w:sz w:val="16"/>
          <w:szCs w:val="16"/>
          <w:color w:val="auto"/>
        </w:rPr>
        <w:t>of the Securities Exchange Act of 1934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Notwithstanding, each of the Reporting Persons disclaims beneficial ownership of the securities reported in this Statement except to the extent of its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 w:name="page9"/>
    <w:bookmarkEnd w:id="8"/>
    <w:p>
      <w:pPr>
        <w:spacing w:after="0"/>
        <w:tabs>
          <w:tab w:leader="none" w:pos="1032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5"/>
          <w:szCs w:val="15"/>
          <w:color w:val="auto"/>
        </w:rPr>
        <w:t>Page 9 of 11</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ind w:left="1960" w:hanging="332"/>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Percent of Class:</w:t>
      </w:r>
    </w:p>
    <w:p>
      <w:pPr>
        <w:spacing w:after="0" w:line="229" w:lineRule="exact"/>
        <w:rPr>
          <w:rFonts w:ascii="Arial" w:cs="Arial" w:eastAsia="Arial" w:hAnsi="Arial"/>
          <w:sz w:val="18"/>
          <w:szCs w:val="18"/>
          <w:color w:val="auto"/>
        </w:rPr>
      </w:pPr>
    </w:p>
    <w:p>
      <w:pPr>
        <w:jc w:val="both"/>
        <w:ind w:left="1960"/>
        <w:spacing w:after="0" w:line="254" w:lineRule="auto"/>
        <w:rPr>
          <w:rFonts w:ascii="Arial" w:cs="Arial" w:eastAsia="Arial" w:hAnsi="Arial"/>
          <w:sz w:val="18"/>
          <w:szCs w:val="18"/>
          <w:color w:val="auto"/>
        </w:rPr>
      </w:pPr>
      <w:r>
        <w:rPr>
          <w:rFonts w:ascii="Arial" w:cs="Arial" w:eastAsia="Arial" w:hAnsi="Arial"/>
          <w:sz w:val="18"/>
          <w:szCs w:val="18"/>
          <w:color w:val="auto"/>
        </w:rPr>
        <w:t>As of December 31, 2021: (i) Cougar was deemed to indirectly beneficially own 5.8%, in the aggregate, of the Issuer’s outstanding Common Stock; and (ii) each of VCVC, VCVC Management, VCHC, and VCHC Management, respectively, was deemed to beneficially own, directly or indirectly, 2.9% of the Issuer’s outstanding Common Stock. The aforementioned percentages were calculated in accordance with Rule 13(d)-3(d)(1)(i), promulgated under the Exchange Act, and based on an aggregate total of 124,166,776 shares of the Issuer’s Common Stock outstanding as of October 31, 2021, as reported by the Issuer in its Quarterly Report for the period ended September 30, 2021, filed on Form 10-Q with the Securities and Exchange Commission on November 2, 2021.</w:t>
      </w:r>
    </w:p>
    <w:p>
      <w:pPr>
        <w:spacing w:after="0" w:line="190" w:lineRule="exact"/>
        <w:rPr>
          <w:rFonts w:ascii="Arial" w:cs="Arial" w:eastAsia="Arial" w:hAnsi="Arial"/>
          <w:sz w:val="18"/>
          <w:szCs w:val="18"/>
          <w:color w:val="auto"/>
        </w:rPr>
      </w:pPr>
    </w:p>
    <w:p>
      <w:pPr>
        <w:ind w:left="1960" w:hanging="332"/>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Number of shares as to which the person has:</w:t>
      </w:r>
    </w:p>
    <w:p>
      <w:pPr>
        <w:spacing w:after="0" w:line="229" w:lineRule="exact"/>
        <w:rPr>
          <w:sz w:val="20"/>
          <w:szCs w:val="20"/>
          <w:color w:val="auto"/>
        </w:rPr>
      </w:pPr>
    </w:p>
    <w:p>
      <w:pPr>
        <w:ind w:left="2600" w:hanging="648"/>
        <w:spacing w:after="0"/>
        <w:tabs>
          <w:tab w:leader="none" w:pos="2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9" w:lineRule="exact"/>
        <w:rPr>
          <w:sz w:val="20"/>
          <w:szCs w:val="20"/>
          <w:color w:val="auto"/>
        </w:rPr>
      </w:pPr>
    </w:p>
    <w:tbl>
      <w:tblPr>
        <w:tblLayout w:type="fixed"/>
        <w:tblInd w:w="2920" w:type="dxa"/>
        <w:tblCellMar>
          <w:top w:w="0" w:type="dxa"/>
          <w:left w:w="0" w:type="dxa"/>
          <w:bottom w:w="0" w:type="dxa"/>
          <w:right w:w="0" w:type="dxa"/>
        </w:tblCellMar>
      </w:tblP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VCVC</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VCVC Management</w:t>
            </w:r>
          </w:p>
        </w:tc>
        <w:tc>
          <w:tcPr>
            <w:tcW w:w="21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VCHC</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VCHC Management</w:t>
            </w:r>
          </w:p>
        </w:tc>
        <w:tc>
          <w:tcPr>
            <w:tcW w:w="21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Cougar</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2600" w:hanging="648"/>
        <w:spacing w:after="0"/>
        <w:tabs>
          <w:tab w:leader="none" w:pos="2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9" w:lineRule="exact"/>
        <w:rPr>
          <w:sz w:val="20"/>
          <w:szCs w:val="20"/>
          <w:color w:val="auto"/>
        </w:rPr>
      </w:pPr>
    </w:p>
    <w:tbl>
      <w:tblPr>
        <w:tblLayout w:type="fixed"/>
        <w:tblInd w:w="292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VCVC</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3,586,493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VCVC Management</w:t>
            </w:r>
          </w:p>
        </w:tc>
        <w:tc>
          <w:tcPr>
            <w:tcW w:w="2420" w:type="dxa"/>
            <w:vAlign w:val="bottom"/>
          </w:tcPr>
          <w:p>
            <w:pPr>
              <w:jc w:val="right"/>
              <w:spacing w:after="0"/>
              <w:rPr>
                <w:sz w:val="20"/>
                <w:szCs w:val="20"/>
                <w:color w:val="auto"/>
              </w:rPr>
            </w:pPr>
            <w:r>
              <w:rPr>
                <w:rFonts w:ascii="Arial" w:cs="Arial" w:eastAsia="Arial" w:hAnsi="Arial"/>
                <w:sz w:val="18"/>
                <w:szCs w:val="18"/>
                <w:color w:val="auto"/>
              </w:rPr>
              <w:t>3,586,493</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VCHC</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3,586,492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VCHC Management</w:t>
            </w:r>
          </w:p>
        </w:tc>
        <w:tc>
          <w:tcPr>
            <w:tcW w:w="2420" w:type="dxa"/>
            <w:vAlign w:val="bottom"/>
          </w:tcPr>
          <w:p>
            <w:pPr>
              <w:jc w:val="right"/>
              <w:spacing w:after="0"/>
              <w:rPr>
                <w:sz w:val="20"/>
                <w:szCs w:val="20"/>
                <w:color w:val="auto"/>
              </w:rPr>
            </w:pPr>
            <w:r>
              <w:rPr>
                <w:rFonts w:ascii="Arial" w:cs="Arial" w:eastAsia="Arial" w:hAnsi="Arial"/>
                <w:sz w:val="18"/>
                <w:szCs w:val="18"/>
                <w:color w:val="auto"/>
              </w:rPr>
              <w:t>3,586,492</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Cougar</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7,172,985</w:t>
            </w:r>
          </w:p>
        </w:tc>
      </w:tr>
    </w:tbl>
    <w:p>
      <w:pPr>
        <w:spacing w:after="0" w:line="202" w:lineRule="exact"/>
        <w:rPr>
          <w:sz w:val="20"/>
          <w:szCs w:val="20"/>
          <w:color w:val="auto"/>
        </w:rPr>
      </w:pPr>
    </w:p>
    <w:p>
      <w:pPr>
        <w:ind w:left="2600" w:hanging="648"/>
        <w:spacing w:after="0"/>
        <w:tabs>
          <w:tab w:leader="none" w:pos="2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9" w:lineRule="exact"/>
        <w:rPr>
          <w:sz w:val="20"/>
          <w:szCs w:val="20"/>
          <w:color w:val="auto"/>
        </w:rPr>
      </w:pPr>
    </w:p>
    <w:tbl>
      <w:tblPr>
        <w:tblLayout w:type="fixed"/>
        <w:tblInd w:w="2920" w:type="dxa"/>
        <w:tblCellMar>
          <w:top w:w="0" w:type="dxa"/>
          <w:left w:w="0" w:type="dxa"/>
          <w:bottom w:w="0" w:type="dxa"/>
          <w:right w:w="0" w:type="dxa"/>
        </w:tblCellMar>
      </w:tblP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VCVC</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VCVC Management</w:t>
            </w:r>
          </w:p>
        </w:tc>
        <w:tc>
          <w:tcPr>
            <w:tcW w:w="21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VCHC</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VCHC Management</w:t>
            </w:r>
          </w:p>
        </w:tc>
        <w:tc>
          <w:tcPr>
            <w:tcW w:w="21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Cougar</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2600" w:hanging="648"/>
        <w:spacing w:after="0"/>
        <w:tabs>
          <w:tab w:leader="none" w:pos="2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VCVC</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3,586,493</w:t>
            </w:r>
          </w:p>
        </w:tc>
        <w:tc>
          <w:tcPr>
            <w:tcW w:w="27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VCVC Management</w:t>
            </w:r>
          </w:p>
        </w:tc>
        <w:tc>
          <w:tcPr>
            <w:tcW w:w="2420" w:type="dxa"/>
            <w:vAlign w:val="bottom"/>
          </w:tcPr>
          <w:p>
            <w:pPr>
              <w:jc w:val="right"/>
              <w:spacing w:after="0"/>
              <w:rPr>
                <w:sz w:val="20"/>
                <w:szCs w:val="20"/>
                <w:color w:val="auto"/>
              </w:rPr>
            </w:pPr>
            <w:r>
              <w:rPr>
                <w:rFonts w:ascii="Arial" w:cs="Arial" w:eastAsia="Arial" w:hAnsi="Arial"/>
                <w:sz w:val="18"/>
                <w:szCs w:val="18"/>
                <w:color w:val="auto"/>
              </w:rPr>
              <w:t>3,586,493</w:t>
            </w:r>
          </w:p>
        </w:tc>
        <w:tc>
          <w:tcPr>
            <w:tcW w:w="27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VCHC</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3,586,492</w:t>
            </w:r>
          </w:p>
        </w:tc>
        <w:tc>
          <w:tcPr>
            <w:tcW w:w="27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VCHC Management</w:t>
            </w:r>
          </w:p>
        </w:tc>
        <w:tc>
          <w:tcPr>
            <w:tcW w:w="2420" w:type="dxa"/>
            <w:vAlign w:val="bottom"/>
          </w:tcPr>
          <w:p>
            <w:pPr>
              <w:jc w:val="right"/>
              <w:spacing w:after="0"/>
              <w:rPr>
                <w:sz w:val="20"/>
                <w:szCs w:val="20"/>
                <w:color w:val="auto"/>
              </w:rPr>
            </w:pPr>
            <w:r>
              <w:rPr>
                <w:rFonts w:ascii="Arial" w:cs="Arial" w:eastAsia="Arial" w:hAnsi="Arial"/>
                <w:sz w:val="18"/>
                <w:szCs w:val="18"/>
                <w:color w:val="auto"/>
              </w:rPr>
              <w:t>3,586,492</w:t>
            </w:r>
          </w:p>
        </w:tc>
        <w:tc>
          <w:tcPr>
            <w:tcW w:w="27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Cougar</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7,172,985</w:t>
            </w:r>
          </w:p>
        </w:tc>
        <w:tc>
          <w:tcPr>
            <w:tcW w:w="2700" w:type="dxa"/>
            <w:vAlign w:val="bottom"/>
          </w:tcPr>
          <w:p>
            <w:pPr>
              <w:spacing w:after="0"/>
              <w:rPr>
                <w:sz w:val="18"/>
                <w:szCs w:val="18"/>
                <w:color w:val="auto"/>
              </w:rPr>
            </w:pPr>
          </w:p>
        </w:tc>
      </w:tr>
      <w:tr>
        <w:trPr>
          <w:trHeight w:val="432"/>
        </w:trPr>
        <w:tc>
          <w:tcPr>
            <w:tcW w:w="29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type w:val="continuous"/>
        </w:sectPr>
      </w:pPr>
    </w:p>
    <w:bookmarkStart w:id="9" w:name="page10"/>
    <w:bookmarkEnd w:id="9"/>
    <w:p>
      <w:pPr>
        <w:spacing w:after="0"/>
        <w:tabs>
          <w:tab w:leader="none" w:pos="1024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5"/>
          <w:szCs w:val="15"/>
          <w:color w:val="auto"/>
        </w:rPr>
        <w:t>Page 10 of 11</w:t>
      </w:r>
    </w:p>
    <w:p>
      <w:pPr>
        <w:spacing w:after="0" w:line="225"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29" w:lineRule="exact"/>
        <w:rPr>
          <w:sz w:val="20"/>
          <w:szCs w:val="20"/>
          <w:color w:val="auto"/>
        </w:rPr>
      </w:pPr>
    </w:p>
    <w:p>
      <w:pPr>
        <w:jc w:val="both"/>
        <w:ind w:firstLine="16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o.</w:t>
      </w:r>
    </w:p>
    <w:p>
      <w:pPr>
        <w:spacing w:after="0" w:line="166"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Item 6 is not applicable.</w:t>
      </w:r>
    </w:p>
    <w:p>
      <w:pPr>
        <w:spacing w:after="0" w:line="221" w:lineRule="exact"/>
        <w:rPr>
          <w:sz w:val="20"/>
          <w:szCs w:val="20"/>
          <w:color w:val="auto"/>
        </w:rPr>
      </w:pPr>
    </w:p>
    <w:p>
      <w:pPr>
        <w:jc w:val="both"/>
        <w:ind w:left="1580" w:hanging="1565"/>
        <w:spacing w:after="0" w:line="282" w:lineRule="auto"/>
        <w:tabs>
          <w:tab w:leader="none" w:pos="15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Item 7 is not applicable.</w:t>
      </w:r>
    </w:p>
    <w:p>
      <w:pPr>
        <w:spacing w:after="0" w:line="221"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Item 8 is not applicable.</w:t>
      </w:r>
    </w:p>
    <w:p>
      <w:pPr>
        <w:spacing w:after="0" w:line="221"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Item 9 is not applicable.</w:t>
      </w:r>
    </w:p>
    <w:p>
      <w:pPr>
        <w:spacing w:after="0" w:line="221"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firstLine="16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tabs>
          <w:tab w:leader="none" w:pos="1024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5"/>
          <w:szCs w:val="15"/>
          <w:color w:val="auto"/>
        </w:rPr>
        <w:t>Page 11 of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VCVC V LLC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VC CAPITAL HOLDINGS COLUMBIA LLC</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By: VCVC Management V LLC, its manager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 VCHC Management LLC, its manager</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By: Cercano Legacy Manager LLC, its manager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 Cercano Legacy Manager LLC, its manager</w:t>
            </w:r>
          </w:p>
        </w:tc>
      </w:tr>
      <w:tr>
        <w:trPr>
          <w:trHeight w:val="432"/>
        </w:trPr>
        <w:tc>
          <w:tcPr>
            <w:tcW w:w="5520" w:type="dxa"/>
            <w:vAlign w:val="bottom"/>
            <w:gridSpan w:val="2"/>
          </w:tcPr>
          <w:p>
            <w:pPr>
              <w:ind w:left="340"/>
              <w:spacing w:after="0"/>
              <w:rPr>
                <w:sz w:val="20"/>
                <w:szCs w:val="20"/>
                <w:color w:val="auto"/>
              </w:rPr>
            </w:pPr>
            <w:r>
              <w:rPr>
                <w:rFonts w:ascii="Arial" w:cs="Arial" w:eastAsia="Arial" w:hAnsi="Arial"/>
                <w:sz w:val="18"/>
                <w:szCs w:val="18"/>
                <w:color w:val="auto"/>
              </w:rPr>
              <w:t>By: /s/ Yongbai Choi</w:t>
            </w:r>
          </w:p>
        </w:tc>
        <w:tc>
          <w:tcPr>
            <w:tcW w:w="5720" w:type="dxa"/>
            <w:vAlign w:val="bottom"/>
            <w:gridSpan w:val="2"/>
          </w:tcPr>
          <w:p>
            <w:pPr>
              <w:ind w:left="560"/>
              <w:spacing w:after="0"/>
              <w:rPr>
                <w:sz w:val="20"/>
                <w:szCs w:val="20"/>
                <w:color w:val="auto"/>
              </w:rPr>
            </w:pPr>
            <w:r>
              <w:rPr>
                <w:rFonts w:ascii="Arial" w:cs="Arial" w:eastAsia="Arial" w:hAnsi="Arial"/>
                <w:sz w:val="18"/>
                <w:szCs w:val="18"/>
                <w:color w:val="auto"/>
              </w:rPr>
              <w:t>By: /s/ Yongbai Choi</w:t>
            </w:r>
          </w:p>
        </w:tc>
      </w:tr>
      <w:tr>
        <w:trPr>
          <w:trHeight w:val="224"/>
        </w:trPr>
        <w:tc>
          <w:tcPr>
            <w:tcW w:w="68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Yongbai Choi, Authorized Person</w:t>
            </w:r>
          </w:p>
        </w:tc>
        <w:tc>
          <w:tcPr>
            <w:tcW w:w="900" w:type="dxa"/>
            <w:vAlign w:val="bottom"/>
          </w:tcPr>
          <w:p>
            <w:pPr>
              <w:spacing w:after="0"/>
              <w:rPr>
                <w:sz w:val="19"/>
                <w:szCs w:val="19"/>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Yongbai Choi, Authorized Person</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color w:val="auto"/>
              </w:rPr>
              <w:t>Date: February 10, 2022</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Date: February 10, 2022</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VCVC MANAGEMENT V LLC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VCHC MANAGEMENT LLC</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By: Cercano Legacy Manager LLC, its manager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 Cercano Legacy Manager LLC, its manager</w:t>
            </w:r>
          </w:p>
        </w:tc>
      </w:tr>
      <w:tr>
        <w:trPr>
          <w:trHeight w:val="432"/>
        </w:trPr>
        <w:tc>
          <w:tcPr>
            <w:tcW w:w="5520" w:type="dxa"/>
            <w:vAlign w:val="bottom"/>
            <w:gridSpan w:val="2"/>
          </w:tcPr>
          <w:p>
            <w:pPr>
              <w:ind w:left="340"/>
              <w:spacing w:after="0"/>
              <w:rPr>
                <w:sz w:val="20"/>
                <w:szCs w:val="20"/>
                <w:color w:val="auto"/>
              </w:rPr>
            </w:pPr>
            <w:r>
              <w:rPr>
                <w:rFonts w:ascii="Arial" w:cs="Arial" w:eastAsia="Arial" w:hAnsi="Arial"/>
                <w:sz w:val="18"/>
                <w:szCs w:val="18"/>
                <w:color w:val="auto"/>
              </w:rPr>
              <w:t>By: /s/ Yongbai Choi</w:t>
            </w:r>
          </w:p>
        </w:tc>
        <w:tc>
          <w:tcPr>
            <w:tcW w:w="5720" w:type="dxa"/>
            <w:vAlign w:val="bottom"/>
            <w:gridSpan w:val="2"/>
          </w:tcPr>
          <w:p>
            <w:pPr>
              <w:ind w:left="560"/>
              <w:spacing w:after="0"/>
              <w:rPr>
                <w:sz w:val="20"/>
                <w:szCs w:val="20"/>
                <w:color w:val="auto"/>
              </w:rPr>
            </w:pPr>
            <w:r>
              <w:rPr>
                <w:rFonts w:ascii="Arial" w:cs="Arial" w:eastAsia="Arial" w:hAnsi="Arial"/>
                <w:sz w:val="18"/>
                <w:szCs w:val="18"/>
                <w:color w:val="auto"/>
              </w:rPr>
              <w:t>By: /s/ Yongbai Choi</w:t>
            </w:r>
          </w:p>
        </w:tc>
      </w:tr>
      <w:tr>
        <w:trPr>
          <w:trHeight w:val="224"/>
        </w:trPr>
        <w:tc>
          <w:tcPr>
            <w:tcW w:w="68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Yongbai Choi, Authorized Person</w:t>
            </w:r>
          </w:p>
        </w:tc>
        <w:tc>
          <w:tcPr>
            <w:tcW w:w="900" w:type="dxa"/>
            <w:vAlign w:val="bottom"/>
          </w:tcPr>
          <w:p>
            <w:pPr>
              <w:spacing w:after="0"/>
              <w:rPr>
                <w:sz w:val="19"/>
                <w:szCs w:val="19"/>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Yongbai Choi, Authorized Person</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color w:val="auto"/>
              </w:rPr>
              <w:t>Date: February 10, 2022</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Date: February 10, 2022</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COUGAR INVESTMENT HOLDINGS LLC</w:t>
            </w:r>
          </w:p>
        </w:tc>
        <w:tc>
          <w:tcPr>
            <w:tcW w:w="9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16"/>
        </w:trPr>
        <w:tc>
          <w:tcPr>
            <w:tcW w:w="5520" w:type="dxa"/>
            <w:vAlign w:val="bottom"/>
            <w:gridSpan w:val="2"/>
          </w:tcPr>
          <w:p>
            <w:pPr>
              <w:ind w:left="340"/>
              <w:spacing w:after="0"/>
              <w:rPr>
                <w:sz w:val="20"/>
                <w:szCs w:val="20"/>
                <w:color w:val="auto"/>
              </w:rPr>
            </w:pPr>
            <w:r>
              <w:rPr>
                <w:rFonts w:ascii="Arial" w:cs="Arial" w:eastAsia="Arial" w:hAnsi="Arial"/>
                <w:sz w:val="18"/>
                <w:szCs w:val="18"/>
                <w:color w:val="auto"/>
              </w:rPr>
              <w:t>By: Cercano Management LLC</w:t>
            </w:r>
          </w:p>
        </w:tc>
        <w:tc>
          <w:tcPr>
            <w:tcW w:w="90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30"/>
        </w:trPr>
        <w:tc>
          <w:tcPr>
            <w:tcW w:w="5520" w:type="dxa"/>
            <w:vAlign w:val="bottom"/>
            <w:gridSpan w:val="2"/>
          </w:tcPr>
          <w:p>
            <w:pPr>
              <w:ind w:left="340"/>
              <w:spacing w:after="0"/>
              <w:rPr>
                <w:sz w:val="20"/>
                <w:szCs w:val="20"/>
                <w:color w:val="auto"/>
              </w:rPr>
            </w:pPr>
            <w:r>
              <w:rPr>
                <w:rFonts w:ascii="Arial" w:cs="Arial" w:eastAsia="Arial" w:hAnsi="Arial"/>
                <w:sz w:val="18"/>
                <w:szCs w:val="18"/>
                <w:color w:val="auto"/>
              </w:rPr>
              <w:t>Its: Investment Manager</w:t>
            </w:r>
          </w:p>
        </w:tc>
        <w:tc>
          <w:tcPr>
            <w:tcW w:w="90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32"/>
        </w:trPr>
        <w:tc>
          <w:tcPr>
            <w:tcW w:w="5520" w:type="dxa"/>
            <w:vAlign w:val="bottom"/>
            <w:gridSpan w:val="2"/>
          </w:tcPr>
          <w:p>
            <w:pPr>
              <w:ind w:left="340"/>
              <w:spacing w:after="0"/>
              <w:rPr>
                <w:sz w:val="20"/>
                <w:szCs w:val="20"/>
                <w:color w:val="auto"/>
              </w:rPr>
            </w:pPr>
            <w:r>
              <w:rPr>
                <w:rFonts w:ascii="Arial" w:cs="Arial" w:eastAsia="Arial" w:hAnsi="Arial"/>
                <w:sz w:val="18"/>
                <w:szCs w:val="18"/>
                <w:color w:val="auto"/>
              </w:rPr>
              <w:t>By: /s/ Yongbai Choi</w:t>
            </w:r>
          </w:p>
        </w:tc>
        <w:tc>
          <w:tcPr>
            <w:tcW w:w="9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24"/>
        </w:trPr>
        <w:tc>
          <w:tcPr>
            <w:tcW w:w="68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Yongbai Choi, Vice President</w:t>
            </w:r>
          </w:p>
        </w:tc>
        <w:tc>
          <w:tcPr>
            <w:tcW w:w="90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color w:val="auto"/>
              </w:rPr>
              <w:t>Date: February 10, 2022</w:t>
            </w:r>
          </w:p>
        </w:tc>
        <w:tc>
          <w:tcPr>
            <w:tcW w:w="9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32"/>
        </w:trPr>
        <w:tc>
          <w:tcPr>
            <w:tcW w:w="6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1" w:name="page12"/>
    <w:bookmarkEnd w:id="11"/>
    <w:p>
      <w:pPr>
        <w:spacing w:after="0"/>
        <w:tabs>
          <w:tab w:leader="none" w:pos="10400" w:val="left"/>
        </w:tabs>
        <w:rPr>
          <w:sz w:val="20"/>
          <w:szCs w:val="20"/>
          <w:color w:val="auto"/>
        </w:rPr>
      </w:pPr>
      <w:r>
        <w:rPr>
          <w:rFonts w:ascii="Arial" w:cs="Arial" w:eastAsia="Arial" w:hAnsi="Arial"/>
          <w:sz w:val="18"/>
          <w:szCs w:val="18"/>
          <w:b w:val="1"/>
          <w:bCs w:val="1"/>
          <w:color w:val="auto"/>
        </w:rPr>
        <w:t>CUSIP No. 63909J108</w:t>
      </w:r>
      <w:r>
        <w:rPr>
          <w:sz w:val="20"/>
          <w:szCs w:val="20"/>
          <w:color w:val="auto"/>
        </w:rPr>
        <w:tab/>
      </w:r>
      <w:r>
        <w:rPr>
          <w:rFonts w:ascii="Arial" w:cs="Arial" w:eastAsia="Arial" w:hAnsi="Arial"/>
          <w:sz w:val="16"/>
          <w:szCs w:val="16"/>
          <w:color w:val="auto"/>
        </w:rPr>
        <w:t>Page 1 of 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Each of the undersigned hereby acknowledges and agrees, in compliance with the provisions of Rule 13d-1(k)(1) promulgated under the Securities Exchange Act of 1934, as amended, that the statement on Schedule 13G with respect to the Common Stock, par value $0.0001 per share, of Nautilus Biotechnology, Inc., to which this Agreement is attached as an Exhibit, and any amendments thereto, will be filed with the Securities and Exchange Commission jointly on behalf of the undersigned. This Agreement may be executed, either manually or electronically, in one or more counterparts.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VCVC V LLC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VC CAPITAL HOLDINGS COLUMBIA LLC</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By: VCVC Management V LLC, its manager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 VCHC Management LLC, its manager</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By: Cercano Legacy Manager LLC, its manager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 Cercano Legacy Manager LLC, its manager</w:t>
            </w:r>
          </w:p>
        </w:tc>
      </w:tr>
      <w:tr>
        <w:trPr>
          <w:trHeight w:val="432"/>
        </w:trPr>
        <w:tc>
          <w:tcPr>
            <w:tcW w:w="5520" w:type="dxa"/>
            <w:vAlign w:val="bottom"/>
            <w:gridSpan w:val="2"/>
          </w:tcPr>
          <w:p>
            <w:pPr>
              <w:ind w:left="340"/>
              <w:spacing w:after="0"/>
              <w:rPr>
                <w:sz w:val="20"/>
                <w:szCs w:val="20"/>
                <w:color w:val="auto"/>
              </w:rPr>
            </w:pPr>
            <w:r>
              <w:rPr>
                <w:rFonts w:ascii="Arial" w:cs="Arial" w:eastAsia="Arial" w:hAnsi="Arial"/>
                <w:sz w:val="18"/>
                <w:szCs w:val="18"/>
                <w:color w:val="auto"/>
              </w:rPr>
              <w:t>By: /s/ Yongbai Choi</w:t>
            </w:r>
          </w:p>
        </w:tc>
        <w:tc>
          <w:tcPr>
            <w:tcW w:w="5720" w:type="dxa"/>
            <w:vAlign w:val="bottom"/>
            <w:gridSpan w:val="2"/>
          </w:tcPr>
          <w:p>
            <w:pPr>
              <w:ind w:left="560"/>
              <w:spacing w:after="0"/>
              <w:rPr>
                <w:sz w:val="20"/>
                <w:szCs w:val="20"/>
                <w:color w:val="auto"/>
              </w:rPr>
            </w:pPr>
            <w:r>
              <w:rPr>
                <w:rFonts w:ascii="Arial" w:cs="Arial" w:eastAsia="Arial" w:hAnsi="Arial"/>
                <w:sz w:val="18"/>
                <w:szCs w:val="18"/>
                <w:color w:val="auto"/>
              </w:rPr>
              <w:t>By: /s/ Yongbai Choi</w:t>
            </w:r>
          </w:p>
        </w:tc>
      </w:tr>
      <w:tr>
        <w:trPr>
          <w:trHeight w:val="224"/>
        </w:trPr>
        <w:tc>
          <w:tcPr>
            <w:tcW w:w="68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Yongbai Choi, Authorized Person</w:t>
            </w:r>
          </w:p>
        </w:tc>
        <w:tc>
          <w:tcPr>
            <w:tcW w:w="900" w:type="dxa"/>
            <w:vAlign w:val="bottom"/>
          </w:tcPr>
          <w:p>
            <w:pPr>
              <w:spacing w:after="0"/>
              <w:rPr>
                <w:sz w:val="19"/>
                <w:szCs w:val="19"/>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Yongbai Choi, Authorized Person</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color w:val="auto"/>
              </w:rPr>
              <w:t>Date: February 10, 2022</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Date: February 10, 2022</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VCVC MANAGEMENT V LLC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VCHC MANAGEMENT LLC</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By: Cercano Legacy Manager LLC, its manager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 Cercano Legacy Manager LLC, its manager</w:t>
            </w:r>
          </w:p>
        </w:tc>
      </w:tr>
      <w:tr>
        <w:trPr>
          <w:trHeight w:val="432"/>
        </w:trPr>
        <w:tc>
          <w:tcPr>
            <w:tcW w:w="5520" w:type="dxa"/>
            <w:vAlign w:val="bottom"/>
            <w:gridSpan w:val="2"/>
          </w:tcPr>
          <w:p>
            <w:pPr>
              <w:ind w:left="340"/>
              <w:spacing w:after="0"/>
              <w:rPr>
                <w:sz w:val="20"/>
                <w:szCs w:val="20"/>
                <w:color w:val="auto"/>
              </w:rPr>
            </w:pPr>
            <w:r>
              <w:rPr>
                <w:rFonts w:ascii="Arial" w:cs="Arial" w:eastAsia="Arial" w:hAnsi="Arial"/>
                <w:sz w:val="18"/>
                <w:szCs w:val="18"/>
                <w:color w:val="auto"/>
              </w:rPr>
              <w:t>By: /s/ Yongbai Choi</w:t>
            </w:r>
          </w:p>
        </w:tc>
        <w:tc>
          <w:tcPr>
            <w:tcW w:w="5720" w:type="dxa"/>
            <w:vAlign w:val="bottom"/>
            <w:gridSpan w:val="2"/>
          </w:tcPr>
          <w:p>
            <w:pPr>
              <w:ind w:left="560"/>
              <w:spacing w:after="0"/>
              <w:rPr>
                <w:sz w:val="20"/>
                <w:szCs w:val="20"/>
                <w:color w:val="auto"/>
              </w:rPr>
            </w:pPr>
            <w:r>
              <w:rPr>
                <w:rFonts w:ascii="Arial" w:cs="Arial" w:eastAsia="Arial" w:hAnsi="Arial"/>
                <w:sz w:val="18"/>
                <w:szCs w:val="18"/>
                <w:color w:val="auto"/>
              </w:rPr>
              <w:t>By: /s/ Yongbai Choi</w:t>
            </w:r>
          </w:p>
        </w:tc>
      </w:tr>
      <w:tr>
        <w:trPr>
          <w:trHeight w:val="224"/>
        </w:trPr>
        <w:tc>
          <w:tcPr>
            <w:tcW w:w="68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Yongbai Choi, Authorized Person</w:t>
            </w:r>
          </w:p>
        </w:tc>
        <w:tc>
          <w:tcPr>
            <w:tcW w:w="900" w:type="dxa"/>
            <w:vAlign w:val="bottom"/>
          </w:tcPr>
          <w:p>
            <w:pPr>
              <w:spacing w:after="0"/>
              <w:rPr>
                <w:sz w:val="19"/>
                <w:szCs w:val="19"/>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Yongbai Choi, Authorized Person</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color w:val="auto"/>
              </w:rPr>
              <w:t>Date: February 10, 2022</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Date: February 10, 2022</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COUGAR INVESTMENT HOLDINGS LLC</w:t>
            </w:r>
          </w:p>
        </w:tc>
        <w:tc>
          <w:tcPr>
            <w:tcW w:w="9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By: Cercano Management LLC, Investment Manager</w:t>
            </w:r>
          </w:p>
        </w:tc>
        <w:tc>
          <w:tcPr>
            <w:tcW w:w="90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32"/>
        </w:trPr>
        <w:tc>
          <w:tcPr>
            <w:tcW w:w="5520" w:type="dxa"/>
            <w:vAlign w:val="bottom"/>
            <w:gridSpan w:val="2"/>
          </w:tcPr>
          <w:p>
            <w:pPr>
              <w:ind w:left="340"/>
              <w:spacing w:after="0"/>
              <w:rPr>
                <w:sz w:val="20"/>
                <w:szCs w:val="20"/>
                <w:color w:val="auto"/>
              </w:rPr>
            </w:pPr>
            <w:r>
              <w:rPr>
                <w:rFonts w:ascii="Arial" w:cs="Arial" w:eastAsia="Arial" w:hAnsi="Arial"/>
                <w:sz w:val="18"/>
                <w:szCs w:val="18"/>
                <w:color w:val="auto"/>
              </w:rPr>
              <w:t>By: /s/ Yongbai Choi</w:t>
            </w:r>
          </w:p>
        </w:tc>
        <w:tc>
          <w:tcPr>
            <w:tcW w:w="9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24"/>
        </w:trPr>
        <w:tc>
          <w:tcPr>
            <w:tcW w:w="68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Yongbai Choi, Vice President</w:t>
            </w:r>
          </w:p>
        </w:tc>
        <w:tc>
          <w:tcPr>
            <w:tcW w:w="90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color w:val="auto"/>
              </w:rPr>
              <w:t>Date: February 10, 2022</w:t>
            </w:r>
          </w:p>
        </w:tc>
        <w:tc>
          <w:tcPr>
            <w:tcW w:w="9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32"/>
        </w:trPr>
        <w:tc>
          <w:tcPr>
            <w:tcW w:w="6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4E6AFB66"/>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3">
    <w:nsid w:val="25E45D32"/>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4">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431BD7B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7">
    <w:nsid w:val="7C83E458"/>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8">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
    <w:nsid w:val="62BBD9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0">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1">
    <w:nsid w:val="628C895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2">
    <w:nsid w:val="333AB10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721DA31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4">
    <w:nsid w:val="2443A858"/>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5">
    <w:nsid w:val="2D1D5AE9"/>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6">
    <w:nsid w:val="6763845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75A2A8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8">
    <w:nsid w:val="8EDBDAB"/>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9">
    <w:nsid w:val="79838CB2"/>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0">
    <w:nsid w:val="4353D0C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5"/>
    </w:lvl>
  </w:abstractNum>
  <w:abstractNum w:abstractNumId="23">
    <w:nsid w:val="54E49EB4"/>
    <w:multiLevelType w:val="hybridMultilevel"/>
    <w:lvl w:ilvl="0">
      <w:lvlJc w:val="left"/>
      <w:lvlText w:val="%1."/>
      <w:numFmt w:val="lowerLetter"/>
      <w:start w:val="1"/>
    </w:lvl>
    <w:lvl w:ilvl="1">
      <w:lvlJc w:val="left"/>
      <w:lvlText w:val="%2."/>
      <w:numFmt w:val="decimal"/>
      <w:start w:val="1"/>
    </w:lvl>
  </w:abstractNum>
  <w:abstractNum w:abstractNumId="24">
    <w:nsid w:val="71F32454"/>
    <w:multiLevelType w:val="hybridMultilevel"/>
    <w:lvl w:ilvl="0">
      <w:lvlJc w:val="left"/>
      <w:lvlText w:val="(%1)"/>
      <w:numFmt w:val="decimal"/>
      <w:start w:val="3"/>
    </w:lvl>
  </w:abstractNum>
  <w:abstractNum w:abstractNumId="25">
    <w:nsid w:val="2CA88611"/>
    <w:multiLevelType w:val="hybridMultilevel"/>
    <w:lvl w:ilvl="0">
      <w:lvlJc w:val="left"/>
      <w:lvlText w:val="%1."/>
      <w:numFmt w:val="lowerLetter"/>
      <w:start w:val="2"/>
    </w:lvl>
  </w:abstractNum>
  <w:abstractNum w:abstractNumId="26">
    <w:nsid w:val="836C40E"/>
    <w:multiLevelType w:val="hybridMultilevel"/>
    <w:lvl w:ilvl="0">
      <w:lvlJc w:val="left"/>
      <w:lvlText w:val="%1."/>
      <w:numFmt w:val="lowerRoman"/>
      <w:start w:val="1"/>
    </w:lvl>
  </w:abstractNum>
  <w:abstractNum w:abstractNumId="27">
    <w:nsid w:val="2901D82"/>
    <w:multiLevelType w:val="hybridMultilevel"/>
    <w:lvl w:ilvl="0">
      <w:lvlJc w:val="left"/>
      <w:lvlText w:val="%1."/>
      <w:numFmt w:val="lowerRoman"/>
      <w:start w:val="2"/>
    </w:lvl>
  </w:abstractNum>
  <w:abstractNum w:abstractNumId="28">
    <w:nsid w:val="3A95F874"/>
    <w:multiLevelType w:val="hybridMultilevel"/>
    <w:lvl w:ilvl="0">
      <w:lvlJc w:val="left"/>
      <w:lvlText w:val="%1."/>
      <w:numFmt w:val="lowerRoman"/>
      <w:start w:val="3"/>
    </w:lvl>
  </w:abstractNum>
  <w:abstractNum w:abstractNumId="29">
    <w:nsid w:val="8138641"/>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2022-02-11T23:11:57Z</dcterms:created>
  <dcterms:modified xsi:type="dcterms:W3CDTF">2022-02-11T23:11:57Z</dcterms:modified>
</cp:coreProperties>
</file>