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967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679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tcPr>
          <w:p>
            <w:pPr>
              <w:spacing w:after="0" w:line="181" w:lineRule="exact"/>
              <w:rPr>
                <w:rFonts w:ascii="Arial" w:cs="Arial" w:eastAsia="Arial" w:hAnsi="Arial"/>
                <w:sz w:val="16"/>
                <w:szCs w:val="16"/>
                <w:color w:val="0000EE"/>
                <w:w w:val="91"/>
              </w:rPr>
            </w:pPr>
            <w:hyperlink r:id="rId11">
              <w:r>
                <w:rPr>
                  <w:rFonts w:ascii="Arial" w:cs="Arial" w:eastAsia="Arial" w:hAnsi="Arial"/>
                  <w:sz w:val="16"/>
                  <w:szCs w:val="16"/>
                  <w:color w:val="0000EE"/>
                  <w:w w:val="91"/>
                </w:rPr>
                <w:t>Mallick Parag</w:t>
              </w:r>
            </w:hyperlink>
          </w:p>
        </w:tc>
        <w:tc>
          <w:tcPr>
            <w:tcW w:w="22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0000EE"/>
            </w:tcBorders>
            <w:vMerge w:val="continue"/>
          </w:tcPr>
          <w:p>
            <w:pPr>
              <w:spacing w:after="0"/>
              <w:rPr>
                <w:sz w:val="9"/>
                <w:szCs w:val="9"/>
                <w:color w:val="auto"/>
              </w:rPr>
            </w:pPr>
          </w:p>
        </w:tc>
        <w:tc>
          <w:tcPr>
            <w:tcW w:w="224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10"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tbl>
      <w:tblPr>
        <w:tblLayout w:type="fixed"/>
        <w:tblInd w:w="6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20" w:type="dxa"/>
            <w:vAlign w:val="bottom"/>
          </w:tcPr>
          <w:p>
            <w:pPr>
              <w:ind w:left="20"/>
              <w:spacing w:after="0"/>
              <w:rPr>
                <w:sz w:val="20"/>
                <w:szCs w:val="20"/>
                <w:color w:val="auto"/>
              </w:rPr>
            </w:pPr>
            <w:r>
              <w:rPr>
                <w:rFonts w:ascii="Arial" w:cs="Arial" w:eastAsia="Arial" w:hAnsi="Arial"/>
                <w:sz w:val="10"/>
                <w:szCs w:val="10"/>
                <w:color w:val="auto"/>
              </w:rPr>
              <w:t>(Last)</w:t>
            </w:r>
          </w:p>
        </w:tc>
        <w:tc>
          <w:tcPr>
            <w:tcW w:w="1100" w:type="dxa"/>
            <w:vAlign w:val="bottom"/>
          </w:tcPr>
          <w:p>
            <w:pPr>
              <w:ind w:left="240"/>
              <w:spacing w:after="0"/>
              <w:rPr>
                <w:sz w:val="20"/>
                <w:szCs w:val="20"/>
                <w:color w:val="auto"/>
              </w:rPr>
            </w:pPr>
            <w:r>
              <w:rPr>
                <w:rFonts w:ascii="Arial" w:cs="Arial" w:eastAsia="Arial" w:hAnsi="Arial"/>
                <w:sz w:val="10"/>
                <w:szCs w:val="10"/>
                <w:color w:val="auto"/>
              </w:rPr>
              <w:t>(First)</w:t>
            </w:r>
          </w:p>
        </w:tc>
        <w:tc>
          <w:tcPr>
            <w:tcW w:w="1240" w:type="dxa"/>
            <w:vAlign w:val="bottom"/>
          </w:tcPr>
          <w:p>
            <w:pPr>
              <w:ind w:left="200"/>
              <w:spacing w:after="0"/>
              <w:rPr>
                <w:sz w:val="20"/>
                <w:szCs w:val="20"/>
                <w:color w:val="auto"/>
              </w:rPr>
            </w:pPr>
            <w:r>
              <w:rPr>
                <w:rFonts w:ascii="Arial" w:cs="Arial" w:eastAsia="Arial" w:hAnsi="Arial"/>
                <w:sz w:val="10"/>
                <w:szCs w:val="10"/>
                <w:color w:val="auto"/>
              </w:rPr>
              <w:t>(Middle)</w:t>
            </w:r>
          </w:p>
        </w:tc>
      </w:tr>
      <w:tr>
        <w:trPr>
          <w:trHeight w:val="208"/>
        </w:trPr>
        <w:tc>
          <w:tcPr>
            <w:tcW w:w="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Arial" w:cs="Arial" w:eastAsia="Arial" w:hAnsi="Arial"/>
                <w:sz w:val="13"/>
                <w:szCs w:val="13"/>
                <w:color w:val="0000FF"/>
              </w:rPr>
              <w:t>C/O NAUTILUS BIOTECHNOLOGY, INC.</w:t>
            </w:r>
          </w:p>
        </w:tc>
      </w:tr>
      <w:tr>
        <w:trPr>
          <w:trHeight w:val="200"/>
        </w:trPr>
        <w:tc>
          <w:tcPr>
            <w:tcW w:w="2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3"/>
                <w:szCs w:val="13"/>
                <w:color w:val="0000FF"/>
              </w:rPr>
              <w:t>425 PONTIUS AVE N, STE 202</w:t>
            </w:r>
          </w:p>
        </w:tc>
        <w:tc>
          <w:tcPr>
            <w:tcW w:w="1240" w:type="dxa"/>
            <w:vAlign w:val="bottom"/>
          </w:tcPr>
          <w:p>
            <w:pPr>
              <w:spacing w:after="0"/>
              <w:rPr>
                <w:sz w:val="17"/>
                <w:szCs w:val="17"/>
                <w:color w:val="auto"/>
              </w:rPr>
            </w:pPr>
          </w:p>
        </w:tc>
      </w:tr>
      <w:tr>
        <w:trPr>
          <w:trHeight w:val="112"/>
        </w:trPr>
        <w:tc>
          <w:tcPr>
            <w:tcW w:w="2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r>
        <w:trPr>
          <w:trHeight w:val="200"/>
        </w:trPr>
        <w:tc>
          <w:tcPr>
            <w:tcW w:w="84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78"/>
        </w:trPr>
        <w:tc>
          <w:tcPr>
            <w:tcW w:w="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0000FF"/>
              </w:rPr>
              <w:t>SEATTLE</w:t>
            </w:r>
          </w:p>
        </w:tc>
        <w:tc>
          <w:tcPr>
            <w:tcW w:w="1100" w:type="dxa"/>
            <w:vAlign w:val="bottom"/>
          </w:tcPr>
          <w:p>
            <w:pPr>
              <w:ind w:left="240"/>
              <w:spacing w:after="0"/>
              <w:rPr>
                <w:sz w:val="20"/>
                <w:szCs w:val="20"/>
                <w:color w:val="auto"/>
              </w:rPr>
            </w:pPr>
            <w:r>
              <w:rPr>
                <w:rFonts w:ascii="Arial" w:cs="Arial" w:eastAsia="Arial" w:hAnsi="Arial"/>
                <w:sz w:val="13"/>
                <w:szCs w:val="13"/>
                <w:color w:val="0000FF"/>
              </w:rPr>
              <w:t>WA</w:t>
            </w:r>
          </w:p>
        </w:tc>
        <w:tc>
          <w:tcPr>
            <w:tcW w:w="1240" w:type="dxa"/>
            <w:vAlign w:val="bottom"/>
          </w:tcPr>
          <w:p>
            <w:pPr>
              <w:ind w:left="200"/>
              <w:spacing w:after="0"/>
              <w:rPr>
                <w:sz w:val="20"/>
                <w:szCs w:val="20"/>
                <w:color w:val="auto"/>
              </w:rPr>
            </w:pPr>
            <w:r>
              <w:rPr>
                <w:rFonts w:ascii="Arial" w:cs="Arial" w:eastAsia="Arial" w:hAnsi="Arial"/>
                <w:sz w:val="13"/>
                <w:szCs w:val="13"/>
                <w:color w:val="0000FF"/>
              </w:rPr>
              <w:t>98109</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176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13"/>
          <w:szCs w:val="13"/>
          <w:color w:val="0000FF"/>
        </w:rPr>
        <w:t>X</w:t>
      </w:r>
      <w:r>
        <w:rPr>
          <w:sz w:val="20"/>
          <w:szCs w:val="20"/>
          <w:color w:val="auto"/>
        </w:rPr>
        <w:tab/>
      </w:r>
      <w:r>
        <w:rPr>
          <w:rFonts w:ascii="Arial" w:cs="Arial" w:eastAsia="Arial" w:hAnsi="Arial"/>
          <w:sz w:val="9"/>
          <w:szCs w:val="9"/>
          <w:color w:val="auto"/>
        </w:rPr>
        <w:t>10% Owner</w:t>
      </w:r>
    </w:p>
    <w:p>
      <w:pPr>
        <w:spacing w:after="0" w:line="22"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205"/>
        <w:spacing w:after="0"/>
        <w:rPr>
          <w:sz w:val="20"/>
          <w:szCs w:val="20"/>
          <w:color w:val="auto"/>
        </w:rPr>
      </w:pPr>
      <w:r>
        <w:rPr>
          <w:rFonts w:ascii="Arial" w:cs="Arial" w:eastAsia="Arial" w:hAnsi="Arial"/>
          <w:sz w:val="13"/>
          <w:szCs w:val="13"/>
          <w:color w:val="0000FF"/>
        </w:rPr>
        <w:t>Chief Scientist</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8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844"/>
              <w:spacing w:after="0"/>
              <w:rPr>
                <w:sz w:val="20"/>
                <w:szCs w:val="20"/>
                <w:color w:val="auto"/>
              </w:rPr>
            </w:pPr>
            <w:r>
              <w:rPr>
                <w:rFonts w:ascii="Arial" w:cs="Arial" w:eastAsia="Arial" w:hAnsi="Arial"/>
                <w:sz w:val="13"/>
                <w:szCs w:val="13"/>
                <w:color w:val="0000FF"/>
              </w:rPr>
              <w:t>20,689,892</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jc w:val="right"/>
              <w:ind w:right="404"/>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01/31/2031</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jc w:val="right"/>
              <w:ind w:right="44"/>
              <w:spacing w:after="0"/>
              <w:rPr>
                <w:sz w:val="20"/>
                <w:szCs w:val="20"/>
                <w:color w:val="auto"/>
              </w:rPr>
            </w:pPr>
            <w:r>
              <w:rPr>
                <w:rFonts w:ascii="Arial" w:cs="Arial" w:eastAsia="Arial" w:hAnsi="Arial"/>
                <w:sz w:val="13"/>
                <w:szCs w:val="13"/>
                <w:color w:val="0000FF"/>
              </w:rPr>
              <w:t>464,019</w:t>
            </w:r>
          </w:p>
        </w:tc>
        <w:tc>
          <w:tcPr>
            <w:tcW w:w="720" w:type="dxa"/>
            <w:vAlign w:val="bottom"/>
          </w:tcPr>
          <w:p>
            <w:pPr>
              <w:ind w:left="320"/>
              <w:spacing w:after="0"/>
              <w:rPr>
                <w:sz w:val="20"/>
                <w:szCs w:val="20"/>
                <w:color w:val="auto"/>
              </w:rPr>
            </w:pPr>
            <w:r>
              <w:rPr>
                <w:rFonts w:ascii="Arial" w:cs="Arial" w:eastAsia="Arial" w:hAnsi="Arial"/>
                <w:sz w:val="13"/>
                <w:szCs w:val="13"/>
                <w:color w:val="0000FF"/>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40" w:hanging="10"/>
        <w:spacing w:after="0" w:line="242"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Subject to reporting person's continuous status as a "Service Provider" (as defined in the Nautilus Subsidiary, Inc. 2017 Equity Incentive Plan (the "Plan")) through each vesting date, one thirty-sixth (1/36th) of the shares subject to the Option shall vest each month over the thirty-six (36) months following the Vesting Commencement Date (as defined below) on the same day of the month as the Vesting Commencement Date (and if there is no corresponding day, on the last day of the month). The Vesting Commencement Date is January 31, 2021.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Parag Mallick</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Parag Mallick</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57948"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2021-06-09T20:45:53Z</dcterms:created>
  <dcterms:modified xsi:type="dcterms:W3CDTF">2021-06-09T20:45:53Z</dcterms:modified>
</cp:coreProperties>
</file>